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A84CB" w14:textId="195E9A1D" w:rsidR="00141CDF" w:rsidRDefault="00DF45E0">
      <w:pPr>
        <w:rPr>
          <w:vanish/>
        </w:rPr>
      </w:pPr>
      <w:r>
        <w:rPr>
          <w:rFonts w:ascii="宋体" w:eastAsia="宋体" w:hAnsi="宋体" w:cs="宋体"/>
        </w:rPr>
        <w:t xml:space="preserve"> </w:t>
      </w:r>
      <w:r>
        <w:rPr>
          <w:rFonts w:ascii="宋体" w:eastAsia="宋体" w:hAnsi="宋体" w:cs="宋体"/>
          <w:vanish/>
        </w:rPr>
        <w:t>00001041691/312023Q2false00001041692022-02-012022-07-310000104169wmt:CommonStockparvalue0.10pershareMember2022-02-012022-07-310000104169wmt:A2.550NotesDue2026Member2022-02-012022-07-3100001041692022-08-31xbrli:shares00001041692022-05-012022-07-31iso4217:US</w:t>
      </w:r>
      <w:r>
        <w:rPr>
          <w:rFonts w:ascii="宋体" w:eastAsia="宋体" w:hAnsi="宋体" w:cs="宋体"/>
          <w:vanish/>
        </w:rPr>
        <w:t>D00001041692021-05-012021-07-3100001041692021-02-012021-07-31iso4217:USDxbrli:shares00001041692022-07-3100001041692022-01-3100001041692021-07-310000104169us-gaap:CommonStockMember2022-01-310000104169us-gaap:AdditionalPaidInCapitalMember2022-01-310000104169</w:t>
      </w:r>
      <w:r>
        <w:rPr>
          <w:rFonts w:ascii="宋体" w:eastAsia="宋体" w:hAnsi="宋体" w:cs="宋体"/>
          <w:vanish/>
        </w:rPr>
        <w:t>us-gaap:RetainedEarningsMember2022-01-310000104169us-gaap:AccumulatedOtherComprehensiveIncomeMember2022-01-310000104169us-gaap:ParentMember2022-01-310000104169us-gaap:NoncontrollingInterestMember2022-01-310000104169us-gaap:RetainedEarningsMember2022-02-012</w:t>
      </w:r>
      <w:r>
        <w:rPr>
          <w:rFonts w:ascii="宋体" w:eastAsia="宋体" w:hAnsi="宋体" w:cs="宋体"/>
          <w:vanish/>
        </w:rPr>
        <w:t>022-04-300000104169us-gaap:ParentMember2022-02-012022-04-300000104169us-gaap:NoncontrollingInterestMember2022-02-012022-04-3000001041692022-02-012022-04-300000104169us-gaap:AccumulatedOtherComprehensiveIncomeMember2022-02-012022-04-300000104169us-gaap:Comm</w:t>
      </w:r>
      <w:r>
        <w:rPr>
          <w:rFonts w:ascii="宋体" w:eastAsia="宋体" w:hAnsi="宋体" w:cs="宋体"/>
          <w:vanish/>
        </w:rPr>
        <w:t>onStockMember2022-02-012022-04-300000104169us-gaap:AdditionalPaidInCapitalMember2022-02-012022-04-300000104169us-gaap:CommonStockMember2022-04-300000104169us-gaap:AdditionalPaidInCapitalMember2022-04-300000104169us-gaap:RetainedEarningsMember2022-04-300000</w:t>
      </w:r>
      <w:r>
        <w:rPr>
          <w:rFonts w:ascii="宋体" w:eastAsia="宋体" w:hAnsi="宋体" w:cs="宋体"/>
          <w:vanish/>
        </w:rPr>
        <w:t>104169us-gaap:AccumulatedOtherComprehensiveIncomeMember2022-04-300000104169us-gaap:ParentMember2022-04-300000104169us-gaap:NoncontrollingInterestMember2022-04-3000001041692022-04-300000104169us-gaap:RetainedEarningsMember2022-05-012022-07-310000104169us-ga</w:t>
      </w:r>
      <w:r>
        <w:rPr>
          <w:rFonts w:ascii="宋体" w:eastAsia="宋体" w:hAnsi="宋体" w:cs="宋体"/>
          <w:vanish/>
        </w:rPr>
        <w:t>ap:ParentMember2022-05-012022-07-310000104169us-gaap:NoncontrollingInterestMember2022-05-012022-07-310000104169us-gaap:AccumulatedOtherComprehensiveIncomeMember2022-05-012022-07-310000104169us-gaap:CommonStockMember2022-05-012022-07-310000104169us-gaap:Add</w:t>
      </w:r>
      <w:r>
        <w:rPr>
          <w:rFonts w:ascii="宋体" w:eastAsia="宋体" w:hAnsi="宋体" w:cs="宋体"/>
          <w:vanish/>
        </w:rPr>
        <w:t>itionalPaidInCapitalMember2022-05-012022-07-310000104169us-gaap:CommonStockMember2022-07-310000104169us-gaap:AdditionalPaidInCapitalMember2022-07-310000104169us-gaap:RetainedEarningsMember2022-07-310000104169us-gaap:AccumulatedOtherComprehensiveIncomeMembe</w:t>
      </w:r>
      <w:r>
        <w:rPr>
          <w:rFonts w:ascii="宋体" w:eastAsia="宋体" w:hAnsi="宋体" w:cs="宋体"/>
          <w:vanish/>
        </w:rPr>
        <w:t>r2022-07-310000104169us-gaap:ParentMember2022-07-310000104169us-gaap:NoncontrollingInterestMember2022-07-310000104169us-gaap:CommonStockMember2021-01-310000104169us-gaap:AdditionalPaidInCapitalMember2021-01-310000104169us-gaap:RetainedEarningsMember2021-01</w:t>
      </w:r>
      <w:r>
        <w:rPr>
          <w:rFonts w:ascii="宋体" w:eastAsia="宋体" w:hAnsi="宋体" w:cs="宋体"/>
          <w:vanish/>
        </w:rPr>
        <w:t>-310000104169us-gaap:AccumulatedOtherComprehensiveIncomeMember2021-01-310000104169us-gaap:ParentMember2021-01-310000104169us-gaap:NoncontrollingInterestMember2021-01-3100001041692021-01-310000104169us-gaap:RetainedEarningsMember2021-02-012021-04-3000001041</w:t>
      </w:r>
      <w:r>
        <w:rPr>
          <w:rFonts w:ascii="宋体" w:eastAsia="宋体" w:hAnsi="宋体" w:cs="宋体"/>
          <w:vanish/>
        </w:rPr>
        <w:t>69us-gaap:ParentMember2021-02-012021-04-300000104169us-gaap:NoncontrollingInterestMember2021-02-012021-04-3000001041692021-02-012021-04-300000104169us-gaap:AccumulatedOtherComprehensiveIncomeMember2021-02-012021-04-300000104169us-gaap:CommonStockMember2021</w:t>
      </w:r>
      <w:r>
        <w:rPr>
          <w:rFonts w:ascii="宋体" w:eastAsia="宋体" w:hAnsi="宋体" w:cs="宋体"/>
          <w:vanish/>
        </w:rPr>
        <w:t>-02-012021-04-300000104169us-gaap:AdditionalPaidInCapitalMember2021-02-012021-04-300000104169us-gaap:CommonStockMember2021-04-300000104169us-gaap:AdditionalPaidInCapitalMember2021-04-300000104169us-gaap:RetainedEarningsMember2021-04-300000104169us-gaap:Acc</w:t>
      </w:r>
      <w:r>
        <w:rPr>
          <w:rFonts w:ascii="宋体" w:eastAsia="宋体" w:hAnsi="宋体" w:cs="宋体"/>
          <w:vanish/>
        </w:rPr>
        <w:t>umulatedOtherComprehensiveIncomeMember2021-04-300000104169us-gaap:ParentMember2021-04-300000104169us-gaap:NoncontrollingInterestMember2021-04-3000001041692021-04-300000104169us-gaap:RetainedEarningsMember2021-05-012021-07-310000104169us-gaap:ParentMember20</w:t>
      </w:r>
      <w:r>
        <w:rPr>
          <w:rFonts w:ascii="宋体" w:eastAsia="宋体" w:hAnsi="宋体" w:cs="宋体"/>
          <w:vanish/>
        </w:rPr>
        <w:t>21-05-012021-07-310000104169us-gaap:NoncontrollingInterestMember2021-05-012021-07-310000104169us-gaap:AccumulatedOtherComprehensiveIncomeMember2021-05-012021-07-310000104169us-gaap:CommonStockMember2021-05-012021-07-310000104169us-gaap:AdditionalPaidInCapi</w:t>
      </w:r>
      <w:r>
        <w:rPr>
          <w:rFonts w:ascii="宋体" w:eastAsia="宋体" w:hAnsi="宋体" w:cs="宋体"/>
          <w:vanish/>
        </w:rPr>
        <w:t>talMember2021-05-012021-07-310000104169us-gaap:CommonStockMember2021-07-310000104169us-gaap:AdditionalPaidInCapitalMember2021-07-310000104169us-gaap:RetainedEarningsMember2021-07-310000104169us-gaap:AccumulatedOtherComprehensiveIncomeMember2021-07-31000010</w:t>
      </w:r>
      <w:r>
        <w:rPr>
          <w:rFonts w:ascii="宋体" w:eastAsia="宋体" w:hAnsi="宋体" w:cs="宋体"/>
          <w:vanish/>
        </w:rPr>
        <w:t>4169us-gaap:ParentMember2021-07-310000104169us-gaap:NoncontrollingInterestMember2021-07-310000104169us-gaap:AccumulatedForeignCurrencyAdjustmentIncludingPortionAttributableToNoncontrollingInterestMember2022-01-310000104169wmt:AccumulatedNetInvestmentGainOr</w:t>
      </w:r>
      <w:r>
        <w:rPr>
          <w:rFonts w:ascii="宋体" w:eastAsia="宋体" w:hAnsi="宋体" w:cs="宋体"/>
          <w:vanish/>
        </w:rPr>
        <w:t>LossIncludingPortionAttributableToNoncontrollingInterestMember2022-01-310000104169us-gaap:AccumulatedGainLossCashFlowHedgeIncludingNoncontrollingInterestMember2022-01-310000104169us-gaap:AccumulatedDefinedBenefitPlansAdjustmentIncludingPortionAttributableT</w:t>
      </w:r>
      <w:r>
        <w:rPr>
          <w:rFonts w:ascii="宋体" w:eastAsia="宋体" w:hAnsi="宋体" w:cs="宋体"/>
          <w:vanish/>
        </w:rPr>
        <w:t>oNoncontrollingInterestMember2022-01-310000104169us-gaap:AociIncludingPortionAttributableToNoncontrollingInterestMember2022-01-310000104169us-gaap:AccumulatedForeignCurrencyAdjustmentIncludingPortionAttributableToNoncontrollingInterestMember2022-02-012022-</w:t>
      </w:r>
      <w:r>
        <w:rPr>
          <w:rFonts w:ascii="宋体" w:eastAsia="宋体" w:hAnsi="宋体" w:cs="宋体"/>
          <w:vanish/>
        </w:rPr>
        <w:t>04-300000104169wmt:AccumulatedNetInvestmentGainOrLossIncludingPortionAttributableToNoncontrollingInterestMember2022-02-012022-04-300000104169us-gaap:AccumulatedGainLossCashFlowHedgeIncludingNoncontrollingInterestMember2022-02-012022-04-300000104169us-gaap:</w:t>
      </w:r>
      <w:r>
        <w:rPr>
          <w:rFonts w:ascii="宋体" w:eastAsia="宋体" w:hAnsi="宋体" w:cs="宋体"/>
          <w:vanish/>
        </w:rPr>
        <w:t>AccumulatedDefinedBenefitPlansAdjustmentIncludingPortionAttributableToNoncontrollingInterestMember2022-02-012022-04-300000104169us-gaap:AccumulatedForeignCurrencyAdjustmentIncludingPortionAttributableToNoncontrollingInterestMember2022-04-300000104169wmt:Ac</w:t>
      </w:r>
      <w:r>
        <w:rPr>
          <w:rFonts w:ascii="宋体" w:eastAsia="宋体" w:hAnsi="宋体" w:cs="宋体"/>
          <w:vanish/>
        </w:rPr>
        <w:t>cumulatedNetInvestmentGainOrLossIncludingPortionAttributableToNoncontrollingInterestMember2022-04-300000104169us-gaap:AccumulatedGainLossCashFlowHedgeIncludingNoncontrollingInterestMember2022-04-300000104169us-gaap:AccumulatedDefinedBenefitPlansAdjustmentI</w:t>
      </w:r>
      <w:r>
        <w:rPr>
          <w:rFonts w:ascii="宋体" w:eastAsia="宋体" w:hAnsi="宋体" w:cs="宋体"/>
          <w:vanish/>
        </w:rPr>
        <w:t>ncludingPortionAttributableToNoncontrollingInterestMember2022-04-300000104169us-gaap:AociIncludingPortionAttributableToNoncontrollingInterestMember2022-04-300000104169us-gaap:AccumulatedForeignCurrencyAdjustmentIncludingPortionAttributableToNoncontrollingI</w:t>
      </w:r>
      <w:r>
        <w:rPr>
          <w:rFonts w:ascii="宋体" w:eastAsia="宋体" w:hAnsi="宋体" w:cs="宋体"/>
          <w:vanish/>
        </w:rPr>
        <w:t>nterestMember2022-05-012022-07-310000104169wmt:AccumulatedNetInvestmentGainOrLossIncludingPortionAttributableToNoncontrollingInterestMember2022-05-012022-07-310000104169us-gaap:AccumulatedGainLossCashFlowHedgeIncludingNoncontrollingInterestMember2022-05-01</w:t>
      </w:r>
      <w:r>
        <w:rPr>
          <w:rFonts w:ascii="宋体" w:eastAsia="宋体" w:hAnsi="宋体" w:cs="宋体"/>
          <w:vanish/>
        </w:rPr>
        <w:t>2022-07-310000104169us-gaap:AccumulatedDefinedBenefitPlansAdjustmentIncludingPortionAttributableToNoncontrollingInterestMember2022-05-012022-07-310000104169us-gaap:AccumulatedForeignCurrencyAdjustmentIncludingPortionAttributableToNoncontrollingInterestMemb</w:t>
      </w:r>
      <w:r>
        <w:rPr>
          <w:rFonts w:ascii="宋体" w:eastAsia="宋体" w:hAnsi="宋体" w:cs="宋体"/>
          <w:vanish/>
        </w:rPr>
        <w:t>er2022-07-310000104169wmt:AccumulatedNetInvestmentGainOrLossIncludingPortionAttributableToNoncontrollingInterestMember2022-07-310000104169us-gaap:AccumulatedGainLossCashFlowHedgeIncludingNoncontrollingInterestMember2022-07-310000104169us-gaap:AccumulatedDe</w:t>
      </w:r>
      <w:r>
        <w:rPr>
          <w:rFonts w:ascii="宋体" w:eastAsia="宋体" w:hAnsi="宋体" w:cs="宋体"/>
          <w:vanish/>
        </w:rPr>
        <w:t>finedBenefitPlansAdjustmentIncludingPortionAttributableToNoncontrollingInterestMember2022-07-310000104169us-gaap:AociIncludingPortionAttributableToNoncontrollingInterestMember2022-07-310000104169us-gaap:AccumulatedForeignCurrencyAdjustmentIncludingPortionA</w:t>
      </w:r>
      <w:r>
        <w:rPr>
          <w:rFonts w:ascii="宋体" w:eastAsia="宋体" w:hAnsi="宋体" w:cs="宋体"/>
          <w:vanish/>
        </w:rPr>
        <w:t>ttributableToNoncontrollingInterestMember2021-01-310000104169wmt:AccumulatedNetInvestmentGainOrLossIncludingPortionAttributableToNoncontrollingInterestMember2021-01-310000104169us-gaap:AccumulatedGainLossCashFlowHedgeIncludingNoncontrollingInterestMember20</w:t>
      </w:r>
      <w:r>
        <w:rPr>
          <w:rFonts w:ascii="宋体" w:eastAsia="宋体" w:hAnsi="宋体" w:cs="宋体"/>
          <w:vanish/>
        </w:rPr>
        <w:t>21-01-310000104169us-gaap:AccumulatedDefinedBenefitPlansAdjustmentIncludingPortionAttributableToNoncontrollingInterestMember2021-01-310000104169us-gaap:AociIncludingPortionAttributableToNoncontrollingInterestMember2021-01-310000104169us-gaap:AccumulatedFor</w:t>
      </w:r>
      <w:r>
        <w:rPr>
          <w:rFonts w:ascii="宋体" w:eastAsia="宋体" w:hAnsi="宋体" w:cs="宋体"/>
          <w:vanish/>
        </w:rPr>
        <w:t>eignCurrencyAdjustmentIncludingPortionAttributableToNoncontrollingInterestMember2021-02-012021-04-300000104169wmt:AccumulatedNetInvestmentGainOrLossIncludingPortionAttributableToNoncontrollingInterestMember2021-02-012021-04-300000104169us-gaap:AccumulatedG</w:t>
      </w:r>
      <w:r>
        <w:rPr>
          <w:rFonts w:ascii="宋体" w:eastAsia="宋体" w:hAnsi="宋体" w:cs="宋体"/>
          <w:vanish/>
        </w:rPr>
        <w:t>ainLossCashFlowHedgeIncludingNoncontrollingInterestMember2021-02-012021-04-300000104169us-gaap:AccumulatedDefinedBenefitPlansAdjustmentIncludingPortionAttributableToNoncontrollingInterestMember2021-02-012021-04-300000104169us-gaap:AccumulatedForeignCurrenc</w:t>
      </w:r>
      <w:r>
        <w:rPr>
          <w:rFonts w:ascii="宋体" w:eastAsia="宋体" w:hAnsi="宋体" w:cs="宋体"/>
          <w:vanish/>
        </w:rPr>
        <w:t>yAdjustmentIncludingPortionAttributableToNoncontrollingInterestMember2021-04-300000104169wmt:AccumulatedNetInvestmentGainOrLossIncludingPortionAttributableToNoncontrollingInterestMember2021-04-300000104169us-gaap:AccumulatedGainLossCashFlowHedgeIncludingNo</w:t>
      </w:r>
      <w:r>
        <w:rPr>
          <w:rFonts w:ascii="宋体" w:eastAsia="宋体" w:hAnsi="宋体" w:cs="宋体"/>
          <w:vanish/>
        </w:rPr>
        <w:t>ncontrollingInterestMember2021-04-300000104169us-gaap:AccumulatedDefinedBenefitPlansAdjustmentIncludingPortionAttributableToNoncontrollingInterestMember2021-04-300000104169us-gaap:AociIncludingPortionAttributableToNoncontrollingInterestMember2021-04-300000</w:t>
      </w:r>
      <w:r>
        <w:rPr>
          <w:rFonts w:ascii="宋体" w:eastAsia="宋体" w:hAnsi="宋体" w:cs="宋体"/>
          <w:vanish/>
        </w:rPr>
        <w:t>104169us-gaap:AccumulatedForeignCurrencyAdjustmentIncludingPortionAttributableToNoncontrollingInterestMember2021-05-012021-07-310000104169wmt:AccumulatedNetInvestmentGainOrLossIncludingPortionAttributableToNoncontrollingInterestMember2021-05-012021-07-3100</w:t>
      </w:r>
      <w:r>
        <w:rPr>
          <w:rFonts w:ascii="宋体" w:eastAsia="宋体" w:hAnsi="宋体" w:cs="宋体"/>
          <w:vanish/>
        </w:rPr>
        <w:t>00104169us-gaap:AccumulatedGainLossCashFlowHedgeIncludingNoncontrollingInterestMember2021-05-012021-07-310000104169us-gaap:AccumulatedDefinedBenefitPlansAdjustmentIncludingPortionAttributableToNoncontrollingInterestMember2021-05-012021-07-310000104169us-ga</w:t>
      </w:r>
      <w:r>
        <w:rPr>
          <w:rFonts w:ascii="宋体" w:eastAsia="宋体" w:hAnsi="宋体" w:cs="宋体"/>
          <w:vanish/>
        </w:rPr>
        <w:t>ap:AccumulatedForeignCurrencyAdjustmentIncludingPortionAttributableToNoncontrollingInterestMember2021-07-310000104169wmt:AccumulatedNetInvestmentGainOrLossIncludingPortionAttributableToNoncontrollingInterestMember2021-07-310000104169us-gaap:AccumulatedGain</w:t>
      </w:r>
      <w:r>
        <w:rPr>
          <w:rFonts w:ascii="宋体" w:eastAsia="宋体" w:hAnsi="宋体" w:cs="宋体"/>
          <w:vanish/>
        </w:rPr>
        <w:t>LossCashFlowHedgeIncludingNoncontrollingInterestMember2021-07-310000104169us-gaap:AccumulatedDefinedBenefitPlansAdjustmentIncludingPortionAttributableToNoncontrollingInterestMember2021-07-310000104169us-gaap:AociIncludingPortionAttributableToNoncontrolling</w:t>
      </w:r>
      <w:r>
        <w:rPr>
          <w:rFonts w:ascii="宋体" w:eastAsia="宋体" w:hAnsi="宋体" w:cs="宋体"/>
          <w:vanish/>
        </w:rPr>
        <w:t>InterestMember2021-07-310000104169us-gaap:DomesticLineOfCreditMemberus-gaap:RevolvingCreditFacilityMember2022-04-012022-04-300000104169us-gaap:DomesticLineOfCreditMemberus-gaap:RevolvingCreditFacilityMember2022-04-300000104169us-gaap:DomesticLineOfCreditMe</w:t>
      </w:r>
      <w:r>
        <w:rPr>
          <w:rFonts w:ascii="宋体" w:eastAsia="宋体" w:hAnsi="宋体" w:cs="宋体"/>
          <w:vanish/>
        </w:rPr>
        <w:t>mberwmt:FiveYearCreditFacilityMember2022-04-012022-04-300000104169us-gaap:DomesticLineOfCreditMemberwmt:FiveYearCreditFacilityMember2022-04-300000104169us-gaap:DomesticLineOfCreditMember2022-01-310000104169us-gaap:DomesticLineOfCreditMember2022-07-31000010</w:t>
      </w:r>
      <w:r>
        <w:rPr>
          <w:rFonts w:ascii="宋体" w:eastAsia="宋体" w:hAnsi="宋体" w:cs="宋体"/>
          <w:vanish/>
        </w:rPr>
        <w:t>4169us-gaap:FairValueInputsLevel1Memberus-gaap:FairValueMeasurementsRecurringMember2022-07-310000104169us-gaap:FairValueInputsLevel1Memberus-gaap:FairValueMeasurementsRecurringMember2022-01-310000104169us-gaap:FairValueInputsLevel2Memberus-gaap:FairValueMe</w:t>
      </w:r>
      <w:r>
        <w:rPr>
          <w:rFonts w:ascii="宋体" w:eastAsia="宋体" w:hAnsi="宋体" w:cs="宋体"/>
          <w:vanish/>
        </w:rPr>
        <w:t>asurementsRecurringMember2022-07-310000104169us-gaap:FairValueInputsLevel2Memberus-gaap:FairValueMeasurementsRecurringMember2022-01-310000104169us-gaap:FairValueMeasurementsRecurringMember2022-07-310000104169us-gaap:FairValueMeasurementsRecurringMember2022</w:t>
      </w:r>
      <w:r>
        <w:rPr>
          <w:rFonts w:ascii="宋体" w:eastAsia="宋体" w:hAnsi="宋体" w:cs="宋体"/>
          <w:vanish/>
        </w:rPr>
        <w:t>-01-310000104169us-gaap:InterestRateSwapMemberus-gaap:FairValueHedgingMember2022-07-310000104169us-gaap:FairValueInputsLevel2Memberus-gaap:InterestRateSwapMemberus-gaap:FairValueHedgingMemberus-gaap:FairValueMeasurementsRecurringMember2022-07-310000104169u</w:t>
      </w:r>
      <w:r>
        <w:rPr>
          <w:rFonts w:ascii="宋体" w:eastAsia="宋体" w:hAnsi="宋体" w:cs="宋体"/>
          <w:vanish/>
        </w:rPr>
        <w:t>s-gaap:InterestRateSwapMemberus-gaap:FairValueHedgingMember2022-01-310000104169us-gaap:FairValueInputsLevel2Memberus-gaap:InterestRateSwapMemberus-gaap:FairValueHedgingMemberus-gaap:FairValueMeasurementsRecurringMember2022-01-310000104169us-gaap:CashFlowHe</w:t>
      </w:r>
      <w:r>
        <w:rPr>
          <w:rFonts w:ascii="宋体" w:eastAsia="宋体" w:hAnsi="宋体" w:cs="宋体"/>
          <w:vanish/>
        </w:rPr>
        <w:t>dgingMemberus-gaap:CrossCurrencyInterestRateContractMember2022-07-310000104169us-gaap:CashFlowHedgingMemberus-gaap:CrossCurrencyInterestRateContractMemberus-gaap:FairValueInputsLevel2Memberus-gaap:FairValueMeasurementsRecurringMember2022-07-310000104169us-</w:t>
      </w:r>
      <w:r>
        <w:rPr>
          <w:rFonts w:ascii="宋体" w:eastAsia="宋体" w:hAnsi="宋体" w:cs="宋体"/>
          <w:vanish/>
        </w:rPr>
        <w:t>gaap:CashFlowHedgingMemberus-gaap:CrossCurrencyInterestRateContractMember2022-01-310000104169us-gaap:CashFlowHedgingMemberus-gaap:CrossCurrencyInterestRateContractMemberus-gaap:FairValueInputsLevel2Memberus-gaap:FairValueMeasurementsRecurringMember2022-01-</w:t>
      </w:r>
      <w:r>
        <w:rPr>
          <w:rFonts w:ascii="宋体" w:eastAsia="宋体" w:hAnsi="宋体" w:cs="宋体"/>
          <w:vanish/>
        </w:rPr>
        <w:t>310000104169us-gaap:CarryingReportedAmountFairValueDisclosureMember2022-07-310000104169us-gaap:EstimateOfFairValueFairValueDisclosureMemberus-gaap:FairValueInputsLevel2Member2022-07-310000104169us-gaap:CarryingReportedAmountFairValueDisclosureMember2022-01</w:t>
      </w:r>
      <w:r>
        <w:rPr>
          <w:rFonts w:ascii="宋体" w:eastAsia="宋体" w:hAnsi="宋体" w:cs="宋体"/>
          <w:vanish/>
        </w:rPr>
        <w:t>-310000104169us-gaap:EstimateOfFairValueFairValueDisclosureMemberus-gaap:FairValueInputsLevel2Member2022-01-310000104169us-gaap:SubsequentEventMemberwmt:OpioidsLitigationMemberus-gaap:JudicialRulingMember2022-08-172022-08-17wmt:defendant0000104169wmt:Payme</w:t>
      </w:r>
      <w:r>
        <w:rPr>
          <w:rFonts w:ascii="宋体" w:eastAsia="宋体" w:hAnsi="宋体" w:cs="宋体"/>
          <w:vanish/>
        </w:rPr>
        <w:t>nt2Memberus-gaap:SubsequentEventMemberwmt:OpioidsLitigationMemberus-gaap:JudicialRulingMember2022-08-172022-08-170000104169wmt:Payment2Memberus-gaap:SubsequentEventMemberwmt:OpioidsLitigationMemberus-gaap:JudicialRulingMember2022-08-170000104169us-gaap:Sub</w:t>
      </w:r>
      <w:r>
        <w:rPr>
          <w:rFonts w:ascii="宋体" w:eastAsia="宋体" w:hAnsi="宋体" w:cs="宋体"/>
          <w:vanish/>
        </w:rPr>
        <w:t>sequentEventMemberwmt:OpioidsLitigationMemberus-gaap:JudicialRulingMemberwmt:Payment1Member2022-08-172022-08-170000104169us-gaap:SubsequentEventMemberwmt:OpioidsLitigationMemberus-gaap:JudicialRulingMemberwmt:Payment1Member2022-08-170000104169wmt:OpioidsLi</w:t>
      </w:r>
      <w:r>
        <w:rPr>
          <w:rFonts w:ascii="宋体" w:eastAsia="宋体" w:hAnsi="宋体" w:cs="宋体"/>
          <w:vanish/>
        </w:rPr>
        <w:t>tigationMember2022-07-31wmt:securitiesClassActionwmt:shareholderwmt:officer0000104169wmt:OpioidsLitigationMember2021-09-27wmt:segment0000104169wmt:WalmartUSSegmentMember2022-05-012022-07-310000104169wmt:WalmartUSSegmentMember2021-05-012021-07-310000104169w</w:t>
      </w:r>
      <w:r>
        <w:rPr>
          <w:rFonts w:ascii="宋体" w:eastAsia="宋体" w:hAnsi="宋体" w:cs="宋体"/>
          <w:vanish/>
        </w:rPr>
        <w:t>mt:WalmartUSSegmentMember2022-02-012022-07-310000104169wmt:WalmartUSSegmentMember2021-02-012021-07-310000104169wmt:WalmartInternationalSegmentMember2022-05-012022-07-310000104169wmt:WalmartInternationalSegmentMember2021-05-012021-07-310000104169wmt:Walmart</w:t>
      </w:r>
      <w:r>
        <w:rPr>
          <w:rFonts w:ascii="宋体" w:eastAsia="宋体" w:hAnsi="宋体" w:cs="宋体"/>
          <w:vanish/>
        </w:rPr>
        <w:t>InternationalSegmentMember2022-02-012022-07-310000104169wmt:WalmartInternationalSegmentMember2021-02-012021-07-310000104169wmt:SamsClubSegmentMember2022-05-012022-07-310000104169wmt:SamsClubSegmentMember2021-05-012021-07-310000104169wmt:SamsClubSegmentMemb</w:t>
      </w:r>
      <w:r>
        <w:rPr>
          <w:rFonts w:ascii="宋体" w:eastAsia="宋体" w:hAnsi="宋体" w:cs="宋体"/>
          <w:vanish/>
        </w:rPr>
        <w:t>er2022-02-012022-07-310000104169wmt:SamsClubSegmentMember2021-02-012021-07-310000104169wmt:WalmartUSSegmentMemberus-gaap:OperatingSegmentsMember2022-05-012022-07-310000104169wmt:WalmartUSSegmentMemberus-gaap:OperatingSegmentsMember2021-05-012021-07-3100001</w:t>
      </w:r>
      <w:r>
        <w:rPr>
          <w:rFonts w:ascii="宋体" w:eastAsia="宋体" w:hAnsi="宋体" w:cs="宋体"/>
          <w:vanish/>
        </w:rPr>
        <w:t>04169wmt:WalmartUSSegmentMemberus-gaap:OperatingSegmentsMember2022-02-012022-07-310000104169wmt:WalmartUSSegmentMemberus-gaap:OperatingSegmentsMember2021-02-012021-07-310000104169wmt:WalmartInternationalSegmentMemberus-gaap:OperatingSegmentsMember2022-05-0</w:t>
      </w:r>
      <w:r>
        <w:rPr>
          <w:rFonts w:ascii="宋体" w:eastAsia="宋体" w:hAnsi="宋体" w:cs="宋体"/>
          <w:vanish/>
        </w:rPr>
        <w:t>12022-07-310000104169wmt:WalmartInternationalSegmentMemberus-gaap:OperatingSegmentsMember2021-05-012021-07-310000104169wmt:WalmartInternationalSegmentMemberus-gaap:OperatingSegmentsMember2022-02-012022-07-310000104169wmt:WalmartInternationalSegmentMemberus</w:t>
      </w:r>
      <w:r>
        <w:rPr>
          <w:rFonts w:ascii="宋体" w:eastAsia="宋体" w:hAnsi="宋体" w:cs="宋体"/>
          <w:vanish/>
        </w:rPr>
        <w:t>-gaap:OperatingSegmentsMember2021-02-012021-07-310000104169us-gaap:OperatingSegmentsMemberwmt:SamsClubSegmentMember2022-05-012022-07-310000104169us-gaap:OperatingSegmentsMemberwmt:SamsClubSegmentMember2021-05-012021-07-310000104169us-gaap:OperatingSegments</w:t>
      </w:r>
      <w:r>
        <w:rPr>
          <w:rFonts w:ascii="宋体" w:eastAsia="宋体" w:hAnsi="宋体" w:cs="宋体"/>
          <w:vanish/>
        </w:rPr>
        <w:t>Memberwmt:SamsClubSegmentMember2022-02-012022-07-310000104169us-gaap:OperatingSegmentsMemberwmt:SamsClubSegmentMember2021-02-012021-07-310000104169wmt:CorporateAndReconcilingItemsMember2022-05-012022-07-310000104169wmt:CorporateAndReconcilingItemsMember202</w:t>
      </w:r>
      <w:r>
        <w:rPr>
          <w:rFonts w:ascii="宋体" w:eastAsia="宋体" w:hAnsi="宋体" w:cs="宋体"/>
          <w:vanish/>
        </w:rPr>
        <w:t>1-05-012021-07-310000104169wmt:CorporateAndReconcilingItemsMember2022-02-012022-07-310000104169wmt:CorporateAndReconcilingItemsMember2021-02-012021-07-310000104169wmt:WalmartUSSegmentMemberwmt:GroceryMember2022-05-012022-07-310000104169wmt:WalmartUSSegment</w:t>
      </w:r>
      <w:r>
        <w:rPr>
          <w:rFonts w:ascii="宋体" w:eastAsia="宋体" w:hAnsi="宋体" w:cs="宋体"/>
          <w:vanish/>
        </w:rPr>
        <w:t>Memberwmt:GroceryMember2021-05-012021-07-310000104169wmt:WalmartUSSegmentMemberwmt:GroceryMember2022-02-012022-07-310000104169wmt:WalmartUSSegmentMemberwmt:GroceryMember2021-02-012021-07-310000104169wmt:GeneralMerchandiseMemberwmt:WalmartUSSegmentMember202</w:t>
      </w:r>
      <w:r>
        <w:rPr>
          <w:rFonts w:ascii="宋体" w:eastAsia="宋体" w:hAnsi="宋体" w:cs="宋体"/>
          <w:vanish/>
        </w:rPr>
        <w:t>2-05-012022-07-310000104169wmt:GeneralMerchandiseMemberwmt:WalmartUSSegmentMember2021-05-012021-07-310000104169wmt:GeneralMerchandiseMemberwmt:WalmartUSSegmentMember2022-02-012022-07-310000104169wmt:GeneralMerchandiseMemberwmt:WalmartUSSegmentMember2021-02</w:t>
      </w:r>
      <w:r>
        <w:rPr>
          <w:rFonts w:ascii="宋体" w:eastAsia="宋体" w:hAnsi="宋体" w:cs="宋体"/>
          <w:vanish/>
        </w:rPr>
        <w:t>-012021-07-310000104169wmt:WalmartUSSegmentMemberwmt:HealthandWellnessMember2022-05-012022-07-310000104169wmt:WalmartUSSegmentMemberwmt:HealthandWellnessMember2021-05-012021-07-310000104169wmt:WalmartUSSegmentMemberwmt:HealthandWellnessMember2022-02-012022</w:t>
      </w:r>
      <w:r>
        <w:rPr>
          <w:rFonts w:ascii="宋体" w:eastAsia="宋体" w:hAnsi="宋体" w:cs="宋体"/>
          <w:vanish/>
        </w:rPr>
        <w:t>-07-310000104169wmt:WalmartUSSegmentMemberwmt:HealthandWellnessMember2021-02-012021-07-310000104169wmt:WalmartUSSegmentMemberwmt:OtherCategoriesMember2022-05-012022-07-310000104169wmt:WalmartUSSegmentMemberwmt:OtherCategoriesMember2021-05-012021-07-3100001</w:t>
      </w:r>
      <w:r>
        <w:rPr>
          <w:rFonts w:ascii="宋体" w:eastAsia="宋体" w:hAnsi="宋体" w:cs="宋体"/>
          <w:vanish/>
        </w:rPr>
        <w:t>04169wmt:WalmartUSSegmentMemberwmt:OtherCategoriesMember2022-02-012022-07-310000104169wmt:WalmartUSSegmentMemberwmt:OtherCategoriesMember2021-02-012021-07-310000104169wmt:WalmartUSSegmentMemberwmt:ECommerceMember2022-05-012022-07-310000104169wmt:WalmartUSS</w:t>
      </w:r>
      <w:r>
        <w:rPr>
          <w:rFonts w:ascii="宋体" w:eastAsia="宋体" w:hAnsi="宋体" w:cs="宋体"/>
          <w:vanish/>
        </w:rPr>
        <w:t>egmentMemberwmt:ECommerceMember2021-05-012021-07-310000104169wmt:WalmartUSSegmentMemberwmt:ECommerceMember2022-02-012022-07-310000104169wmt:WalmartUSSegmentMemberwmt:ECommerceMember2021-02-012021-07-310000104169wmt:MexicoandCentralAmericaMemberwmt:WalmartI</w:t>
      </w:r>
      <w:r>
        <w:rPr>
          <w:rFonts w:ascii="宋体" w:eastAsia="宋体" w:hAnsi="宋体" w:cs="宋体"/>
          <w:vanish/>
        </w:rPr>
        <w:t>nternationalSegmentMember2022-05-012022-07-310000104169wmt:MexicoandCentralAmericaMemberwmt:WalmartInternationalSegmentMember2021-05-012021-07-310000104169wmt:MexicoandCentralAmericaMemberwmt:WalmartInternationalSegmentMember2022-02-012022-07-310000104169w</w:t>
      </w:r>
      <w:r>
        <w:rPr>
          <w:rFonts w:ascii="宋体" w:eastAsia="宋体" w:hAnsi="宋体" w:cs="宋体"/>
          <w:vanish/>
        </w:rPr>
        <w:t>mt:MexicoandCentralAmericaMemberwmt:WalmartInternationalSegmentMember2021-02-012021-07-310000104169wmt:WalmartInternationalSegmentMembercountry:CA2022-05-012022-07-310000104169wmt:WalmartInternationalSegmentMembercountry:CA2021-05-012021-07-310000104169wmt</w:t>
      </w:r>
      <w:r>
        <w:rPr>
          <w:rFonts w:ascii="宋体" w:eastAsia="宋体" w:hAnsi="宋体" w:cs="宋体"/>
          <w:vanish/>
        </w:rPr>
        <w:t>:WalmartInternationalSegmentMembercountry:CA2022-02-012022-07-310000104169wmt:WalmartInternationalSegmentMembercountry:CA2021-02-012021-07-310000104169wmt:WalmartInternationalSegmentMembercountry:CN2022-05-012022-07-310000104169wmt:WalmartInternationalSegm</w:t>
      </w:r>
      <w:r>
        <w:rPr>
          <w:rFonts w:ascii="宋体" w:eastAsia="宋体" w:hAnsi="宋体" w:cs="宋体"/>
          <w:vanish/>
        </w:rPr>
        <w:t>entMembercountry:CN2021-05-012021-07-310000104169wmt:WalmartInternationalSegmentMembercountry:CN2022-02-012022-07-310000104169wmt:WalmartInternationalSegmentMembercountry:CN2021-02-012021-07-310000104169wmt:WalmartInternationalSegmentMembercountry:GB2022-0</w:t>
      </w:r>
      <w:r>
        <w:rPr>
          <w:rFonts w:ascii="宋体" w:eastAsia="宋体" w:hAnsi="宋体" w:cs="宋体"/>
          <w:vanish/>
        </w:rPr>
        <w:t>5-012022-07-310000104169wmt:WalmartInternationalSegmentMembercountry:GB2021-05-012021-07-310000104169wmt:WalmartInternationalSegmentMembercountry:GB2022-02-012022-07-310000104169wmt:WalmartInternationalSegmentMembercountry:GB2021-02-012021-07-310000104169w</w:t>
      </w:r>
      <w:r>
        <w:rPr>
          <w:rFonts w:ascii="宋体" w:eastAsia="宋体" w:hAnsi="宋体" w:cs="宋体"/>
          <w:vanish/>
        </w:rPr>
        <w:t>mt:OtherMemberwmt:WalmartInternationalSegmentMember2022-05-012022-07-310000104169wmt:OtherMemberwmt:WalmartInternationalSegmentMember2021-05-012021-07-310000104169wmt:OtherMemberwmt:WalmartInternationalSegmentMember2022-02-012022-07-310000104169wmt:OtherMe</w:t>
      </w:r>
      <w:r>
        <w:rPr>
          <w:rFonts w:ascii="宋体" w:eastAsia="宋体" w:hAnsi="宋体" w:cs="宋体"/>
          <w:vanish/>
        </w:rPr>
        <w:t>mberwmt:WalmartInternationalSegmentMember2021-02-012021-07-310000104169wmt:WalmartInternationalSegmentMemberwmt:ECommerceMember2022-05-012022-07-310000104169wmt:WalmartInternationalSegmentMemberwmt:ECommerceMember2021-05-012021-07-310000104169wmt:WalmartIn</w:t>
      </w:r>
      <w:r>
        <w:rPr>
          <w:rFonts w:ascii="宋体" w:eastAsia="宋体" w:hAnsi="宋体" w:cs="宋体"/>
          <w:vanish/>
        </w:rPr>
        <w:t>ternationalSegmentMemberwmt:ECommerceMember2022-02-012022-07-310000104169wmt:WalmartInternationalSegmentMemberwmt:ECommerceMember2021-02-012021-07-310000104169wmt:GroceryandconsumablesMemberwmt:SamsClubSegmentMember2022-05-012022-07-310000104169wmt:Grocery</w:t>
      </w:r>
      <w:r>
        <w:rPr>
          <w:rFonts w:ascii="宋体" w:eastAsia="宋体" w:hAnsi="宋体" w:cs="宋体"/>
          <w:vanish/>
        </w:rPr>
        <w:t>andconsumablesMemberwmt:SamsClubSegmentMember2021-05-012021-07-310000104169wmt:GroceryandconsumablesMemberwmt:SamsClubSegmentMember2022-02-012022-07-310000104169wmt:GroceryandconsumablesMemberwmt:SamsClubSegmentMember2021-02-012021-07-310000104169wmt:Fuelt</w:t>
      </w:r>
      <w:r>
        <w:rPr>
          <w:rFonts w:ascii="宋体" w:eastAsia="宋体" w:hAnsi="宋体" w:cs="宋体"/>
          <w:vanish/>
        </w:rPr>
        <w:t>obaccoandothercategoriesMemberwmt:SamsClubSegmentMember2022-05-012022-07-310000104169wmt:FueltobaccoandothercategoriesMemberwmt:SamsClubSegmentMember2021-05-012021-07-310000104169wmt:FueltobaccoandothercategoriesMemberwmt:SamsClubSegmentMember2022-02-01202</w:t>
      </w:r>
      <w:r>
        <w:rPr>
          <w:rFonts w:ascii="宋体" w:eastAsia="宋体" w:hAnsi="宋体" w:cs="宋体"/>
          <w:vanish/>
        </w:rPr>
        <w:t>2-07-310000104169wmt:FueltobaccoandothercategoriesMemberwmt:SamsClubSegmentMember2021-02-012021-07-310000104169wmt:HomeandapparelMemberwmt:SamsClubSegmentMember2022-05-012022-07-310000104169wmt:HomeandapparelMemberwmt:SamsClubSegmentMember2021-05-012021-07</w:t>
      </w:r>
      <w:r>
        <w:rPr>
          <w:rFonts w:ascii="宋体" w:eastAsia="宋体" w:hAnsi="宋体" w:cs="宋体"/>
          <w:vanish/>
        </w:rPr>
        <w:t>-310000104169wmt:HomeandapparelMemberwmt:SamsClubSegmentMember2022-02-012022-07-310000104169wmt:HomeandapparelMemberwmt:SamsClubSegmentMember2021-02-012021-07-310000104169wmt:SamsClubSegmentMemberwmt:HealthandWellnessMember2022-05-012022-07-310000104169wmt</w:t>
      </w:r>
      <w:r>
        <w:rPr>
          <w:rFonts w:ascii="宋体" w:eastAsia="宋体" w:hAnsi="宋体" w:cs="宋体"/>
          <w:vanish/>
        </w:rPr>
        <w:t>:SamsClubSegmentMemberwmt:HealthandWellnessMember2021-05-012021-07-310000104169wmt:SamsClubSegmentMemberwmt:HealthandWellnessMember2022-02-012022-07-310000104169wmt:SamsClubSegmentMemberwmt:HealthandWellnessMember2021-02-012021-07-310000104169wmt:Technolog</w:t>
      </w:r>
      <w:r>
        <w:rPr>
          <w:rFonts w:ascii="宋体" w:eastAsia="宋体" w:hAnsi="宋体" w:cs="宋体"/>
          <w:vanish/>
        </w:rPr>
        <w:t>yofficesandentertainmentMemberwmt:SamsClubSegmentMember2022-05-012022-07-310000104169wmt:TechnologyofficesandentertainmentMemberwmt:SamsClubSegmentMember2021-05-012021-07-310000104169wmt:TechnologyofficesandentertainmentMemberwmt:SamsClubSegmentMember2022-</w:t>
      </w:r>
      <w:r>
        <w:rPr>
          <w:rFonts w:ascii="宋体" w:eastAsia="宋体" w:hAnsi="宋体" w:cs="宋体"/>
          <w:vanish/>
        </w:rPr>
        <w:t>02-012022-07-310000104169wmt:TechnologyofficesandentertainmentMemberwmt:SamsClubSegmentMember2021-02-012021-07-310000104169wmt:SamsClubSegmentMemberwmt:ECommerceMember2022-05-012022-07-310000104169wmt:SamsClubSegmentMemberwmt:ECommerceMember2021-05-012021-</w:t>
      </w:r>
      <w:r>
        <w:rPr>
          <w:rFonts w:ascii="宋体" w:eastAsia="宋体" w:hAnsi="宋体" w:cs="宋体"/>
          <w:vanish/>
        </w:rPr>
        <w:t>07-310000104169wmt:SamsClubSegmentMemberwmt:ECommerceMember2022-02-012022-07-310000104169wmt:SamsClubSegmentMemberwmt:ECommerceMember2021-02-012021-07-31</w:t>
      </w:r>
    </w:p>
    <w:p w14:paraId="098A84CC" w14:textId="77777777" w:rsidR="00141CDF" w:rsidRDefault="00141CDF"/>
    <w:p w14:paraId="098A84CD" w14:textId="77777777" w:rsidR="00141CDF" w:rsidRDefault="00DF45E0">
      <w:pPr>
        <w:jc w:val="center"/>
      </w:pPr>
      <w:r>
        <w:rPr>
          <w:rFonts w:ascii="Times New Roman" w:eastAsia="宋体" w:hAnsi="Times New Roman"/>
          <w:b/>
          <w:bCs/>
          <w:color w:val="000000"/>
          <w:sz w:val="32"/>
          <w:szCs w:val="32"/>
        </w:rPr>
        <w:t>UNITED STATES</w:t>
      </w:r>
    </w:p>
    <w:p w14:paraId="098A84CE" w14:textId="77777777" w:rsidR="00141CDF" w:rsidRDefault="00DF45E0">
      <w:pPr>
        <w:jc w:val="center"/>
      </w:pPr>
      <w:r>
        <w:rPr>
          <w:rFonts w:ascii="Times New Roman" w:eastAsia="宋体" w:hAnsi="Times New Roman"/>
          <w:b/>
          <w:bCs/>
          <w:color w:val="000000"/>
          <w:sz w:val="32"/>
          <w:szCs w:val="32"/>
        </w:rPr>
        <w:t>SECURITIES AND EXCHANGE COMMISSION</w:t>
      </w:r>
    </w:p>
    <w:p w14:paraId="098A84CF" w14:textId="77777777" w:rsidR="00141CDF" w:rsidRDefault="00DF45E0">
      <w:pPr>
        <w:jc w:val="center"/>
      </w:pPr>
      <w:r>
        <w:rPr>
          <w:rFonts w:ascii="Times New Roman" w:eastAsia="宋体" w:hAnsi="Times New Roman"/>
          <w:b/>
          <w:bCs/>
          <w:color w:val="000000"/>
          <w:sz w:val="22"/>
          <w:szCs w:val="22"/>
        </w:rPr>
        <w:t>Washington, D.C. 20549</w:t>
      </w:r>
    </w:p>
    <w:p w14:paraId="098A84D0" w14:textId="77777777" w:rsidR="00141CDF" w:rsidRDefault="00DF45E0">
      <w:pPr>
        <w:jc w:val="center"/>
      </w:pPr>
      <w:r>
        <w:rPr>
          <w:rFonts w:ascii="Times New Roman" w:eastAsia="宋体" w:hAnsi="Times New Roman"/>
          <w:b/>
          <w:bCs/>
          <w:color w:val="000000"/>
          <w:sz w:val="28"/>
          <w:szCs w:val="28"/>
        </w:rPr>
        <w:t xml:space="preserve">FORM 10-Q </w:t>
      </w:r>
    </w:p>
    <w:p w14:paraId="098A84D1" w14:textId="77777777" w:rsidR="00141CDF" w:rsidRDefault="00DF45E0">
      <w:pPr>
        <w:spacing w:before="60"/>
      </w:pPr>
      <w:r>
        <w:rPr>
          <w:rFonts w:ascii="Times New Roman" w:eastAsia="宋体" w:hAnsi="Times New Roman"/>
          <w:b/>
          <w:bCs/>
          <w:color w:val="000000"/>
          <w:sz w:val="18"/>
          <w:szCs w:val="18"/>
        </w:rPr>
        <w:t>(Mark One)</w:t>
      </w:r>
    </w:p>
    <w:tbl>
      <w:tblPr>
        <w:tblW w:w="4788" w:type="pct"/>
        <w:tblInd w:w="-165" w:type="dxa"/>
        <w:tblCellMar>
          <w:top w:w="15" w:type="dxa"/>
          <w:left w:w="15" w:type="dxa"/>
          <w:bottom w:w="15" w:type="dxa"/>
          <w:right w:w="15" w:type="dxa"/>
        </w:tblCellMar>
        <w:tblLook w:val="04A0" w:firstRow="1" w:lastRow="0" w:firstColumn="1" w:lastColumn="0" w:noHBand="0" w:noVBand="1"/>
      </w:tblPr>
      <w:tblGrid>
        <w:gridCol w:w="66"/>
        <w:gridCol w:w="385"/>
        <w:gridCol w:w="36"/>
        <w:gridCol w:w="66"/>
        <w:gridCol w:w="7394"/>
        <w:gridCol w:w="36"/>
      </w:tblGrid>
      <w:tr w:rsidR="00141CDF" w14:paraId="098A84D8" w14:textId="77777777">
        <w:tc>
          <w:tcPr>
            <w:tcW w:w="50" w:type="pct"/>
            <w:shd w:val="clear" w:color="auto" w:fill="auto"/>
            <w:vAlign w:val="bottom"/>
          </w:tcPr>
          <w:p w14:paraId="098A84D2" w14:textId="77777777" w:rsidR="00141CDF" w:rsidRDefault="00141CDF">
            <w:pPr>
              <w:rPr>
                <w:rFonts w:ascii="宋体"/>
              </w:rPr>
            </w:pPr>
          </w:p>
        </w:tc>
        <w:tc>
          <w:tcPr>
            <w:tcW w:w="250" w:type="pct"/>
            <w:shd w:val="clear" w:color="auto" w:fill="auto"/>
            <w:vAlign w:val="bottom"/>
          </w:tcPr>
          <w:p w14:paraId="098A84D3" w14:textId="77777777" w:rsidR="00141CDF" w:rsidRDefault="00141CDF">
            <w:pPr>
              <w:rPr>
                <w:rFonts w:ascii="宋体"/>
              </w:rPr>
            </w:pPr>
          </w:p>
        </w:tc>
        <w:tc>
          <w:tcPr>
            <w:tcW w:w="5" w:type="pct"/>
            <w:shd w:val="clear" w:color="auto" w:fill="auto"/>
            <w:vAlign w:val="bottom"/>
          </w:tcPr>
          <w:p w14:paraId="098A84D4" w14:textId="77777777" w:rsidR="00141CDF" w:rsidRDefault="00141CDF">
            <w:pPr>
              <w:rPr>
                <w:rFonts w:ascii="宋体"/>
              </w:rPr>
            </w:pPr>
          </w:p>
        </w:tc>
        <w:tc>
          <w:tcPr>
            <w:tcW w:w="50" w:type="pct"/>
            <w:shd w:val="clear" w:color="auto" w:fill="auto"/>
            <w:vAlign w:val="bottom"/>
          </w:tcPr>
          <w:p w14:paraId="098A84D5" w14:textId="77777777" w:rsidR="00141CDF" w:rsidRDefault="00141CDF">
            <w:pPr>
              <w:rPr>
                <w:rFonts w:ascii="宋体"/>
              </w:rPr>
            </w:pPr>
          </w:p>
        </w:tc>
        <w:tc>
          <w:tcPr>
            <w:tcW w:w="4639" w:type="pct"/>
            <w:shd w:val="clear" w:color="auto" w:fill="auto"/>
            <w:vAlign w:val="bottom"/>
          </w:tcPr>
          <w:p w14:paraId="098A84D6" w14:textId="77777777" w:rsidR="00141CDF" w:rsidRDefault="00141CDF">
            <w:pPr>
              <w:rPr>
                <w:rFonts w:ascii="宋体"/>
              </w:rPr>
            </w:pPr>
          </w:p>
        </w:tc>
        <w:tc>
          <w:tcPr>
            <w:tcW w:w="5" w:type="pct"/>
            <w:shd w:val="clear" w:color="auto" w:fill="auto"/>
            <w:vAlign w:val="bottom"/>
          </w:tcPr>
          <w:p w14:paraId="098A84D7" w14:textId="77777777" w:rsidR="00141CDF" w:rsidRDefault="00141CDF">
            <w:pPr>
              <w:rPr>
                <w:rFonts w:ascii="宋体"/>
              </w:rPr>
            </w:pPr>
          </w:p>
        </w:tc>
      </w:tr>
      <w:tr w:rsidR="00141CDF" w14:paraId="098A84DB" w14:textId="77777777">
        <w:tc>
          <w:tcPr>
            <w:tcW w:w="0" w:type="auto"/>
            <w:gridSpan w:val="3"/>
            <w:shd w:val="clear" w:color="auto" w:fill="auto"/>
            <w:tcMar>
              <w:top w:w="40" w:type="dxa"/>
              <w:left w:w="20" w:type="dxa"/>
              <w:bottom w:w="40" w:type="dxa"/>
              <w:right w:w="20" w:type="dxa"/>
            </w:tcMar>
          </w:tcPr>
          <w:p w14:paraId="098A84D9" w14:textId="77777777" w:rsidR="00141CDF" w:rsidRDefault="00DF45E0">
            <w:pPr>
              <w:textAlignment w:val="top"/>
            </w:pPr>
            <w:r>
              <w:rPr>
                <w:rFonts w:ascii="Arial Unicode MS" w:eastAsia="Arial Unicode MS" w:hAnsi="Arial Unicode MS" w:cs="Arial Unicode MS"/>
                <w:color w:val="000000"/>
                <w:sz w:val="20"/>
                <w:szCs w:val="20"/>
              </w:rPr>
              <w:t>☒</w:t>
            </w:r>
          </w:p>
        </w:tc>
        <w:tc>
          <w:tcPr>
            <w:tcW w:w="0" w:type="auto"/>
            <w:gridSpan w:val="3"/>
            <w:shd w:val="clear" w:color="auto" w:fill="auto"/>
            <w:tcMar>
              <w:top w:w="40" w:type="dxa"/>
              <w:left w:w="20" w:type="dxa"/>
              <w:bottom w:w="40" w:type="dxa"/>
              <w:right w:w="20" w:type="dxa"/>
            </w:tcMar>
          </w:tcPr>
          <w:p w14:paraId="098A84DA" w14:textId="77777777" w:rsidR="00141CDF" w:rsidRDefault="00DF45E0">
            <w:pPr>
              <w:textAlignment w:val="top"/>
            </w:pPr>
            <w:r>
              <w:rPr>
                <w:rFonts w:ascii="Times New Roman" w:eastAsia="宋体" w:hAnsi="Times New Roman"/>
                <w:b/>
                <w:bCs/>
                <w:color w:val="000000"/>
                <w:sz w:val="18"/>
                <w:szCs w:val="18"/>
              </w:rPr>
              <w:t>Quarterly Report Pursuant to Section 13 or 15(d) of the Securities Exchange Act of 1934.</w:t>
            </w:r>
          </w:p>
        </w:tc>
      </w:tr>
    </w:tbl>
    <w:p w14:paraId="098A84DC" w14:textId="77777777" w:rsidR="00141CDF" w:rsidRDefault="00DF45E0">
      <w:pPr>
        <w:jc w:val="center"/>
      </w:pPr>
      <w:r>
        <w:rPr>
          <w:rFonts w:ascii="Times New Roman" w:eastAsia="宋体" w:hAnsi="Times New Roman"/>
          <w:b/>
          <w:bCs/>
          <w:color w:val="000000"/>
          <w:sz w:val="18"/>
          <w:szCs w:val="18"/>
        </w:rPr>
        <w:t>For the quarterly period ended July 31, 2022.</w:t>
      </w:r>
    </w:p>
    <w:p w14:paraId="098A84DD" w14:textId="77777777" w:rsidR="00141CDF" w:rsidRDefault="00DF45E0">
      <w:pPr>
        <w:spacing w:before="60"/>
        <w:jc w:val="center"/>
      </w:pPr>
      <w:r>
        <w:rPr>
          <w:rFonts w:ascii="Times New Roman" w:eastAsia="宋体" w:hAnsi="Times New Roman"/>
          <w:b/>
          <w:bCs/>
          <w:color w:val="000000"/>
          <w:sz w:val="18"/>
          <w:szCs w:val="18"/>
        </w:rPr>
        <w:t>or</w:t>
      </w:r>
    </w:p>
    <w:tbl>
      <w:tblPr>
        <w:tblW w:w="4795" w:type="pct"/>
        <w:tblInd w:w="-165" w:type="dxa"/>
        <w:tblCellMar>
          <w:top w:w="15" w:type="dxa"/>
          <w:left w:w="15" w:type="dxa"/>
          <w:bottom w:w="15" w:type="dxa"/>
          <w:right w:w="15" w:type="dxa"/>
        </w:tblCellMar>
        <w:tblLook w:val="04A0" w:firstRow="1" w:lastRow="0" w:firstColumn="1" w:lastColumn="0" w:noHBand="0" w:noVBand="1"/>
      </w:tblPr>
      <w:tblGrid>
        <w:gridCol w:w="66"/>
        <w:gridCol w:w="384"/>
        <w:gridCol w:w="36"/>
        <w:gridCol w:w="66"/>
        <w:gridCol w:w="7406"/>
        <w:gridCol w:w="36"/>
      </w:tblGrid>
      <w:tr w:rsidR="00141CDF" w14:paraId="098A84E4" w14:textId="77777777">
        <w:tc>
          <w:tcPr>
            <w:tcW w:w="50" w:type="pct"/>
            <w:shd w:val="clear" w:color="auto" w:fill="auto"/>
            <w:vAlign w:val="bottom"/>
          </w:tcPr>
          <w:p w14:paraId="098A84DE" w14:textId="77777777" w:rsidR="00141CDF" w:rsidRDefault="00141CDF">
            <w:pPr>
              <w:rPr>
                <w:rFonts w:ascii="宋体"/>
              </w:rPr>
            </w:pPr>
          </w:p>
        </w:tc>
        <w:tc>
          <w:tcPr>
            <w:tcW w:w="249" w:type="pct"/>
            <w:shd w:val="clear" w:color="auto" w:fill="auto"/>
            <w:vAlign w:val="bottom"/>
          </w:tcPr>
          <w:p w14:paraId="098A84DF" w14:textId="77777777" w:rsidR="00141CDF" w:rsidRDefault="00141CDF">
            <w:pPr>
              <w:rPr>
                <w:rFonts w:ascii="宋体"/>
              </w:rPr>
            </w:pPr>
          </w:p>
        </w:tc>
        <w:tc>
          <w:tcPr>
            <w:tcW w:w="5" w:type="pct"/>
            <w:shd w:val="clear" w:color="auto" w:fill="auto"/>
            <w:vAlign w:val="bottom"/>
          </w:tcPr>
          <w:p w14:paraId="098A84E0" w14:textId="77777777" w:rsidR="00141CDF" w:rsidRDefault="00141CDF">
            <w:pPr>
              <w:rPr>
                <w:rFonts w:ascii="宋体"/>
              </w:rPr>
            </w:pPr>
          </w:p>
        </w:tc>
        <w:tc>
          <w:tcPr>
            <w:tcW w:w="50" w:type="pct"/>
            <w:shd w:val="clear" w:color="auto" w:fill="auto"/>
            <w:vAlign w:val="bottom"/>
          </w:tcPr>
          <w:p w14:paraId="098A84E1" w14:textId="77777777" w:rsidR="00141CDF" w:rsidRDefault="00141CDF">
            <w:pPr>
              <w:rPr>
                <w:rFonts w:ascii="宋体"/>
              </w:rPr>
            </w:pPr>
          </w:p>
        </w:tc>
        <w:tc>
          <w:tcPr>
            <w:tcW w:w="4640" w:type="pct"/>
            <w:shd w:val="clear" w:color="auto" w:fill="auto"/>
            <w:vAlign w:val="bottom"/>
          </w:tcPr>
          <w:p w14:paraId="098A84E2" w14:textId="77777777" w:rsidR="00141CDF" w:rsidRDefault="00141CDF">
            <w:pPr>
              <w:rPr>
                <w:rFonts w:ascii="宋体"/>
              </w:rPr>
            </w:pPr>
          </w:p>
        </w:tc>
        <w:tc>
          <w:tcPr>
            <w:tcW w:w="5" w:type="pct"/>
            <w:shd w:val="clear" w:color="auto" w:fill="auto"/>
            <w:vAlign w:val="bottom"/>
          </w:tcPr>
          <w:p w14:paraId="098A84E3" w14:textId="77777777" w:rsidR="00141CDF" w:rsidRDefault="00141CDF">
            <w:pPr>
              <w:rPr>
                <w:rFonts w:ascii="宋体"/>
              </w:rPr>
            </w:pPr>
          </w:p>
        </w:tc>
      </w:tr>
      <w:tr w:rsidR="00141CDF" w14:paraId="098A84E7" w14:textId="77777777">
        <w:tc>
          <w:tcPr>
            <w:tcW w:w="0" w:type="auto"/>
            <w:gridSpan w:val="3"/>
            <w:shd w:val="clear" w:color="auto" w:fill="auto"/>
            <w:tcMar>
              <w:top w:w="40" w:type="dxa"/>
              <w:left w:w="20" w:type="dxa"/>
              <w:bottom w:w="40" w:type="dxa"/>
              <w:right w:w="20" w:type="dxa"/>
            </w:tcMar>
          </w:tcPr>
          <w:p w14:paraId="098A84E5" w14:textId="77777777" w:rsidR="00141CDF" w:rsidRDefault="00DF45E0">
            <w:pPr>
              <w:textAlignment w:val="top"/>
            </w:pPr>
            <w:r>
              <w:rPr>
                <w:rFonts w:ascii="Arial Unicode MS" w:eastAsia="Arial Unicode MS" w:hAnsi="Arial Unicode MS" w:cs="Arial Unicode MS" w:hint="eastAsia"/>
                <w:color w:val="000000"/>
                <w:sz w:val="20"/>
                <w:szCs w:val="20"/>
              </w:rPr>
              <w:t>☐</w:t>
            </w:r>
          </w:p>
        </w:tc>
        <w:tc>
          <w:tcPr>
            <w:tcW w:w="0" w:type="auto"/>
            <w:gridSpan w:val="3"/>
            <w:shd w:val="clear" w:color="auto" w:fill="auto"/>
            <w:tcMar>
              <w:top w:w="40" w:type="dxa"/>
              <w:left w:w="20" w:type="dxa"/>
              <w:bottom w:w="40" w:type="dxa"/>
              <w:right w:w="20" w:type="dxa"/>
            </w:tcMar>
          </w:tcPr>
          <w:p w14:paraId="098A84E6" w14:textId="77777777" w:rsidR="00141CDF" w:rsidRDefault="00DF45E0">
            <w:pPr>
              <w:textAlignment w:val="top"/>
            </w:pPr>
            <w:r>
              <w:rPr>
                <w:rFonts w:ascii="Times New Roman" w:eastAsia="宋体" w:hAnsi="Times New Roman"/>
                <w:b/>
                <w:bCs/>
                <w:color w:val="000000"/>
                <w:sz w:val="18"/>
                <w:szCs w:val="18"/>
              </w:rPr>
              <w:t>Transition Report Pursuant to Section 13 or 15(d) of the Securities Exchange Act of 1934.</w:t>
            </w:r>
          </w:p>
        </w:tc>
      </w:tr>
    </w:tbl>
    <w:p w14:paraId="098A84E8" w14:textId="77777777" w:rsidR="00141CDF" w:rsidRDefault="00DF45E0">
      <w:pPr>
        <w:jc w:val="center"/>
      </w:pPr>
      <w:r>
        <w:rPr>
          <w:rFonts w:ascii="Times New Roman" w:eastAsia="宋体" w:hAnsi="Times New Roman"/>
          <w:b/>
          <w:bCs/>
          <w:color w:val="000000"/>
          <w:sz w:val="18"/>
          <w:szCs w:val="18"/>
        </w:rPr>
        <w:t xml:space="preserve">For the transition period from </w:t>
      </w:r>
      <w:r>
        <w:rPr>
          <w:rFonts w:ascii="Times New Roman" w:eastAsia="宋体" w:hAnsi="Times New Roman"/>
          <w:b/>
          <w:bCs/>
          <w:color w:val="000000"/>
          <w:sz w:val="18"/>
          <w:szCs w:val="18"/>
          <w:u w:val="single"/>
        </w:rPr>
        <w:t>            </w:t>
      </w:r>
      <w:r>
        <w:rPr>
          <w:rFonts w:ascii="Times New Roman" w:eastAsia="宋体" w:hAnsi="Times New Roman"/>
          <w:b/>
          <w:bCs/>
          <w:color w:val="000000"/>
          <w:sz w:val="18"/>
          <w:szCs w:val="18"/>
        </w:rPr>
        <w:t xml:space="preserve"> to </w:t>
      </w:r>
      <w:r>
        <w:rPr>
          <w:rFonts w:ascii="Times New Roman" w:eastAsia="宋体" w:hAnsi="Times New Roman"/>
          <w:b/>
          <w:bCs/>
          <w:color w:val="000000"/>
          <w:sz w:val="18"/>
          <w:szCs w:val="18"/>
          <w:u w:val="single"/>
        </w:rPr>
        <w:t>            </w:t>
      </w:r>
      <w:r>
        <w:rPr>
          <w:rFonts w:ascii="Times New Roman" w:eastAsia="宋体" w:hAnsi="Times New Roman"/>
          <w:b/>
          <w:bCs/>
          <w:color w:val="000000"/>
          <w:sz w:val="18"/>
          <w:szCs w:val="18"/>
        </w:rPr>
        <w:t>.</w:t>
      </w:r>
    </w:p>
    <w:p w14:paraId="098A84E9" w14:textId="77777777" w:rsidR="00141CDF" w:rsidRDefault="00DF45E0">
      <w:pPr>
        <w:spacing w:before="60"/>
        <w:jc w:val="center"/>
      </w:pPr>
      <w:r>
        <w:rPr>
          <w:rFonts w:ascii="Times New Roman" w:eastAsia="宋体" w:hAnsi="Times New Roman"/>
          <w:b/>
          <w:bCs/>
          <w:color w:val="000000"/>
          <w:sz w:val="18"/>
          <w:szCs w:val="18"/>
        </w:rPr>
        <w:t xml:space="preserve">Commission File Number 001-06991 </w:t>
      </w:r>
    </w:p>
    <w:p w14:paraId="098A84EA" w14:textId="77777777" w:rsidR="00141CDF" w:rsidRDefault="00DF45E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/Walmart/./Inline XBRL Viewer1_files/wmt-20220731_g1.jpg"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098AA64D" wp14:editId="098AA64E">
            <wp:extent cx="304800" cy="304800"/>
            <wp:effectExtent l="0" t="0" r="0" b="0"/>
            <wp:docPr id="17"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098A84EB" w14:textId="77777777" w:rsidR="00141CDF" w:rsidRDefault="00DF45E0">
      <w:pPr>
        <w:jc w:val="center"/>
      </w:pPr>
      <w:r>
        <w:rPr>
          <w:rFonts w:ascii="Times New Roman" w:eastAsia="宋体" w:hAnsi="Times New Roman"/>
          <w:b/>
          <w:bCs/>
          <w:color w:val="000000"/>
          <w:sz w:val="40"/>
          <w:szCs w:val="40"/>
        </w:rPr>
        <w:t xml:space="preserve">WALMART INC. </w:t>
      </w:r>
    </w:p>
    <w:p w14:paraId="098A84EC" w14:textId="77777777" w:rsidR="00141CDF" w:rsidRDefault="00DF45E0">
      <w:pPr>
        <w:jc w:val="center"/>
      </w:pPr>
      <w:r>
        <w:rPr>
          <w:rFonts w:ascii="Times New Roman" w:eastAsia="宋体" w:hAnsi="Times New Roman"/>
          <w:b/>
          <w:bCs/>
          <w:color w:val="000000"/>
          <w:sz w:val="20"/>
          <w:szCs w:val="20"/>
        </w:rPr>
        <w:t>(Exact name of registrant as specified in its charter)</w:t>
      </w:r>
    </w:p>
    <w:tbl>
      <w:tblPr>
        <w:tblW w:w="4912" w:type="pct"/>
        <w:jc w:val="center"/>
        <w:tblCellMar>
          <w:top w:w="15" w:type="dxa"/>
          <w:left w:w="15" w:type="dxa"/>
          <w:bottom w:w="15" w:type="dxa"/>
          <w:right w:w="15" w:type="dxa"/>
        </w:tblCellMar>
        <w:tblLook w:val="04A0" w:firstRow="1" w:lastRow="0" w:firstColumn="1" w:lastColumn="0" w:noHBand="0" w:noVBand="1"/>
      </w:tblPr>
      <w:tblGrid>
        <w:gridCol w:w="61"/>
        <w:gridCol w:w="2034"/>
        <w:gridCol w:w="39"/>
        <w:gridCol w:w="61"/>
        <w:gridCol w:w="2035"/>
        <w:gridCol w:w="36"/>
        <w:gridCol w:w="36"/>
        <w:gridCol w:w="36"/>
        <w:gridCol w:w="36"/>
        <w:gridCol w:w="50"/>
        <w:gridCol w:w="3729"/>
        <w:gridCol w:w="36"/>
      </w:tblGrid>
      <w:tr w:rsidR="00141CDF" w14:paraId="098A84F9" w14:textId="77777777">
        <w:trPr>
          <w:jc w:val="center"/>
        </w:trPr>
        <w:tc>
          <w:tcPr>
            <w:tcW w:w="50" w:type="pct"/>
            <w:shd w:val="clear" w:color="auto" w:fill="auto"/>
            <w:vAlign w:val="bottom"/>
          </w:tcPr>
          <w:p w14:paraId="098A84ED" w14:textId="77777777" w:rsidR="00141CDF" w:rsidRDefault="00141CDF">
            <w:pPr>
              <w:rPr>
                <w:rFonts w:ascii="宋体"/>
              </w:rPr>
            </w:pPr>
          </w:p>
        </w:tc>
        <w:tc>
          <w:tcPr>
            <w:tcW w:w="1254" w:type="pct"/>
            <w:shd w:val="clear" w:color="auto" w:fill="auto"/>
            <w:vAlign w:val="bottom"/>
          </w:tcPr>
          <w:p w14:paraId="098A84EE" w14:textId="77777777" w:rsidR="00141CDF" w:rsidRDefault="00141CDF">
            <w:pPr>
              <w:rPr>
                <w:rFonts w:ascii="宋体"/>
              </w:rPr>
            </w:pPr>
          </w:p>
        </w:tc>
        <w:tc>
          <w:tcPr>
            <w:tcW w:w="5" w:type="pct"/>
            <w:shd w:val="clear" w:color="auto" w:fill="auto"/>
            <w:vAlign w:val="bottom"/>
          </w:tcPr>
          <w:p w14:paraId="098A84EF" w14:textId="77777777" w:rsidR="00141CDF" w:rsidRDefault="00141CDF">
            <w:pPr>
              <w:rPr>
                <w:rFonts w:ascii="宋体"/>
              </w:rPr>
            </w:pPr>
          </w:p>
        </w:tc>
        <w:tc>
          <w:tcPr>
            <w:tcW w:w="50" w:type="pct"/>
            <w:shd w:val="clear" w:color="auto" w:fill="auto"/>
            <w:vAlign w:val="bottom"/>
          </w:tcPr>
          <w:p w14:paraId="098A84F0" w14:textId="77777777" w:rsidR="00141CDF" w:rsidRDefault="00141CDF">
            <w:pPr>
              <w:rPr>
                <w:rFonts w:ascii="宋体"/>
              </w:rPr>
            </w:pPr>
          </w:p>
        </w:tc>
        <w:tc>
          <w:tcPr>
            <w:tcW w:w="1254" w:type="pct"/>
            <w:shd w:val="clear" w:color="auto" w:fill="auto"/>
            <w:vAlign w:val="bottom"/>
          </w:tcPr>
          <w:p w14:paraId="098A84F1" w14:textId="77777777" w:rsidR="00141CDF" w:rsidRDefault="00141CDF">
            <w:pPr>
              <w:rPr>
                <w:rFonts w:ascii="宋体"/>
              </w:rPr>
            </w:pPr>
          </w:p>
        </w:tc>
        <w:tc>
          <w:tcPr>
            <w:tcW w:w="5" w:type="pct"/>
            <w:shd w:val="clear" w:color="auto" w:fill="auto"/>
            <w:vAlign w:val="bottom"/>
          </w:tcPr>
          <w:p w14:paraId="098A84F2" w14:textId="77777777" w:rsidR="00141CDF" w:rsidRDefault="00141CDF">
            <w:pPr>
              <w:rPr>
                <w:rFonts w:ascii="宋体"/>
              </w:rPr>
            </w:pPr>
          </w:p>
        </w:tc>
        <w:tc>
          <w:tcPr>
            <w:tcW w:w="5" w:type="pct"/>
            <w:shd w:val="clear" w:color="auto" w:fill="auto"/>
            <w:vAlign w:val="bottom"/>
          </w:tcPr>
          <w:p w14:paraId="098A84F3" w14:textId="77777777" w:rsidR="00141CDF" w:rsidRDefault="00141CDF">
            <w:pPr>
              <w:rPr>
                <w:rFonts w:ascii="宋体"/>
              </w:rPr>
            </w:pPr>
          </w:p>
        </w:tc>
        <w:tc>
          <w:tcPr>
            <w:tcW w:w="27" w:type="pct"/>
            <w:shd w:val="clear" w:color="auto" w:fill="auto"/>
            <w:vAlign w:val="bottom"/>
          </w:tcPr>
          <w:p w14:paraId="098A84F4" w14:textId="77777777" w:rsidR="00141CDF" w:rsidRDefault="00141CDF">
            <w:pPr>
              <w:rPr>
                <w:rFonts w:ascii="宋体"/>
              </w:rPr>
            </w:pPr>
          </w:p>
        </w:tc>
        <w:tc>
          <w:tcPr>
            <w:tcW w:w="5" w:type="pct"/>
            <w:shd w:val="clear" w:color="auto" w:fill="auto"/>
            <w:vAlign w:val="bottom"/>
          </w:tcPr>
          <w:p w14:paraId="098A84F5" w14:textId="77777777" w:rsidR="00141CDF" w:rsidRDefault="00141CDF">
            <w:pPr>
              <w:rPr>
                <w:rFonts w:ascii="宋体"/>
              </w:rPr>
            </w:pPr>
          </w:p>
        </w:tc>
        <w:tc>
          <w:tcPr>
            <w:tcW w:w="50" w:type="pct"/>
            <w:shd w:val="clear" w:color="auto" w:fill="auto"/>
            <w:vAlign w:val="bottom"/>
          </w:tcPr>
          <w:p w14:paraId="098A84F6" w14:textId="77777777" w:rsidR="00141CDF" w:rsidRDefault="00141CDF">
            <w:pPr>
              <w:rPr>
                <w:rFonts w:ascii="宋体"/>
              </w:rPr>
            </w:pPr>
          </w:p>
        </w:tc>
        <w:tc>
          <w:tcPr>
            <w:tcW w:w="2288" w:type="pct"/>
            <w:shd w:val="clear" w:color="auto" w:fill="auto"/>
            <w:vAlign w:val="bottom"/>
          </w:tcPr>
          <w:p w14:paraId="098A84F7" w14:textId="77777777" w:rsidR="00141CDF" w:rsidRDefault="00141CDF">
            <w:pPr>
              <w:rPr>
                <w:rFonts w:ascii="宋体"/>
              </w:rPr>
            </w:pPr>
          </w:p>
        </w:tc>
        <w:tc>
          <w:tcPr>
            <w:tcW w:w="5" w:type="pct"/>
            <w:shd w:val="clear" w:color="auto" w:fill="auto"/>
            <w:vAlign w:val="bottom"/>
          </w:tcPr>
          <w:p w14:paraId="098A84F8" w14:textId="77777777" w:rsidR="00141CDF" w:rsidRDefault="00141CDF">
            <w:pPr>
              <w:rPr>
                <w:rFonts w:ascii="宋体"/>
              </w:rPr>
            </w:pPr>
          </w:p>
        </w:tc>
      </w:tr>
      <w:tr w:rsidR="00141CDF" w14:paraId="098A84FD" w14:textId="77777777">
        <w:trPr>
          <w:jc w:val="center"/>
        </w:trPr>
        <w:tc>
          <w:tcPr>
            <w:tcW w:w="0" w:type="auto"/>
            <w:gridSpan w:val="6"/>
            <w:shd w:val="clear" w:color="auto" w:fill="auto"/>
            <w:tcMar>
              <w:top w:w="40" w:type="dxa"/>
              <w:left w:w="20" w:type="dxa"/>
              <w:bottom w:w="40" w:type="dxa"/>
              <w:right w:w="20" w:type="dxa"/>
            </w:tcMar>
          </w:tcPr>
          <w:p w14:paraId="098A84FA" w14:textId="77777777" w:rsidR="00141CDF" w:rsidRDefault="00DF45E0">
            <w:pPr>
              <w:jc w:val="center"/>
              <w:textAlignment w:val="top"/>
            </w:pPr>
            <w:r>
              <w:rPr>
                <w:rFonts w:ascii="Times New Roman" w:eastAsia="宋体" w:hAnsi="Times New Roman"/>
                <w:b/>
                <w:bCs/>
                <w:color w:val="000000"/>
                <w:sz w:val="20"/>
                <w:szCs w:val="20"/>
              </w:rPr>
              <w:t>Delaware</w:t>
            </w:r>
          </w:p>
        </w:tc>
        <w:tc>
          <w:tcPr>
            <w:tcW w:w="0" w:type="auto"/>
            <w:gridSpan w:val="3"/>
            <w:shd w:val="clear" w:color="auto" w:fill="auto"/>
            <w:tcMar>
              <w:top w:w="0" w:type="dxa"/>
              <w:left w:w="20" w:type="dxa"/>
              <w:bottom w:w="0" w:type="dxa"/>
              <w:right w:w="20" w:type="dxa"/>
            </w:tcMar>
            <w:vAlign w:val="bottom"/>
          </w:tcPr>
          <w:p w14:paraId="098A84FB"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tcPr>
          <w:p w14:paraId="098A84FC" w14:textId="77777777" w:rsidR="00141CDF" w:rsidRDefault="00DF45E0">
            <w:pPr>
              <w:jc w:val="center"/>
              <w:textAlignment w:val="top"/>
            </w:pPr>
            <w:r>
              <w:rPr>
                <w:rFonts w:ascii="Times New Roman" w:eastAsia="宋体" w:hAnsi="Times New Roman"/>
                <w:b/>
                <w:bCs/>
                <w:color w:val="000000"/>
                <w:sz w:val="20"/>
                <w:szCs w:val="20"/>
              </w:rPr>
              <w:t>71-0415188</w:t>
            </w:r>
          </w:p>
        </w:tc>
      </w:tr>
      <w:tr w:rsidR="00141CDF" w14:paraId="098A8501" w14:textId="77777777">
        <w:trPr>
          <w:jc w:val="center"/>
        </w:trPr>
        <w:tc>
          <w:tcPr>
            <w:tcW w:w="0" w:type="auto"/>
            <w:gridSpan w:val="6"/>
            <w:shd w:val="clear" w:color="auto" w:fill="auto"/>
            <w:tcMar>
              <w:top w:w="40" w:type="dxa"/>
              <w:left w:w="20" w:type="dxa"/>
              <w:bottom w:w="40" w:type="dxa"/>
              <w:right w:w="20" w:type="dxa"/>
            </w:tcMar>
            <w:vAlign w:val="bottom"/>
          </w:tcPr>
          <w:p w14:paraId="098A84FE" w14:textId="77777777" w:rsidR="00141CDF" w:rsidRDefault="00DF45E0">
            <w:pPr>
              <w:jc w:val="center"/>
              <w:textAlignment w:val="bottom"/>
            </w:pPr>
            <w:r>
              <w:rPr>
                <w:rFonts w:ascii="Times New Roman" w:eastAsia="宋体" w:hAnsi="Times New Roman"/>
                <w:b/>
                <w:bCs/>
                <w:color w:val="000000"/>
                <w:sz w:val="16"/>
                <w:szCs w:val="16"/>
              </w:rPr>
              <w:t>(State or other jurisdiction of</w:t>
            </w:r>
            <w:r>
              <w:rPr>
                <w:rFonts w:ascii="Times New Roman" w:eastAsia="宋体" w:hAnsi="Times New Roman"/>
                <w:b/>
                <w:bCs/>
                <w:color w:val="000000"/>
                <w:sz w:val="16"/>
                <w:szCs w:val="16"/>
              </w:rPr>
              <w:br/>
              <w:t>incorporation or organization)</w:t>
            </w:r>
          </w:p>
        </w:tc>
        <w:tc>
          <w:tcPr>
            <w:tcW w:w="0" w:type="auto"/>
            <w:gridSpan w:val="3"/>
            <w:shd w:val="clear" w:color="auto" w:fill="auto"/>
            <w:tcMar>
              <w:top w:w="0" w:type="dxa"/>
              <w:left w:w="20" w:type="dxa"/>
              <w:bottom w:w="0" w:type="dxa"/>
              <w:right w:w="20" w:type="dxa"/>
            </w:tcMar>
            <w:vAlign w:val="bottom"/>
          </w:tcPr>
          <w:p w14:paraId="098A84FF"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500" w14:textId="77777777" w:rsidR="00141CDF" w:rsidRDefault="00DF45E0">
            <w:pPr>
              <w:jc w:val="center"/>
              <w:textAlignment w:val="bottom"/>
            </w:pPr>
            <w:r>
              <w:rPr>
                <w:rFonts w:ascii="Times New Roman" w:eastAsia="宋体" w:hAnsi="Times New Roman"/>
                <w:b/>
                <w:bCs/>
                <w:color w:val="000000"/>
                <w:sz w:val="16"/>
                <w:szCs w:val="16"/>
              </w:rPr>
              <w:t>(I.R.S. Employer</w:t>
            </w:r>
            <w:r>
              <w:rPr>
                <w:rFonts w:ascii="Times New Roman" w:eastAsia="宋体" w:hAnsi="Times New Roman"/>
                <w:b/>
                <w:bCs/>
                <w:color w:val="000000"/>
                <w:sz w:val="16"/>
                <w:szCs w:val="16"/>
              </w:rPr>
              <w:br/>
              <w:t>Identification No.)</w:t>
            </w:r>
          </w:p>
        </w:tc>
      </w:tr>
      <w:tr w:rsidR="00141CDF" w14:paraId="098A8505" w14:textId="77777777">
        <w:trPr>
          <w:trHeight w:val="100"/>
          <w:jc w:val="center"/>
        </w:trPr>
        <w:tc>
          <w:tcPr>
            <w:tcW w:w="0" w:type="auto"/>
            <w:gridSpan w:val="3"/>
            <w:shd w:val="clear" w:color="auto" w:fill="auto"/>
            <w:tcMar>
              <w:top w:w="0" w:type="dxa"/>
              <w:left w:w="20" w:type="dxa"/>
              <w:bottom w:w="0" w:type="dxa"/>
              <w:right w:w="20" w:type="dxa"/>
            </w:tcMar>
            <w:vAlign w:val="bottom"/>
          </w:tcPr>
          <w:p w14:paraId="098A8502"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503" w14:textId="77777777" w:rsidR="00141CDF" w:rsidRDefault="00141CDF">
            <w:pPr>
              <w:rPr>
                <w:rFonts w:ascii="宋体"/>
              </w:rPr>
            </w:pPr>
          </w:p>
        </w:tc>
        <w:tc>
          <w:tcPr>
            <w:tcW w:w="0" w:type="auto"/>
            <w:gridSpan w:val="6"/>
            <w:shd w:val="clear" w:color="auto" w:fill="auto"/>
            <w:tcMar>
              <w:top w:w="0" w:type="dxa"/>
              <w:left w:w="20" w:type="dxa"/>
              <w:bottom w:w="0" w:type="dxa"/>
              <w:right w:w="20" w:type="dxa"/>
            </w:tcMar>
            <w:vAlign w:val="bottom"/>
          </w:tcPr>
          <w:p w14:paraId="098A8504" w14:textId="77777777" w:rsidR="00141CDF" w:rsidRDefault="00141CDF">
            <w:pPr>
              <w:rPr>
                <w:rFonts w:ascii="宋体"/>
              </w:rPr>
            </w:pPr>
          </w:p>
        </w:tc>
      </w:tr>
      <w:tr w:rsidR="00141CDF" w14:paraId="098A8509" w14:textId="77777777">
        <w:trPr>
          <w:trHeight w:val="280"/>
          <w:jc w:val="center"/>
        </w:trPr>
        <w:tc>
          <w:tcPr>
            <w:tcW w:w="0" w:type="auto"/>
            <w:gridSpan w:val="6"/>
            <w:shd w:val="clear" w:color="auto" w:fill="auto"/>
            <w:tcMar>
              <w:top w:w="40" w:type="dxa"/>
              <w:left w:w="20" w:type="dxa"/>
              <w:bottom w:w="40" w:type="dxa"/>
              <w:right w:w="20" w:type="dxa"/>
            </w:tcMar>
            <w:vAlign w:val="bottom"/>
          </w:tcPr>
          <w:p w14:paraId="098A8506" w14:textId="77777777" w:rsidR="00141CDF" w:rsidRDefault="00DF45E0">
            <w:pPr>
              <w:jc w:val="center"/>
              <w:textAlignment w:val="bottom"/>
            </w:pPr>
            <w:r>
              <w:rPr>
                <w:rFonts w:ascii="Times New Roman" w:eastAsia="宋体" w:hAnsi="Times New Roman"/>
                <w:b/>
                <w:bCs/>
                <w:color w:val="000000"/>
                <w:sz w:val="20"/>
                <w:szCs w:val="20"/>
              </w:rPr>
              <w:t>702 S.W. 8th Street</w:t>
            </w:r>
          </w:p>
        </w:tc>
        <w:tc>
          <w:tcPr>
            <w:tcW w:w="0" w:type="auto"/>
            <w:gridSpan w:val="3"/>
            <w:shd w:val="clear" w:color="auto" w:fill="auto"/>
            <w:tcMar>
              <w:top w:w="0" w:type="dxa"/>
              <w:left w:w="20" w:type="dxa"/>
              <w:bottom w:w="0" w:type="dxa"/>
              <w:right w:w="20" w:type="dxa"/>
            </w:tcMar>
            <w:vAlign w:val="bottom"/>
          </w:tcPr>
          <w:p w14:paraId="098A8507" w14:textId="77777777" w:rsidR="00141CDF" w:rsidRDefault="00141CDF">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098A8508" w14:textId="77777777" w:rsidR="00141CDF" w:rsidRDefault="00DF45E0">
            <w:pPr>
              <w:jc w:val="center"/>
              <w:textAlignment w:val="bottom"/>
            </w:pPr>
            <w:r>
              <w:rPr>
                <w:rFonts w:ascii="Times New Roman" w:eastAsia="宋体" w:hAnsi="Times New Roman"/>
                <w:b/>
                <w:bCs/>
                <w:color w:val="000000"/>
                <w:sz w:val="20"/>
                <w:szCs w:val="20"/>
              </w:rPr>
              <w:t>72716</w:t>
            </w:r>
          </w:p>
        </w:tc>
      </w:tr>
      <w:tr w:rsidR="00141CDF" w14:paraId="098A850E" w14:textId="77777777">
        <w:trPr>
          <w:trHeight w:val="280"/>
          <w:jc w:val="center"/>
        </w:trPr>
        <w:tc>
          <w:tcPr>
            <w:tcW w:w="0" w:type="auto"/>
            <w:gridSpan w:val="3"/>
            <w:shd w:val="clear" w:color="auto" w:fill="auto"/>
            <w:tcMar>
              <w:top w:w="40" w:type="dxa"/>
              <w:left w:w="20" w:type="dxa"/>
              <w:bottom w:w="40" w:type="dxa"/>
              <w:right w:w="20" w:type="dxa"/>
            </w:tcMar>
            <w:vAlign w:val="bottom"/>
          </w:tcPr>
          <w:p w14:paraId="098A850A" w14:textId="77777777" w:rsidR="00141CDF" w:rsidRDefault="00DF45E0">
            <w:pPr>
              <w:jc w:val="right"/>
              <w:textAlignment w:val="bottom"/>
            </w:pPr>
            <w:r>
              <w:rPr>
                <w:rFonts w:ascii="Times New Roman" w:eastAsia="宋体" w:hAnsi="Times New Roman"/>
                <w:b/>
                <w:bCs/>
                <w:color w:val="000000"/>
                <w:sz w:val="20"/>
                <w:szCs w:val="20"/>
              </w:rPr>
              <w:t>Bentonville</w:t>
            </w:r>
          </w:p>
        </w:tc>
        <w:tc>
          <w:tcPr>
            <w:tcW w:w="0" w:type="auto"/>
            <w:gridSpan w:val="3"/>
            <w:shd w:val="clear" w:color="auto" w:fill="auto"/>
            <w:tcMar>
              <w:top w:w="40" w:type="dxa"/>
              <w:left w:w="20" w:type="dxa"/>
              <w:bottom w:w="40" w:type="dxa"/>
              <w:right w:w="20" w:type="dxa"/>
            </w:tcMar>
            <w:vAlign w:val="bottom"/>
          </w:tcPr>
          <w:p w14:paraId="098A850B" w14:textId="77777777" w:rsidR="00141CDF" w:rsidRDefault="00DF45E0">
            <w:pPr>
              <w:textAlignment w:val="bottom"/>
            </w:pPr>
            <w:r>
              <w:rPr>
                <w:rFonts w:ascii="Times New Roman" w:eastAsia="宋体" w:hAnsi="Times New Roman"/>
                <w:b/>
                <w:bCs/>
                <w:color w:val="000000"/>
                <w:sz w:val="20"/>
                <w:szCs w:val="20"/>
              </w:rPr>
              <w:t>AR</w:t>
            </w:r>
          </w:p>
        </w:tc>
        <w:tc>
          <w:tcPr>
            <w:tcW w:w="0" w:type="auto"/>
            <w:gridSpan w:val="3"/>
            <w:shd w:val="clear" w:color="auto" w:fill="auto"/>
            <w:tcMar>
              <w:top w:w="0" w:type="dxa"/>
              <w:left w:w="20" w:type="dxa"/>
              <w:bottom w:w="0" w:type="dxa"/>
              <w:right w:w="20" w:type="dxa"/>
            </w:tcMar>
            <w:vAlign w:val="bottom"/>
          </w:tcPr>
          <w:p w14:paraId="098A850C" w14:textId="77777777" w:rsidR="00141CDF" w:rsidRDefault="00141CDF">
            <w:pPr>
              <w:rPr>
                <w:rFonts w:ascii="宋体"/>
              </w:rPr>
            </w:pPr>
          </w:p>
        </w:tc>
        <w:tc>
          <w:tcPr>
            <w:tcW w:w="0" w:type="auto"/>
            <w:gridSpan w:val="3"/>
            <w:vMerge/>
            <w:shd w:val="clear" w:color="auto" w:fill="auto"/>
            <w:tcMar>
              <w:top w:w="40" w:type="dxa"/>
              <w:left w:w="20" w:type="dxa"/>
              <w:bottom w:w="40" w:type="dxa"/>
              <w:right w:w="20" w:type="dxa"/>
            </w:tcMar>
            <w:vAlign w:val="bottom"/>
          </w:tcPr>
          <w:p w14:paraId="098A850D" w14:textId="77777777" w:rsidR="00141CDF" w:rsidRDefault="00141CDF">
            <w:pPr>
              <w:jc w:val="center"/>
              <w:rPr>
                <w:rFonts w:ascii="宋体"/>
              </w:rPr>
            </w:pPr>
          </w:p>
        </w:tc>
      </w:tr>
      <w:tr w:rsidR="00141CDF" w14:paraId="098A8512" w14:textId="77777777">
        <w:trPr>
          <w:jc w:val="center"/>
        </w:trPr>
        <w:tc>
          <w:tcPr>
            <w:tcW w:w="0" w:type="auto"/>
            <w:gridSpan w:val="6"/>
            <w:shd w:val="clear" w:color="auto" w:fill="auto"/>
            <w:tcMar>
              <w:top w:w="40" w:type="dxa"/>
              <w:left w:w="20" w:type="dxa"/>
              <w:bottom w:w="40" w:type="dxa"/>
              <w:right w:w="20" w:type="dxa"/>
            </w:tcMar>
          </w:tcPr>
          <w:p w14:paraId="098A850F" w14:textId="77777777" w:rsidR="00141CDF" w:rsidRDefault="00DF45E0">
            <w:pPr>
              <w:jc w:val="center"/>
              <w:textAlignment w:val="top"/>
            </w:pPr>
            <w:r>
              <w:rPr>
                <w:rFonts w:ascii="Times New Roman" w:eastAsia="宋体" w:hAnsi="Times New Roman"/>
                <w:b/>
                <w:bCs/>
                <w:color w:val="000000"/>
                <w:sz w:val="16"/>
                <w:szCs w:val="16"/>
              </w:rPr>
              <w:t>(Address of principal executive offices)</w:t>
            </w:r>
          </w:p>
        </w:tc>
        <w:tc>
          <w:tcPr>
            <w:tcW w:w="0" w:type="auto"/>
            <w:gridSpan w:val="3"/>
            <w:shd w:val="clear" w:color="auto" w:fill="auto"/>
            <w:tcMar>
              <w:top w:w="0" w:type="dxa"/>
              <w:left w:w="20" w:type="dxa"/>
              <w:bottom w:w="0" w:type="dxa"/>
              <w:right w:w="20" w:type="dxa"/>
            </w:tcMar>
            <w:vAlign w:val="bottom"/>
          </w:tcPr>
          <w:p w14:paraId="098A8510"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tcPr>
          <w:p w14:paraId="098A8511" w14:textId="77777777" w:rsidR="00141CDF" w:rsidRDefault="00DF45E0">
            <w:pPr>
              <w:jc w:val="center"/>
              <w:textAlignment w:val="top"/>
            </w:pPr>
            <w:r>
              <w:rPr>
                <w:rFonts w:ascii="Times New Roman" w:eastAsia="宋体" w:hAnsi="Times New Roman"/>
                <w:b/>
                <w:bCs/>
                <w:color w:val="000000"/>
                <w:sz w:val="16"/>
                <w:szCs w:val="16"/>
              </w:rPr>
              <w:t>(Zip Code)</w:t>
            </w:r>
          </w:p>
        </w:tc>
      </w:tr>
    </w:tbl>
    <w:p w14:paraId="098A8513" w14:textId="77777777" w:rsidR="00141CDF" w:rsidRDefault="00141CDF">
      <w:pPr>
        <w:jc w:val="center"/>
      </w:pPr>
    </w:p>
    <w:p w14:paraId="098A8514" w14:textId="77777777" w:rsidR="00141CDF" w:rsidRDefault="00DF45E0">
      <w:pPr>
        <w:jc w:val="center"/>
      </w:pPr>
      <w:r>
        <w:rPr>
          <w:rFonts w:ascii="Times New Roman" w:eastAsia="宋体" w:hAnsi="Times New Roman"/>
          <w:b/>
          <w:bCs/>
          <w:color w:val="000000"/>
          <w:sz w:val="16"/>
          <w:szCs w:val="16"/>
        </w:rPr>
        <w:t xml:space="preserve">Registrant's telephone number, including area code: (479) 273-4000 </w:t>
      </w:r>
    </w:p>
    <w:p w14:paraId="098A8515" w14:textId="77777777" w:rsidR="00141CDF" w:rsidRDefault="00DF45E0">
      <w:pPr>
        <w:jc w:val="center"/>
      </w:pPr>
      <w:r>
        <w:rPr>
          <w:rFonts w:ascii="Times New Roman" w:eastAsia="宋体" w:hAnsi="Times New Roman"/>
          <w:b/>
          <w:bCs/>
          <w:color w:val="000000"/>
          <w:sz w:val="16"/>
          <w:szCs w:val="16"/>
        </w:rPr>
        <w:t>Former name, former address and former fiscal year, if changed since last report: N/A</w:t>
      </w:r>
    </w:p>
    <w:p w14:paraId="098A8516" w14:textId="77777777" w:rsidR="00141CDF" w:rsidRDefault="00DF45E0">
      <w:pPr>
        <w:spacing w:before="120"/>
      </w:pPr>
      <w:r>
        <w:rPr>
          <w:rFonts w:ascii="Times New Roman" w:eastAsia="宋体" w:hAnsi="Times New Roman"/>
          <w:color w:val="000000"/>
          <w:sz w:val="18"/>
          <w:szCs w:val="18"/>
        </w:rPr>
        <w:t>Securities registered pursuant to Section 12(b) of the Act:</w:t>
      </w:r>
    </w:p>
    <w:tbl>
      <w:tblPr>
        <w:tblW w:w="5000" w:type="pct"/>
        <w:tblInd w:w="-165" w:type="dxa"/>
        <w:tblCellMar>
          <w:top w:w="15" w:type="dxa"/>
          <w:left w:w="15" w:type="dxa"/>
          <w:bottom w:w="15" w:type="dxa"/>
          <w:right w:w="15" w:type="dxa"/>
        </w:tblCellMar>
        <w:tblLook w:val="04A0" w:firstRow="1" w:lastRow="0" w:firstColumn="1" w:lastColumn="0" w:noHBand="0" w:noVBand="1"/>
      </w:tblPr>
      <w:tblGrid>
        <w:gridCol w:w="58"/>
        <w:gridCol w:w="2607"/>
        <w:gridCol w:w="37"/>
        <w:gridCol w:w="36"/>
        <w:gridCol w:w="43"/>
        <w:gridCol w:w="36"/>
        <w:gridCol w:w="59"/>
        <w:gridCol w:w="2607"/>
        <w:gridCol w:w="36"/>
        <w:gridCol w:w="36"/>
        <w:gridCol w:w="43"/>
        <w:gridCol w:w="36"/>
        <w:gridCol w:w="59"/>
        <w:gridCol w:w="2607"/>
        <w:gridCol w:w="36"/>
      </w:tblGrid>
      <w:tr w:rsidR="00141CDF" w14:paraId="098A8526" w14:textId="77777777">
        <w:tc>
          <w:tcPr>
            <w:tcW w:w="50" w:type="pct"/>
            <w:shd w:val="clear" w:color="auto" w:fill="auto"/>
            <w:vAlign w:val="bottom"/>
          </w:tcPr>
          <w:p w14:paraId="098A8517" w14:textId="77777777" w:rsidR="00141CDF" w:rsidRDefault="00141CDF">
            <w:pPr>
              <w:rPr>
                <w:rFonts w:ascii="宋体"/>
              </w:rPr>
            </w:pPr>
          </w:p>
        </w:tc>
        <w:tc>
          <w:tcPr>
            <w:tcW w:w="1577" w:type="pct"/>
            <w:shd w:val="clear" w:color="auto" w:fill="auto"/>
            <w:vAlign w:val="bottom"/>
          </w:tcPr>
          <w:p w14:paraId="098A8518" w14:textId="77777777" w:rsidR="00141CDF" w:rsidRDefault="00141CDF">
            <w:pPr>
              <w:rPr>
                <w:rFonts w:ascii="宋体"/>
              </w:rPr>
            </w:pPr>
          </w:p>
        </w:tc>
        <w:tc>
          <w:tcPr>
            <w:tcW w:w="5" w:type="pct"/>
            <w:shd w:val="clear" w:color="auto" w:fill="auto"/>
            <w:vAlign w:val="bottom"/>
          </w:tcPr>
          <w:p w14:paraId="098A8519" w14:textId="77777777" w:rsidR="00141CDF" w:rsidRDefault="00141CDF">
            <w:pPr>
              <w:rPr>
                <w:rFonts w:ascii="宋体"/>
              </w:rPr>
            </w:pPr>
          </w:p>
        </w:tc>
        <w:tc>
          <w:tcPr>
            <w:tcW w:w="5" w:type="pct"/>
            <w:shd w:val="clear" w:color="auto" w:fill="auto"/>
            <w:vAlign w:val="bottom"/>
          </w:tcPr>
          <w:p w14:paraId="098A851A" w14:textId="77777777" w:rsidR="00141CDF" w:rsidRDefault="00141CDF">
            <w:pPr>
              <w:rPr>
                <w:rFonts w:ascii="宋体"/>
              </w:rPr>
            </w:pPr>
          </w:p>
        </w:tc>
        <w:tc>
          <w:tcPr>
            <w:tcW w:w="40" w:type="pct"/>
            <w:shd w:val="clear" w:color="auto" w:fill="auto"/>
            <w:vAlign w:val="bottom"/>
          </w:tcPr>
          <w:p w14:paraId="098A851B" w14:textId="77777777" w:rsidR="00141CDF" w:rsidRDefault="00141CDF">
            <w:pPr>
              <w:rPr>
                <w:rFonts w:ascii="宋体"/>
              </w:rPr>
            </w:pPr>
          </w:p>
        </w:tc>
        <w:tc>
          <w:tcPr>
            <w:tcW w:w="5" w:type="pct"/>
            <w:shd w:val="clear" w:color="auto" w:fill="auto"/>
            <w:vAlign w:val="bottom"/>
          </w:tcPr>
          <w:p w14:paraId="098A851C" w14:textId="77777777" w:rsidR="00141CDF" w:rsidRDefault="00141CDF">
            <w:pPr>
              <w:rPr>
                <w:rFonts w:ascii="宋体"/>
              </w:rPr>
            </w:pPr>
          </w:p>
        </w:tc>
        <w:tc>
          <w:tcPr>
            <w:tcW w:w="50" w:type="pct"/>
            <w:shd w:val="clear" w:color="auto" w:fill="auto"/>
            <w:vAlign w:val="bottom"/>
          </w:tcPr>
          <w:p w14:paraId="098A851D" w14:textId="77777777" w:rsidR="00141CDF" w:rsidRDefault="00141CDF">
            <w:pPr>
              <w:rPr>
                <w:rFonts w:ascii="宋体"/>
              </w:rPr>
            </w:pPr>
          </w:p>
        </w:tc>
        <w:tc>
          <w:tcPr>
            <w:tcW w:w="1577" w:type="pct"/>
            <w:shd w:val="clear" w:color="auto" w:fill="auto"/>
            <w:vAlign w:val="bottom"/>
          </w:tcPr>
          <w:p w14:paraId="098A851E" w14:textId="77777777" w:rsidR="00141CDF" w:rsidRDefault="00141CDF">
            <w:pPr>
              <w:rPr>
                <w:rFonts w:ascii="宋体"/>
              </w:rPr>
            </w:pPr>
          </w:p>
        </w:tc>
        <w:tc>
          <w:tcPr>
            <w:tcW w:w="5" w:type="pct"/>
            <w:shd w:val="clear" w:color="auto" w:fill="auto"/>
            <w:vAlign w:val="bottom"/>
          </w:tcPr>
          <w:p w14:paraId="098A851F" w14:textId="77777777" w:rsidR="00141CDF" w:rsidRDefault="00141CDF">
            <w:pPr>
              <w:rPr>
                <w:rFonts w:ascii="宋体"/>
              </w:rPr>
            </w:pPr>
          </w:p>
        </w:tc>
        <w:tc>
          <w:tcPr>
            <w:tcW w:w="5" w:type="pct"/>
            <w:shd w:val="clear" w:color="auto" w:fill="auto"/>
            <w:vAlign w:val="bottom"/>
          </w:tcPr>
          <w:p w14:paraId="098A8520" w14:textId="77777777" w:rsidR="00141CDF" w:rsidRDefault="00141CDF">
            <w:pPr>
              <w:rPr>
                <w:rFonts w:ascii="宋体"/>
              </w:rPr>
            </w:pPr>
          </w:p>
        </w:tc>
        <w:tc>
          <w:tcPr>
            <w:tcW w:w="40" w:type="pct"/>
            <w:shd w:val="clear" w:color="auto" w:fill="auto"/>
            <w:vAlign w:val="bottom"/>
          </w:tcPr>
          <w:p w14:paraId="098A8521" w14:textId="77777777" w:rsidR="00141CDF" w:rsidRDefault="00141CDF">
            <w:pPr>
              <w:rPr>
                <w:rFonts w:ascii="宋体"/>
              </w:rPr>
            </w:pPr>
          </w:p>
        </w:tc>
        <w:tc>
          <w:tcPr>
            <w:tcW w:w="5" w:type="pct"/>
            <w:shd w:val="clear" w:color="auto" w:fill="auto"/>
            <w:vAlign w:val="bottom"/>
          </w:tcPr>
          <w:p w14:paraId="098A8522" w14:textId="77777777" w:rsidR="00141CDF" w:rsidRDefault="00141CDF">
            <w:pPr>
              <w:rPr>
                <w:rFonts w:ascii="宋体"/>
              </w:rPr>
            </w:pPr>
          </w:p>
        </w:tc>
        <w:tc>
          <w:tcPr>
            <w:tcW w:w="50" w:type="pct"/>
            <w:shd w:val="clear" w:color="auto" w:fill="auto"/>
            <w:vAlign w:val="bottom"/>
          </w:tcPr>
          <w:p w14:paraId="098A8523" w14:textId="77777777" w:rsidR="00141CDF" w:rsidRDefault="00141CDF">
            <w:pPr>
              <w:rPr>
                <w:rFonts w:ascii="宋体"/>
              </w:rPr>
            </w:pPr>
          </w:p>
        </w:tc>
        <w:tc>
          <w:tcPr>
            <w:tcW w:w="1577" w:type="pct"/>
            <w:shd w:val="clear" w:color="auto" w:fill="auto"/>
            <w:vAlign w:val="bottom"/>
          </w:tcPr>
          <w:p w14:paraId="098A8524" w14:textId="77777777" w:rsidR="00141CDF" w:rsidRDefault="00141CDF">
            <w:pPr>
              <w:rPr>
                <w:rFonts w:ascii="宋体"/>
              </w:rPr>
            </w:pPr>
          </w:p>
        </w:tc>
        <w:tc>
          <w:tcPr>
            <w:tcW w:w="5" w:type="pct"/>
            <w:shd w:val="clear" w:color="auto" w:fill="auto"/>
            <w:vAlign w:val="bottom"/>
          </w:tcPr>
          <w:p w14:paraId="098A8525" w14:textId="77777777" w:rsidR="00141CDF" w:rsidRDefault="00141CDF">
            <w:pPr>
              <w:rPr>
                <w:rFonts w:ascii="宋体"/>
              </w:rPr>
            </w:pPr>
          </w:p>
        </w:tc>
      </w:tr>
      <w:tr w:rsidR="00141CDF" w14:paraId="098A852C" w14:textId="77777777">
        <w:tc>
          <w:tcPr>
            <w:tcW w:w="0" w:type="auto"/>
            <w:gridSpan w:val="3"/>
            <w:shd w:val="clear" w:color="auto" w:fill="auto"/>
            <w:tcMar>
              <w:top w:w="40" w:type="dxa"/>
              <w:left w:w="20" w:type="dxa"/>
              <w:bottom w:w="40" w:type="dxa"/>
              <w:right w:w="20" w:type="dxa"/>
            </w:tcMar>
          </w:tcPr>
          <w:p w14:paraId="098A8527" w14:textId="77777777" w:rsidR="00141CDF" w:rsidRDefault="00DF45E0">
            <w:pPr>
              <w:jc w:val="center"/>
              <w:textAlignment w:val="top"/>
            </w:pPr>
            <w:r>
              <w:rPr>
                <w:rFonts w:ascii="Times New Roman" w:eastAsia="宋体" w:hAnsi="Times New Roman"/>
                <w:color w:val="000000"/>
                <w:sz w:val="16"/>
                <w:szCs w:val="16"/>
              </w:rPr>
              <w:t>Title of each class</w:t>
            </w:r>
          </w:p>
        </w:tc>
        <w:tc>
          <w:tcPr>
            <w:tcW w:w="0" w:type="auto"/>
            <w:gridSpan w:val="3"/>
            <w:shd w:val="clear" w:color="auto" w:fill="auto"/>
            <w:tcMar>
              <w:top w:w="0" w:type="dxa"/>
              <w:left w:w="20" w:type="dxa"/>
              <w:bottom w:w="0" w:type="dxa"/>
              <w:right w:w="20" w:type="dxa"/>
            </w:tcMar>
            <w:vAlign w:val="bottom"/>
          </w:tcPr>
          <w:p w14:paraId="098A8528"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tcPr>
          <w:p w14:paraId="098A8529" w14:textId="77777777" w:rsidR="00141CDF" w:rsidRDefault="00DF45E0">
            <w:pPr>
              <w:jc w:val="center"/>
              <w:textAlignment w:val="top"/>
            </w:pPr>
            <w:r>
              <w:rPr>
                <w:rFonts w:ascii="Times New Roman" w:eastAsia="宋体" w:hAnsi="Times New Roman"/>
                <w:color w:val="000000"/>
                <w:sz w:val="16"/>
                <w:szCs w:val="16"/>
              </w:rPr>
              <w:t>Trading Symbol(s)</w:t>
            </w:r>
          </w:p>
        </w:tc>
        <w:tc>
          <w:tcPr>
            <w:tcW w:w="0" w:type="auto"/>
            <w:gridSpan w:val="3"/>
            <w:shd w:val="clear" w:color="auto" w:fill="auto"/>
            <w:tcMar>
              <w:top w:w="0" w:type="dxa"/>
              <w:left w:w="20" w:type="dxa"/>
              <w:bottom w:w="0" w:type="dxa"/>
              <w:right w:w="20" w:type="dxa"/>
            </w:tcMar>
            <w:vAlign w:val="bottom"/>
          </w:tcPr>
          <w:p w14:paraId="098A852A"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tcPr>
          <w:p w14:paraId="098A852B" w14:textId="77777777" w:rsidR="00141CDF" w:rsidRDefault="00DF45E0">
            <w:pPr>
              <w:jc w:val="center"/>
              <w:textAlignment w:val="top"/>
            </w:pPr>
            <w:r>
              <w:rPr>
                <w:rFonts w:ascii="Times New Roman" w:eastAsia="宋体" w:hAnsi="Times New Roman"/>
                <w:color w:val="000000"/>
                <w:sz w:val="16"/>
                <w:szCs w:val="16"/>
              </w:rPr>
              <w:t>Name of each exchange on which registered</w:t>
            </w:r>
          </w:p>
        </w:tc>
      </w:tr>
      <w:tr w:rsidR="00141CDF" w14:paraId="098A8532" w14:textId="77777777">
        <w:tc>
          <w:tcPr>
            <w:tcW w:w="0" w:type="auto"/>
            <w:gridSpan w:val="3"/>
            <w:tcBorders>
              <w:top w:val="single" w:sz="8" w:space="0" w:color="000000"/>
            </w:tcBorders>
            <w:shd w:val="clear" w:color="auto" w:fill="auto"/>
            <w:tcMar>
              <w:top w:w="40" w:type="dxa"/>
              <w:left w:w="20" w:type="dxa"/>
              <w:bottom w:w="40" w:type="dxa"/>
              <w:right w:w="20" w:type="dxa"/>
            </w:tcMar>
          </w:tcPr>
          <w:p w14:paraId="098A852D" w14:textId="77777777" w:rsidR="00141CDF" w:rsidRDefault="00DF45E0">
            <w:pPr>
              <w:jc w:val="center"/>
              <w:textAlignment w:val="top"/>
            </w:pPr>
            <w:r>
              <w:rPr>
                <w:rFonts w:ascii="Times New Roman" w:eastAsia="宋体" w:hAnsi="Times New Roman"/>
                <w:color w:val="000000"/>
                <w:sz w:val="16"/>
                <w:szCs w:val="16"/>
              </w:rPr>
              <w:t>Common Stock, par value $0.10 per share</w:t>
            </w:r>
          </w:p>
        </w:tc>
        <w:tc>
          <w:tcPr>
            <w:tcW w:w="0" w:type="auto"/>
            <w:gridSpan w:val="3"/>
            <w:shd w:val="clear" w:color="auto" w:fill="auto"/>
            <w:tcMar>
              <w:top w:w="0" w:type="dxa"/>
              <w:left w:w="20" w:type="dxa"/>
              <w:bottom w:w="0" w:type="dxa"/>
              <w:right w:w="20" w:type="dxa"/>
            </w:tcMar>
            <w:vAlign w:val="bottom"/>
          </w:tcPr>
          <w:p w14:paraId="098A852E"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098A852F" w14:textId="77777777" w:rsidR="00141CDF" w:rsidRDefault="00DF45E0">
            <w:pPr>
              <w:jc w:val="center"/>
              <w:textAlignment w:val="top"/>
            </w:pPr>
            <w:r>
              <w:rPr>
                <w:rFonts w:ascii="Times New Roman" w:eastAsia="宋体" w:hAnsi="Times New Roman"/>
                <w:color w:val="000000"/>
                <w:sz w:val="16"/>
                <w:szCs w:val="16"/>
              </w:rPr>
              <w:t>WMT</w:t>
            </w:r>
          </w:p>
        </w:tc>
        <w:tc>
          <w:tcPr>
            <w:tcW w:w="0" w:type="auto"/>
            <w:gridSpan w:val="3"/>
            <w:shd w:val="clear" w:color="auto" w:fill="auto"/>
            <w:tcMar>
              <w:top w:w="0" w:type="dxa"/>
              <w:left w:w="20" w:type="dxa"/>
              <w:bottom w:w="0" w:type="dxa"/>
              <w:right w:w="20" w:type="dxa"/>
            </w:tcMar>
            <w:vAlign w:val="bottom"/>
          </w:tcPr>
          <w:p w14:paraId="098A8530"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098A8531" w14:textId="77777777" w:rsidR="00141CDF" w:rsidRDefault="00DF45E0">
            <w:pPr>
              <w:jc w:val="center"/>
              <w:textAlignment w:val="top"/>
            </w:pPr>
            <w:r>
              <w:rPr>
                <w:rFonts w:ascii="Times New Roman" w:eastAsia="宋体" w:hAnsi="Times New Roman"/>
                <w:color w:val="000000"/>
                <w:sz w:val="16"/>
                <w:szCs w:val="16"/>
              </w:rPr>
              <w:t>New York Stock Exchange</w:t>
            </w:r>
          </w:p>
        </w:tc>
      </w:tr>
      <w:tr w:rsidR="00141CDF" w14:paraId="098A8538" w14:textId="77777777">
        <w:tc>
          <w:tcPr>
            <w:tcW w:w="0" w:type="auto"/>
            <w:gridSpan w:val="3"/>
            <w:shd w:val="clear" w:color="auto" w:fill="auto"/>
            <w:tcMar>
              <w:top w:w="40" w:type="dxa"/>
              <w:left w:w="20" w:type="dxa"/>
              <w:bottom w:w="40" w:type="dxa"/>
              <w:right w:w="20" w:type="dxa"/>
            </w:tcMar>
          </w:tcPr>
          <w:p w14:paraId="098A8533" w14:textId="77777777" w:rsidR="00141CDF" w:rsidRDefault="00DF45E0">
            <w:pPr>
              <w:jc w:val="center"/>
              <w:textAlignment w:val="top"/>
            </w:pPr>
            <w:r>
              <w:rPr>
                <w:rFonts w:ascii="Times New Roman" w:eastAsia="宋体" w:hAnsi="Times New Roman"/>
                <w:color w:val="000000"/>
                <w:sz w:val="16"/>
                <w:szCs w:val="16"/>
              </w:rPr>
              <w:t>2.550% Notes Due 2026</w:t>
            </w:r>
          </w:p>
        </w:tc>
        <w:tc>
          <w:tcPr>
            <w:tcW w:w="0" w:type="auto"/>
            <w:gridSpan w:val="3"/>
            <w:shd w:val="clear" w:color="auto" w:fill="auto"/>
            <w:tcMar>
              <w:top w:w="0" w:type="dxa"/>
              <w:left w:w="20" w:type="dxa"/>
              <w:bottom w:w="0" w:type="dxa"/>
              <w:right w:w="20" w:type="dxa"/>
            </w:tcMar>
            <w:vAlign w:val="bottom"/>
          </w:tcPr>
          <w:p w14:paraId="098A8534"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tcPr>
          <w:p w14:paraId="098A8535" w14:textId="77777777" w:rsidR="00141CDF" w:rsidRDefault="00DF45E0">
            <w:pPr>
              <w:jc w:val="center"/>
              <w:textAlignment w:val="top"/>
            </w:pPr>
            <w:r>
              <w:rPr>
                <w:rFonts w:ascii="Times New Roman" w:eastAsia="宋体" w:hAnsi="Times New Roman"/>
                <w:color w:val="000000"/>
                <w:sz w:val="16"/>
                <w:szCs w:val="16"/>
              </w:rPr>
              <w:t>WMT26</w:t>
            </w:r>
          </w:p>
        </w:tc>
        <w:tc>
          <w:tcPr>
            <w:tcW w:w="0" w:type="auto"/>
            <w:gridSpan w:val="3"/>
            <w:shd w:val="clear" w:color="auto" w:fill="auto"/>
            <w:tcMar>
              <w:top w:w="0" w:type="dxa"/>
              <w:left w:w="20" w:type="dxa"/>
              <w:bottom w:w="0" w:type="dxa"/>
              <w:right w:w="20" w:type="dxa"/>
            </w:tcMar>
            <w:vAlign w:val="bottom"/>
          </w:tcPr>
          <w:p w14:paraId="098A8536"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tcPr>
          <w:p w14:paraId="098A8537" w14:textId="77777777" w:rsidR="00141CDF" w:rsidRDefault="00DF45E0">
            <w:pPr>
              <w:jc w:val="center"/>
              <w:textAlignment w:val="top"/>
            </w:pPr>
            <w:r>
              <w:rPr>
                <w:rFonts w:ascii="Times New Roman" w:eastAsia="宋体" w:hAnsi="Times New Roman"/>
                <w:color w:val="000000"/>
                <w:sz w:val="16"/>
                <w:szCs w:val="16"/>
              </w:rPr>
              <w:t>New York Stock Exchange</w:t>
            </w:r>
          </w:p>
        </w:tc>
      </w:tr>
    </w:tbl>
    <w:p w14:paraId="098A8539" w14:textId="77777777" w:rsidR="00141CDF" w:rsidRDefault="00DF45E0">
      <w:pPr>
        <w:spacing w:before="20"/>
      </w:pPr>
      <w:r>
        <w:rPr>
          <w:rFonts w:ascii="Times New Roman" w:eastAsia="宋体" w:hAnsi="Times New Roman"/>
          <w:color w:val="000000"/>
          <w:sz w:val="18"/>
          <w:szCs w:val="18"/>
        </w:rPr>
        <w:t xml:space="preserve">Indicate by check mark whether the registrant (1) has filed all </w:t>
      </w:r>
      <w:r>
        <w:rPr>
          <w:rFonts w:ascii="Times New Roman" w:eastAsia="宋体" w:hAnsi="Times New Roman"/>
          <w:color w:val="000000"/>
          <w:sz w:val="18"/>
          <w:szCs w:val="18"/>
        </w:rPr>
        <w:t xml:space="preserve">reports required to be filed by Section 13 or 15(d) of the Securities Exchange Act of 1934 during the preceding 12 months (or such shorter periods that the registrant was required to file such reports), and (2) has been subject to such filing requirements </w:t>
      </w:r>
      <w:r>
        <w:rPr>
          <w:rFonts w:ascii="Times New Roman" w:eastAsia="宋体" w:hAnsi="Times New Roman"/>
          <w:color w:val="000000"/>
          <w:sz w:val="18"/>
          <w:szCs w:val="18"/>
        </w:rPr>
        <w:t>for the past 90 days.    Yes  </w:t>
      </w:r>
      <w:r>
        <w:rPr>
          <w:rFonts w:ascii="Arial Unicode MS" w:eastAsia="Arial Unicode MS" w:hAnsi="Arial Unicode MS" w:cs="Arial Unicode MS" w:hint="eastAsia"/>
          <w:color w:val="000000"/>
          <w:sz w:val="20"/>
          <w:szCs w:val="20"/>
        </w:rPr>
        <w:t>☒</w:t>
      </w:r>
      <w:r>
        <w:rPr>
          <w:rFonts w:ascii="Times New Roman" w:eastAsia="宋体" w:hAnsi="Times New Roman"/>
          <w:color w:val="000000"/>
          <w:sz w:val="18"/>
          <w:szCs w:val="18"/>
        </w:rPr>
        <w:t>    No  </w:t>
      </w:r>
      <w:r>
        <w:rPr>
          <w:rFonts w:ascii="Arial Unicode MS" w:eastAsia="Arial Unicode MS" w:hAnsi="Arial Unicode MS" w:cs="Arial Unicode MS" w:hint="eastAsia"/>
          <w:color w:val="000000"/>
          <w:sz w:val="20"/>
          <w:szCs w:val="20"/>
        </w:rPr>
        <w:t>☐</w:t>
      </w:r>
    </w:p>
    <w:p w14:paraId="098A853A" w14:textId="77777777" w:rsidR="00141CDF" w:rsidRDefault="00DF45E0">
      <w:pPr>
        <w:spacing w:before="120"/>
      </w:pPr>
      <w:r>
        <w:rPr>
          <w:rFonts w:ascii="Times New Roman" w:eastAsia="宋体" w:hAnsi="Times New Roman"/>
          <w:color w:val="000000"/>
          <w:sz w:val="18"/>
          <w:szCs w:val="18"/>
        </w:rPr>
        <w:t xml:space="preserve">Indicate by check mark whether the registrant has submitted electronically every Interactive Data File required to be submitted pursuant to Rule 405 of Regulation S-T (§232.405 of this chapter) during the preceding </w:t>
      </w:r>
      <w:r>
        <w:rPr>
          <w:rFonts w:ascii="Times New Roman" w:eastAsia="宋体" w:hAnsi="Times New Roman"/>
          <w:color w:val="000000"/>
          <w:sz w:val="18"/>
          <w:szCs w:val="18"/>
        </w:rPr>
        <w:t>12 months (or for such shorter period that the registrant was required to submit such files).    Yes  </w:t>
      </w:r>
      <w:r>
        <w:rPr>
          <w:rFonts w:ascii="Arial Unicode MS" w:eastAsia="Arial Unicode MS" w:hAnsi="Arial Unicode MS" w:cs="Arial Unicode MS" w:hint="eastAsia"/>
          <w:color w:val="000000"/>
          <w:sz w:val="20"/>
          <w:szCs w:val="20"/>
        </w:rPr>
        <w:t>☒</w:t>
      </w:r>
      <w:r>
        <w:rPr>
          <w:rFonts w:ascii="Times New Roman" w:eastAsia="宋体" w:hAnsi="Times New Roman"/>
          <w:color w:val="000000"/>
          <w:sz w:val="18"/>
          <w:szCs w:val="18"/>
        </w:rPr>
        <w:t>    No  </w:t>
      </w:r>
      <w:r>
        <w:rPr>
          <w:rFonts w:ascii="Arial Unicode MS" w:eastAsia="Arial Unicode MS" w:hAnsi="Arial Unicode MS" w:cs="Arial Unicode MS" w:hint="eastAsia"/>
          <w:color w:val="000000"/>
          <w:sz w:val="20"/>
          <w:szCs w:val="20"/>
        </w:rPr>
        <w:t>☐</w:t>
      </w:r>
    </w:p>
    <w:p w14:paraId="098A853B" w14:textId="77777777" w:rsidR="00141CDF" w:rsidRDefault="00DF45E0">
      <w:pPr>
        <w:spacing w:before="120"/>
      </w:pPr>
      <w:r>
        <w:rPr>
          <w:rFonts w:ascii="Times New Roman" w:eastAsia="宋体" w:hAnsi="Times New Roman"/>
          <w:color w:val="000000"/>
          <w:sz w:val="18"/>
          <w:szCs w:val="18"/>
        </w:rPr>
        <w:t>Indicate by check mark whether the registrant is a large accelerated filer, an accelerated filer, a non-accelerated filer, smaller reporting co</w:t>
      </w:r>
      <w:r>
        <w:rPr>
          <w:rFonts w:ascii="Times New Roman" w:eastAsia="宋体" w:hAnsi="Times New Roman"/>
          <w:color w:val="000000"/>
          <w:sz w:val="18"/>
          <w:szCs w:val="18"/>
        </w:rPr>
        <w:t xml:space="preserve">mpany, or an emerging growth company. See definitions of "large accelerated filer," "accelerated filer," "smaller reporting company," and "emerging growth company" in Rule 12b-2 of the Exchange Act. </w:t>
      </w:r>
    </w:p>
    <w:tbl>
      <w:tblPr>
        <w:tblW w:w="3999" w:type="pct"/>
        <w:tblInd w:w="-885" w:type="dxa"/>
        <w:tblCellMar>
          <w:top w:w="15" w:type="dxa"/>
          <w:left w:w="15" w:type="dxa"/>
          <w:bottom w:w="15" w:type="dxa"/>
          <w:right w:w="15" w:type="dxa"/>
        </w:tblCellMar>
        <w:tblLook w:val="04A0" w:firstRow="1" w:lastRow="0" w:firstColumn="1" w:lastColumn="0" w:noHBand="0" w:noVBand="1"/>
      </w:tblPr>
      <w:tblGrid>
        <w:gridCol w:w="52"/>
        <w:gridCol w:w="2094"/>
        <w:gridCol w:w="37"/>
        <w:gridCol w:w="52"/>
        <w:gridCol w:w="154"/>
        <w:gridCol w:w="36"/>
        <w:gridCol w:w="52"/>
        <w:gridCol w:w="1241"/>
        <w:gridCol w:w="36"/>
        <w:gridCol w:w="52"/>
        <w:gridCol w:w="154"/>
        <w:gridCol w:w="36"/>
        <w:gridCol w:w="65"/>
        <w:gridCol w:w="2081"/>
        <w:gridCol w:w="36"/>
        <w:gridCol w:w="52"/>
        <w:gridCol w:w="155"/>
        <w:gridCol w:w="36"/>
        <w:gridCol w:w="59"/>
        <w:gridCol w:w="151"/>
        <w:gridCol w:w="36"/>
      </w:tblGrid>
      <w:tr w:rsidR="00141CDF" w14:paraId="098A8551" w14:textId="77777777">
        <w:tc>
          <w:tcPr>
            <w:tcW w:w="50" w:type="pct"/>
            <w:shd w:val="clear" w:color="auto" w:fill="auto"/>
            <w:vAlign w:val="bottom"/>
          </w:tcPr>
          <w:p w14:paraId="098A853C" w14:textId="77777777" w:rsidR="00141CDF" w:rsidRDefault="00141CDF">
            <w:pPr>
              <w:rPr>
                <w:rFonts w:ascii="宋体"/>
              </w:rPr>
            </w:pPr>
          </w:p>
        </w:tc>
        <w:tc>
          <w:tcPr>
            <w:tcW w:w="1581" w:type="pct"/>
            <w:shd w:val="clear" w:color="auto" w:fill="auto"/>
            <w:vAlign w:val="bottom"/>
          </w:tcPr>
          <w:p w14:paraId="098A853D" w14:textId="77777777" w:rsidR="00141CDF" w:rsidRDefault="00141CDF">
            <w:pPr>
              <w:rPr>
                <w:rFonts w:ascii="宋体"/>
              </w:rPr>
            </w:pPr>
          </w:p>
        </w:tc>
        <w:tc>
          <w:tcPr>
            <w:tcW w:w="5" w:type="pct"/>
            <w:shd w:val="clear" w:color="auto" w:fill="auto"/>
            <w:vAlign w:val="bottom"/>
          </w:tcPr>
          <w:p w14:paraId="098A853E" w14:textId="77777777" w:rsidR="00141CDF" w:rsidRDefault="00141CDF">
            <w:pPr>
              <w:rPr>
                <w:rFonts w:ascii="宋体"/>
              </w:rPr>
            </w:pPr>
          </w:p>
        </w:tc>
        <w:tc>
          <w:tcPr>
            <w:tcW w:w="50" w:type="pct"/>
            <w:shd w:val="clear" w:color="auto" w:fill="auto"/>
            <w:vAlign w:val="bottom"/>
          </w:tcPr>
          <w:p w14:paraId="098A853F" w14:textId="77777777" w:rsidR="00141CDF" w:rsidRDefault="00141CDF">
            <w:pPr>
              <w:rPr>
                <w:rFonts w:ascii="宋体"/>
              </w:rPr>
            </w:pPr>
          </w:p>
        </w:tc>
        <w:tc>
          <w:tcPr>
            <w:tcW w:w="127" w:type="pct"/>
            <w:shd w:val="clear" w:color="auto" w:fill="auto"/>
            <w:vAlign w:val="bottom"/>
          </w:tcPr>
          <w:p w14:paraId="098A8540" w14:textId="77777777" w:rsidR="00141CDF" w:rsidRDefault="00141CDF">
            <w:pPr>
              <w:rPr>
                <w:rFonts w:ascii="宋体"/>
              </w:rPr>
            </w:pPr>
          </w:p>
        </w:tc>
        <w:tc>
          <w:tcPr>
            <w:tcW w:w="5" w:type="pct"/>
            <w:shd w:val="clear" w:color="auto" w:fill="auto"/>
            <w:vAlign w:val="bottom"/>
          </w:tcPr>
          <w:p w14:paraId="098A8541" w14:textId="77777777" w:rsidR="00141CDF" w:rsidRDefault="00141CDF">
            <w:pPr>
              <w:rPr>
                <w:rFonts w:ascii="宋体"/>
              </w:rPr>
            </w:pPr>
          </w:p>
        </w:tc>
        <w:tc>
          <w:tcPr>
            <w:tcW w:w="50" w:type="pct"/>
            <w:shd w:val="clear" w:color="auto" w:fill="auto"/>
            <w:vAlign w:val="bottom"/>
          </w:tcPr>
          <w:p w14:paraId="098A8542" w14:textId="77777777" w:rsidR="00141CDF" w:rsidRDefault="00141CDF">
            <w:pPr>
              <w:rPr>
                <w:rFonts w:ascii="宋体"/>
              </w:rPr>
            </w:pPr>
          </w:p>
        </w:tc>
        <w:tc>
          <w:tcPr>
            <w:tcW w:w="941" w:type="pct"/>
            <w:shd w:val="clear" w:color="auto" w:fill="auto"/>
            <w:vAlign w:val="bottom"/>
          </w:tcPr>
          <w:p w14:paraId="098A8543" w14:textId="77777777" w:rsidR="00141CDF" w:rsidRDefault="00141CDF">
            <w:pPr>
              <w:rPr>
                <w:rFonts w:ascii="宋体"/>
              </w:rPr>
            </w:pPr>
          </w:p>
        </w:tc>
        <w:tc>
          <w:tcPr>
            <w:tcW w:w="5" w:type="pct"/>
            <w:shd w:val="clear" w:color="auto" w:fill="auto"/>
            <w:vAlign w:val="bottom"/>
          </w:tcPr>
          <w:p w14:paraId="098A8544" w14:textId="77777777" w:rsidR="00141CDF" w:rsidRDefault="00141CDF">
            <w:pPr>
              <w:rPr>
                <w:rFonts w:ascii="宋体"/>
              </w:rPr>
            </w:pPr>
          </w:p>
        </w:tc>
        <w:tc>
          <w:tcPr>
            <w:tcW w:w="50" w:type="pct"/>
            <w:shd w:val="clear" w:color="auto" w:fill="auto"/>
            <w:vAlign w:val="bottom"/>
          </w:tcPr>
          <w:p w14:paraId="098A8545" w14:textId="77777777" w:rsidR="00141CDF" w:rsidRDefault="00141CDF">
            <w:pPr>
              <w:rPr>
                <w:rFonts w:ascii="宋体"/>
              </w:rPr>
            </w:pPr>
          </w:p>
        </w:tc>
        <w:tc>
          <w:tcPr>
            <w:tcW w:w="127" w:type="pct"/>
            <w:shd w:val="clear" w:color="auto" w:fill="auto"/>
            <w:vAlign w:val="bottom"/>
          </w:tcPr>
          <w:p w14:paraId="098A8546" w14:textId="77777777" w:rsidR="00141CDF" w:rsidRDefault="00141CDF">
            <w:pPr>
              <w:rPr>
                <w:rFonts w:ascii="宋体"/>
              </w:rPr>
            </w:pPr>
          </w:p>
        </w:tc>
        <w:tc>
          <w:tcPr>
            <w:tcW w:w="5" w:type="pct"/>
            <w:shd w:val="clear" w:color="auto" w:fill="auto"/>
            <w:vAlign w:val="bottom"/>
          </w:tcPr>
          <w:p w14:paraId="098A8547" w14:textId="77777777" w:rsidR="00141CDF" w:rsidRDefault="00141CDF">
            <w:pPr>
              <w:rPr>
                <w:rFonts w:ascii="宋体"/>
              </w:rPr>
            </w:pPr>
          </w:p>
        </w:tc>
        <w:tc>
          <w:tcPr>
            <w:tcW w:w="50" w:type="pct"/>
            <w:shd w:val="clear" w:color="auto" w:fill="auto"/>
            <w:vAlign w:val="bottom"/>
          </w:tcPr>
          <w:p w14:paraId="098A8548" w14:textId="77777777" w:rsidR="00141CDF" w:rsidRDefault="00141CDF">
            <w:pPr>
              <w:rPr>
                <w:rFonts w:ascii="宋体"/>
              </w:rPr>
            </w:pPr>
          </w:p>
        </w:tc>
        <w:tc>
          <w:tcPr>
            <w:tcW w:w="1581" w:type="pct"/>
            <w:shd w:val="clear" w:color="auto" w:fill="auto"/>
            <w:vAlign w:val="bottom"/>
          </w:tcPr>
          <w:p w14:paraId="098A8549" w14:textId="77777777" w:rsidR="00141CDF" w:rsidRDefault="00141CDF">
            <w:pPr>
              <w:rPr>
                <w:rFonts w:ascii="宋体"/>
              </w:rPr>
            </w:pPr>
          </w:p>
        </w:tc>
        <w:tc>
          <w:tcPr>
            <w:tcW w:w="5" w:type="pct"/>
            <w:shd w:val="clear" w:color="auto" w:fill="auto"/>
            <w:vAlign w:val="bottom"/>
          </w:tcPr>
          <w:p w14:paraId="098A854A" w14:textId="77777777" w:rsidR="00141CDF" w:rsidRDefault="00141CDF">
            <w:pPr>
              <w:rPr>
                <w:rFonts w:ascii="宋体"/>
              </w:rPr>
            </w:pPr>
          </w:p>
        </w:tc>
        <w:tc>
          <w:tcPr>
            <w:tcW w:w="50" w:type="pct"/>
            <w:shd w:val="clear" w:color="auto" w:fill="auto"/>
            <w:vAlign w:val="bottom"/>
          </w:tcPr>
          <w:p w14:paraId="098A854B" w14:textId="77777777" w:rsidR="00141CDF" w:rsidRDefault="00141CDF">
            <w:pPr>
              <w:rPr>
                <w:rFonts w:ascii="宋体"/>
              </w:rPr>
            </w:pPr>
          </w:p>
        </w:tc>
        <w:tc>
          <w:tcPr>
            <w:tcW w:w="127" w:type="pct"/>
            <w:shd w:val="clear" w:color="auto" w:fill="auto"/>
            <w:vAlign w:val="bottom"/>
          </w:tcPr>
          <w:p w14:paraId="098A854C" w14:textId="77777777" w:rsidR="00141CDF" w:rsidRDefault="00141CDF">
            <w:pPr>
              <w:rPr>
                <w:rFonts w:ascii="宋体"/>
              </w:rPr>
            </w:pPr>
          </w:p>
        </w:tc>
        <w:tc>
          <w:tcPr>
            <w:tcW w:w="5" w:type="pct"/>
            <w:shd w:val="clear" w:color="auto" w:fill="auto"/>
            <w:vAlign w:val="bottom"/>
          </w:tcPr>
          <w:p w14:paraId="098A854D" w14:textId="77777777" w:rsidR="00141CDF" w:rsidRDefault="00141CDF">
            <w:pPr>
              <w:rPr>
                <w:rFonts w:ascii="宋体"/>
              </w:rPr>
            </w:pPr>
          </w:p>
        </w:tc>
        <w:tc>
          <w:tcPr>
            <w:tcW w:w="50" w:type="pct"/>
            <w:shd w:val="clear" w:color="auto" w:fill="auto"/>
            <w:vAlign w:val="bottom"/>
          </w:tcPr>
          <w:p w14:paraId="098A854E" w14:textId="77777777" w:rsidR="00141CDF" w:rsidRDefault="00141CDF">
            <w:pPr>
              <w:rPr>
                <w:rFonts w:ascii="宋体"/>
              </w:rPr>
            </w:pPr>
          </w:p>
        </w:tc>
        <w:tc>
          <w:tcPr>
            <w:tcW w:w="128" w:type="pct"/>
            <w:shd w:val="clear" w:color="auto" w:fill="auto"/>
            <w:vAlign w:val="bottom"/>
          </w:tcPr>
          <w:p w14:paraId="098A854F" w14:textId="77777777" w:rsidR="00141CDF" w:rsidRDefault="00141CDF">
            <w:pPr>
              <w:rPr>
                <w:rFonts w:ascii="宋体"/>
              </w:rPr>
            </w:pPr>
          </w:p>
        </w:tc>
        <w:tc>
          <w:tcPr>
            <w:tcW w:w="5" w:type="pct"/>
            <w:shd w:val="clear" w:color="auto" w:fill="auto"/>
            <w:vAlign w:val="bottom"/>
          </w:tcPr>
          <w:p w14:paraId="098A8550" w14:textId="77777777" w:rsidR="00141CDF" w:rsidRDefault="00141CDF">
            <w:pPr>
              <w:rPr>
                <w:rFonts w:ascii="宋体"/>
              </w:rPr>
            </w:pPr>
          </w:p>
        </w:tc>
      </w:tr>
      <w:tr w:rsidR="00141CDF" w14:paraId="098A8559" w14:textId="77777777">
        <w:tc>
          <w:tcPr>
            <w:tcW w:w="0" w:type="auto"/>
            <w:gridSpan w:val="3"/>
            <w:shd w:val="clear" w:color="auto" w:fill="auto"/>
            <w:tcMar>
              <w:top w:w="40" w:type="dxa"/>
              <w:left w:w="20" w:type="dxa"/>
              <w:bottom w:w="40" w:type="dxa"/>
              <w:right w:w="20" w:type="dxa"/>
            </w:tcMar>
            <w:vAlign w:val="bottom"/>
          </w:tcPr>
          <w:p w14:paraId="098A8552" w14:textId="77777777" w:rsidR="00141CDF" w:rsidRDefault="00DF45E0">
            <w:pPr>
              <w:textAlignment w:val="bottom"/>
            </w:pPr>
            <w:r>
              <w:rPr>
                <w:rFonts w:ascii="Times New Roman" w:eastAsia="宋体" w:hAnsi="Times New Roman"/>
                <w:color w:val="000000"/>
                <w:sz w:val="18"/>
                <w:szCs w:val="18"/>
              </w:rPr>
              <w:lastRenderedPageBreak/>
              <w:t>Large Accelerated Filer</w:t>
            </w:r>
          </w:p>
        </w:tc>
        <w:tc>
          <w:tcPr>
            <w:tcW w:w="0" w:type="auto"/>
            <w:gridSpan w:val="3"/>
            <w:shd w:val="clear" w:color="auto" w:fill="auto"/>
            <w:tcMar>
              <w:top w:w="40" w:type="dxa"/>
              <w:left w:w="20" w:type="dxa"/>
              <w:bottom w:w="40" w:type="dxa"/>
              <w:right w:w="20" w:type="dxa"/>
            </w:tcMar>
            <w:vAlign w:val="bottom"/>
          </w:tcPr>
          <w:p w14:paraId="098A8553" w14:textId="77777777" w:rsidR="00141CDF" w:rsidRDefault="00DF45E0">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098A8554" w14:textId="77777777" w:rsidR="00141CDF" w:rsidRDefault="00DF45E0">
            <w:pPr>
              <w:textAlignment w:val="bottom"/>
            </w:pPr>
            <w:r>
              <w:rPr>
                <w:rFonts w:ascii="Arial Unicode MS" w:eastAsia="Arial Unicode MS" w:hAnsi="Arial Unicode MS" w:cs="Arial Unicode MS" w:hint="eastAsia"/>
                <w:color w:val="000000"/>
                <w:sz w:val="20"/>
                <w:szCs w:val="20"/>
              </w:rPr>
              <w:t>☒</w:t>
            </w:r>
          </w:p>
        </w:tc>
        <w:tc>
          <w:tcPr>
            <w:tcW w:w="0" w:type="auto"/>
            <w:gridSpan w:val="3"/>
            <w:shd w:val="clear" w:color="auto" w:fill="auto"/>
            <w:tcMar>
              <w:top w:w="40" w:type="dxa"/>
              <w:left w:w="20" w:type="dxa"/>
              <w:bottom w:w="40" w:type="dxa"/>
              <w:right w:w="20" w:type="dxa"/>
            </w:tcMar>
            <w:vAlign w:val="bottom"/>
          </w:tcPr>
          <w:p w14:paraId="098A8555" w14:textId="77777777" w:rsidR="00141CDF" w:rsidRDefault="00DF45E0">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098A8556" w14:textId="77777777" w:rsidR="00141CDF" w:rsidRDefault="00DF45E0">
            <w:pPr>
              <w:textAlignment w:val="bottom"/>
            </w:pPr>
            <w:r>
              <w:rPr>
                <w:rFonts w:ascii="Times New Roman" w:eastAsia="宋体" w:hAnsi="Times New Roman"/>
                <w:color w:val="000000"/>
                <w:sz w:val="18"/>
                <w:szCs w:val="18"/>
              </w:rPr>
              <w:t>Accelerated Filer</w:t>
            </w:r>
          </w:p>
        </w:tc>
        <w:tc>
          <w:tcPr>
            <w:tcW w:w="0" w:type="auto"/>
            <w:gridSpan w:val="3"/>
            <w:shd w:val="clear" w:color="auto" w:fill="auto"/>
            <w:tcMar>
              <w:top w:w="40" w:type="dxa"/>
              <w:left w:w="20" w:type="dxa"/>
              <w:bottom w:w="40" w:type="dxa"/>
              <w:right w:w="20" w:type="dxa"/>
            </w:tcMar>
            <w:vAlign w:val="bottom"/>
          </w:tcPr>
          <w:p w14:paraId="098A8557" w14:textId="77777777" w:rsidR="00141CDF" w:rsidRDefault="00DF45E0">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098A8558" w14:textId="77777777" w:rsidR="00141CDF" w:rsidRDefault="00DF45E0">
            <w:pPr>
              <w:textAlignment w:val="bottom"/>
            </w:pPr>
            <w:r>
              <w:rPr>
                <w:rFonts w:ascii="Arial Unicode MS" w:eastAsia="Arial Unicode MS" w:hAnsi="Arial Unicode MS" w:cs="Arial Unicode MS" w:hint="eastAsia"/>
                <w:color w:val="000000"/>
                <w:sz w:val="20"/>
                <w:szCs w:val="20"/>
              </w:rPr>
              <w:t>☐</w:t>
            </w:r>
          </w:p>
        </w:tc>
      </w:tr>
      <w:tr w:rsidR="00141CDF" w14:paraId="098A8561" w14:textId="77777777">
        <w:tc>
          <w:tcPr>
            <w:tcW w:w="0" w:type="auto"/>
            <w:gridSpan w:val="3"/>
            <w:shd w:val="clear" w:color="auto" w:fill="auto"/>
            <w:tcMar>
              <w:top w:w="40" w:type="dxa"/>
              <w:left w:w="20" w:type="dxa"/>
              <w:bottom w:w="40" w:type="dxa"/>
              <w:right w:w="20" w:type="dxa"/>
            </w:tcMar>
            <w:vAlign w:val="bottom"/>
          </w:tcPr>
          <w:p w14:paraId="098A855A" w14:textId="77777777" w:rsidR="00141CDF" w:rsidRDefault="00DF45E0">
            <w:pPr>
              <w:textAlignment w:val="bottom"/>
            </w:pPr>
            <w:r>
              <w:rPr>
                <w:rFonts w:ascii="Times New Roman" w:eastAsia="宋体" w:hAnsi="Times New Roman"/>
                <w:color w:val="000000"/>
                <w:sz w:val="18"/>
                <w:szCs w:val="18"/>
              </w:rPr>
              <w:t>Non-Accelerated Filer</w:t>
            </w:r>
          </w:p>
        </w:tc>
        <w:tc>
          <w:tcPr>
            <w:tcW w:w="0" w:type="auto"/>
            <w:gridSpan w:val="3"/>
            <w:shd w:val="clear" w:color="auto" w:fill="auto"/>
            <w:tcMar>
              <w:top w:w="40" w:type="dxa"/>
              <w:left w:w="20" w:type="dxa"/>
              <w:bottom w:w="40" w:type="dxa"/>
              <w:right w:w="20" w:type="dxa"/>
            </w:tcMar>
            <w:vAlign w:val="bottom"/>
          </w:tcPr>
          <w:p w14:paraId="098A855B" w14:textId="77777777" w:rsidR="00141CDF" w:rsidRDefault="00DF45E0">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098A855C" w14:textId="77777777" w:rsidR="00141CDF" w:rsidRDefault="00DF45E0">
            <w:pPr>
              <w:textAlignment w:val="bottom"/>
            </w:pPr>
            <w:r>
              <w:rPr>
                <w:rFonts w:ascii="Arial Unicode MS" w:eastAsia="Arial Unicode MS" w:hAnsi="Arial Unicode MS" w:cs="Arial Unicode MS" w:hint="eastAsia"/>
                <w:color w:val="000000"/>
                <w:sz w:val="20"/>
                <w:szCs w:val="20"/>
              </w:rPr>
              <w:t>☐</w:t>
            </w:r>
          </w:p>
        </w:tc>
        <w:tc>
          <w:tcPr>
            <w:tcW w:w="0" w:type="auto"/>
            <w:gridSpan w:val="3"/>
            <w:shd w:val="clear" w:color="auto" w:fill="auto"/>
            <w:tcMar>
              <w:top w:w="40" w:type="dxa"/>
              <w:left w:w="20" w:type="dxa"/>
              <w:bottom w:w="40" w:type="dxa"/>
              <w:right w:w="20" w:type="dxa"/>
            </w:tcMar>
            <w:vAlign w:val="bottom"/>
          </w:tcPr>
          <w:p w14:paraId="098A855D" w14:textId="77777777" w:rsidR="00141CDF" w:rsidRDefault="00DF45E0">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098A855E" w14:textId="77777777" w:rsidR="00141CDF" w:rsidRDefault="00DF45E0">
            <w:pPr>
              <w:textAlignment w:val="bottom"/>
            </w:pPr>
            <w:r>
              <w:rPr>
                <w:rFonts w:ascii="Times New Roman" w:eastAsia="宋体" w:hAnsi="Times New Roman"/>
                <w:color w:val="000000"/>
                <w:sz w:val="18"/>
                <w:szCs w:val="18"/>
              </w:rPr>
              <w:t>Smaller Reporting Company</w:t>
            </w:r>
          </w:p>
        </w:tc>
        <w:tc>
          <w:tcPr>
            <w:tcW w:w="0" w:type="auto"/>
            <w:gridSpan w:val="3"/>
            <w:shd w:val="clear" w:color="auto" w:fill="auto"/>
            <w:tcMar>
              <w:top w:w="40" w:type="dxa"/>
              <w:left w:w="20" w:type="dxa"/>
              <w:bottom w:w="40" w:type="dxa"/>
              <w:right w:w="20" w:type="dxa"/>
            </w:tcMar>
            <w:vAlign w:val="bottom"/>
          </w:tcPr>
          <w:p w14:paraId="098A855F" w14:textId="77777777" w:rsidR="00141CDF" w:rsidRDefault="00DF45E0">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098A8560" w14:textId="77777777" w:rsidR="00141CDF" w:rsidRDefault="00DF45E0">
            <w:pPr>
              <w:textAlignment w:val="bottom"/>
            </w:pPr>
            <w:r>
              <w:rPr>
                <w:rFonts w:ascii="Arial Unicode MS" w:eastAsia="Arial Unicode MS" w:hAnsi="Arial Unicode MS" w:cs="Arial Unicode MS" w:hint="eastAsia"/>
                <w:color w:val="000000"/>
                <w:sz w:val="20"/>
                <w:szCs w:val="20"/>
              </w:rPr>
              <w:t>☐</w:t>
            </w:r>
          </w:p>
        </w:tc>
      </w:tr>
      <w:tr w:rsidR="00141CDF" w14:paraId="098A8569" w14:textId="77777777">
        <w:tc>
          <w:tcPr>
            <w:tcW w:w="0" w:type="auto"/>
            <w:gridSpan w:val="3"/>
            <w:shd w:val="clear" w:color="auto" w:fill="auto"/>
            <w:tcMar>
              <w:top w:w="0" w:type="dxa"/>
              <w:left w:w="20" w:type="dxa"/>
              <w:bottom w:w="0" w:type="dxa"/>
              <w:right w:w="20" w:type="dxa"/>
            </w:tcMar>
            <w:vAlign w:val="bottom"/>
          </w:tcPr>
          <w:p w14:paraId="098A8562"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563"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564"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565"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566" w14:textId="77777777" w:rsidR="00141CDF" w:rsidRDefault="00DF45E0">
            <w:pPr>
              <w:textAlignment w:val="bottom"/>
            </w:pPr>
            <w:r>
              <w:rPr>
                <w:rFonts w:ascii="Times New Roman" w:eastAsia="宋体" w:hAnsi="Times New Roman"/>
                <w:color w:val="000000"/>
                <w:sz w:val="18"/>
                <w:szCs w:val="18"/>
              </w:rPr>
              <w:t>Emerging Growth Company</w:t>
            </w:r>
          </w:p>
        </w:tc>
        <w:tc>
          <w:tcPr>
            <w:tcW w:w="0" w:type="auto"/>
            <w:gridSpan w:val="3"/>
            <w:shd w:val="clear" w:color="auto" w:fill="auto"/>
            <w:tcMar>
              <w:top w:w="0" w:type="dxa"/>
              <w:left w:w="20" w:type="dxa"/>
              <w:bottom w:w="0" w:type="dxa"/>
              <w:right w:w="20" w:type="dxa"/>
            </w:tcMar>
            <w:vAlign w:val="bottom"/>
          </w:tcPr>
          <w:p w14:paraId="098A8567"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568" w14:textId="77777777" w:rsidR="00141CDF" w:rsidRDefault="00DF45E0">
            <w:pPr>
              <w:textAlignment w:val="bottom"/>
            </w:pPr>
            <w:r>
              <w:rPr>
                <w:rFonts w:ascii="Arial Unicode MS" w:eastAsia="Arial Unicode MS" w:hAnsi="Arial Unicode MS" w:cs="Arial Unicode MS" w:hint="eastAsia"/>
                <w:color w:val="000000"/>
                <w:sz w:val="20"/>
                <w:szCs w:val="20"/>
              </w:rPr>
              <w:t>☐</w:t>
            </w:r>
          </w:p>
        </w:tc>
      </w:tr>
    </w:tbl>
    <w:p w14:paraId="098A856A" w14:textId="77777777" w:rsidR="00141CDF" w:rsidRDefault="00DF45E0">
      <w:pPr>
        <w:spacing w:before="20"/>
      </w:pPr>
      <w:r>
        <w:rPr>
          <w:rFonts w:ascii="Times New Roman" w:eastAsia="宋体" w:hAnsi="Times New Roman"/>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color w:val="000000"/>
          <w:sz w:val="18"/>
          <w:szCs w:val="18"/>
        </w:rPr>
        <w:t>☐</w:t>
      </w:r>
      <w:r>
        <w:rPr>
          <w:rFonts w:ascii="Times New Roman" w:eastAsia="宋体" w:hAnsi="Times New Roman"/>
          <w:color w:val="000000"/>
          <w:sz w:val="18"/>
          <w:szCs w:val="18"/>
        </w:rPr>
        <w:t>  </w:t>
      </w:r>
    </w:p>
    <w:p w14:paraId="098A856B" w14:textId="77777777" w:rsidR="00141CDF" w:rsidRDefault="00DF45E0">
      <w:pPr>
        <w:spacing w:before="120"/>
      </w:pPr>
      <w:r>
        <w:rPr>
          <w:rFonts w:ascii="Times New Roman" w:eastAsia="宋体" w:hAnsi="Times New Roman"/>
          <w:color w:val="000000"/>
          <w:sz w:val="18"/>
          <w:szCs w:val="18"/>
        </w:rPr>
        <w:t>I</w:t>
      </w:r>
      <w:r>
        <w:rPr>
          <w:rFonts w:ascii="Times New Roman" w:eastAsia="宋体" w:hAnsi="Times New Roman"/>
          <w:color w:val="000000"/>
          <w:sz w:val="18"/>
          <w:szCs w:val="18"/>
        </w:rPr>
        <w:t>ndicate by a check mark whether the registrant is a shell company (as defined in Rule 12b-2 of the Exchange Act).    Yes  </w:t>
      </w:r>
      <w:r>
        <w:rPr>
          <w:rFonts w:ascii="Arial Unicode MS" w:eastAsia="Arial Unicode MS" w:hAnsi="Arial Unicode MS" w:cs="Arial Unicode MS" w:hint="eastAsia"/>
          <w:color w:val="000000"/>
          <w:sz w:val="20"/>
          <w:szCs w:val="20"/>
        </w:rPr>
        <w:t>☐</w:t>
      </w:r>
      <w:r>
        <w:rPr>
          <w:rFonts w:ascii="Times New Roman" w:eastAsia="宋体" w:hAnsi="Times New Roman"/>
          <w:color w:val="000000"/>
          <w:sz w:val="18"/>
          <w:szCs w:val="18"/>
        </w:rPr>
        <w:t>   No  </w:t>
      </w:r>
      <w:r>
        <w:rPr>
          <w:rFonts w:ascii="Arial Unicode MS" w:eastAsia="Arial Unicode MS" w:hAnsi="Arial Unicode MS" w:cs="Arial Unicode MS" w:hint="eastAsia"/>
          <w:color w:val="000000"/>
          <w:sz w:val="20"/>
          <w:szCs w:val="20"/>
        </w:rPr>
        <w:t>☒</w:t>
      </w:r>
      <w:r>
        <w:rPr>
          <w:rFonts w:ascii="Wingdings" w:eastAsia="宋体" w:hAnsi="Wingdings" w:cs="Wingdings"/>
          <w:color w:val="000000"/>
          <w:sz w:val="18"/>
          <w:szCs w:val="18"/>
        </w:rPr>
        <w:t xml:space="preserve"> </w:t>
      </w:r>
    </w:p>
    <w:p w14:paraId="098A856C" w14:textId="77777777" w:rsidR="00141CDF" w:rsidRDefault="00DF45E0">
      <w:pPr>
        <w:spacing w:before="100"/>
      </w:pPr>
      <w:r>
        <w:rPr>
          <w:rFonts w:ascii="Times New Roman" w:eastAsia="宋体" w:hAnsi="Times New Roman"/>
          <w:color w:val="000000"/>
          <w:sz w:val="18"/>
          <w:szCs w:val="18"/>
        </w:rPr>
        <w:t>The registrant had 2,714,237,937</w:t>
      </w:r>
      <w:r>
        <w:rPr>
          <w:rFonts w:ascii="Times New Roman" w:eastAsia="宋体" w:hAnsi="Times New Roman"/>
          <w:color w:val="1F497D"/>
          <w:sz w:val="18"/>
          <w:szCs w:val="18"/>
        </w:rPr>
        <w:t xml:space="preserve"> </w:t>
      </w:r>
      <w:r>
        <w:rPr>
          <w:rFonts w:ascii="Times New Roman" w:eastAsia="宋体" w:hAnsi="Times New Roman"/>
          <w:color w:val="000000"/>
          <w:sz w:val="18"/>
          <w:szCs w:val="18"/>
        </w:rPr>
        <w:t>shares of common stock outstanding as of August 31, 2022.</w:t>
      </w:r>
    </w:p>
    <w:p w14:paraId="098A856D" w14:textId="77777777" w:rsidR="00141CDF" w:rsidRDefault="00141CDF"/>
    <w:p w14:paraId="098A856E" w14:textId="77777777" w:rsidR="00141CDF" w:rsidRDefault="00DF45E0">
      <w:r>
        <w:pict w14:anchorId="098AA64F">
          <v:rect id="_x0000_i1025" style="width:415.3pt;height:1.5pt" o:hralign="center" o:hrstd="t" o:hr="t" fillcolor="#a0a0a0" stroked="f"/>
        </w:pict>
      </w:r>
    </w:p>
    <w:p w14:paraId="098A856F" w14:textId="77777777" w:rsidR="00141CDF" w:rsidRDefault="00DF45E0">
      <w:hyperlink r:id="rId7" w:anchor="i24a2f296795646fa8b5ba32fd1359591_7" w:history="1">
        <w:r>
          <w:rPr>
            <w:rStyle w:val="a5"/>
            <w:rFonts w:ascii="Times New Roman" w:eastAsia="宋体" w:hAnsi="Times New Roman"/>
            <w:sz w:val="20"/>
            <w:szCs w:val="20"/>
          </w:rPr>
          <w:t>Table of Contents</w:t>
        </w:r>
      </w:hyperlink>
    </w:p>
    <w:p w14:paraId="098A8570" w14:textId="77777777" w:rsidR="00141CDF" w:rsidRDefault="00DF45E0">
      <w:pPr>
        <w:jc w:val="center"/>
      </w:pPr>
      <w:r>
        <w:rPr>
          <w:rFonts w:ascii="Times New Roman" w:eastAsia="宋体" w:hAnsi="Times New Roman"/>
          <w:b/>
          <w:bCs/>
          <w:color w:val="000000"/>
          <w:sz w:val="20"/>
          <w:szCs w:val="20"/>
        </w:rPr>
        <w:t>Walmart Inc.</w:t>
      </w:r>
    </w:p>
    <w:p w14:paraId="098A8571" w14:textId="77777777" w:rsidR="00141CDF" w:rsidRDefault="00DF45E0">
      <w:pPr>
        <w:jc w:val="center"/>
      </w:pPr>
      <w:r>
        <w:rPr>
          <w:rFonts w:ascii="Times New Roman" w:eastAsia="宋体" w:hAnsi="Times New Roman"/>
          <w:b/>
          <w:bCs/>
          <w:color w:val="000000"/>
          <w:sz w:val="20"/>
          <w:szCs w:val="20"/>
        </w:rPr>
        <w:t>Form 10-Q</w:t>
      </w:r>
    </w:p>
    <w:p w14:paraId="098A8572" w14:textId="77777777" w:rsidR="00141CDF" w:rsidRDefault="00DF45E0">
      <w:pPr>
        <w:jc w:val="center"/>
      </w:pPr>
      <w:r>
        <w:rPr>
          <w:rFonts w:ascii="Times New Roman" w:eastAsia="宋体" w:hAnsi="Times New Roman"/>
          <w:b/>
          <w:bCs/>
          <w:color w:val="000000"/>
          <w:sz w:val="20"/>
          <w:szCs w:val="20"/>
        </w:rPr>
        <w:t xml:space="preserve">For the Quarterly Period Ended July 31, 2022 </w:t>
      </w:r>
    </w:p>
    <w:p w14:paraId="098A8573" w14:textId="77777777" w:rsidR="00141CDF" w:rsidRDefault="00141CDF">
      <w:pPr>
        <w:jc w:val="center"/>
      </w:pPr>
    </w:p>
    <w:p w14:paraId="098A8574" w14:textId="77777777" w:rsidR="00141CDF" w:rsidRDefault="00141CDF">
      <w:pPr>
        <w:jc w:val="center"/>
      </w:pPr>
    </w:p>
    <w:p w14:paraId="098A8575" w14:textId="77777777" w:rsidR="00141CDF" w:rsidRDefault="00141CDF">
      <w:pPr>
        <w:jc w:val="center"/>
      </w:pPr>
    </w:p>
    <w:p w14:paraId="098A8576" w14:textId="77777777" w:rsidR="00141CDF" w:rsidRDefault="00DF45E0">
      <w:pPr>
        <w:jc w:val="center"/>
      </w:pPr>
      <w:r>
        <w:rPr>
          <w:rFonts w:ascii="Times New Roman" w:eastAsia="宋体" w:hAnsi="Times New Roman"/>
          <w:b/>
          <w:bCs/>
          <w:color w:val="000000"/>
          <w:sz w:val="20"/>
          <w:szCs w:val="20"/>
        </w:rPr>
        <w:t>Table of Contents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478"/>
        <w:gridCol w:w="37"/>
        <w:gridCol w:w="69"/>
        <w:gridCol w:w="636"/>
        <w:gridCol w:w="37"/>
        <w:gridCol w:w="69"/>
        <w:gridCol w:w="6271"/>
        <w:gridCol w:w="38"/>
        <w:gridCol w:w="69"/>
        <w:gridCol w:w="528"/>
        <w:gridCol w:w="36"/>
      </w:tblGrid>
      <w:tr w:rsidR="00141CDF" w14:paraId="098A8583" w14:textId="77777777">
        <w:trPr>
          <w:jc w:val="center"/>
        </w:trPr>
        <w:tc>
          <w:tcPr>
            <w:tcW w:w="50" w:type="pct"/>
            <w:shd w:val="clear" w:color="auto" w:fill="auto"/>
            <w:vAlign w:val="bottom"/>
          </w:tcPr>
          <w:p w14:paraId="098A8577" w14:textId="77777777" w:rsidR="00141CDF" w:rsidRDefault="00141CDF">
            <w:pPr>
              <w:rPr>
                <w:rFonts w:ascii="宋体"/>
              </w:rPr>
            </w:pPr>
          </w:p>
        </w:tc>
        <w:tc>
          <w:tcPr>
            <w:tcW w:w="295" w:type="pct"/>
            <w:shd w:val="clear" w:color="auto" w:fill="auto"/>
            <w:vAlign w:val="bottom"/>
          </w:tcPr>
          <w:p w14:paraId="098A8578" w14:textId="77777777" w:rsidR="00141CDF" w:rsidRDefault="00141CDF">
            <w:pPr>
              <w:rPr>
                <w:rFonts w:ascii="宋体"/>
              </w:rPr>
            </w:pPr>
          </w:p>
        </w:tc>
        <w:tc>
          <w:tcPr>
            <w:tcW w:w="5" w:type="pct"/>
            <w:shd w:val="clear" w:color="auto" w:fill="auto"/>
            <w:vAlign w:val="bottom"/>
          </w:tcPr>
          <w:p w14:paraId="098A8579" w14:textId="77777777" w:rsidR="00141CDF" w:rsidRDefault="00141CDF">
            <w:pPr>
              <w:rPr>
                <w:rFonts w:ascii="宋体"/>
              </w:rPr>
            </w:pPr>
          </w:p>
        </w:tc>
        <w:tc>
          <w:tcPr>
            <w:tcW w:w="50" w:type="pct"/>
            <w:shd w:val="clear" w:color="auto" w:fill="auto"/>
            <w:vAlign w:val="bottom"/>
          </w:tcPr>
          <w:p w14:paraId="098A857A" w14:textId="77777777" w:rsidR="00141CDF" w:rsidRDefault="00141CDF">
            <w:pPr>
              <w:rPr>
                <w:rFonts w:ascii="宋体"/>
              </w:rPr>
            </w:pPr>
          </w:p>
        </w:tc>
        <w:tc>
          <w:tcPr>
            <w:tcW w:w="390" w:type="pct"/>
            <w:shd w:val="clear" w:color="auto" w:fill="auto"/>
            <w:vAlign w:val="bottom"/>
          </w:tcPr>
          <w:p w14:paraId="098A857B" w14:textId="77777777" w:rsidR="00141CDF" w:rsidRDefault="00141CDF">
            <w:pPr>
              <w:rPr>
                <w:rFonts w:ascii="宋体"/>
              </w:rPr>
            </w:pPr>
          </w:p>
        </w:tc>
        <w:tc>
          <w:tcPr>
            <w:tcW w:w="5" w:type="pct"/>
            <w:shd w:val="clear" w:color="auto" w:fill="auto"/>
            <w:vAlign w:val="bottom"/>
          </w:tcPr>
          <w:p w14:paraId="098A857C" w14:textId="77777777" w:rsidR="00141CDF" w:rsidRDefault="00141CDF">
            <w:pPr>
              <w:rPr>
                <w:rFonts w:ascii="宋体"/>
              </w:rPr>
            </w:pPr>
          </w:p>
        </w:tc>
        <w:tc>
          <w:tcPr>
            <w:tcW w:w="50" w:type="pct"/>
            <w:shd w:val="clear" w:color="auto" w:fill="auto"/>
            <w:vAlign w:val="bottom"/>
          </w:tcPr>
          <w:p w14:paraId="098A857D" w14:textId="77777777" w:rsidR="00141CDF" w:rsidRDefault="00141CDF">
            <w:pPr>
              <w:rPr>
                <w:rFonts w:ascii="宋体"/>
              </w:rPr>
            </w:pPr>
          </w:p>
        </w:tc>
        <w:tc>
          <w:tcPr>
            <w:tcW w:w="3768" w:type="pct"/>
            <w:shd w:val="clear" w:color="auto" w:fill="auto"/>
            <w:vAlign w:val="bottom"/>
          </w:tcPr>
          <w:p w14:paraId="098A857E" w14:textId="77777777" w:rsidR="00141CDF" w:rsidRDefault="00141CDF">
            <w:pPr>
              <w:rPr>
                <w:rFonts w:ascii="宋体"/>
              </w:rPr>
            </w:pPr>
          </w:p>
        </w:tc>
        <w:tc>
          <w:tcPr>
            <w:tcW w:w="5" w:type="pct"/>
            <w:shd w:val="clear" w:color="auto" w:fill="auto"/>
            <w:vAlign w:val="bottom"/>
          </w:tcPr>
          <w:p w14:paraId="098A857F" w14:textId="77777777" w:rsidR="00141CDF" w:rsidRDefault="00141CDF">
            <w:pPr>
              <w:rPr>
                <w:rFonts w:ascii="宋体"/>
              </w:rPr>
            </w:pPr>
          </w:p>
        </w:tc>
        <w:tc>
          <w:tcPr>
            <w:tcW w:w="50" w:type="pct"/>
            <w:shd w:val="clear" w:color="auto" w:fill="auto"/>
            <w:vAlign w:val="bottom"/>
          </w:tcPr>
          <w:p w14:paraId="098A8580" w14:textId="77777777" w:rsidR="00141CDF" w:rsidRDefault="00141CDF">
            <w:pPr>
              <w:rPr>
                <w:rFonts w:ascii="宋体"/>
              </w:rPr>
            </w:pPr>
          </w:p>
        </w:tc>
        <w:tc>
          <w:tcPr>
            <w:tcW w:w="325" w:type="pct"/>
            <w:shd w:val="clear" w:color="auto" w:fill="auto"/>
            <w:vAlign w:val="bottom"/>
          </w:tcPr>
          <w:p w14:paraId="098A8581" w14:textId="77777777" w:rsidR="00141CDF" w:rsidRDefault="00141CDF">
            <w:pPr>
              <w:rPr>
                <w:rFonts w:ascii="宋体"/>
              </w:rPr>
            </w:pPr>
          </w:p>
        </w:tc>
        <w:tc>
          <w:tcPr>
            <w:tcW w:w="5" w:type="pct"/>
            <w:shd w:val="clear" w:color="auto" w:fill="auto"/>
            <w:vAlign w:val="bottom"/>
          </w:tcPr>
          <w:p w14:paraId="098A8582" w14:textId="77777777" w:rsidR="00141CDF" w:rsidRDefault="00141CDF">
            <w:pPr>
              <w:rPr>
                <w:rFonts w:ascii="宋体"/>
              </w:rPr>
            </w:pPr>
          </w:p>
        </w:tc>
      </w:tr>
      <w:tr w:rsidR="00141CDF" w14:paraId="098A8588" w14:textId="77777777">
        <w:trPr>
          <w:jc w:val="center"/>
        </w:trPr>
        <w:tc>
          <w:tcPr>
            <w:tcW w:w="0" w:type="auto"/>
            <w:gridSpan w:val="3"/>
            <w:shd w:val="clear" w:color="auto" w:fill="auto"/>
            <w:tcMar>
              <w:top w:w="0" w:type="dxa"/>
              <w:left w:w="20" w:type="dxa"/>
              <w:bottom w:w="0" w:type="dxa"/>
              <w:right w:w="20" w:type="dxa"/>
            </w:tcMar>
            <w:vAlign w:val="bottom"/>
          </w:tcPr>
          <w:p w14:paraId="098A8584"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585"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586"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587" w14:textId="77777777" w:rsidR="00141CDF" w:rsidRDefault="00DF45E0">
            <w:pPr>
              <w:jc w:val="center"/>
              <w:textAlignment w:val="bottom"/>
            </w:pPr>
            <w:r>
              <w:rPr>
                <w:rFonts w:ascii="Times New Roman" w:eastAsia="宋体" w:hAnsi="Times New Roman"/>
                <w:b/>
                <w:bCs/>
                <w:color w:val="000000"/>
                <w:sz w:val="18"/>
                <w:szCs w:val="18"/>
              </w:rPr>
              <w:t>Page</w:t>
            </w:r>
          </w:p>
        </w:tc>
      </w:tr>
      <w:tr w:rsidR="00141CDF" w14:paraId="098A858B" w14:textId="77777777">
        <w:trPr>
          <w:jc w:val="center"/>
        </w:trPr>
        <w:tc>
          <w:tcPr>
            <w:tcW w:w="0" w:type="auto"/>
            <w:gridSpan w:val="9"/>
            <w:shd w:val="clear" w:color="auto" w:fill="auto"/>
            <w:tcMar>
              <w:top w:w="40" w:type="dxa"/>
              <w:left w:w="20" w:type="dxa"/>
              <w:bottom w:w="40" w:type="dxa"/>
              <w:right w:w="20" w:type="dxa"/>
            </w:tcMar>
            <w:vAlign w:val="bottom"/>
          </w:tcPr>
          <w:p w14:paraId="098A8589" w14:textId="77777777" w:rsidR="00141CDF" w:rsidRDefault="00DF45E0">
            <w:pPr>
              <w:textAlignment w:val="bottom"/>
            </w:pPr>
            <w:hyperlink r:id="rId8" w:anchor="i24a2f296795646fa8b5ba32fd1359591_10" w:history="1">
              <w:r>
                <w:rPr>
                  <w:rStyle w:val="a5"/>
                  <w:rFonts w:ascii="Times New Roman" w:eastAsia="宋体" w:hAnsi="Times New Roman"/>
                  <w:sz w:val="18"/>
                  <w:szCs w:val="18"/>
                </w:rPr>
                <w:t>Part I. Financial Information</w:t>
              </w:r>
            </w:hyperlink>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858A" w14:textId="77777777" w:rsidR="00141CDF" w:rsidRDefault="00141CDF">
            <w:pPr>
              <w:rPr>
                <w:rFonts w:ascii="宋体"/>
              </w:rPr>
            </w:pPr>
          </w:p>
        </w:tc>
      </w:tr>
      <w:tr w:rsidR="00141CDF" w14:paraId="098A858F" w14:textId="77777777">
        <w:trPr>
          <w:jc w:val="center"/>
        </w:trPr>
        <w:tc>
          <w:tcPr>
            <w:tcW w:w="0" w:type="auto"/>
            <w:gridSpan w:val="3"/>
            <w:shd w:val="clear" w:color="auto" w:fill="auto"/>
            <w:tcMar>
              <w:top w:w="0" w:type="dxa"/>
              <w:left w:w="20" w:type="dxa"/>
              <w:bottom w:w="0" w:type="dxa"/>
              <w:right w:w="20" w:type="dxa"/>
            </w:tcMar>
            <w:vAlign w:val="bottom"/>
          </w:tcPr>
          <w:p w14:paraId="098A858C" w14:textId="77777777" w:rsidR="00141CDF" w:rsidRDefault="00141CDF">
            <w:pPr>
              <w:rPr>
                <w:rFonts w:ascii="宋体"/>
              </w:rPr>
            </w:pPr>
          </w:p>
        </w:tc>
        <w:tc>
          <w:tcPr>
            <w:tcW w:w="0" w:type="auto"/>
            <w:gridSpan w:val="6"/>
            <w:shd w:val="clear" w:color="auto" w:fill="auto"/>
            <w:tcMar>
              <w:top w:w="40" w:type="dxa"/>
              <w:left w:w="20" w:type="dxa"/>
              <w:bottom w:w="40" w:type="dxa"/>
              <w:right w:w="20" w:type="dxa"/>
            </w:tcMar>
            <w:vAlign w:val="bottom"/>
          </w:tcPr>
          <w:p w14:paraId="098A858D" w14:textId="77777777" w:rsidR="00141CDF" w:rsidRDefault="00DF45E0">
            <w:pPr>
              <w:textAlignment w:val="bottom"/>
            </w:pPr>
            <w:hyperlink r:id="rId9" w:anchor="i24a2f296795646fa8b5ba32fd1359591_13" w:history="1">
              <w:r>
                <w:rPr>
                  <w:rStyle w:val="a5"/>
                  <w:rFonts w:ascii="Times New Roman" w:eastAsia="宋体" w:hAnsi="Times New Roman"/>
                  <w:sz w:val="18"/>
                  <w:szCs w:val="18"/>
                </w:rPr>
                <w:t>Item 1. Financial Statements</w:t>
              </w:r>
            </w:hyperlink>
          </w:p>
        </w:tc>
        <w:tc>
          <w:tcPr>
            <w:tcW w:w="0" w:type="auto"/>
            <w:gridSpan w:val="3"/>
            <w:shd w:val="clear" w:color="auto" w:fill="auto"/>
            <w:tcMar>
              <w:top w:w="0" w:type="dxa"/>
              <w:left w:w="20" w:type="dxa"/>
              <w:bottom w:w="0" w:type="dxa"/>
              <w:right w:w="20" w:type="dxa"/>
            </w:tcMar>
            <w:vAlign w:val="bottom"/>
          </w:tcPr>
          <w:p w14:paraId="098A858E" w14:textId="77777777" w:rsidR="00141CDF" w:rsidRDefault="00141CDF">
            <w:pPr>
              <w:rPr>
                <w:rFonts w:ascii="宋体"/>
              </w:rPr>
            </w:pPr>
          </w:p>
        </w:tc>
      </w:tr>
      <w:tr w:rsidR="00141CDF" w14:paraId="098A8594" w14:textId="77777777">
        <w:trPr>
          <w:jc w:val="center"/>
        </w:trPr>
        <w:tc>
          <w:tcPr>
            <w:tcW w:w="0" w:type="auto"/>
            <w:gridSpan w:val="3"/>
            <w:shd w:val="clear" w:color="auto" w:fill="auto"/>
            <w:tcMar>
              <w:top w:w="0" w:type="dxa"/>
              <w:left w:w="20" w:type="dxa"/>
              <w:bottom w:w="0" w:type="dxa"/>
              <w:right w:w="20" w:type="dxa"/>
            </w:tcMar>
            <w:vAlign w:val="bottom"/>
          </w:tcPr>
          <w:p w14:paraId="098A8590"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591"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592" w14:textId="77777777" w:rsidR="00141CDF" w:rsidRDefault="00DF45E0">
            <w:pPr>
              <w:textAlignment w:val="bottom"/>
            </w:pPr>
            <w:hyperlink r:id="rId10" w:anchor="i24a2f296795646fa8b5ba32fd1359591_16" w:history="1">
              <w:r>
                <w:rPr>
                  <w:rStyle w:val="a5"/>
                  <w:rFonts w:ascii="Times New Roman" w:eastAsia="宋体" w:hAnsi="Times New Roman"/>
                  <w:sz w:val="18"/>
                  <w:szCs w:val="18"/>
                </w:rPr>
                <w:t>Condensed Consolidated Statements of Income</w:t>
              </w:r>
            </w:hyperlink>
          </w:p>
        </w:tc>
        <w:tc>
          <w:tcPr>
            <w:tcW w:w="0" w:type="auto"/>
            <w:gridSpan w:val="3"/>
            <w:shd w:val="clear" w:color="auto" w:fill="auto"/>
            <w:tcMar>
              <w:top w:w="40" w:type="dxa"/>
              <w:left w:w="20" w:type="dxa"/>
              <w:bottom w:w="40" w:type="dxa"/>
              <w:right w:w="20" w:type="dxa"/>
            </w:tcMar>
            <w:vAlign w:val="bottom"/>
          </w:tcPr>
          <w:p w14:paraId="098A8593" w14:textId="77777777" w:rsidR="00141CDF" w:rsidRDefault="00DF45E0">
            <w:pPr>
              <w:jc w:val="center"/>
              <w:textAlignment w:val="bottom"/>
            </w:pPr>
            <w:hyperlink r:id="rId11" w:anchor="i24a2f296795646fa8b5ba32fd1359591_16" w:history="1">
              <w:r>
                <w:rPr>
                  <w:rStyle w:val="a5"/>
                  <w:rFonts w:ascii="Times New Roman" w:eastAsia="宋体" w:hAnsi="Times New Roman"/>
                  <w:sz w:val="18"/>
                  <w:szCs w:val="18"/>
                </w:rPr>
                <w:t>3</w:t>
              </w:r>
            </w:hyperlink>
          </w:p>
        </w:tc>
      </w:tr>
      <w:tr w:rsidR="00141CDF" w14:paraId="098A8599" w14:textId="77777777">
        <w:trPr>
          <w:jc w:val="center"/>
        </w:trPr>
        <w:tc>
          <w:tcPr>
            <w:tcW w:w="0" w:type="auto"/>
            <w:gridSpan w:val="3"/>
            <w:shd w:val="clear" w:color="auto" w:fill="auto"/>
            <w:tcMar>
              <w:top w:w="0" w:type="dxa"/>
              <w:left w:w="20" w:type="dxa"/>
              <w:bottom w:w="0" w:type="dxa"/>
              <w:right w:w="20" w:type="dxa"/>
            </w:tcMar>
            <w:vAlign w:val="bottom"/>
          </w:tcPr>
          <w:p w14:paraId="098A8595"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596"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597" w14:textId="77777777" w:rsidR="00141CDF" w:rsidRDefault="00DF45E0">
            <w:pPr>
              <w:textAlignment w:val="bottom"/>
            </w:pPr>
            <w:hyperlink r:id="rId12" w:anchor="i24a2f296795646fa8b5ba32fd1359591_19" w:history="1">
              <w:r>
                <w:rPr>
                  <w:rStyle w:val="a5"/>
                  <w:rFonts w:ascii="Times New Roman" w:eastAsia="宋体" w:hAnsi="Times New Roman"/>
                  <w:sz w:val="18"/>
                  <w:szCs w:val="18"/>
                </w:rPr>
                <w:t>Condensed Consolidated Statements of Comprehensive Income</w:t>
              </w:r>
            </w:hyperlink>
          </w:p>
        </w:tc>
        <w:tc>
          <w:tcPr>
            <w:tcW w:w="0" w:type="auto"/>
            <w:gridSpan w:val="3"/>
            <w:shd w:val="clear" w:color="auto" w:fill="auto"/>
            <w:tcMar>
              <w:top w:w="40" w:type="dxa"/>
              <w:left w:w="20" w:type="dxa"/>
              <w:bottom w:w="40" w:type="dxa"/>
              <w:right w:w="20" w:type="dxa"/>
            </w:tcMar>
            <w:vAlign w:val="bottom"/>
          </w:tcPr>
          <w:p w14:paraId="098A8598" w14:textId="77777777" w:rsidR="00141CDF" w:rsidRDefault="00DF45E0">
            <w:pPr>
              <w:jc w:val="center"/>
              <w:textAlignment w:val="bottom"/>
            </w:pPr>
            <w:hyperlink r:id="rId13" w:anchor="i24a2f296795646fa8b5ba32fd1359591_19" w:history="1">
              <w:r>
                <w:rPr>
                  <w:rStyle w:val="a5"/>
                  <w:rFonts w:ascii="Times New Roman" w:eastAsia="宋体" w:hAnsi="Times New Roman"/>
                  <w:sz w:val="18"/>
                  <w:szCs w:val="18"/>
                </w:rPr>
                <w:t>4</w:t>
              </w:r>
            </w:hyperlink>
          </w:p>
        </w:tc>
      </w:tr>
      <w:tr w:rsidR="00141CDF" w14:paraId="098A859E" w14:textId="77777777">
        <w:trPr>
          <w:jc w:val="center"/>
        </w:trPr>
        <w:tc>
          <w:tcPr>
            <w:tcW w:w="0" w:type="auto"/>
            <w:gridSpan w:val="3"/>
            <w:shd w:val="clear" w:color="auto" w:fill="auto"/>
            <w:tcMar>
              <w:top w:w="0" w:type="dxa"/>
              <w:left w:w="20" w:type="dxa"/>
              <w:bottom w:w="0" w:type="dxa"/>
              <w:right w:w="20" w:type="dxa"/>
            </w:tcMar>
            <w:vAlign w:val="bottom"/>
          </w:tcPr>
          <w:p w14:paraId="098A859A"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59B"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59C" w14:textId="77777777" w:rsidR="00141CDF" w:rsidRDefault="00DF45E0">
            <w:pPr>
              <w:textAlignment w:val="bottom"/>
            </w:pPr>
            <w:hyperlink r:id="rId14" w:anchor="i24a2f296795646fa8b5ba32fd1359591_22" w:history="1">
              <w:r>
                <w:rPr>
                  <w:rStyle w:val="a5"/>
                  <w:rFonts w:ascii="Times New Roman" w:eastAsia="宋体" w:hAnsi="Times New Roman"/>
                  <w:sz w:val="18"/>
                  <w:szCs w:val="18"/>
                </w:rPr>
                <w:t>Condensed Consolidated Balance Sheets</w:t>
              </w:r>
            </w:hyperlink>
          </w:p>
        </w:tc>
        <w:tc>
          <w:tcPr>
            <w:tcW w:w="0" w:type="auto"/>
            <w:gridSpan w:val="3"/>
            <w:shd w:val="clear" w:color="auto" w:fill="auto"/>
            <w:tcMar>
              <w:top w:w="40" w:type="dxa"/>
              <w:left w:w="20" w:type="dxa"/>
              <w:bottom w:w="40" w:type="dxa"/>
              <w:right w:w="20" w:type="dxa"/>
            </w:tcMar>
            <w:vAlign w:val="bottom"/>
          </w:tcPr>
          <w:p w14:paraId="098A859D" w14:textId="77777777" w:rsidR="00141CDF" w:rsidRDefault="00DF45E0">
            <w:pPr>
              <w:jc w:val="center"/>
              <w:textAlignment w:val="bottom"/>
            </w:pPr>
            <w:hyperlink r:id="rId15" w:anchor="i24a2f296795646fa8b5ba32fd1359591_22" w:history="1">
              <w:r>
                <w:rPr>
                  <w:rStyle w:val="a5"/>
                  <w:rFonts w:ascii="Times New Roman" w:eastAsia="宋体" w:hAnsi="Times New Roman"/>
                  <w:sz w:val="18"/>
                  <w:szCs w:val="18"/>
                </w:rPr>
                <w:t>5</w:t>
              </w:r>
            </w:hyperlink>
          </w:p>
        </w:tc>
      </w:tr>
      <w:tr w:rsidR="00141CDF" w14:paraId="098A85A3" w14:textId="77777777">
        <w:trPr>
          <w:jc w:val="center"/>
        </w:trPr>
        <w:tc>
          <w:tcPr>
            <w:tcW w:w="0" w:type="auto"/>
            <w:gridSpan w:val="3"/>
            <w:shd w:val="clear" w:color="auto" w:fill="auto"/>
            <w:tcMar>
              <w:top w:w="0" w:type="dxa"/>
              <w:left w:w="20" w:type="dxa"/>
              <w:bottom w:w="0" w:type="dxa"/>
              <w:right w:w="20" w:type="dxa"/>
            </w:tcMar>
            <w:vAlign w:val="bottom"/>
          </w:tcPr>
          <w:p w14:paraId="098A859F"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5A0"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5A1" w14:textId="77777777" w:rsidR="00141CDF" w:rsidRDefault="00DF45E0">
            <w:pPr>
              <w:textAlignment w:val="bottom"/>
            </w:pPr>
            <w:hyperlink r:id="rId16" w:anchor="i24a2f296795646fa8b5ba32fd1359591_25" w:history="1">
              <w:r>
                <w:rPr>
                  <w:rStyle w:val="a5"/>
                  <w:rFonts w:ascii="Times New Roman" w:eastAsia="宋体" w:hAnsi="Times New Roman"/>
                  <w:sz w:val="18"/>
                  <w:szCs w:val="18"/>
                </w:rPr>
                <w:t>Condensed Con</w:t>
              </w:r>
              <w:r>
                <w:rPr>
                  <w:rStyle w:val="a5"/>
                  <w:rFonts w:ascii="Times New Roman" w:eastAsia="宋体" w:hAnsi="Times New Roman"/>
                  <w:sz w:val="18"/>
                  <w:szCs w:val="18"/>
                </w:rPr>
                <w:t>solidated Statements of Shareholders' Equity</w:t>
              </w:r>
            </w:hyperlink>
          </w:p>
        </w:tc>
        <w:tc>
          <w:tcPr>
            <w:tcW w:w="0" w:type="auto"/>
            <w:gridSpan w:val="3"/>
            <w:shd w:val="clear" w:color="auto" w:fill="auto"/>
            <w:tcMar>
              <w:top w:w="40" w:type="dxa"/>
              <w:left w:w="20" w:type="dxa"/>
              <w:bottom w:w="40" w:type="dxa"/>
              <w:right w:w="20" w:type="dxa"/>
            </w:tcMar>
            <w:vAlign w:val="bottom"/>
          </w:tcPr>
          <w:p w14:paraId="098A85A2" w14:textId="77777777" w:rsidR="00141CDF" w:rsidRDefault="00DF45E0">
            <w:pPr>
              <w:jc w:val="center"/>
              <w:textAlignment w:val="bottom"/>
            </w:pPr>
            <w:hyperlink r:id="rId17" w:anchor="i24a2f296795646fa8b5ba32fd1359591_25" w:history="1">
              <w:r>
                <w:rPr>
                  <w:rStyle w:val="a5"/>
                  <w:rFonts w:ascii="Times New Roman" w:eastAsia="宋体" w:hAnsi="Times New Roman"/>
                  <w:sz w:val="18"/>
                  <w:szCs w:val="18"/>
                </w:rPr>
                <w:t>6</w:t>
              </w:r>
            </w:hyperlink>
          </w:p>
        </w:tc>
      </w:tr>
      <w:tr w:rsidR="00141CDF" w14:paraId="098A85A8" w14:textId="77777777">
        <w:trPr>
          <w:jc w:val="center"/>
        </w:trPr>
        <w:tc>
          <w:tcPr>
            <w:tcW w:w="0" w:type="auto"/>
            <w:gridSpan w:val="3"/>
            <w:shd w:val="clear" w:color="auto" w:fill="auto"/>
            <w:tcMar>
              <w:top w:w="0" w:type="dxa"/>
              <w:left w:w="20" w:type="dxa"/>
              <w:bottom w:w="0" w:type="dxa"/>
              <w:right w:w="20" w:type="dxa"/>
            </w:tcMar>
            <w:vAlign w:val="bottom"/>
          </w:tcPr>
          <w:p w14:paraId="098A85A4"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5A5"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5A6" w14:textId="77777777" w:rsidR="00141CDF" w:rsidRDefault="00DF45E0">
            <w:pPr>
              <w:textAlignment w:val="bottom"/>
            </w:pPr>
            <w:hyperlink r:id="rId18" w:anchor="i24a2f296795646fa8b5ba32fd1359591_31" w:history="1">
              <w:r>
                <w:rPr>
                  <w:rStyle w:val="a5"/>
                  <w:rFonts w:ascii="Times New Roman" w:eastAsia="宋体" w:hAnsi="Times New Roman"/>
                  <w:sz w:val="18"/>
                  <w:szCs w:val="18"/>
                </w:rPr>
                <w:t>Condensed Consolidated Statements of Cash Flows</w:t>
              </w:r>
            </w:hyperlink>
          </w:p>
        </w:tc>
        <w:tc>
          <w:tcPr>
            <w:tcW w:w="0" w:type="auto"/>
            <w:gridSpan w:val="3"/>
            <w:shd w:val="clear" w:color="auto" w:fill="auto"/>
            <w:tcMar>
              <w:top w:w="40" w:type="dxa"/>
              <w:left w:w="20" w:type="dxa"/>
              <w:bottom w:w="40" w:type="dxa"/>
              <w:right w:w="20" w:type="dxa"/>
            </w:tcMar>
            <w:vAlign w:val="bottom"/>
          </w:tcPr>
          <w:p w14:paraId="098A85A7" w14:textId="77777777" w:rsidR="00141CDF" w:rsidRDefault="00DF45E0">
            <w:pPr>
              <w:jc w:val="center"/>
              <w:textAlignment w:val="bottom"/>
            </w:pPr>
            <w:hyperlink r:id="rId19" w:anchor="i24a2f296795646fa8b5ba32fd1359591_31" w:history="1">
              <w:r>
                <w:rPr>
                  <w:rStyle w:val="a5"/>
                  <w:rFonts w:ascii="Times New Roman" w:eastAsia="宋体" w:hAnsi="Times New Roman"/>
                  <w:sz w:val="18"/>
                  <w:szCs w:val="18"/>
                </w:rPr>
                <w:t>7</w:t>
              </w:r>
            </w:hyperlink>
          </w:p>
        </w:tc>
      </w:tr>
      <w:tr w:rsidR="00141CDF" w14:paraId="098A85AD" w14:textId="77777777">
        <w:trPr>
          <w:jc w:val="center"/>
        </w:trPr>
        <w:tc>
          <w:tcPr>
            <w:tcW w:w="0" w:type="auto"/>
            <w:gridSpan w:val="3"/>
            <w:shd w:val="clear" w:color="auto" w:fill="auto"/>
            <w:tcMar>
              <w:top w:w="0" w:type="dxa"/>
              <w:left w:w="20" w:type="dxa"/>
              <w:bottom w:w="0" w:type="dxa"/>
              <w:right w:w="20" w:type="dxa"/>
            </w:tcMar>
            <w:vAlign w:val="bottom"/>
          </w:tcPr>
          <w:p w14:paraId="098A85A9"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5AA"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5AB" w14:textId="77777777" w:rsidR="00141CDF" w:rsidRDefault="00DF45E0">
            <w:pPr>
              <w:textAlignment w:val="bottom"/>
            </w:pPr>
            <w:hyperlink r:id="rId20" w:anchor="i24a2f296795646fa8b5ba32fd1359591_34" w:history="1">
              <w:r>
                <w:rPr>
                  <w:rStyle w:val="a5"/>
                  <w:rFonts w:ascii="Times New Roman" w:eastAsia="宋体" w:hAnsi="Times New Roman"/>
                  <w:sz w:val="18"/>
                  <w:szCs w:val="18"/>
                </w:rPr>
                <w:t>Notes to Condensed Consolidated Financial Statements</w:t>
              </w:r>
            </w:hyperlink>
          </w:p>
        </w:tc>
        <w:tc>
          <w:tcPr>
            <w:tcW w:w="0" w:type="auto"/>
            <w:gridSpan w:val="3"/>
            <w:shd w:val="clear" w:color="auto" w:fill="auto"/>
            <w:tcMar>
              <w:top w:w="40" w:type="dxa"/>
              <w:left w:w="20" w:type="dxa"/>
              <w:bottom w:w="40" w:type="dxa"/>
              <w:right w:w="20" w:type="dxa"/>
            </w:tcMar>
            <w:vAlign w:val="bottom"/>
          </w:tcPr>
          <w:p w14:paraId="098A85AC" w14:textId="77777777" w:rsidR="00141CDF" w:rsidRDefault="00DF45E0">
            <w:pPr>
              <w:jc w:val="center"/>
              <w:textAlignment w:val="bottom"/>
            </w:pPr>
            <w:hyperlink r:id="rId21" w:anchor="i24a2f296795646fa8b5ba32fd1359591_34" w:history="1">
              <w:r>
                <w:rPr>
                  <w:rStyle w:val="a5"/>
                  <w:rFonts w:ascii="Times New Roman" w:eastAsia="宋体" w:hAnsi="Times New Roman"/>
                  <w:sz w:val="18"/>
                  <w:szCs w:val="18"/>
                </w:rPr>
                <w:t>8</w:t>
              </w:r>
            </w:hyperlink>
          </w:p>
        </w:tc>
      </w:tr>
      <w:tr w:rsidR="00141CDF" w14:paraId="098A85B1" w14:textId="77777777">
        <w:trPr>
          <w:jc w:val="center"/>
        </w:trPr>
        <w:tc>
          <w:tcPr>
            <w:tcW w:w="0" w:type="auto"/>
            <w:gridSpan w:val="3"/>
            <w:shd w:val="clear" w:color="auto" w:fill="auto"/>
            <w:tcMar>
              <w:top w:w="0" w:type="dxa"/>
              <w:left w:w="20" w:type="dxa"/>
              <w:bottom w:w="0" w:type="dxa"/>
              <w:right w:w="20" w:type="dxa"/>
            </w:tcMar>
            <w:vAlign w:val="bottom"/>
          </w:tcPr>
          <w:p w14:paraId="098A85AE" w14:textId="77777777" w:rsidR="00141CDF" w:rsidRDefault="00141CDF">
            <w:pPr>
              <w:rPr>
                <w:rFonts w:ascii="宋体"/>
              </w:rPr>
            </w:pPr>
          </w:p>
        </w:tc>
        <w:tc>
          <w:tcPr>
            <w:tcW w:w="0" w:type="auto"/>
            <w:gridSpan w:val="6"/>
            <w:shd w:val="clear" w:color="auto" w:fill="auto"/>
            <w:tcMar>
              <w:top w:w="40" w:type="dxa"/>
              <w:left w:w="20" w:type="dxa"/>
              <w:bottom w:w="40" w:type="dxa"/>
              <w:right w:w="20" w:type="dxa"/>
            </w:tcMar>
            <w:vAlign w:val="bottom"/>
          </w:tcPr>
          <w:p w14:paraId="098A85AF" w14:textId="77777777" w:rsidR="00141CDF" w:rsidRDefault="00DF45E0">
            <w:pPr>
              <w:textAlignment w:val="bottom"/>
            </w:pPr>
            <w:hyperlink r:id="rId22" w:anchor="i24a2f296795646fa8b5ba32fd1359591_61" w:history="1">
              <w:r>
                <w:rPr>
                  <w:rStyle w:val="a5"/>
                  <w:rFonts w:ascii="Times New Roman" w:eastAsia="宋体" w:hAnsi="Times New Roman"/>
                  <w:sz w:val="18"/>
                  <w:szCs w:val="18"/>
                </w:rPr>
                <w:t>Item 2. Management's Discussion and Analysis of Financial Condition and Results of Operations</w:t>
              </w:r>
            </w:hyperlink>
          </w:p>
        </w:tc>
        <w:tc>
          <w:tcPr>
            <w:tcW w:w="0" w:type="auto"/>
            <w:gridSpan w:val="3"/>
            <w:shd w:val="clear" w:color="auto" w:fill="auto"/>
            <w:tcMar>
              <w:top w:w="40" w:type="dxa"/>
              <w:left w:w="20" w:type="dxa"/>
              <w:bottom w:w="40" w:type="dxa"/>
              <w:right w:w="20" w:type="dxa"/>
            </w:tcMar>
            <w:vAlign w:val="bottom"/>
          </w:tcPr>
          <w:p w14:paraId="098A85B0" w14:textId="77777777" w:rsidR="00141CDF" w:rsidRDefault="00DF45E0">
            <w:pPr>
              <w:jc w:val="center"/>
              <w:textAlignment w:val="bottom"/>
            </w:pPr>
            <w:hyperlink r:id="rId23" w:anchor="i24a2f296795646fa8b5ba32fd1359591_61" w:history="1">
              <w:r>
                <w:rPr>
                  <w:rStyle w:val="a5"/>
                  <w:rFonts w:ascii="Times New Roman" w:eastAsia="宋体" w:hAnsi="Times New Roman"/>
                  <w:sz w:val="18"/>
                  <w:szCs w:val="18"/>
                </w:rPr>
                <w:t>15</w:t>
              </w:r>
            </w:hyperlink>
          </w:p>
        </w:tc>
      </w:tr>
      <w:tr w:rsidR="00141CDF" w14:paraId="098A85B5" w14:textId="77777777">
        <w:trPr>
          <w:jc w:val="center"/>
        </w:trPr>
        <w:tc>
          <w:tcPr>
            <w:tcW w:w="0" w:type="auto"/>
            <w:gridSpan w:val="3"/>
            <w:shd w:val="clear" w:color="auto" w:fill="auto"/>
            <w:tcMar>
              <w:top w:w="0" w:type="dxa"/>
              <w:left w:w="20" w:type="dxa"/>
              <w:bottom w:w="0" w:type="dxa"/>
              <w:right w:w="20" w:type="dxa"/>
            </w:tcMar>
            <w:vAlign w:val="bottom"/>
          </w:tcPr>
          <w:p w14:paraId="098A85B2" w14:textId="77777777" w:rsidR="00141CDF" w:rsidRDefault="00141CDF">
            <w:pPr>
              <w:rPr>
                <w:rFonts w:ascii="宋体"/>
              </w:rPr>
            </w:pPr>
          </w:p>
        </w:tc>
        <w:tc>
          <w:tcPr>
            <w:tcW w:w="0" w:type="auto"/>
            <w:gridSpan w:val="6"/>
            <w:shd w:val="clear" w:color="auto" w:fill="auto"/>
            <w:tcMar>
              <w:top w:w="40" w:type="dxa"/>
              <w:left w:w="20" w:type="dxa"/>
              <w:bottom w:w="40" w:type="dxa"/>
              <w:right w:w="20" w:type="dxa"/>
            </w:tcMar>
            <w:vAlign w:val="bottom"/>
          </w:tcPr>
          <w:p w14:paraId="098A85B3" w14:textId="77777777" w:rsidR="00141CDF" w:rsidRDefault="00DF45E0">
            <w:pPr>
              <w:textAlignment w:val="bottom"/>
            </w:pPr>
            <w:hyperlink r:id="rId24" w:anchor="i24a2f296795646fa8b5ba32fd1359591_103" w:history="1">
              <w:r>
                <w:rPr>
                  <w:rStyle w:val="a5"/>
                  <w:rFonts w:ascii="Times New Roman" w:eastAsia="宋体" w:hAnsi="Times New Roman"/>
                  <w:sz w:val="18"/>
                  <w:szCs w:val="18"/>
                </w:rPr>
                <w:t>Item 3. Quantitative and Qualitative Disclosures About Market Risk</w:t>
              </w:r>
            </w:hyperlink>
          </w:p>
        </w:tc>
        <w:tc>
          <w:tcPr>
            <w:tcW w:w="0" w:type="auto"/>
            <w:gridSpan w:val="3"/>
            <w:shd w:val="clear" w:color="auto" w:fill="auto"/>
            <w:tcMar>
              <w:top w:w="40" w:type="dxa"/>
              <w:left w:w="20" w:type="dxa"/>
              <w:bottom w:w="40" w:type="dxa"/>
              <w:right w:w="20" w:type="dxa"/>
            </w:tcMar>
            <w:vAlign w:val="bottom"/>
          </w:tcPr>
          <w:p w14:paraId="098A85B4" w14:textId="77777777" w:rsidR="00141CDF" w:rsidRDefault="00DF45E0">
            <w:pPr>
              <w:jc w:val="center"/>
              <w:textAlignment w:val="bottom"/>
            </w:pPr>
            <w:hyperlink r:id="rId25" w:anchor="i24a2f296795646fa8b5ba32fd1359591_103" w:history="1">
              <w:r>
                <w:rPr>
                  <w:rStyle w:val="a5"/>
                  <w:rFonts w:ascii="Times New Roman" w:eastAsia="宋体" w:hAnsi="Times New Roman"/>
                  <w:sz w:val="18"/>
                  <w:szCs w:val="18"/>
                </w:rPr>
                <w:t>25</w:t>
              </w:r>
            </w:hyperlink>
          </w:p>
        </w:tc>
      </w:tr>
      <w:tr w:rsidR="00141CDF" w14:paraId="098A85B9" w14:textId="77777777">
        <w:trPr>
          <w:jc w:val="center"/>
        </w:trPr>
        <w:tc>
          <w:tcPr>
            <w:tcW w:w="0" w:type="auto"/>
            <w:gridSpan w:val="3"/>
            <w:shd w:val="clear" w:color="auto" w:fill="auto"/>
            <w:tcMar>
              <w:top w:w="0" w:type="dxa"/>
              <w:left w:w="20" w:type="dxa"/>
              <w:bottom w:w="0" w:type="dxa"/>
              <w:right w:w="20" w:type="dxa"/>
            </w:tcMar>
            <w:vAlign w:val="bottom"/>
          </w:tcPr>
          <w:p w14:paraId="098A85B6" w14:textId="77777777" w:rsidR="00141CDF" w:rsidRDefault="00141CDF">
            <w:pPr>
              <w:rPr>
                <w:rFonts w:ascii="宋体"/>
              </w:rPr>
            </w:pPr>
          </w:p>
        </w:tc>
        <w:tc>
          <w:tcPr>
            <w:tcW w:w="0" w:type="auto"/>
            <w:gridSpan w:val="6"/>
            <w:shd w:val="clear" w:color="auto" w:fill="auto"/>
            <w:tcMar>
              <w:top w:w="40" w:type="dxa"/>
              <w:left w:w="20" w:type="dxa"/>
              <w:bottom w:w="40" w:type="dxa"/>
              <w:right w:w="20" w:type="dxa"/>
            </w:tcMar>
            <w:vAlign w:val="bottom"/>
          </w:tcPr>
          <w:p w14:paraId="098A85B7" w14:textId="77777777" w:rsidR="00141CDF" w:rsidRDefault="00DF45E0">
            <w:pPr>
              <w:textAlignment w:val="bottom"/>
            </w:pPr>
            <w:hyperlink r:id="rId26" w:anchor="i24a2f296795646fa8b5ba32fd1359591_106" w:history="1">
              <w:r>
                <w:rPr>
                  <w:rStyle w:val="a5"/>
                  <w:rFonts w:ascii="Times New Roman" w:eastAsia="宋体" w:hAnsi="Times New Roman"/>
                  <w:sz w:val="18"/>
                  <w:szCs w:val="18"/>
                </w:rPr>
                <w:t>Item 4. Controls and Procedures</w:t>
              </w:r>
            </w:hyperlink>
          </w:p>
        </w:tc>
        <w:tc>
          <w:tcPr>
            <w:tcW w:w="0" w:type="auto"/>
            <w:gridSpan w:val="3"/>
            <w:shd w:val="clear" w:color="auto" w:fill="auto"/>
            <w:tcMar>
              <w:top w:w="40" w:type="dxa"/>
              <w:left w:w="20" w:type="dxa"/>
              <w:bottom w:w="40" w:type="dxa"/>
              <w:right w:w="20" w:type="dxa"/>
            </w:tcMar>
            <w:vAlign w:val="bottom"/>
          </w:tcPr>
          <w:p w14:paraId="098A85B8" w14:textId="77777777" w:rsidR="00141CDF" w:rsidRDefault="00DF45E0">
            <w:pPr>
              <w:jc w:val="center"/>
              <w:textAlignment w:val="bottom"/>
            </w:pPr>
            <w:hyperlink r:id="rId27" w:anchor="i24a2f296795646fa8b5ba32fd1359591_106" w:history="1">
              <w:r>
                <w:rPr>
                  <w:rStyle w:val="a5"/>
                  <w:rFonts w:ascii="Times New Roman" w:eastAsia="宋体" w:hAnsi="Times New Roman"/>
                  <w:sz w:val="18"/>
                  <w:szCs w:val="18"/>
                </w:rPr>
                <w:t>25</w:t>
              </w:r>
            </w:hyperlink>
          </w:p>
        </w:tc>
      </w:tr>
      <w:tr w:rsidR="00141CDF" w14:paraId="098A85BE" w14:textId="77777777">
        <w:trPr>
          <w:trHeight w:val="240"/>
          <w:jc w:val="center"/>
        </w:trPr>
        <w:tc>
          <w:tcPr>
            <w:tcW w:w="0" w:type="auto"/>
            <w:gridSpan w:val="3"/>
            <w:shd w:val="clear" w:color="auto" w:fill="auto"/>
            <w:tcMar>
              <w:top w:w="0" w:type="dxa"/>
              <w:left w:w="20" w:type="dxa"/>
              <w:bottom w:w="0" w:type="dxa"/>
              <w:right w:w="20" w:type="dxa"/>
            </w:tcMar>
            <w:vAlign w:val="bottom"/>
          </w:tcPr>
          <w:p w14:paraId="098A85BA"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5BB"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5BC"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5BD" w14:textId="77777777" w:rsidR="00141CDF" w:rsidRDefault="00141CDF">
            <w:pPr>
              <w:rPr>
                <w:rFonts w:ascii="宋体"/>
              </w:rPr>
            </w:pPr>
          </w:p>
        </w:tc>
      </w:tr>
      <w:tr w:rsidR="00141CDF" w14:paraId="098A85C1" w14:textId="77777777">
        <w:trPr>
          <w:jc w:val="center"/>
        </w:trPr>
        <w:tc>
          <w:tcPr>
            <w:tcW w:w="0" w:type="auto"/>
            <w:gridSpan w:val="9"/>
            <w:shd w:val="clear" w:color="auto" w:fill="auto"/>
            <w:tcMar>
              <w:top w:w="40" w:type="dxa"/>
              <w:left w:w="20" w:type="dxa"/>
              <w:bottom w:w="40" w:type="dxa"/>
              <w:right w:w="20" w:type="dxa"/>
            </w:tcMar>
            <w:vAlign w:val="bottom"/>
          </w:tcPr>
          <w:p w14:paraId="098A85BF" w14:textId="77777777" w:rsidR="00141CDF" w:rsidRDefault="00DF45E0">
            <w:pPr>
              <w:textAlignment w:val="bottom"/>
            </w:pPr>
            <w:hyperlink r:id="rId28" w:anchor="i24a2f296795646fa8b5ba32fd1359591_109" w:history="1">
              <w:r>
                <w:rPr>
                  <w:rStyle w:val="a5"/>
                  <w:rFonts w:ascii="Times New Roman" w:eastAsia="宋体" w:hAnsi="Times New Roman"/>
                  <w:sz w:val="18"/>
                  <w:szCs w:val="18"/>
                </w:rPr>
                <w:t>Part II. Other Information</w:t>
              </w:r>
            </w:hyperlink>
          </w:p>
        </w:tc>
        <w:tc>
          <w:tcPr>
            <w:tcW w:w="0" w:type="auto"/>
            <w:gridSpan w:val="3"/>
            <w:shd w:val="clear" w:color="auto" w:fill="auto"/>
            <w:tcMar>
              <w:top w:w="0" w:type="dxa"/>
              <w:left w:w="20" w:type="dxa"/>
              <w:bottom w:w="0" w:type="dxa"/>
              <w:right w:w="20" w:type="dxa"/>
            </w:tcMar>
            <w:vAlign w:val="bottom"/>
          </w:tcPr>
          <w:p w14:paraId="098A85C0" w14:textId="77777777" w:rsidR="00141CDF" w:rsidRDefault="00141CDF">
            <w:pPr>
              <w:rPr>
                <w:rFonts w:ascii="宋体"/>
              </w:rPr>
            </w:pPr>
          </w:p>
        </w:tc>
      </w:tr>
      <w:tr w:rsidR="00141CDF" w14:paraId="098A85C5" w14:textId="77777777">
        <w:trPr>
          <w:jc w:val="center"/>
        </w:trPr>
        <w:tc>
          <w:tcPr>
            <w:tcW w:w="0" w:type="auto"/>
            <w:gridSpan w:val="3"/>
            <w:shd w:val="clear" w:color="auto" w:fill="auto"/>
            <w:tcMar>
              <w:top w:w="0" w:type="dxa"/>
              <w:left w:w="20" w:type="dxa"/>
              <w:bottom w:w="0" w:type="dxa"/>
              <w:right w:w="20" w:type="dxa"/>
            </w:tcMar>
            <w:vAlign w:val="bottom"/>
          </w:tcPr>
          <w:p w14:paraId="098A85C2" w14:textId="77777777" w:rsidR="00141CDF" w:rsidRDefault="00141CDF">
            <w:pPr>
              <w:rPr>
                <w:rFonts w:ascii="宋体"/>
              </w:rPr>
            </w:pPr>
          </w:p>
        </w:tc>
        <w:tc>
          <w:tcPr>
            <w:tcW w:w="0" w:type="auto"/>
            <w:gridSpan w:val="6"/>
            <w:shd w:val="clear" w:color="auto" w:fill="auto"/>
            <w:tcMar>
              <w:top w:w="40" w:type="dxa"/>
              <w:left w:w="20" w:type="dxa"/>
              <w:bottom w:w="40" w:type="dxa"/>
              <w:right w:w="20" w:type="dxa"/>
            </w:tcMar>
            <w:vAlign w:val="bottom"/>
          </w:tcPr>
          <w:p w14:paraId="098A85C3" w14:textId="77777777" w:rsidR="00141CDF" w:rsidRDefault="00DF45E0">
            <w:pPr>
              <w:textAlignment w:val="bottom"/>
            </w:pPr>
            <w:hyperlink r:id="rId29" w:anchor="i24a2f296795646fa8b5ba32fd1359591_112" w:history="1">
              <w:r>
                <w:rPr>
                  <w:rStyle w:val="a5"/>
                  <w:rFonts w:ascii="Times New Roman" w:eastAsia="宋体" w:hAnsi="Times New Roman"/>
                  <w:sz w:val="18"/>
                  <w:szCs w:val="18"/>
                </w:rPr>
                <w:t>Item 1. Legal Proceedings</w:t>
              </w:r>
            </w:hyperlink>
          </w:p>
        </w:tc>
        <w:tc>
          <w:tcPr>
            <w:tcW w:w="0" w:type="auto"/>
            <w:gridSpan w:val="3"/>
            <w:shd w:val="clear" w:color="auto" w:fill="auto"/>
            <w:tcMar>
              <w:top w:w="40" w:type="dxa"/>
              <w:left w:w="20" w:type="dxa"/>
              <w:bottom w:w="40" w:type="dxa"/>
              <w:right w:w="20" w:type="dxa"/>
            </w:tcMar>
            <w:vAlign w:val="bottom"/>
          </w:tcPr>
          <w:p w14:paraId="098A85C4" w14:textId="77777777" w:rsidR="00141CDF" w:rsidRDefault="00DF45E0">
            <w:pPr>
              <w:jc w:val="center"/>
              <w:textAlignment w:val="bottom"/>
            </w:pPr>
            <w:hyperlink r:id="rId30" w:anchor="i24a2f296795646fa8b5ba32fd1359591_112" w:history="1">
              <w:r>
                <w:rPr>
                  <w:rStyle w:val="a5"/>
                  <w:rFonts w:ascii="Times New Roman" w:eastAsia="宋体" w:hAnsi="Times New Roman"/>
                  <w:sz w:val="18"/>
                  <w:szCs w:val="18"/>
                </w:rPr>
                <w:t>26</w:t>
              </w:r>
            </w:hyperlink>
          </w:p>
        </w:tc>
      </w:tr>
      <w:tr w:rsidR="00141CDF" w14:paraId="098A85C9" w14:textId="77777777">
        <w:trPr>
          <w:jc w:val="center"/>
        </w:trPr>
        <w:tc>
          <w:tcPr>
            <w:tcW w:w="0" w:type="auto"/>
            <w:gridSpan w:val="3"/>
            <w:shd w:val="clear" w:color="auto" w:fill="auto"/>
            <w:tcMar>
              <w:top w:w="0" w:type="dxa"/>
              <w:left w:w="20" w:type="dxa"/>
              <w:bottom w:w="0" w:type="dxa"/>
              <w:right w:w="20" w:type="dxa"/>
            </w:tcMar>
            <w:vAlign w:val="bottom"/>
          </w:tcPr>
          <w:p w14:paraId="098A85C6" w14:textId="77777777" w:rsidR="00141CDF" w:rsidRDefault="00141CDF">
            <w:pPr>
              <w:rPr>
                <w:rFonts w:ascii="宋体"/>
              </w:rPr>
            </w:pPr>
          </w:p>
        </w:tc>
        <w:tc>
          <w:tcPr>
            <w:tcW w:w="0" w:type="auto"/>
            <w:gridSpan w:val="6"/>
            <w:shd w:val="clear" w:color="auto" w:fill="auto"/>
            <w:tcMar>
              <w:top w:w="40" w:type="dxa"/>
              <w:left w:w="20" w:type="dxa"/>
              <w:bottom w:w="40" w:type="dxa"/>
              <w:right w:w="20" w:type="dxa"/>
            </w:tcMar>
            <w:vAlign w:val="bottom"/>
          </w:tcPr>
          <w:p w14:paraId="098A85C7" w14:textId="77777777" w:rsidR="00141CDF" w:rsidRDefault="00DF45E0">
            <w:pPr>
              <w:textAlignment w:val="bottom"/>
            </w:pPr>
            <w:hyperlink r:id="rId31" w:anchor="i24a2f296795646fa8b5ba32fd1359591_115" w:history="1">
              <w:r>
                <w:rPr>
                  <w:rStyle w:val="a5"/>
                  <w:rFonts w:ascii="Times New Roman" w:eastAsia="宋体" w:hAnsi="Times New Roman"/>
                  <w:sz w:val="18"/>
                  <w:szCs w:val="18"/>
                </w:rPr>
                <w:t>Item 1A. Risk Factors</w:t>
              </w:r>
            </w:hyperlink>
          </w:p>
        </w:tc>
        <w:tc>
          <w:tcPr>
            <w:tcW w:w="0" w:type="auto"/>
            <w:gridSpan w:val="3"/>
            <w:shd w:val="clear" w:color="auto" w:fill="auto"/>
            <w:tcMar>
              <w:top w:w="40" w:type="dxa"/>
              <w:left w:w="20" w:type="dxa"/>
              <w:bottom w:w="40" w:type="dxa"/>
              <w:right w:w="20" w:type="dxa"/>
            </w:tcMar>
            <w:vAlign w:val="bottom"/>
          </w:tcPr>
          <w:p w14:paraId="098A85C8" w14:textId="77777777" w:rsidR="00141CDF" w:rsidRDefault="00DF45E0">
            <w:pPr>
              <w:jc w:val="center"/>
              <w:textAlignment w:val="bottom"/>
            </w:pPr>
            <w:hyperlink r:id="rId32" w:anchor="i24a2f296795646fa8b5ba32fd1359591_115" w:history="1">
              <w:r>
                <w:rPr>
                  <w:rStyle w:val="a5"/>
                  <w:rFonts w:ascii="Times New Roman" w:eastAsia="宋体" w:hAnsi="Times New Roman"/>
                  <w:sz w:val="18"/>
                  <w:szCs w:val="18"/>
                </w:rPr>
                <w:t>29</w:t>
              </w:r>
            </w:hyperlink>
          </w:p>
        </w:tc>
      </w:tr>
      <w:tr w:rsidR="00141CDF" w14:paraId="098A85CD" w14:textId="77777777">
        <w:trPr>
          <w:jc w:val="center"/>
        </w:trPr>
        <w:tc>
          <w:tcPr>
            <w:tcW w:w="0" w:type="auto"/>
            <w:gridSpan w:val="3"/>
            <w:shd w:val="clear" w:color="auto" w:fill="auto"/>
            <w:tcMar>
              <w:top w:w="0" w:type="dxa"/>
              <w:left w:w="20" w:type="dxa"/>
              <w:bottom w:w="0" w:type="dxa"/>
              <w:right w:w="20" w:type="dxa"/>
            </w:tcMar>
            <w:vAlign w:val="bottom"/>
          </w:tcPr>
          <w:p w14:paraId="098A85CA" w14:textId="77777777" w:rsidR="00141CDF" w:rsidRDefault="00141CDF">
            <w:pPr>
              <w:rPr>
                <w:rFonts w:ascii="宋体"/>
              </w:rPr>
            </w:pPr>
          </w:p>
        </w:tc>
        <w:tc>
          <w:tcPr>
            <w:tcW w:w="0" w:type="auto"/>
            <w:gridSpan w:val="6"/>
            <w:shd w:val="clear" w:color="auto" w:fill="auto"/>
            <w:tcMar>
              <w:top w:w="40" w:type="dxa"/>
              <w:left w:w="20" w:type="dxa"/>
              <w:bottom w:w="40" w:type="dxa"/>
              <w:right w:w="20" w:type="dxa"/>
            </w:tcMar>
            <w:vAlign w:val="bottom"/>
          </w:tcPr>
          <w:p w14:paraId="098A85CB" w14:textId="77777777" w:rsidR="00141CDF" w:rsidRDefault="00DF45E0">
            <w:pPr>
              <w:textAlignment w:val="bottom"/>
            </w:pPr>
            <w:hyperlink r:id="rId33" w:anchor="i24a2f296795646fa8b5ba32fd1359591_118" w:history="1">
              <w:r>
                <w:rPr>
                  <w:rStyle w:val="a5"/>
                  <w:rFonts w:ascii="Times New Roman" w:eastAsia="宋体" w:hAnsi="Times New Roman"/>
                  <w:sz w:val="18"/>
                  <w:szCs w:val="18"/>
                </w:rPr>
                <w:t>Item 2. Unregistered Sales of Equity Securities and Use of Proceeds</w:t>
              </w:r>
            </w:hyperlink>
          </w:p>
        </w:tc>
        <w:tc>
          <w:tcPr>
            <w:tcW w:w="0" w:type="auto"/>
            <w:gridSpan w:val="3"/>
            <w:shd w:val="clear" w:color="auto" w:fill="auto"/>
            <w:tcMar>
              <w:top w:w="40" w:type="dxa"/>
              <w:left w:w="20" w:type="dxa"/>
              <w:bottom w:w="40" w:type="dxa"/>
              <w:right w:w="20" w:type="dxa"/>
            </w:tcMar>
            <w:vAlign w:val="bottom"/>
          </w:tcPr>
          <w:p w14:paraId="098A85CC" w14:textId="77777777" w:rsidR="00141CDF" w:rsidRDefault="00DF45E0">
            <w:pPr>
              <w:jc w:val="center"/>
              <w:textAlignment w:val="bottom"/>
            </w:pPr>
            <w:hyperlink r:id="rId34" w:anchor="i24a2f296795646fa8b5ba32fd1359591_118" w:history="1">
              <w:r>
                <w:rPr>
                  <w:rStyle w:val="a5"/>
                  <w:rFonts w:ascii="Times New Roman" w:eastAsia="宋体" w:hAnsi="Times New Roman"/>
                  <w:sz w:val="18"/>
                  <w:szCs w:val="18"/>
                </w:rPr>
                <w:t>29</w:t>
              </w:r>
            </w:hyperlink>
          </w:p>
        </w:tc>
      </w:tr>
      <w:tr w:rsidR="00141CDF" w14:paraId="098A85D1" w14:textId="77777777">
        <w:trPr>
          <w:jc w:val="center"/>
        </w:trPr>
        <w:tc>
          <w:tcPr>
            <w:tcW w:w="0" w:type="auto"/>
            <w:gridSpan w:val="3"/>
            <w:shd w:val="clear" w:color="auto" w:fill="auto"/>
            <w:tcMar>
              <w:top w:w="0" w:type="dxa"/>
              <w:left w:w="20" w:type="dxa"/>
              <w:bottom w:w="0" w:type="dxa"/>
              <w:right w:w="20" w:type="dxa"/>
            </w:tcMar>
            <w:vAlign w:val="bottom"/>
          </w:tcPr>
          <w:p w14:paraId="098A85CE" w14:textId="77777777" w:rsidR="00141CDF" w:rsidRDefault="00141CDF">
            <w:pPr>
              <w:rPr>
                <w:rFonts w:ascii="宋体"/>
              </w:rPr>
            </w:pPr>
          </w:p>
        </w:tc>
        <w:tc>
          <w:tcPr>
            <w:tcW w:w="0" w:type="auto"/>
            <w:gridSpan w:val="6"/>
            <w:shd w:val="clear" w:color="auto" w:fill="auto"/>
            <w:tcMar>
              <w:top w:w="40" w:type="dxa"/>
              <w:left w:w="20" w:type="dxa"/>
              <w:bottom w:w="40" w:type="dxa"/>
              <w:right w:w="20" w:type="dxa"/>
            </w:tcMar>
            <w:vAlign w:val="bottom"/>
          </w:tcPr>
          <w:p w14:paraId="098A85CF" w14:textId="77777777" w:rsidR="00141CDF" w:rsidRDefault="00DF45E0">
            <w:pPr>
              <w:textAlignment w:val="bottom"/>
            </w:pPr>
            <w:hyperlink r:id="rId35" w:anchor="i24a2f296795646fa8b5ba32fd1359591_121" w:history="1">
              <w:r>
                <w:rPr>
                  <w:rStyle w:val="a5"/>
                  <w:rFonts w:ascii="Times New Roman" w:eastAsia="宋体" w:hAnsi="Times New Roman"/>
                  <w:sz w:val="18"/>
                  <w:szCs w:val="18"/>
                </w:rPr>
                <w:t>Item 5. Other Information</w:t>
              </w:r>
            </w:hyperlink>
          </w:p>
        </w:tc>
        <w:tc>
          <w:tcPr>
            <w:tcW w:w="0" w:type="auto"/>
            <w:gridSpan w:val="3"/>
            <w:shd w:val="clear" w:color="auto" w:fill="auto"/>
            <w:tcMar>
              <w:top w:w="40" w:type="dxa"/>
              <w:left w:w="20" w:type="dxa"/>
              <w:bottom w:w="40" w:type="dxa"/>
              <w:right w:w="20" w:type="dxa"/>
            </w:tcMar>
            <w:vAlign w:val="bottom"/>
          </w:tcPr>
          <w:p w14:paraId="098A85D0" w14:textId="77777777" w:rsidR="00141CDF" w:rsidRDefault="00DF45E0">
            <w:pPr>
              <w:jc w:val="center"/>
              <w:textAlignment w:val="bottom"/>
            </w:pPr>
            <w:hyperlink r:id="rId36" w:anchor="i24a2f296795646fa8b5ba32fd1359591_121" w:history="1">
              <w:r>
                <w:rPr>
                  <w:rStyle w:val="a5"/>
                  <w:rFonts w:ascii="Times New Roman" w:eastAsia="宋体" w:hAnsi="Times New Roman"/>
                  <w:sz w:val="18"/>
                  <w:szCs w:val="18"/>
                </w:rPr>
                <w:t>29</w:t>
              </w:r>
            </w:hyperlink>
          </w:p>
        </w:tc>
      </w:tr>
      <w:tr w:rsidR="00141CDF" w14:paraId="098A85D5" w14:textId="77777777">
        <w:trPr>
          <w:jc w:val="center"/>
        </w:trPr>
        <w:tc>
          <w:tcPr>
            <w:tcW w:w="0" w:type="auto"/>
            <w:gridSpan w:val="3"/>
            <w:shd w:val="clear" w:color="auto" w:fill="auto"/>
            <w:tcMar>
              <w:top w:w="0" w:type="dxa"/>
              <w:left w:w="20" w:type="dxa"/>
              <w:bottom w:w="0" w:type="dxa"/>
              <w:right w:w="20" w:type="dxa"/>
            </w:tcMar>
            <w:vAlign w:val="bottom"/>
          </w:tcPr>
          <w:p w14:paraId="098A85D2" w14:textId="77777777" w:rsidR="00141CDF" w:rsidRDefault="00141CDF">
            <w:pPr>
              <w:rPr>
                <w:rFonts w:ascii="宋体"/>
              </w:rPr>
            </w:pPr>
          </w:p>
        </w:tc>
        <w:tc>
          <w:tcPr>
            <w:tcW w:w="0" w:type="auto"/>
            <w:gridSpan w:val="6"/>
            <w:shd w:val="clear" w:color="auto" w:fill="auto"/>
            <w:tcMar>
              <w:top w:w="40" w:type="dxa"/>
              <w:left w:w="20" w:type="dxa"/>
              <w:bottom w:w="40" w:type="dxa"/>
              <w:right w:w="20" w:type="dxa"/>
            </w:tcMar>
            <w:vAlign w:val="bottom"/>
          </w:tcPr>
          <w:p w14:paraId="098A85D3" w14:textId="77777777" w:rsidR="00141CDF" w:rsidRDefault="00DF45E0">
            <w:pPr>
              <w:textAlignment w:val="bottom"/>
            </w:pPr>
            <w:hyperlink r:id="rId37" w:anchor="i24a2f296795646fa8b5ba32fd1359591_124" w:history="1">
              <w:r>
                <w:rPr>
                  <w:rStyle w:val="a5"/>
                  <w:rFonts w:ascii="Times New Roman" w:eastAsia="宋体" w:hAnsi="Times New Roman"/>
                  <w:sz w:val="18"/>
                  <w:szCs w:val="18"/>
                </w:rPr>
                <w:t>Item 6. Exhibits</w:t>
              </w:r>
            </w:hyperlink>
          </w:p>
        </w:tc>
        <w:tc>
          <w:tcPr>
            <w:tcW w:w="0" w:type="auto"/>
            <w:gridSpan w:val="3"/>
            <w:shd w:val="clear" w:color="auto" w:fill="auto"/>
            <w:tcMar>
              <w:top w:w="40" w:type="dxa"/>
              <w:left w:w="20" w:type="dxa"/>
              <w:bottom w:w="40" w:type="dxa"/>
              <w:right w:w="20" w:type="dxa"/>
            </w:tcMar>
            <w:vAlign w:val="bottom"/>
          </w:tcPr>
          <w:p w14:paraId="098A85D4" w14:textId="77777777" w:rsidR="00141CDF" w:rsidRDefault="00DF45E0">
            <w:pPr>
              <w:jc w:val="center"/>
              <w:textAlignment w:val="bottom"/>
            </w:pPr>
            <w:hyperlink r:id="rId38" w:anchor="i24a2f296795646fa8b5ba32fd1359591_124" w:history="1">
              <w:r>
                <w:rPr>
                  <w:rStyle w:val="a5"/>
                  <w:rFonts w:ascii="Times New Roman" w:eastAsia="宋体" w:hAnsi="Times New Roman"/>
                  <w:sz w:val="18"/>
                  <w:szCs w:val="18"/>
                </w:rPr>
                <w:t>33</w:t>
              </w:r>
            </w:hyperlink>
          </w:p>
        </w:tc>
      </w:tr>
      <w:tr w:rsidR="00141CDF" w14:paraId="098A85DA" w14:textId="77777777">
        <w:trPr>
          <w:trHeight w:val="240"/>
          <w:jc w:val="center"/>
        </w:trPr>
        <w:tc>
          <w:tcPr>
            <w:tcW w:w="0" w:type="auto"/>
            <w:gridSpan w:val="3"/>
            <w:shd w:val="clear" w:color="auto" w:fill="auto"/>
            <w:tcMar>
              <w:top w:w="0" w:type="dxa"/>
              <w:left w:w="20" w:type="dxa"/>
              <w:bottom w:w="0" w:type="dxa"/>
              <w:right w:w="20" w:type="dxa"/>
            </w:tcMar>
            <w:vAlign w:val="bottom"/>
          </w:tcPr>
          <w:p w14:paraId="098A85D6"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5D7"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5D8"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5D9" w14:textId="77777777" w:rsidR="00141CDF" w:rsidRDefault="00141CDF">
            <w:pPr>
              <w:rPr>
                <w:rFonts w:ascii="宋体"/>
              </w:rPr>
            </w:pPr>
          </w:p>
        </w:tc>
      </w:tr>
      <w:tr w:rsidR="00141CDF" w14:paraId="098A85DE" w14:textId="77777777">
        <w:trPr>
          <w:jc w:val="center"/>
        </w:trPr>
        <w:tc>
          <w:tcPr>
            <w:tcW w:w="0" w:type="auto"/>
            <w:gridSpan w:val="6"/>
            <w:shd w:val="clear" w:color="auto" w:fill="auto"/>
            <w:tcMar>
              <w:top w:w="40" w:type="dxa"/>
              <w:left w:w="20" w:type="dxa"/>
              <w:bottom w:w="40" w:type="dxa"/>
              <w:right w:w="20" w:type="dxa"/>
            </w:tcMar>
            <w:vAlign w:val="bottom"/>
          </w:tcPr>
          <w:p w14:paraId="098A85DB" w14:textId="77777777" w:rsidR="00141CDF" w:rsidRDefault="00DF45E0">
            <w:pPr>
              <w:textAlignment w:val="bottom"/>
            </w:pPr>
            <w:hyperlink r:id="rId39" w:anchor="i24a2f296795646fa8b5ba32fd1359591_127" w:history="1">
              <w:r>
                <w:rPr>
                  <w:rStyle w:val="a5"/>
                  <w:rFonts w:ascii="Times New Roman" w:eastAsia="宋体" w:hAnsi="Times New Roman"/>
                  <w:sz w:val="18"/>
                  <w:szCs w:val="18"/>
                </w:rPr>
                <w:t>Signatures</w:t>
              </w:r>
            </w:hyperlink>
          </w:p>
        </w:tc>
        <w:tc>
          <w:tcPr>
            <w:tcW w:w="0" w:type="auto"/>
            <w:gridSpan w:val="3"/>
            <w:shd w:val="clear" w:color="auto" w:fill="auto"/>
            <w:tcMar>
              <w:top w:w="0" w:type="dxa"/>
              <w:left w:w="20" w:type="dxa"/>
              <w:bottom w:w="0" w:type="dxa"/>
              <w:right w:w="20" w:type="dxa"/>
            </w:tcMar>
            <w:vAlign w:val="bottom"/>
          </w:tcPr>
          <w:p w14:paraId="098A85DC"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5DD" w14:textId="77777777" w:rsidR="00141CDF" w:rsidRDefault="00DF45E0">
            <w:pPr>
              <w:jc w:val="center"/>
              <w:textAlignment w:val="bottom"/>
            </w:pPr>
            <w:hyperlink r:id="rId40" w:anchor="i24a2f296795646fa8b5ba32fd1359591_127" w:history="1">
              <w:r>
                <w:rPr>
                  <w:rStyle w:val="a5"/>
                  <w:rFonts w:ascii="Times New Roman" w:eastAsia="宋体" w:hAnsi="Times New Roman"/>
                  <w:sz w:val="18"/>
                  <w:szCs w:val="18"/>
                </w:rPr>
                <w:t>34</w:t>
              </w:r>
            </w:hyperlink>
          </w:p>
        </w:tc>
      </w:tr>
    </w:tbl>
    <w:p w14:paraId="098A85DF" w14:textId="77777777" w:rsidR="00141CDF" w:rsidRDefault="00141CDF">
      <w:pPr>
        <w:jc w:val="center"/>
      </w:pPr>
    </w:p>
    <w:p w14:paraId="098A85E0" w14:textId="77777777" w:rsidR="00141CDF" w:rsidRDefault="00141CDF">
      <w:pPr>
        <w:jc w:val="center"/>
      </w:pPr>
    </w:p>
    <w:p w14:paraId="098A85E1" w14:textId="77777777" w:rsidR="00141CDF" w:rsidRDefault="00DF45E0">
      <w:pPr>
        <w:jc w:val="center"/>
      </w:pPr>
      <w:r>
        <w:rPr>
          <w:rFonts w:ascii="Times New Roman" w:eastAsia="宋体" w:hAnsi="Times New Roman"/>
          <w:color w:val="000000"/>
          <w:sz w:val="20"/>
          <w:szCs w:val="20"/>
        </w:rPr>
        <w:t>2</w:t>
      </w:r>
    </w:p>
    <w:p w14:paraId="098A85E2" w14:textId="77777777" w:rsidR="00141CDF" w:rsidRDefault="00DF45E0">
      <w:r>
        <w:pict w14:anchorId="098AA650">
          <v:rect id="_x0000_i1026" style="width:415.3pt;height:1.5pt" o:hralign="center" o:hrstd="t" o:hr="t" fillcolor="#a0a0a0" stroked="f"/>
        </w:pict>
      </w:r>
    </w:p>
    <w:p w14:paraId="098A85E3" w14:textId="77777777" w:rsidR="00141CDF" w:rsidRDefault="00DF45E0">
      <w:hyperlink r:id="rId41" w:anchor="i24a2f296795646fa8b5ba32fd1359591_7" w:history="1">
        <w:r>
          <w:rPr>
            <w:rStyle w:val="a5"/>
            <w:rFonts w:ascii="Times New Roman" w:eastAsia="宋体" w:hAnsi="Times New Roman"/>
            <w:sz w:val="20"/>
            <w:szCs w:val="20"/>
          </w:rPr>
          <w:t xml:space="preserve">Table of </w:t>
        </w:r>
      </w:hyperlink>
      <w:hyperlink r:id="rId42" w:anchor="i24a2f296795646fa8b5ba32fd1359591_7" w:history="1">
        <w:r>
          <w:rPr>
            <w:rStyle w:val="a5"/>
            <w:rFonts w:ascii="Times New Roman" w:eastAsia="宋体" w:hAnsi="Times New Roman"/>
            <w:sz w:val="20"/>
            <w:szCs w:val="20"/>
          </w:rPr>
          <w:t>Contents</w:t>
        </w:r>
      </w:hyperlink>
    </w:p>
    <w:p w14:paraId="098A85E4" w14:textId="77777777" w:rsidR="00141CDF" w:rsidRDefault="00DF45E0">
      <w:pPr>
        <w:spacing w:after="100"/>
      </w:pPr>
      <w:r>
        <w:rPr>
          <w:rFonts w:ascii="Times New Roman" w:eastAsia="宋体" w:hAnsi="Times New Roman"/>
          <w:b/>
          <w:bCs/>
          <w:color w:val="000000"/>
          <w:sz w:val="20"/>
          <w:szCs w:val="20"/>
        </w:rPr>
        <w:t>PART I. FINANCIAL INFORMATION</w:t>
      </w:r>
    </w:p>
    <w:p w14:paraId="098A85E5" w14:textId="77777777" w:rsidR="00141CDF" w:rsidRDefault="00DF45E0">
      <w:pPr>
        <w:spacing w:before="180" w:after="100"/>
        <w:ind w:hanging="360"/>
      </w:pPr>
      <w:r>
        <w:rPr>
          <w:rFonts w:ascii="Times New Roman" w:eastAsia="宋体" w:hAnsi="Times New Roman"/>
          <w:b/>
          <w:bCs/>
          <w:color w:val="000000"/>
          <w:sz w:val="20"/>
          <w:szCs w:val="20"/>
        </w:rPr>
        <w:t>Item 1.Financial Statements</w:t>
      </w:r>
    </w:p>
    <w:p w14:paraId="098A85E6" w14:textId="77777777" w:rsidR="00141CDF" w:rsidRDefault="00DF45E0">
      <w:pPr>
        <w:spacing w:before="180"/>
        <w:jc w:val="center"/>
      </w:pPr>
      <w:r>
        <w:rPr>
          <w:rFonts w:ascii="Times New Roman" w:eastAsia="宋体" w:hAnsi="Times New Roman"/>
          <w:b/>
          <w:bCs/>
          <w:color w:val="000000"/>
          <w:sz w:val="20"/>
          <w:szCs w:val="20"/>
        </w:rPr>
        <w:t>Walmart Inc.</w:t>
      </w:r>
    </w:p>
    <w:p w14:paraId="098A85E7" w14:textId="77777777" w:rsidR="00141CDF" w:rsidRDefault="00DF45E0">
      <w:pPr>
        <w:spacing w:before="60"/>
        <w:jc w:val="center"/>
      </w:pPr>
      <w:r>
        <w:rPr>
          <w:rFonts w:ascii="Times New Roman" w:eastAsia="宋体" w:hAnsi="Times New Roman"/>
          <w:b/>
          <w:bCs/>
          <w:color w:val="000000"/>
          <w:sz w:val="20"/>
          <w:szCs w:val="20"/>
        </w:rPr>
        <w:t>Condensed Consolidated Statements of Income</w:t>
      </w:r>
    </w:p>
    <w:p w14:paraId="098A85E8" w14:textId="77777777" w:rsidR="00141CDF" w:rsidRDefault="00DF45E0">
      <w:pPr>
        <w:spacing w:before="60"/>
        <w:jc w:val="center"/>
      </w:pPr>
      <w:r>
        <w:rPr>
          <w:rFonts w:ascii="Times New Roman" w:eastAsia="宋体" w:hAnsi="Times New Roman"/>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041"/>
        <w:gridCol w:w="39"/>
        <w:gridCol w:w="36"/>
        <w:gridCol w:w="36"/>
        <w:gridCol w:w="36"/>
        <w:gridCol w:w="100"/>
        <w:gridCol w:w="560"/>
        <w:gridCol w:w="36"/>
        <w:gridCol w:w="36"/>
        <w:gridCol w:w="36"/>
        <w:gridCol w:w="36"/>
        <w:gridCol w:w="100"/>
        <w:gridCol w:w="560"/>
        <w:gridCol w:w="36"/>
        <w:gridCol w:w="36"/>
        <w:gridCol w:w="36"/>
        <w:gridCol w:w="36"/>
        <w:gridCol w:w="100"/>
        <w:gridCol w:w="560"/>
        <w:gridCol w:w="36"/>
        <w:gridCol w:w="36"/>
        <w:gridCol w:w="36"/>
        <w:gridCol w:w="36"/>
        <w:gridCol w:w="100"/>
        <w:gridCol w:w="560"/>
        <w:gridCol w:w="36"/>
      </w:tblGrid>
      <w:tr w:rsidR="00141CDF" w14:paraId="098A8604" w14:textId="77777777">
        <w:trPr>
          <w:jc w:val="center"/>
        </w:trPr>
        <w:tc>
          <w:tcPr>
            <w:tcW w:w="50" w:type="pct"/>
            <w:shd w:val="clear" w:color="auto" w:fill="auto"/>
            <w:vAlign w:val="bottom"/>
          </w:tcPr>
          <w:p w14:paraId="098A85E9" w14:textId="77777777" w:rsidR="00141CDF" w:rsidRDefault="00141CDF">
            <w:pPr>
              <w:rPr>
                <w:rFonts w:ascii="宋体"/>
              </w:rPr>
            </w:pPr>
          </w:p>
        </w:tc>
        <w:tc>
          <w:tcPr>
            <w:tcW w:w="3513" w:type="pct"/>
            <w:shd w:val="clear" w:color="auto" w:fill="auto"/>
            <w:vAlign w:val="bottom"/>
          </w:tcPr>
          <w:p w14:paraId="098A85EA" w14:textId="77777777" w:rsidR="00141CDF" w:rsidRDefault="00141CDF">
            <w:pPr>
              <w:rPr>
                <w:rFonts w:ascii="宋体"/>
              </w:rPr>
            </w:pPr>
          </w:p>
        </w:tc>
        <w:tc>
          <w:tcPr>
            <w:tcW w:w="5" w:type="pct"/>
            <w:shd w:val="clear" w:color="auto" w:fill="auto"/>
            <w:vAlign w:val="bottom"/>
          </w:tcPr>
          <w:p w14:paraId="098A85EB" w14:textId="77777777" w:rsidR="00141CDF" w:rsidRDefault="00141CDF">
            <w:pPr>
              <w:rPr>
                <w:rFonts w:ascii="宋体"/>
              </w:rPr>
            </w:pPr>
          </w:p>
        </w:tc>
        <w:tc>
          <w:tcPr>
            <w:tcW w:w="5" w:type="pct"/>
            <w:shd w:val="clear" w:color="auto" w:fill="auto"/>
            <w:vAlign w:val="bottom"/>
          </w:tcPr>
          <w:p w14:paraId="098A85EC" w14:textId="77777777" w:rsidR="00141CDF" w:rsidRDefault="00141CDF">
            <w:pPr>
              <w:rPr>
                <w:rFonts w:ascii="宋体"/>
              </w:rPr>
            </w:pPr>
          </w:p>
        </w:tc>
        <w:tc>
          <w:tcPr>
            <w:tcW w:w="15" w:type="pct"/>
            <w:shd w:val="clear" w:color="auto" w:fill="auto"/>
            <w:vAlign w:val="bottom"/>
          </w:tcPr>
          <w:p w14:paraId="098A85ED" w14:textId="77777777" w:rsidR="00141CDF" w:rsidRDefault="00141CDF">
            <w:pPr>
              <w:rPr>
                <w:rFonts w:ascii="宋体"/>
              </w:rPr>
            </w:pPr>
          </w:p>
        </w:tc>
        <w:tc>
          <w:tcPr>
            <w:tcW w:w="5" w:type="pct"/>
            <w:shd w:val="clear" w:color="auto" w:fill="auto"/>
            <w:vAlign w:val="bottom"/>
          </w:tcPr>
          <w:p w14:paraId="098A85EE" w14:textId="77777777" w:rsidR="00141CDF" w:rsidRDefault="00141CDF">
            <w:pPr>
              <w:rPr>
                <w:rFonts w:ascii="宋体"/>
              </w:rPr>
            </w:pPr>
          </w:p>
        </w:tc>
        <w:tc>
          <w:tcPr>
            <w:tcW w:w="50" w:type="pct"/>
            <w:shd w:val="clear" w:color="auto" w:fill="auto"/>
            <w:vAlign w:val="bottom"/>
          </w:tcPr>
          <w:p w14:paraId="098A85EF" w14:textId="77777777" w:rsidR="00141CDF" w:rsidRDefault="00141CDF">
            <w:pPr>
              <w:rPr>
                <w:rFonts w:ascii="宋体"/>
              </w:rPr>
            </w:pPr>
          </w:p>
        </w:tc>
        <w:tc>
          <w:tcPr>
            <w:tcW w:w="263" w:type="pct"/>
            <w:shd w:val="clear" w:color="auto" w:fill="auto"/>
            <w:vAlign w:val="bottom"/>
          </w:tcPr>
          <w:p w14:paraId="098A85F0" w14:textId="77777777" w:rsidR="00141CDF" w:rsidRDefault="00141CDF">
            <w:pPr>
              <w:rPr>
                <w:rFonts w:ascii="宋体"/>
              </w:rPr>
            </w:pPr>
          </w:p>
        </w:tc>
        <w:tc>
          <w:tcPr>
            <w:tcW w:w="5" w:type="pct"/>
            <w:shd w:val="clear" w:color="auto" w:fill="auto"/>
            <w:vAlign w:val="bottom"/>
          </w:tcPr>
          <w:p w14:paraId="098A85F1" w14:textId="77777777" w:rsidR="00141CDF" w:rsidRDefault="00141CDF">
            <w:pPr>
              <w:rPr>
                <w:rFonts w:ascii="宋体"/>
              </w:rPr>
            </w:pPr>
          </w:p>
        </w:tc>
        <w:tc>
          <w:tcPr>
            <w:tcW w:w="5" w:type="pct"/>
            <w:shd w:val="clear" w:color="auto" w:fill="auto"/>
            <w:vAlign w:val="bottom"/>
          </w:tcPr>
          <w:p w14:paraId="098A85F2" w14:textId="77777777" w:rsidR="00141CDF" w:rsidRDefault="00141CDF">
            <w:pPr>
              <w:rPr>
                <w:rFonts w:ascii="宋体"/>
              </w:rPr>
            </w:pPr>
          </w:p>
        </w:tc>
        <w:tc>
          <w:tcPr>
            <w:tcW w:w="33" w:type="pct"/>
            <w:shd w:val="clear" w:color="auto" w:fill="auto"/>
            <w:vAlign w:val="bottom"/>
          </w:tcPr>
          <w:p w14:paraId="098A85F3" w14:textId="77777777" w:rsidR="00141CDF" w:rsidRDefault="00141CDF">
            <w:pPr>
              <w:rPr>
                <w:rFonts w:ascii="宋体"/>
              </w:rPr>
            </w:pPr>
          </w:p>
        </w:tc>
        <w:tc>
          <w:tcPr>
            <w:tcW w:w="5" w:type="pct"/>
            <w:shd w:val="clear" w:color="auto" w:fill="auto"/>
            <w:vAlign w:val="bottom"/>
          </w:tcPr>
          <w:p w14:paraId="098A85F4" w14:textId="77777777" w:rsidR="00141CDF" w:rsidRDefault="00141CDF">
            <w:pPr>
              <w:rPr>
                <w:rFonts w:ascii="宋体"/>
              </w:rPr>
            </w:pPr>
          </w:p>
        </w:tc>
        <w:tc>
          <w:tcPr>
            <w:tcW w:w="50" w:type="pct"/>
            <w:shd w:val="clear" w:color="auto" w:fill="auto"/>
            <w:vAlign w:val="bottom"/>
          </w:tcPr>
          <w:p w14:paraId="098A85F5" w14:textId="77777777" w:rsidR="00141CDF" w:rsidRDefault="00141CDF">
            <w:pPr>
              <w:rPr>
                <w:rFonts w:ascii="宋体"/>
              </w:rPr>
            </w:pPr>
          </w:p>
        </w:tc>
        <w:tc>
          <w:tcPr>
            <w:tcW w:w="263" w:type="pct"/>
            <w:shd w:val="clear" w:color="auto" w:fill="auto"/>
            <w:vAlign w:val="bottom"/>
          </w:tcPr>
          <w:p w14:paraId="098A85F6" w14:textId="77777777" w:rsidR="00141CDF" w:rsidRDefault="00141CDF">
            <w:pPr>
              <w:rPr>
                <w:rFonts w:ascii="宋体"/>
              </w:rPr>
            </w:pPr>
          </w:p>
        </w:tc>
        <w:tc>
          <w:tcPr>
            <w:tcW w:w="5" w:type="pct"/>
            <w:shd w:val="clear" w:color="auto" w:fill="auto"/>
            <w:vAlign w:val="bottom"/>
          </w:tcPr>
          <w:p w14:paraId="098A85F7" w14:textId="77777777" w:rsidR="00141CDF" w:rsidRDefault="00141CDF">
            <w:pPr>
              <w:rPr>
                <w:rFonts w:ascii="宋体"/>
              </w:rPr>
            </w:pPr>
          </w:p>
        </w:tc>
        <w:tc>
          <w:tcPr>
            <w:tcW w:w="5" w:type="pct"/>
            <w:shd w:val="clear" w:color="auto" w:fill="auto"/>
            <w:vAlign w:val="bottom"/>
          </w:tcPr>
          <w:p w14:paraId="098A85F8" w14:textId="77777777" w:rsidR="00141CDF" w:rsidRDefault="00141CDF">
            <w:pPr>
              <w:rPr>
                <w:rFonts w:ascii="宋体"/>
              </w:rPr>
            </w:pPr>
          </w:p>
        </w:tc>
        <w:tc>
          <w:tcPr>
            <w:tcW w:w="33" w:type="pct"/>
            <w:shd w:val="clear" w:color="auto" w:fill="auto"/>
            <w:vAlign w:val="bottom"/>
          </w:tcPr>
          <w:p w14:paraId="098A85F9" w14:textId="77777777" w:rsidR="00141CDF" w:rsidRDefault="00141CDF">
            <w:pPr>
              <w:rPr>
                <w:rFonts w:ascii="宋体"/>
              </w:rPr>
            </w:pPr>
          </w:p>
        </w:tc>
        <w:tc>
          <w:tcPr>
            <w:tcW w:w="5" w:type="pct"/>
            <w:shd w:val="clear" w:color="auto" w:fill="auto"/>
            <w:vAlign w:val="bottom"/>
          </w:tcPr>
          <w:p w14:paraId="098A85FA" w14:textId="77777777" w:rsidR="00141CDF" w:rsidRDefault="00141CDF">
            <w:pPr>
              <w:rPr>
                <w:rFonts w:ascii="宋体"/>
              </w:rPr>
            </w:pPr>
          </w:p>
        </w:tc>
        <w:tc>
          <w:tcPr>
            <w:tcW w:w="50" w:type="pct"/>
            <w:shd w:val="clear" w:color="auto" w:fill="auto"/>
            <w:vAlign w:val="bottom"/>
          </w:tcPr>
          <w:p w14:paraId="098A85FB" w14:textId="77777777" w:rsidR="00141CDF" w:rsidRDefault="00141CDF">
            <w:pPr>
              <w:rPr>
                <w:rFonts w:ascii="宋体"/>
              </w:rPr>
            </w:pPr>
          </w:p>
        </w:tc>
        <w:tc>
          <w:tcPr>
            <w:tcW w:w="263" w:type="pct"/>
            <w:shd w:val="clear" w:color="auto" w:fill="auto"/>
            <w:vAlign w:val="bottom"/>
          </w:tcPr>
          <w:p w14:paraId="098A85FC" w14:textId="77777777" w:rsidR="00141CDF" w:rsidRDefault="00141CDF">
            <w:pPr>
              <w:rPr>
                <w:rFonts w:ascii="宋体"/>
              </w:rPr>
            </w:pPr>
          </w:p>
        </w:tc>
        <w:tc>
          <w:tcPr>
            <w:tcW w:w="5" w:type="pct"/>
            <w:shd w:val="clear" w:color="auto" w:fill="auto"/>
            <w:vAlign w:val="bottom"/>
          </w:tcPr>
          <w:p w14:paraId="098A85FD" w14:textId="77777777" w:rsidR="00141CDF" w:rsidRDefault="00141CDF">
            <w:pPr>
              <w:rPr>
                <w:rFonts w:ascii="宋体"/>
              </w:rPr>
            </w:pPr>
          </w:p>
        </w:tc>
        <w:tc>
          <w:tcPr>
            <w:tcW w:w="5" w:type="pct"/>
            <w:shd w:val="clear" w:color="auto" w:fill="auto"/>
            <w:vAlign w:val="bottom"/>
          </w:tcPr>
          <w:p w14:paraId="098A85FE" w14:textId="77777777" w:rsidR="00141CDF" w:rsidRDefault="00141CDF">
            <w:pPr>
              <w:rPr>
                <w:rFonts w:ascii="宋体"/>
              </w:rPr>
            </w:pPr>
          </w:p>
        </w:tc>
        <w:tc>
          <w:tcPr>
            <w:tcW w:w="33" w:type="pct"/>
            <w:shd w:val="clear" w:color="auto" w:fill="auto"/>
            <w:vAlign w:val="bottom"/>
          </w:tcPr>
          <w:p w14:paraId="098A85FF" w14:textId="77777777" w:rsidR="00141CDF" w:rsidRDefault="00141CDF">
            <w:pPr>
              <w:rPr>
                <w:rFonts w:ascii="宋体"/>
              </w:rPr>
            </w:pPr>
          </w:p>
        </w:tc>
        <w:tc>
          <w:tcPr>
            <w:tcW w:w="5" w:type="pct"/>
            <w:shd w:val="clear" w:color="auto" w:fill="auto"/>
            <w:vAlign w:val="bottom"/>
          </w:tcPr>
          <w:p w14:paraId="098A8600" w14:textId="77777777" w:rsidR="00141CDF" w:rsidRDefault="00141CDF">
            <w:pPr>
              <w:rPr>
                <w:rFonts w:ascii="宋体"/>
              </w:rPr>
            </w:pPr>
          </w:p>
        </w:tc>
        <w:tc>
          <w:tcPr>
            <w:tcW w:w="50" w:type="pct"/>
            <w:shd w:val="clear" w:color="auto" w:fill="auto"/>
            <w:vAlign w:val="bottom"/>
          </w:tcPr>
          <w:p w14:paraId="098A8601" w14:textId="77777777" w:rsidR="00141CDF" w:rsidRDefault="00141CDF">
            <w:pPr>
              <w:rPr>
                <w:rFonts w:ascii="宋体"/>
              </w:rPr>
            </w:pPr>
          </w:p>
        </w:tc>
        <w:tc>
          <w:tcPr>
            <w:tcW w:w="263" w:type="pct"/>
            <w:shd w:val="clear" w:color="auto" w:fill="auto"/>
            <w:vAlign w:val="bottom"/>
          </w:tcPr>
          <w:p w14:paraId="098A8602" w14:textId="77777777" w:rsidR="00141CDF" w:rsidRDefault="00141CDF">
            <w:pPr>
              <w:rPr>
                <w:rFonts w:ascii="宋体"/>
              </w:rPr>
            </w:pPr>
          </w:p>
        </w:tc>
        <w:tc>
          <w:tcPr>
            <w:tcW w:w="5" w:type="pct"/>
            <w:shd w:val="clear" w:color="auto" w:fill="auto"/>
            <w:vAlign w:val="bottom"/>
          </w:tcPr>
          <w:p w14:paraId="098A8603" w14:textId="77777777" w:rsidR="00141CDF" w:rsidRDefault="00141CDF">
            <w:pPr>
              <w:rPr>
                <w:rFonts w:ascii="宋体"/>
              </w:rPr>
            </w:pPr>
          </w:p>
        </w:tc>
      </w:tr>
      <w:tr w:rsidR="00141CDF" w14:paraId="098A860A" w14:textId="77777777">
        <w:trPr>
          <w:jc w:val="center"/>
        </w:trPr>
        <w:tc>
          <w:tcPr>
            <w:tcW w:w="0" w:type="auto"/>
            <w:gridSpan w:val="3"/>
            <w:shd w:val="clear" w:color="auto" w:fill="auto"/>
            <w:tcMar>
              <w:top w:w="0" w:type="dxa"/>
              <w:left w:w="20" w:type="dxa"/>
              <w:bottom w:w="0" w:type="dxa"/>
              <w:right w:w="20" w:type="dxa"/>
            </w:tcMar>
            <w:vAlign w:val="bottom"/>
          </w:tcPr>
          <w:p w14:paraId="098A8605"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606" w14:textId="77777777" w:rsidR="00141CDF" w:rsidRDefault="00141CDF">
            <w:pPr>
              <w:rPr>
                <w:rFonts w:ascii="宋体"/>
              </w:rPr>
            </w:pPr>
          </w:p>
        </w:tc>
        <w:tc>
          <w:tcPr>
            <w:tcW w:w="0" w:type="auto"/>
            <w:gridSpan w:val="9"/>
            <w:shd w:val="clear" w:color="auto" w:fill="auto"/>
            <w:tcMar>
              <w:top w:w="40" w:type="dxa"/>
              <w:left w:w="20" w:type="dxa"/>
              <w:bottom w:w="40" w:type="dxa"/>
              <w:right w:w="20" w:type="dxa"/>
            </w:tcMar>
            <w:vAlign w:val="bottom"/>
          </w:tcPr>
          <w:p w14:paraId="098A8607" w14:textId="77777777" w:rsidR="00141CDF" w:rsidRDefault="00DF45E0">
            <w:pPr>
              <w:jc w:val="center"/>
              <w:textAlignment w:val="bottom"/>
            </w:pPr>
            <w:r>
              <w:rPr>
                <w:rFonts w:ascii="Times New Roman" w:eastAsia="宋体" w:hAnsi="Times New Roman"/>
                <w:b/>
                <w:bCs/>
                <w:color w:val="000000"/>
                <w:sz w:val="16"/>
                <w:szCs w:val="16"/>
              </w:rPr>
              <w:t>Three Months Ended July 31,</w:t>
            </w:r>
          </w:p>
        </w:tc>
        <w:tc>
          <w:tcPr>
            <w:tcW w:w="0" w:type="auto"/>
            <w:gridSpan w:val="3"/>
            <w:shd w:val="clear" w:color="auto" w:fill="auto"/>
            <w:tcMar>
              <w:top w:w="0" w:type="dxa"/>
              <w:left w:w="20" w:type="dxa"/>
              <w:bottom w:w="0" w:type="dxa"/>
              <w:right w:w="20" w:type="dxa"/>
            </w:tcMar>
            <w:vAlign w:val="bottom"/>
          </w:tcPr>
          <w:p w14:paraId="098A8608" w14:textId="77777777" w:rsidR="00141CDF" w:rsidRDefault="00141CDF">
            <w:pPr>
              <w:rPr>
                <w:rFonts w:ascii="宋体"/>
              </w:rPr>
            </w:pPr>
          </w:p>
        </w:tc>
        <w:tc>
          <w:tcPr>
            <w:tcW w:w="0" w:type="auto"/>
            <w:gridSpan w:val="9"/>
            <w:shd w:val="clear" w:color="auto" w:fill="auto"/>
            <w:tcMar>
              <w:top w:w="40" w:type="dxa"/>
              <w:left w:w="20" w:type="dxa"/>
              <w:bottom w:w="40" w:type="dxa"/>
              <w:right w:w="20" w:type="dxa"/>
            </w:tcMar>
            <w:vAlign w:val="bottom"/>
          </w:tcPr>
          <w:p w14:paraId="098A8609" w14:textId="77777777" w:rsidR="00141CDF" w:rsidRDefault="00DF45E0">
            <w:pPr>
              <w:jc w:val="center"/>
              <w:textAlignment w:val="bottom"/>
            </w:pPr>
            <w:r>
              <w:rPr>
                <w:rFonts w:ascii="Times New Roman" w:eastAsia="宋体" w:hAnsi="Times New Roman"/>
                <w:b/>
                <w:bCs/>
                <w:color w:val="000000"/>
                <w:sz w:val="16"/>
                <w:szCs w:val="16"/>
              </w:rPr>
              <w:t>Six Months Ended July 31,</w:t>
            </w:r>
          </w:p>
        </w:tc>
      </w:tr>
      <w:tr w:rsidR="00141CDF" w14:paraId="098A8614" w14:textId="77777777">
        <w:trPr>
          <w:jc w:val="center"/>
        </w:trPr>
        <w:tc>
          <w:tcPr>
            <w:tcW w:w="0" w:type="auto"/>
            <w:gridSpan w:val="3"/>
            <w:shd w:val="clear" w:color="auto" w:fill="auto"/>
            <w:tcMar>
              <w:top w:w="40" w:type="dxa"/>
              <w:left w:w="20" w:type="dxa"/>
              <w:bottom w:w="40" w:type="dxa"/>
              <w:right w:w="20" w:type="dxa"/>
            </w:tcMar>
            <w:vAlign w:val="bottom"/>
          </w:tcPr>
          <w:p w14:paraId="098A860B" w14:textId="77777777" w:rsidR="00141CDF" w:rsidRDefault="00DF45E0">
            <w:pPr>
              <w:textAlignment w:val="bottom"/>
            </w:pPr>
            <w:r>
              <w:rPr>
                <w:rFonts w:ascii="Times New Roman" w:eastAsia="宋体" w:hAnsi="Times New Roman"/>
                <w:i/>
                <w:iCs/>
                <w:color w:val="000000"/>
                <w:sz w:val="16"/>
                <w:szCs w:val="16"/>
              </w:rPr>
              <w:t>(Amounts in millions, except per share data)</w:t>
            </w:r>
          </w:p>
        </w:tc>
        <w:tc>
          <w:tcPr>
            <w:tcW w:w="0" w:type="auto"/>
            <w:gridSpan w:val="3"/>
            <w:shd w:val="clear" w:color="auto" w:fill="auto"/>
            <w:tcMar>
              <w:top w:w="0" w:type="dxa"/>
              <w:left w:w="20" w:type="dxa"/>
              <w:bottom w:w="0" w:type="dxa"/>
              <w:right w:w="20" w:type="dxa"/>
            </w:tcMar>
            <w:vAlign w:val="bottom"/>
          </w:tcPr>
          <w:p w14:paraId="098A860C"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98A860D" w14:textId="77777777" w:rsidR="00141CDF" w:rsidRDefault="00DF45E0">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860E"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98A860F" w14:textId="77777777" w:rsidR="00141CDF" w:rsidRDefault="00DF45E0">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098A8610"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98A8611" w14:textId="77777777" w:rsidR="00141CDF" w:rsidRDefault="00DF45E0">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8612"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98A8613" w14:textId="77777777" w:rsidR="00141CDF" w:rsidRDefault="00DF45E0">
            <w:pPr>
              <w:jc w:val="center"/>
              <w:textAlignment w:val="bottom"/>
            </w:pPr>
            <w:r>
              <w:rPr>
                <w:rFonts w:ascii="Times New Roman" w:eastAsia="宋体" w:hAnsi="Times New Roman"/>
                <w:b/>
                <w:bCs/>
                <w:color w:val="000000"/>
                <w:sz w:val="16"/>
                <w:szCs w:val="16"/>
              </w:rPr>
              <w:t>2021</w:t>
            </w:r>
          </w:p>
        </w:tc>
      </w:tr>
      <w:tr w:rsidR="00141CDF" w14:paraId="098A861E" w14:textId="77777777">
        <w:trPr>
          <w:jc w:val="center"/>
        </w:trPr>
        <w:tc>
          <w:tcPr>
            <w:tcW w:w="0" w:type="auto"/>
            <w:gridSpan w:val="3"/>
            <w:shd w:val="clear" w:color="auto" w:fill="auto"/>
            <w:tcMar>
              <w:top w:w="40" w:type="dxa"/>
              <w:left w:w="20" w:type="dxa"/>
              <w:bottom w:w="40" w:type="dxa"/>
              <w:right w:w="20" w:type="dxa"/>
            </w:tcMar>
            <w:vAlign w:val="center"/>
          </w:tcPr>
          <w:p w14:paraId="098A8615" w14:textId="77777777" w:rsidR="00141CDF" w:rsidRDefault="00DF45E0">
            <w:pPr>
              <w:textAlignment w:val="center"/>
            </w:pPr>
            <w:r>
              <w:rPr>
                <w:rFonts w:ascii="Times New Roman" w:eastAsia="宋体" w:hAnsi="Times New Roman"/>
                <w:b/>
                <w:bCs/>
                <w:color w:val="000000"/>
                <w:sz w:val="16"/>
                <w:szCs w:val="16"/>
              </w:rPr>
              <w:t>Revenues:</w:t>
            </w:r>
          </w:p>
        </w:tc>
        <w:tc>
          <w:tcPr>
            <w:tcW w:w="0" w:type="auto"/>
            <w:gridSpan w:val="3"/>
            <w:shd w:val="clear" w:color="auto" w:fill="auto"/>
            <w:tcMar>
              <w:top w:w="0" w:type="dxa"/>
              <w:left w:w="20" w:type="dxa"/>
              <w:bottom w:w="0" w:type="dxa"/>
              <w:right w:w="20" w:type="dxa"/>
            </w:tcMar>
            <w:vAlign w:val="bottom"/>
          </w:tcPr>
          <w:p w14:paraId="098A8616" w14:textId="77777777" w:rsidR="00141CDF" w:rsidRDefault="00141CD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8617"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618" w14:textId="77777777" w:rsidR="00141CDF" w:rsidRDefault="00141CD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8619"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61A" w14:textId="77777777" w:rsidR="00141CDF" w:rsidRDefault="00141CD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861B"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61C" w14:textId="77777777" w:rsidR="00141CDF" w:rsidRDefault="00141CD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861D" w14:textId="77777777" w:rsidR="00141CDF" w:rsidRDefault="00141CDF">
            <w:pPr>
              <w:rPr>
                <w:rFonts w:ascii="宋体"/>
              </w:rPr>
            </w:pPr>
          </w:p>
        </w:tc>
      </w:tr>
      <w:tr w:rsidR="00141CDF" w14:paraId="098A8630" w14:textId="77777777">
        <w:trPr>
          <w:jc w:val="center"/>
        </w:trPr>
        <w:tc>
          <w:tcPr>
            <w:tcW w:w="0" w:type="auto"/>
            <w:gridSpan w:val="3"/>
            <w:shd w:val="clear" w:color="auto" w:fill="CCEEFF"/>
            <w:tcMar>
              <w:top w:w="40" w:type="dxa"/>
              <w:left w:w="380" w:type="dxa"/>
              <w:bottom w:w="40" w:type="dxa"/>
              <w:right w:w="20" w:type="dxa"/>
            </w:tcMar>
            <w:vAlign w:val="center"/>
          </w:tcPr>
          <w:p w14:paraId="098A861F" w14:textId="77777777" w:rsidR="00141CDF" w:rsidRDefault="00DF45E0">
            <w:pPr>
              <w:textAlignment w:val="center"/>
            </w:pPr>
            <w:r>
              <w:rPr>
                <w:rFonts w:ascii="Times New Roman" w:eastAsia="宋体" w:hAnsi="Times New Roman"/>
                <w:color w:val="000000"/>
                <w:sz w:val="16"/>
                <w:szCs w:val="16"/>
              </w:rPr>
              <w:t>Net sales</w:t>
            </w:r>
          </w:p>
        </w:tc>
        <w:tc>
          <w:tcPr>
            <w:tcW w:w="0" w:type="auto"/>
            <w:gridSpan w:val="3"/>
            <w:shd w:val="clear" w:color="auto" w:fill="CCEEFF"/>
            <w:tcMar>
              <w:top w:w="0" w:type="dxa"/>
              <w:left w:w="20" w:type="dxa"/>
              <w:bottom w:w="0" w:type="dxa"/>
              <w:right w:w="20" w:type="dxa"/>
            </w:tcMar>
            <w:vAlign w:val="bottom"/>
          </w:tcPr>
          <w:p w14:paraId="098A8620"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8621"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8622" w14:textId="77777777" w:rsidR="00141CDF" w:rsidRDefault="00DF45E0">
            <w:pPr>
              <w:jc w:val="right"/>
              <w:textAlignment w:val="center"/>
            </w:pPr>
            <w:r>
              <w:rPr>
                <w:rFonts w:ascii="Times New Roman" w:eastAsia="宋体" w:hAnsi="Times New Roman"/>
                <w:color w:val="000000"/>
                <w:sz w:val="16"/>
                <w:szCs w:val="16"/>
              </w:rPr>
              <w:t>151,381 </w:t>
            </w:r>
          </w:p>
        </w:tc>
        <w:tc>
          <w:tcPr>
            <w:tcW w:w="0" w:type="auto"/>
            <w:shd w:val="clear" w:color="auto" w:fill="CCEEFF"/>
            <w:tcMar>
              <w:top w:w="40" w:type="dxa"/>
              <w:left w:w="0" w:type="dxa"/>
              <w:bottom w:w="40" w:type="dxa"/>
              <w:right w:w="20" w:type="dxa"/>
            </w:tcMar>
            <w:vAlign w:val="center"/>
          </w:tcPr>
          <w:p w14:paraId="098A8623"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624"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8625"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8626" w14:textId="77777777" w:rsidR="00141CDF" w:rsidRDefault="00DF45E0">
            <w:pPr>
              <w:jc w:val="right"/>
              <w:textAlignment w:val="center"/>
            </w:pPr>
            <w:r>
              <w:rPr>
                <w:rFonts w:ascii="Times New Roman" w:eastAsia="宋体" w:hAnsi="Times New Roman"/>
                <w:color w:val="000000"/>
                <w:sz w:val="16"/>
                <w:szCs w:val="16"/>
              </w:rPr>
              <w:t>139,871 </w:t>
            </w:r>
          </w:p>
        </w:tc>
        <w:tc>
          <w:tcPr>
            <w:tcW w:w="0" w:type="auto"/>
            <w:shd w:val="clear" w:color="auto" w:fill="CCEEFF"/>
            <w:tcMar>
              <w:top w:w="40" w:type="dxa"/>
              <w:left w:w="0" w:type="dxa"/>
              <w:bottom w:w="40" w:type="dxa"/>
              <w:right w:w="20" w:type="dxa"/>
            </w:tcMar>
            <w:vAlign w:val="center"/>
          </w:tcPr>
          <w:p w14:paraId="098A8627"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628"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8629"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862A" w14:textId="77777777" w:rsidR="00141CDF" w:rsidRDefault="00DF45E0">
            <w:pPr>
              <w:jc w:val="right"/>
              <w:textAlignment w:val="center"/>
            </w:pPr>
            <w:r>
              <w:rPr>
                <w:rFonts w:ascii="Times New Roman" w:eastAsia="宋体" w:hAnsi="Times New Roman"/>
                <w:color w:val="000000"/>
                <w:sz w:val="16"/>
                <w:szCs w:val="16"/>
              </w:rPr>
              <w:t>291,669 </w:t>
            </w:r>
          </w:p>
        </w:tc>
        <w:tc>
          <w:tcPr>
            <w:tcW w:w="0" w:type="auto"/>
            <w:shd w:val="clear" w:color="auto" w:fill="CCEEFF"/>
            <w:tcMar>
              <w:top w:w="40" w:type="dxa"/>
              <w:left w:w="0" w:type="dxa"/>
              <w:bottom w:w="40" w:type="dxa"/>
              <w:right w:w="20" w:type="dxa"/>
            </w:tcMar>
            <w:vAlign w:val="center"/>
          </w:tcPr>
          <w:p w14:paraId="098A862B"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62C"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862D"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862E" w14:textId="77777777" w:rsidR="00141CDF" w:rsidRDefault="00DF45E0">
            <w:pPr>
              <w:jc w:val="right"/>
              <w:textAlignment w:val="center"/>
            </w:pPr>
            <w:r>
              <w:rPr>
                <w:rFonts w:ascii="Times New Roman" w:eastAsia="宋体" w:hAnsi="Times New Roman"/>
                <w:color w:val="000000"/>
                <w:sz w:val="16"/>
                <w:szCs w:val="16"/>
              </w:rPr>
              <w:t>277,030 </w:t>
            </w:r>
          </w:p>
        </w:tc>
        <w:tc>
          <w:tcPr>
            <w:tcW w:w="0" w:type="auto"/>
            <w:shd w:val="clear" w:color="auto" w:fill="CCEEFF"/>
            <w:tcMar>
              <w:top w:w="40" w:type="dxa"/>
              <w:left w:w="0" w:type="dxa"/>
              <w:bottom w:w="40" w:type="dxa"/>
              <w:right w:w="20" w:type="dxa"/>
            </w:tcMar>
            <w:vAlign w:val="center"/>
          </w:tcPr>
          <w:p w14:paraId="098A862F" w14:textId="77777777" w:rsidR="00141CDF" w:rsidRDefault="00141CDF">
            <w:pPr>
              <w:jc w:val="right"/>
              <w:rPr>
                <w:rFonts w:ascii="宋体"/>
              </w:rPr>
            </w:pPr>
          </w:p>
        </w:tc>
      </w:tr>
      <w:tr w:rsidR="00141CDF" w14:paraId="098A863E" w14:textId="77777777">
        <w:trPr>
          <w:jc w:val="center"/>
        </w:trPr>
        <w:tc>
          <w:tcPr>
            <w:tcW w:w="0" w:type="auto"/>
            <w:gridSpan w:val="3"/>
            <w:shd w:val="clear" w:color="auto" w:fill="FFFFFF"/>
            <w:tcMar>
              <w:top w:w="40" w:type="dxa"/>
              <w:left w:w="380" w:type="dxa"/>
              <w:bottom w:w="40" w:type="dxa"/>
              <w:right w:w="20" w:type="dxa"/>
            </w:tcMar>
            <w:vAlign w:val="center"/>
          </w:tcPr>
          <w:p w14:paraId="098A8631" w14:textId="77777777" w:rsidR="00141CDF" w:rsidRDefault="00DF45E0">
            <w:pPr>
              <w:textAlignment w:val="center"/>
            </w:pPr>
            <w:r>
              <w:rPr>
                <w:rFonts w:ascii="Times New Roman" w:eastAsia="宋体" w:hAnsi="Times New Roman"/>
                <w:color w:val="000000"/>
                <w:sz w:val="16"/>
                <w:szCs w:val="16"/>
              </w:rPr>
              <w:t>Membership and other income</w:t>
            </w:r>
          </w:p>
        </w:tc>
        <w:tc>
          <w:tcPr>
            <w:tcW w:w="0" w:type="auto"/>
            <w:gridSpan w:val="3"/>
            <w:shd w:val="clear" w:color="auto" w:fill="FFFFFF"/>
            <w:tcMar>
              <w:top w:w="0" w:type="dxa"/>
              <w:left w:w="20" w:type="dxa"/>
              <w:bottom w:w="0" w:type="dxa"/>
              <w:right w:w="20" w:type="dxa"/>
            </w:tcMar>
            <w:vAlign w:val="bottom"/>
          </w:tcPr>
          <w:p w14:paraId="098A8632"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633" w14:textId="77777777" w:rsidR="00141CDF" w:rsidRDefault="00DF45E0">
            <w:pPr>
              <w:jc w:val="right"/>
              <w:textAlignment w:val="center"/>
            </w:pPr>
            <w:r>
              <w:rPr>
                <w:rFonts w:ascii="Times New Roman" w:eastAsia="宋体" w:hAnsi="Times New Roman"/>
                <w:color w:val="000000"/>
                <w:sz w:val="16"/>
                <w:szCs w:val="16"/>
              </w:rPr>
              <w:t>1,478 </w:t>
            </w:r>
          </w:p>
        </w:tc>
        <w:tc>
          <w:tcPr>
            <w:tcW w:w="0" w:type="auto"/>
            <w:shd w:val="clear" w:color="auto" w:fill="FFFFFF"/>
            <w:tcMar>
              <w:top w:w="40" w:type="dxa"/>
              <w:left w:w="0" w:type="dxa"/>
              <w:bottom w:w="40" w:type="dxa"/>
              <w:right w:w="20" w:type="dxa"/>
            </w:tcMar>
            <w:vAlign w:val="center"/>
          </w:tcPr>
          <w:p w14:paraId="098A8634"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635"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636" w14:textId="77777777" w:rsidR="00141CDF" w:rsidRDefault="00DF45E0">
            <w:pPr>
              <w:jc w:val="right"/>
              <w:textAlignment w:val="center"/>
            </w:pPr>
            <w:r>
              <w:rPr>
                <w:rFonts w:ascii="Times New Roman" w:eastAsia="宋体" w:hAnsi="Times New Roman"/>
                <w:color w:val="000000"/>
                <w:sz w:val="16"/>
                <w:szCs w:val="16"/>
              </w:rPr>
              <w:t>1,177 </w:t>
            </w:r>
          </w:p>
        </w:tc>
        <w:tc>
          <w:tcPr>
            <w:tcW w:w="0" w:type="auto"/>
            <w:shd w:val="clear" w:color="auto" w:fill="FFFFFF"/>
            <w:tcMar>
              <w:top w:w="40" w:type="dxa"/>
              <w:left w:w="0" w:type="dxa"/>
              <w:bottom w:w="40" w:type="dxa"/>
              <w:right w:w="20" w:type="dxa"/>
            </w:tcMar>
            <w:vAlign w:val="center"/>
          </w:tcPr>
          <w:p w14:paraId="098A8637"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638"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639" w14:textId="77777777" w:rsidR="00141CDF" w:rsidRDefault="00DF45E0">
            <w:pPr>
              <w:jc w:val="right"/>
              <w:textAlignment w:val="center"/>
            </w:pPr>
            <w:r>
              <w:rPr>
                <w:rFonts w:ascii="Times New Roman" w:eastAsia="宋体" w:hAnsi="Times New Roman"/>
                <w:color w:val="000000"/>
                <w:sz w:val="16"/>
                <w:szCs w:val="16"/>
              </w:rPr>
              <w:t>2,759 </w:t>
            </w:r>
          </w:p>
        </w:tc>
        <w:tc>
          <w:tcPr>
            <w:tcW w:w="0" w:type="auto"/>
            <w:shd w:val="clear" w:color="auto" w:fill="FFFFFF"/>
            <w:tcMar>
              <w:top w:w="40" w:type="dxa"/>
              <w:left w:w="0" w:type="dxa"/>
              <w:bottom w:w="40" w:type="dxa"/>
              <w:right w:w="20" w:type="dxa"/>
            </w:tcMar>
            <w:vAlign w:val="center"/>
          </w:tcPr>
          <w:p w14:paraId="098A863A"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63B"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63C" w14:textId="77777777" w:rsidR="00141CDF" w:rsidRDefault="00DF45E0">
            <w:pPr>
              <w:jc w:val="right"/>
              <w:textAlignment w:val="center"/>
            </w:pPr>
            <w:r>
              <w:rPr>
                <w:rFonts w:ascii="Times New Roman" w:eastAsia="宋体" w:hAnsi="Times New Roman"/>
                <w:color w:val="000000"/>
                <w:sz w:val="16"/>
                <w:szCs w:val="16"/>
              </w:rPr>
              <w:t>2,328 </w:t>
            </w:r>
          </w:p>
        </w:tc>
        <w:tc>
          <w:tcPr>
            <w:tcW w:w="0" w:type="auto"/>
            <w:shd w:val="clear" w:color="auto" w:fill="FFFFFF"/>
            <w:tcMar>
              <w:top w:w="40" w:type="dxa"/>
              <w:left w:w="0" w:type="dxa"/>
              <w:bottom w:w="40" w:type="dxa"/>
              <w:right w:w="20" w:type="dxa"/>
            </w:tcMar>
            <w:vAlign w:val="center"/>
          </w:tcPr>
          <w:p w14:paraId="098A863D" w14:textId="77777777" w:rsidR="00141CDF" w:rsidRDefault="00141CDF">
            <w:pPr>
              <w:jc w:val="right"/>
              <w:rPr>
                <w:rFonts w:ascii="宋体"/>
              </w:rPr>
            </w:pPr>
          </w:p>
        </w:tc>
      </w:tr>
      <w:tr w:rsidR="00141CDF" w14:paraId="098A864C" w14:textId="77777777">
        <w:trPr>
          <w:jc w:val="center"/>
        </w:trPr>
        <w:tc>
          <w:tcPr>
            <w:tcW w:w="0" w:type="auto"/>
            <w:gridSpan w:val="3"/>
            <w:shd w:val="clear" w:color="auto" w:fill="CCEEFF"/>
            <w:tcMar>
              <w:top w:w="40" w:type="dxa"/>
              <w:left w:w="605" w:type="dxa"/>
              <w:bottom w:w="40" w:type="dxa"/>
              <w:right w:w="20" w:type="dxa"/>
            </w:tcMar>
            <w:vAlign w:val="center"/>
          </w:tcPr>
          <w:p w14:paraId="098A863F" w14:textId="77777777" w:rsidR="00141CDF" w:rsidRDefault="00DF45E0">
            <w:pPr>
              <w:textAlignment w:val="center"/>
            </w:pPr>
            <w:r>
              <w:rPr>
                <w:rFonts w:ascii="Times New Roman" w:eastAsia="宋体" w:hAnsi="Times New Roman"/>
                <w:color w:val="000000"/>
                <w:sz w:val="16"/>
                <w:szCs w:val="16"/>
              </w:rPr>
              <w:t>Total revenues</w:t>
            </w:r>
          </w:p>
        </w:tc>
        <w:tc>
          <w:tcPr>
            <w:tcW w:w="0" w:type="auto"/>
            <w:gridSpan w:val="3"/>
            <w:shd w:val="clear" w:color="auto" w:fill="CCEEFF"/>
            <w:tcMar>
              <w:top w:w="0" w:type="dxa"/>
              <w:left w:w="20" w:type="dxa"/>
              <w:bottom w:w="0" w:type="dxa"/>
              <w:right w:w="20" w:type="dxa"/>
            </w:tcMar>
            <w:vAlign w:val="bottom"/>
          </w:tcPr>
          <w:p w14:paraId="098A8640" w14:textId="77777777" w:rsidR="00141CDF" w:rsidRDefault="00141CD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98A8641" w14:textId="77777777" w:rsidR="00141CDF" w:rsidRDefault="00DF45E0">
            <w:pPr>
              <w:jc w:val="right"/>
              <w:textAlignment w:val="center"/>
            </w:pPr>
            <w:r>
              <w:rPr>
                <w:rFonts w:ascii="Times New Roman" w:eastAsia="宋体" w:hAnsi="Times New Roman"/>
                <w:color w:val="000000"/>
                <w:sz w:val="16"/>
                <w:szCs w:val="16"/>
              </w:rPr>
              <w:t>152,859 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8642"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643" w14:textId="77777777" w:rsidR="00141CDF" w:rsidRDefault="00141CD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98A8644" w14:textId="77777777" w:rsidR="00141CDF" w:rsidRDefault="00DF45E0">
            <w:pPr>
              <w:jc w:val="right"/>
              <w:textAlignment w:val="center"/>
            </w:pPr>
            <w:r>
              <w:rPr>
                <w:rFonts w:ascii="Times New Roman" w:eastAsia="宋体" w:hAnsi="Times New Roman"/>
                <w:color w:val="000000"/>
                <w:sz w:val="16"/>
                <w:szCs w:val="16"/>
              </w:rPr>
              <w:t>141,048 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8645"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646" w14:textId="77777777" w:rsidR="00141CDF" w:rsidRDefault="00141CD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98A8647" w14:textId="77777777" w:rsidR="00141CDF" w:rsidRDefault="00DF45E0">
            <w:pPr>
              <w:jc w:val="right"/>
              <w:textAlignment w:val="center"/>
            </w:pPr>
            <w:r>
              <w:rPr>
                <w:rFonts w:ascii="Times New Roman" w:eastAsia="宋体" w:hAnsi="Times New Roman"/>
                <w:color w:val="000000"/>
                <w:sz w:val="16"/>
                <w:szCs w:val="16"/>
              </w:rPr>
              <w:t>294,428 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8648"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649" w14:textId="77777777" w:rsidR="00141CDF" w:rsidRDefault="00141CD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98A864A" w14:textId="77777777" w:rsidR="00141CDF" w:rsidRDefault="00DF45E0">
            <w:pPr>
              <w:jc w:val="right"/>
              <w:textAlignment w:val="center"/>
            </w:pPr>
            <w:r>
              <w:rPr>
                <w:rFonts w:ascii="Times New Roman" w:eastAsia="宋体" w:hAnsi="Times New Roman"/>
                <w:color w:val="000000"/>
                <w:sz w:val="16"/>
                <w:szCs w:val="16"/>
              </w:rPr>
              <w:t>279,358 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864B" w14:textId="77777777" w:rsidR="00141CDF" w:rsidRDefault="00141CDF">
            <w:pPr>
              <w:jc w:val="right"/>
              <w:rPr>
                <w:rFonts w:ascii="宋体"/>
              </w:rPr>
            </w:pPr>
          </w:p>
        </w:tc>
      </w:tr>
      <w:tr w:rsidR="00141CDF" w14:paraId="098A8656" w14:textId="77777777">
        <w:trPr>
          <w:jc w:val="center"/>
        </w:trPr>
        <w:tc>
          <w:tcPr>
            <w:tcW w:w="0" w:type="auto"/>
            <w:gridSpan w:val="3"/>
            <w:shd w:val="clear" w:color="auto" w:fill="FFFFFF"/>
            <w:tcMar>
              <w:top w:w="40" w:type="dxa"/>
              <w:left w:w="20" w:type="dxa"/>
              <w:bottom w:w="40" w:type="dxa"/>
              <w:right w:w="20" w:type="dxa"/>
            </w:tcMar>
            <w:vAlign w:val="center"/>
          </w:tcPr>
          <w:p w14:paraId="098A864D" w14:textId="77777777" w:rsidR="00141CDF" w:rsidRDefault="00DF45E0">
            <w:pPr>
              <w:textAlignment w:val="center"/>
            </w:pPr>
            <w:r>
              <w:rPr>
                <w:rFonts w:ascii="Times New Roman" w:eastAsia="宋体" w:hAnsi="Times New Roman"/>
                <w:b/>
                <w:bCs/>
                <w:color w:val="000000"/>
                <w:sz w:val="16"/>
                <w:szCs w:val="16"/>
              </w:rPr>
              <w:t>Costs and expenses:</w:t>
            </w:r>
          </w:p>
        </w:tc>
        <w:tc>
          <w:tcPr>
            <w:tcW w:w="0" w:type="auto"/>
            <w:gridSpan w:val="3"/>
            <w:shd w:val="clear" w:color="auto" w:fill="FFFFFF"/>
            <w:tcMar>
              <w:top w:w="0" w:type="dxa"/>
              <w:left w:w="20" w:type="dxa"/>
              <w:bottom w:w="0" w:type="dxa"/>
              <w:right w:w="20" w:type="dxa"/>
            </w:tcMar>
            <w:vAlign w:val="bottom"/>
          </w:tcPr>
          <w:p w14:paraId="098A864E"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64F"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650"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651"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652"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653"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654"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655" w14:textId="77777777" w:rsidR="00141CDF" w:rsidRDefault="00141CDF">
            <w:pPr>
              <w:rPr>
                <w:rFonts w:ascii="宋体"/>
              </w:rPr>
            </w:pPr>
          </w:p>
        </w:tc>
      </w:tr>
      <w:tr w:rsidR="00141CDF" w14:paraId="098A8664" w14:textId="77777777">
        <w:trPr>
          <w:jc w:val="center"/>
        </w:trPr>
        <w:tc>
          <w:tcPr>
            <w:tcW w:w="0" w:type="auto"/>
            <w:gridSpan w:val="3"/>
            <w:shd w:val="clear" w:color="auto" w:fill="CCEEFF"/>
            <w:tcMar>
              <w:top w:w="40" w:type="dxa"/>
              <w:left w:w="380" w:type="dxa"/>
              <w:bottom w:w="40" w:type="dxa"/>
              <w:right w:w="20" w:type="dxa"/>
            </w:tcMar>
            <w:vAlign w:val="center"/>
          </w:tcPr>
          <w:p w14:paraId="098A8657" w14:textId="77777777" w:rsidR="00141CDF" w:rsidRDefault="00DF45E0">
            <w:pPr>
              <w:textAlignment w:val="center"/>
            </w:pPr>
            <w:r>
              <w:rPr>
                <w:rFonts w:ascii="Times New Roman" w:eastAsia="宋体" w:hAnsi="Times New Roman"/>
                <w:color w:val="000000"/>
                <w:sz w:val="16"/>
                <w:szCs w:val="16"/>
              </w:rPr>
              <w:t>Cost of sales</w:t>
            </w:r>
          </w:p>
        </w:tc>
        <w:tc>
          <w:tcPr>
            <w:tcW w:w="0" w:type="auto"/>
            <w:gridSpan w:val="3"/>
            <w:shd w:val="clear" w:color="auto" w:fill="CCEEFF"/>
            <w:tcMar>
              <w:top w:w="0" w:type="dxa"/>
              <w:left w:w="20" w:type="dxa"/>
              <w:bottom w:w="0" w:type="dxa"/>
              <w:right w:w="20" w:type="dxa"/>
            </w:tcMar>
            <w:vAlign w:val="bottom"/>
          </w:tcPr>
          <w:p w14:paraId="098A8658"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659" w14:textId="77777777" w:rsidR="00141CDF" w:rsidRDefault="00DF45E0">
            <w:pPr>
              <w:jc w:val="right"/>
              <w:textAlignment w:val="center"/>
            </w:pPr>
            <w:r>
              <w:rPr>
                <w:rFonts w:ascii="Times New Roman" w:eastAsia="宋体" w:hAnsi="Times New Roman"/>
                <w:color w:val="000000"/>
                <w:sz w:val="16"/>
                <w:szCs w:val="16"/>
              </w:rPr>
              <w:t>115,838 </w:t>
            </w:r>
          </w:p>
        </w:tc>
        <w:tc>
          <w:tcPr>
            <w:tcW w:w="0" w:type="auto"/>
            <w:shd w:val="clear" w:color="auto" w:fill="CCEEFF"/>
            <w:tcMar>
              <w:top w:w="40" w:type="dxa"/>
              <w:left w:w="0" w:type="dxa"/>
              <w:bottom w:w="40" w:type="dxa"/>
              <w:right w:w="20" w:type="dxa"/>
            </w:tcMar>
            <w:vAlign w:val="center"/>
          </w:tcPr>
          <w:p w14:paraId="098A865A"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65B"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65C" w14:textId="77777777" w:rsidR="00141CDF" w:rsidRDefault="00DF45E0">
            <w:pPr>
              <w:jc w:val="right"/>
              <w:textAlignment w:val="center"/>
            </w:pPr>
            <w:r>
              <w:rPr>
                <w:rFonts w:ascii="Times New Roman" w:eastAsia="宋体" w:hAnsi="Times New Roman"/>
                <w:color w:val="000000"/>
                <w:sz w:val="16"/>
                <w:szCs w:val="16"/>
              </w:rPr>
              <w:t>105,183 </w:t>
            </w:r>
          </w:p>
        </w:tc>
        <w:tc>
          <w:tcPr>
            <w:tcW w:w="0" w:type="auto"/>
            <w:shd w:val="clear" w:color="auto" w:fill="CCEEFF"/>
            <w:tcMar>
              <w:top w:w="40" w:type="dxa"/>
              <w:left w:w="0" w:type="dxa"/>
              <w:bottom w:w="40" w:type="dxa"/>
              <w:right w:w="20" w:type="dxa"/>
            </w:tcMar>
            <w:vAlign w:val="center"/>
          </w:tcPr>
          <w:p w14:paraId="098A865D"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65E"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bottom"/>
          </w:tcPr>
          <w:p w14:paraId="098A865F" w14:textId="77777777" w:rsidR="00141CDF" w:rsidRDefault="00DF45E0">
            <w:pPr>
              <w:jc w:val="right"/>
              <w:textAlignment w:val="bottom"/>
            </w:pPr>
            <w:r>
              <w:rPr>
                <w:rFonts w:ascii="Times New Roman" w:eastAsia="宋体" w:hAnsi="Times New Roman"/>
                <w:color w:val="000000"/>
                <w:sz w:val="16"/>
                <w:szCs w:val="16"/>
              </w:rPr>
              <w:t>222,685 </w:t>
            </w:r>
          </w:p>
        </w:tc>
        <w:tc>
          <w:tcPr>
            <w:tcW w:w="0" w:type="auto"/>
            <w:shd w:val="clear" w:color="auto" w:fill="CCEEFF"/>
            <w:tcMar>
              <w:top w:w="40" w:type="dxa"/>
              <w:left w:w="0" w:type="dxa"/>
              <w:bottom w:w="40" w:type="dxa"/>
              <w:right w:w="20" w:type="dxa"/>
            </w:tcMar>
            <w:vAlign w:val="bottom"/>
          </w:tcPr>
          <w:p w14:paraId="098A8660"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661"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bottom"/>
          </w:tcPr>
          <w:p w14:paraId="098A8662" w14:textId="77777777" w:rsidR="00141CDF" w:rsidRDefault="00DF45E0">
            <w:pPr>
              <w:jc w:val="right"/>
              <w:textAlignment w:val="bottom"/>
            </w:pPr>
            <w:r>
              <w:rPr>
                <w:rFonts w:ascii="Times New Roman" w:eastAsia="宋体" w:hAnsi="Times New Roman"/>
                <w:color w:val="000000"/>
                <w:sz w:val="16"/>
                <w:szCs w:val="16"/>
              </w:rPr>
              <w:t>208,455 </w:t>
            </w:r>
          </w:p>
        </w:tc>
        <w:tc>
          <w:tcPr>
            <w:tcW w:w="0" w:type="auto"/>
            <w:shd w:val="clear" w:color="auto" w:fill="CCEEFF"/>
            <w:tcMar>
              <w:top w:w="40" w:type="dxa"/>
              <w:left w:w="0" w:type="dxa"/>
              <w:bottom w:w="40" w:type="dxa"/>
              <w:right w:w="20" w:type="dxa"/>
            </w:tcMar>
            <w:vAlign w:val="bottom"/>
          </w:tcPr>
          <w:p w14:paraId="098A8663" w14:textId="77777777" w:rsidR="00141CDF" w:rsidRDefault="00141CDF">
            <w:pPr>
              <w:jc w:val="right"/>
              <w:rPr>
                <w:rFonts w:ascii="宋体"/>
              </w:rPr>
            </w:pPr>
          </w:p>
        </w:tc>
      </w:tr>
      <w:tr w:rsidR="00141CDF" w14:paraId="098A8672" w14:textId="77777777">
        <w:trPr>
          <w:jc w:val="center"/>
        </w:trPr>
        <w:tc>
          <w:tcPr>
            <w:tcW w:w="0" w:type="auto"/>
            <w:gridSpan w:val="3"/>
            <w:shd w:val="clear" w:color="auto" w:fill="FFFFFF"/>
            <w:tcMar>
              <w:top w:w="40" w:type="dxa"/>
              <w:left w:w="380" w:type="dxa"/>
              <w:bottom w:w="40" w:type="dxa"/>
              <w:right w:w="20" w:type="dxa"/>
            </w:tcMar>
            <w:vAlign w:val="center"/>
          </w:tcPr>
          <w:p w14:paraId="098A8665" w14:textId="77777777" w:rsidR="00141CDF" w:rsidRDefault="00DF45E0">
            <w:pPr>
              <w:textAlignment w:val="center"/>
            </w:pPr>
            <w:r>
              <w:rPr>
                <w:rFonts w:ascii="Times New Roman" w:eastAsia="宋体" w:hAnsi="Times New Roman"/>
                <w:color w:val="000000"/>
                <w:sz w:val="16"/>
                <w:szCs w:val="16"/>
              </w:rPr>
              <w:t>Operating, selling, general and administrative expenses</w:t>
            </w:r>
          </w:p>
        </w:tc>
        <w:tc>
          <w:tcPr>
            <w:tcW w:w="0" w:type="auto"/>
            <w:gridSpan w:val="3"/>
            <w:shd w:val="clear" w:color="auto" w:fill="FFFFFF"/>
            <w:tcMar>
              <w:top w:w="0" w:type="dxa"/>
              <w:left w:w="20" w:type="dxa"/>
              <w:bottom w:w="0" w:type="dxa"/>
              <w:right w:w="20" w:type="dxa"/>
            </w:tcMar>
            <w:vAlign w:val="bottom"/>
          </w:tcPr>
          <w:p w14:paraId="098A8666"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667" w14:textId="77777777" w:rsidR="00141CDF" w:rsidRDefault="00DF45E0">
            <w:pPr>
              <w:jc w:val="right"/>
              <w:textAlignment w:val="center"/>
            </w:pPr>
            <w:r>
              <w:rPr>
                <w:rFonts w:ascii="Times New Roman" w:eastAsia="宋体" w:hAnsi="Times New Roman"/>
                <w:color w:val="000000"/>
                <w:sz w:val="16"/>
                <w:szCs w:val="16"/>
              </w:rPr>
              <w:t>30,167 </w:t>
            </w:r>
          </w:p>
        </w:tc>
        <w:tc>
          <w:tcPr>
            <w:tcW w:w="0" w:type="auto"/>
            <w:shd w:val="clear" w:color="auto" w:fill="FFFFFF"/>
            <w:tcMar>
              <w:top w:w="40" w:type="dxa"/>
              <w:left w:w="0" w:type="dxa"/>
              <w:bottom w:w="40" w:type="dxa"/>
              <w:right w:w="20" w:type="dxa"/>
            </w:tcMar>
            <w:vAlign w:val="center"/>
          </w:tcPr>
          <w:p w14:paraId="098A8668"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669"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66A" w14:textId="77777777" w:rsidR="00141CDF" w:rsidRDefault="00DF45E0">
            <w:pPr>
              <w:jc w:val="right"/>
              <w:textAlignment w:val="center"/>
            </w:pPr>
            <w:r>
              <w:rPr>
                <w:rFonts w:ascii="Times New Roman" w:eastAsia="宋体" w:hAnsi="Times New Roman"/>
                <w:color w:val="000000"/>
                <w:sz w:val="16"/>
                <w:szCs w:val="16"/>
              </w:rPr>
              <w:t>28,511 </w:t>
            </w:r>
          </w:p>
        </w:tc>
        <w:tc>
          <w:tcPr>
            <w:tcW w:w="0" w:type="auto"/>
            <w:shd w:val="clear" w:color="auto" w:fill="FFFFFF"/>
            <w:tcMar>
              <w:top w:w="40" w:type="dxa"/>
              <w:left w:w="0" w:type="dxa"/>
              <w:bottom w:w="40" w:type="dxa"/>
              <w:right w:w="20" w:type="dxa"/>
            </w:tcMar>
            <w:vAlign w:val="center"/>
          </w:tcPr>
          <w:p w14:paraId="098A866B"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66C"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bottom"/>
          </w:tcPr>
          <w:p w14:paraId="098A866D" w14:textId="77777777" w:rsidR="00141CDF" w:rsidRDefault="00DF45E0">
            <w:pPr>
              <w:jc w:val="right"/>
              <w:textAlignment w:val="bottom"/>
            </w:pPr>
            <w:r>
              <w:rPr>
                <w:rFonts w:ascii="Times New Roman" w:eastAsia="宋体" w:hAnsi="Times New Roman"/>
                <w:color w:val="000000"/>
                <w:sz w:val="16"/>
                <w:szCs w:val="16"/>
              </w:rPr>
              <w:t>59,571 </w:t>
            </w:r>
          </w:p>
        </w:tc>
        <w:tc>
          <w:tcPr>
            <w:tcW w:w="0" w:type="auto"/>
            <w:shd w:val="clear" w:color="auto" w:fill="FFFFFF"/>
            <w:tcMar>
              <w:top w:w="40" w:type="dxa"/>
              <w:left w:w="0" w:type="dxa"/>
              <w:bottom w:w="40" w:type="dxa"/>
              <w:right w:w="20" w:type="dxa"/>
            </w:tcMar>
            <w:vAlign w:val="bottom"/>
          </w:tcPr>
          <w:p w14:paraId="098A866E"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66F"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bottom"/>
          </w:tcPr>
          <w:p w14:paraId="098A8670" w14:textId="77777777" w:rsidR="00141CDF" w:rsidRDefault="00DF45E0">
            <w:pPr>
              <w:jc w:val="right"/>
              <w:textAlignment w:val="bottom"/>
            </w:pPr>
            <w:r>
              <w:rPr>
                <w:rFonts w:ascii="Times New Roman" w:eastAsia="宋体" w:hAnsi="Times New Roman"/>
                <w:color w:val="000000"/>
                <w:sz w:val="16"/>
                <w:szCs w:val="16"/>
              </w:rPr>
              <w:t>56,640 </w:t>
            </w:r>
          </w:p>
        </w:tc>
        <w:tc>
          <w:tcPr>
            <w:tcW w:w="0" w:type="auto"/>
            <w:shd w:val="clear" w:color="auto" w:fill="FFFFFF"/>
            <w:tcMar>
              <w:top w:w="40" w:type="dxa"/>
              <w:left w:w="0" w:type="dxa"/>
              <w:bottom w:w="40" w:type="dxa"/>
              <w:right w:w="20" w:type="dxa"/>
            </w:tcMar>
            <w:vAlign w:val="bottom"/>
          </w:tcPr>
          <w:p w14:paraId="098A8671" w14:textId="77777777" w:rsidR="00141CDF" w:rsidRDefault="00141CDF">
            <w:pPr>
              <w:jc w:val="right"/>
              <w:rPr>
                <w:rFonts w:ascii="宋体"/>
              </w:rPr>
            </w:pPr>
          </w:p>
        </w:tc>
      </w:tr>
      <w:tr w:rsidR="00141CDF" w14:paraId="098A8680" w14:textId="77777777">
        <w:trPr>
          <w:jc w:val="center"/>
        </w:trPr>
        <w:tc>
          <w:tcPr>
            <w:tcW w:w="0" w:type="auto"/>
            <w:gridSpan w:val="3"/>
            <w:shd w:val="clear" w:color="auto" w:fill="CCEEFF"/>
            <w:tcMar>
              <w:top w:w="40" w:type="dxa"/>
              <w:left w:w="20" w:type="dxa"/>
              <w:bottom w:w="40" w:type="dxa"/>
              <w:right w:w="20" w:type="dxa"/>
            </w:tcMar>
            <w:vAlign w:val="center"/>
          </w:tcPr>
          <w:p w14:paraId="098A8673" w14:textId="77777777" w:rsidR="00141CDF" w:rsidRDefault="00DF45E0">
            <w:pPr>
              <w:textAlignment w:val="center"/>
            </w:pPr>
            <w:r>
              <w:rPr>
                <w:rFonts w:ascii="Times New Roman" w:eastAsia="宋体" w:hAnsi="Times New Roman"/>
                <w:b/>
                <w:bCs/>
                <w:color w:val="000000"/>
                <w:sz w:val="16"/>
                <w:szCs w:val="16"/>
              </w:rPr>
              <w:t>Operating income</w:t>
            </w:r>
          </w:p>
        </w:tc>
        <w:tc>
          <w:tcPr>
            <w:tcW w:w="0" w:type="auto"/>
            <w:gridSpan w:val="3"/>
            <w:shd w:val="clear" w:color="auto" w:fill="CCEEFF"/>
            <w:tcMar>
              <w:top w:w="0" w:type="dxa"/>
              <w:left w:w="20" w:type="dxa"/>
              <w:bottom w:w="0" w:type="dxa"/>
              <w:right w:w="20" w:type="dxa"/>
            </w:tcMar>
            <w:vAlign w:val="bottom"/>
          </w:tcPr>
          <w:p w14:paraId="098A8674" w14:textId="77777777" w:rsidR="00141CDF" w:rsidRDefault="00141CD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98A8675" w14:textId="77777777" w:rsidR="00141CDF" w:rsidRDefault="00DF45E0">
            <w:pPr>
              <w:jc w:val="right"/>
              <w:textAlignment w:val="center"/>
            </w:pPr>
            <w:r>
              <w:rPr>
                <w:rFonts w:ascii="Times New Roman" w:eastAsia="宋体" w:hAnsi="Times New Roman"/>
                <w:color w:val="000000"/>
                <w:sz w:val="16"/>
                <w:szCs w:val="16"/>
              </w:rPr>
              <w:t>6,854 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8676"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677" w14:textId="77777777" w:rsidR="00141CDF" w:rsidRDefault="00141CD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98A8678" w14:textId="77777777" w:rsidR="00141CDF" w:rsidRDefault="00DF45E0">
            <w:pPr>
              <w:jc w:val="right"/>
              <w:textAlignment w:val="center"/>
            </w:pPr>
            <w:r>
              <w:rPr>
                <w:rFonts w:ascii="Times New Roman" w:eastAsia="宋体" w:hAnsi="Times New Roman"/>
                <w:color w:val="000000"/>
                <w:sz w:val="16"/>
                <w:szCs w:val="16"/>
              </w:rPr>
              <w:t>7,354 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8679"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67A" w14:textId="77777777" w:rsidR="00141CDF" w:rsidRDefault="00141CD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98A867B" w14:textId="77777777" w:rsidR="00141CDF" w:rsidRDefault="00DF45E0">
            <w:pPr>
              <w:jc w:val="right"/>
              <w:textAlignment w:val="bottom"/>
            </w:pPr>
            <w:r>
              <w:rPr>
                <w:rFonts w:ascii="Times New Roman" w:eastAsia="宋体" w:hAnsi="Times New Roman"/>
                <w:color w:val="000000"/>
                <w:sz w:val="16"/>
                <w:szCs w:val="16"/>
              </w:rPr>
              <w:t>12,172 </w:t>
            </w:r>
          </w:p>
        </w:tc>
        <w:tc>
          <w:tcPr>
            <w:tcW w:w="0" w:type="auto"/>
            <w:tcBorders>
              <w:top w:val="single" w:sz="8" w:space="0" w:color="000000"/>
            </w:tcBorders>
            <w:shd w:val="clear" w:color="auto" w:fill="CCEEFF"/>
            <w:tcMar>
              <w:top w:w="40" w:type="dxa"/>
              <w:left w:w="0" w:type="dxa"/>
              <w:bottom w:w="40" w:type="dxa"/>
              <w:right w:w="20" w:type="dxa"/>
            </w:tcMar>
            <w:vAlign w:val="bottom"/>
          </w:tcPr>
          <w:p w14:paraId="098A867C"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67D" w14:textId="77777777" w:rsidR="00141CDF" w:rsidRDefault="00141CD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98A867E" w14:textId="77777777" w:rsidR="00141CDF" w:rsidRDefault="00DF45E0">
            <w:pPr>
              <w:jc w:val="right"/>
              <w:textAlignment w:val="bottom"/>
            </w:pPr>
            <w:r>
              <w:rPr>
                <w:rFonts w:ascii="Times New Roman" w:eastAsia="宋体" w:hAnsi="Times New Roman"/>
                <w:color w:val="000000"/>
                <w:sz w:val="16"/>
                <w:szCs w:val="16"/>
              </w:rPr>
              <w:t>14,263 </w:t>
            </w:r>
          </w:p>
        </w:tc>
        <w:tc>
          <w:tcPr>
            <w:tcW w:w="0" w:type="auto"/>
            <w:tcBorders>
              <w:top w:val="single" w:sz="8" w:space="0" w:color="000000"/>
            </w:tcBorders>
            <w:shd w:val="clear" w:color="auto" w:fill="CCEEFF"/>
            <w:tcMar>
              <w:top w:w="40" w:type="dxa"/>
              <w:left w:w="0" w:type="dxa"/>
              <w:bottom w:w="40" w:type="dxa"/>
              <w:right w:w="20" w:type="dxa"/>
            </w:tcMar>
            <w:vAlign w:val="bottom"/>
          </w:tcPr>
          <w:p w14:paraId="098A867F" w14:textId="77777777" w:rsidR="00141CDF" w:rsidRDefault="00141CDF">
            <w:pPr>
              <w:jc w:val="right"/>
              <w:rPr>
                <w:rFonts w:ascii="宋体"/>
              </w:rPr>
            </w:pPr>
          </w:p>
        </w:tc>
      </w:tr>
      <w:tr w:rsidR="00141CDF" w14:paraId="098A868A" w14:textId="77777777">
        <w:trPr>
          <w:jc w:val="center"/>
        </w:trPr>
        <w:tc>
          <w:tcPr>
            <w:tcW w:w="0" w:type="auto"/>
            <w:gridSpan w:val="3"/>
            <w:shd w:val="clear" w:color="auto" w:fill="FFFFFF"/>
            <w:tcMar>
              <w:top w:w="40" w:type="dxa"/>
              <w:left w:w="20" w:type="dxa"/>
              <w:bottom w:w="40" w:type="dxa"/>
              <w:right w:w="20" w:type="dxa"/>
            </w:tcMar>
            <w:vAlign w:val="center"/>
          </w:tcPr>
          <w:p w14:paraId="098A8681" w14:textId="77777777" w:rsidR="00141CDF" w:rsidRDefault="00DF45E0">
            <w:pPr>
              <w:textAlignment w:val="center"/>
            </w:pPr>
            <w:r>
              <w:rPr>
                <w:rFonts w:ascii="Times New Roman" w:eastAsia="宋体" w:hAnsi="Times New Roman"/>
                <w:b/>
                <w:bCs/>
                <w:color w:val="000000"/>
                <w:sz w:val="16"/>
                <w:szCs w:val="16"/>
              </w:rPr>
              <w:t>Interest:</w:t>
            </w:r>
          </w:p>
        </w:tc>
        <w:tc>
          <w:tcPr>
            <w:tcW w:w="0" w:type="auto"/>
            <w:gridSpan w:val="3"/>
            <w:shd w:val="clear" w:color="auto" w:fill="FFFFFF"/>
            <w:tcMar>
              <w:top w:w="0" w:type="dxa"/>
              <w:left w:w="20" w:type="dxa"/>
              <w:bottom w:w="0" w:type="dxa"/>
              <w:right w:w="20" w:type="dxa"/>
            </w:tcMar>
            <w:vAlign w:val="bottom"/>
          </w:tcPr>
          <w:p w14:paraId="098A8682"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683"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684"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685"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686"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687"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688"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689" w14:textId="77777777" w:rsidR="00141CDF" w:rsidRDefault="00141CDF">
            <w:pPr>
              <w:rPr>
                <w:rFonts w:ascii="宋体"/>
              </w:rPr>
            </w:pPr>
          </w:p>
        </w:tc>
      </w:tr>
      <w:tr w:rsidR="00141CDF" w14:paraId="098A8698" w14:textId="77777777">
        <w:trPr>
          <w:jc w:val="center"/>
        </w:trPr>
        <w:tc>
          <w:tcPr>
            <w:tcW w:w="0" w:type="auto"/>
            <w:gridSpan w:val="3"/>
            <w:shd w:val="clear" w:color="auto" w:fill="CCEEFF"/>
            <w:tcMar>
              <w:top w:w="40" w:type="dxa"/>
              <w:left w:w="380" w:type="dxa"/>
              <w:bottom w:w="40" w:type="dxa"/>
              <w:right w:w="20" w:type="dxa"/>
            </w:tcMar>
            <w:vAlign w:val="center"/>
          </w:tcPr>
          <w:p w14:paraId="098A868B" w14:textId="77777777" w:rsidR="00141CDF" w:rsidRDefault="00DF45E0">
            <w:pPr>
              <w:textAlignment w:val="center"/>
            </w:pPr>
            <w:r>
              <w:rPr>
                <w:rFonts w:ascii="Times New Roman" w:eastAsia="宋体" w:hAnsi="Times New Roman"/>
                <w:color w:val="000000"/>
                <w:sz w:val="16"/>
                <w:szCs w:val="16"/>
              </w:rPr>
              <w:t>Debt</w:t>
            </w:r>
          </w:p>
        </w:tc>
        <w:tc>
          <w:tcPr>
            <w:tcW w:w="0" w:type="auto"/>
            <w:gridSpan w:val="3"/>
            <w:shd w:val="clear" w:color="auto" w:fill="CCEEFF"/>
            <w:tcMar>
              <w:top w:w="0" w:type="dxa"/>
              <w:left w:w="20" w:type="dxa"/>
              <w:bottom w:w="0" w:type="dxa"/>
              <w:right w:w="20" w:type="dxa"/>
            </w:tcMar>
            <w:vAlign w:val="bottom"/>
          </w:tcPr>
          <w:p w14:paraId="098A868C"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68D" w14:textId="77777777" w:rsidR="00141CDF" w:rsidRDefault="00DF45E0">
            <w:pPr>
              <w:jc w:val="right"/>
              <w:textAlignment w:val="center"/>
            </w:pPr>
            <w:r>
              <w:rPr>
                <w:rFonts w:ascii="Times New Roman" w:eastAsia="宋体" w:hAnsi="Times New Roman"/>
                <w:color w:val="000000"/>
                <w:sz w:val="16"/>
                <w:szCs w:val="16"/>
              </w:rPr>
              <w:t>395 </w:t>
            </w:r>
          </w:p>
        </w:tc>
        <w:tc>
          <w:tcPr>
            <w:tcW w:w="0" w:type="auto"/>
            <w:shd w:val="clear" w:color="auto" w:fill="CCEEFF"/>
            <w:tcMar>
              <w:top w:w="40" w:type="dxa"/>
              <w:left w:w="0" w:type="dxa"/>
              <w:bottom w:w="40" w:type="dxa"/>
              <w:right w:w="20" w:type="dxa"/>
            </w:tcMar>
            <w:vAlign w:val="center"/>
          </w:tcPr>
          <w:p w14:paraId="098A868E"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68F"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690" w14:textId="77777777" w:rsidR="00141CDF" w:rsidRDefault="00DF45E0">
            <w:pPr>
              <w:jc w:val="right"/>
              <w:textAlignment w:val="center"/>
            </w:pPr>
            <w:r>
              <w:rPr>
                <w:rFonts w:ascii="Times New Roman" w:eastAsia="宋体" w:hAnsi="Times New Roman"/>
                <w:color w:val="000000"/>
                <w:sz w:val="16"/>
                <w:szCs w:val="16"/>
              </w:rPr>
              <w:t>437 </w:t>
            </w:r>
          </w:p>
        </w:tc>
        <w:tc>
          <w:tcPr>
            <w:tcW w:w="0" w:type="auto"/>
            <w:shd w:val="clear" w:color="auto" w:fill="CCEEFF"/>
            <w:tcMar>
              <w:top w:w="40" w:type="dxa"/>
              <w:left w:w="0" w:type="dxa"/>
              <w:bottom w:w="40" w:type="dxa"/>
              <w:right w:w="20" w:type="dxa"/>
            </w:tcMar>
            <w:vAlign w:val="center"/>
          </w:tcPr>
          <w:p w14:paraId="098A8691"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692"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bottom"/>
          </w:tcPr>
          <w:p w14:paraId="098A8693" w14:textId="77777777" w:rsidR="00141CDF" w:rsidRDefault="00DF45E0">
            <w:pPr>
              <w:jc w:val="right"/>
              <w:textAlignment w:val="bottom"/>
            </w:pPr>
            <w:r>
              <w:rPr>
                <w:rFonts w:ascii="Times New Roman" w:eastAsia="宋体" w:hAnsi="Times New Roman"/>
                <w:color w:val="000000"/>
                <w:sz w:val="16"/>
                <w:szCs w:val="16"/>
              </w:rPr>
              <w:t>767 </w:t>
            </w:r>
          </w:p>
        </w:tc>
        <w:tc>
          <w:tcPr>
            <w:tcW w:w="0" w:type="auto"/>
            <w:shd w:val="clear" w:color="auto" w:fill="CCEEFF"/>
            <w:tcMar>
              <w:top w:w="40" w:type="dxa"/>
              <w:left w:w="0" w:type="dxa"/>
              <w:bottom w:w="40" w:type="dxa"/>
              <w:right w:w="20" w:type="dxa"/>
            </w:tcMar>
            <w:vAlign w:val="bottom"/>
          </w:tcPr>
          <w:p w14:paraId="098A8694"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695"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bottom"/>
          </w:tcPr>
          <w:p w14:paraId="098A8696" w14:textId="77777777" w:rsidR="00141CDF" w:rsidRDefault="00DF45E0">
            <w:pPr>
              <w:jc w:val="right"/>
              <w:textAlignment w:val="bottom"/>
            </w:pPr>
            <w:r>
              <w:rPr>
                <w:rFonts w:ascii="Times New Roman" w:eastAsia="宋体" w:hAnsi="Times New Roman"/>
                <w:color w:val="000000"/>
                <w:sz w:val="16"/>
                <w:szCs w:val="16"/>
              </w:rPr>
              <w:t>918 </w:t>
            </w:r>
          </w:p>
        </w:tc>
        <w:tc>
          <w:tcPr>
            <w:tcW w:w="0" w:type="auto"/>
            <w:shd w:val="clear" w:color="auto" w:fill="CCEEFF"/>
            <w:tcMar>
              <w:top w:w="40" w:type="dxa"/>
              <w:left w:w="0" w:type="dxa"/>
              <w:bottom w:w="40" w:type="dxa"/>
              <w:right w:w="20" w:type="dxa"/>
            </w:tcMar>
            <w:vAlign w:val="bottom"/>
          </w:tcPr>
          <w:p w14:paraId="098A8697" w14:textId="77777777" w:rsidR="00141CDF" w:rsidRDefault="00141CDF">
            <w:pPr>
              <w:jc w:val="right"/>
              <w:rPr>
                <w:rFonts w:ascii="宋体"/>
              </w:rPr>
            </w:pPr>
          </w:p>
        </w:tc>
      </w:tr>
      <w:tr w:rsidR="00141CDF" w14:paraId="098A86A6" w14:textId="77777777">
        <w:trPr>
          <w:jc w:val="center"/>
        </w:trPr>
        <w:tc>
          <w:tcPr>
            <w:tcW w:w="0" w:type="auto"/>
            <w:gridSpan w:val="3"/>
            <w:shd w:val="clear" w:color="auto" w:fill="FFFFFF"/>
            <w:tcMar>
              <w:top w:w="40" w:type="dxa"/>
              <w:left w:w="380" w:type="dxa"/>
              <w:bottom w:w="40" w:type="dxa"/>
              <w:right w:w="20" w:type="dxa"/>
            </w:tcMar>
            <w:vAlign w:val="center"/>
          </w:tcPr>
          <w:p w14:paraId="098A8699" w14:textId="77777777" w:rsidR="00141CDF" w:rsidRDefault="00DF45E0">
            <w:pPr>
              <w:textAlignment w:val="center"/>
            </w:pPr>
            <w:r>
              <w:rPr>
                <w:rFonts w:ascii="Times New Roman" w:eastAsia="宋体" w:hAnsi="Times New Roman"/>
                <w:color w:val="000000"/>
                <w:sz w:val="16"/>
                <w:szCs w:val="16"/>
              </w:rPr>
              <w:t>Finance lease</w:t>
            </w:r>
          </w:p>
        </w:tc>
        <w:tc>
          <w:tcPr>
            <w:tcW w:w="0" w:type="auto"/>
            <w:gridSpan w:val="3"/>
            <w:shd w:val="clear" w:color="auto" w:fill="FFFFFF"/>
            <w:tcMar>
              <w:top w:w="0" w:type="dxa"/>
              <w:left w:w="20" w:type="dxa"/>
              <w:bottom w:w="0" w:type="dxa"/>
              <w:right w:w="20" w:type="dxa"/>
            </w:tcMar>
            <w:vAlign w:val="bottom"/>
          </w:tcPr>
          <w:p w14:paraId="098A869A"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69B" w14:textId="77777777" w:rsidR="00141CDF" w:rsidRDefault="00DF45E0">
            <w:pPr>
              <w:jc w:val="right"/>
              <w:textAlignment w:val="center"/>
            </w:pPr>
            <w:r>
              <w:rPr>
                <w:rFonts w:ascii="Times New Roman" w:eastAsia="宋体" w:hAnsi="Times New Roman"/>
                <w:color w:val="000000"/>
                <w:sz w:val="16"/>
                <w:szCs w:val="16"/>
              </w:rPr>
              <w:t>84 </w:t>
            </w:r>
          </w:p>
        </w:tc>
        <w:tc>
          <w:tcPr>
            <w:tcW w:w="0" w:type="auto"/>
            <w:shd w:val="clear" w:color="auto" w:fill="FFFFFF"/>
            <w:tcMar>
              <w:top w:w="40" w:type="dxa"/>
              <w:left w:w="0" w:type="dxa"/>
              <w:bottom w:w="40" w:type="dxa"/>
              <w:right w:w="20" w:type="dxa"/>
            </w:tcMar>
            <w:vAlign w:val="center"/>
          </w:tcPr>
          <w:p w14:paraId="098A869C"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69D"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69E" w14:textId="77777777" w:rsidR="00141CDF" w:rsidRDefault="00DF45E0">
            <w:pPr>
              <w:jc w:val="right"/>
              <w:textAlignment w:val="center"/>
            </w:pPr>
            <w:r>
              <w:rPr>
                <w:rFonts w:ascii="Times New Roman" w:eastAsia="宋体" w:hAnsi="Times New Roman"/>
                <w:color w:val="000000"/>
                <w:sz w:val="16"/>
                <w:szCs w:val="16"/>
              </w:rPr>
              <w:t>78 </w:t>
            </w:r>
          </w:p>
        </w:tc>
        <w:tc>
          <w:tcPr>
            <w:tcW w:w="0" w:type="auto"/>
            <w:shd w:val="clear" w:color="auto" w:fill="FFFFFF"/>
            <w:tcMar>
              <w:top w:w="40" w:type="dxa"/>
              <w:left w:w="0" w:type="dxa"/>
              <w:bottom w:w="40" w:type="dxa"/>
              <w:right w:w="20" w:type="dxa"/>
            </w:tcMar>
            <w:vAlign w:val="center"/>
          </w:tcPr>
          <w:p w14:paraId="098A869F"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6A0"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bottom"/>
          </w:tcPr>
          <w:p w14:paraId="098A86A1" w14:textId="77777777" w:rsidR="00141CDF" w:rsidRDefault="00DF45E0">
            <w:pPr>
              <w:jc w:val="right"/>
              <w:textAlignment w:val="bottom"/>
            </w:pPr>
            <w:r>
              <w:rPr>
                <w:rFonts w:ascii="Times New Roman" w:eastAsia="宋体" w:hAnsi="Times New Roman"/>
                <w:color w:val="000000"/>
                <w:sz w:val="16"/>
                <w:szCs w:val="16"/>
              </w:rPr>
              <w:t>167 </w:t>
            </w:r>
          </w:p>
        </w:tc>
        <w:tc>
          <w:tcPr>
            <w:tcW w:w="0" w:type="auto"/>
            <w:shd w:val="clear" w:color="auto" w:fill="FFFFFF"/>
            <w:tcMar>
              <w:top w:w="40" w:type="dxa"/>
              <w:left w:w="0" w:type="dxa"/>
              <w:bottom w:w="40" w:type="dxa"/>
              <w:right w:w="20" w:type="dxa"/>
            </w:tcMar>
            <w:vAlign w:val="bottom"/>
          </w:tcPr>
          <w:p w14:paraId="098A86A2"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6A3"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bottom"/>
          </w:tcPr>
          <w:p w14:paraId="098A86A4" w14:textId="77777777" w:rsidR="00141CDF" w:rsidRDefault="00DF45E0">
            <w:pPr>
              <w:jc w:val="right"/>
              <w:textAlignment w:val="bottom"/>
            </w:pPr>
            <w:r>
              <w:rPr>
                <w:rFonts w:ascii="Times New Roman" w:eastAsia="宋体" w:hAnsi="Times New Roman"/>
                <w:color w:val="000000"/>
                <w:sz w:val="16"/>
                <w:szCs w:val="16"/>
              </w:rPr>
              <w:t>163 </w:t>
            </w:r>
          </w:p>
        </w:tc>
        <w:tc>
          <w:tcPr>
            <w:tcW w:w="0" w:type="auto"/>
            <w:shd w:val="clear" w:color="auto" w:fill="FFFFFF"/>
            <w:tcMar>
              <w:top w:w="40" w:type="dxa"/>
              <w:left w:w="0" w:type="dxa"/>
              <w:bottom w:w="40" w:type="dxa"/>
              <w:right w:w="20" w:type="dxa"/>
            </w:tcMar>
            <w:vAlign w:val="bottom"/>
          </w:tcPr>
          <w:p w14:paraId="098A86A5" w14:textId="77777777" w:rsidR="00141CDF" w:rsidRDefault="00141CDF">
            <w:pPr>
              <w:jc w:val="right"/>
              <w:rPr>
                <w:rFonts w:ascii="宋体"/>
              </w:rPr>
            </w:pPr>
          </w:p>
        </w:tc>
      </w:tr>
      <w:tr w:rsidR="00141CDF" w14:paraId="098A86B4" w14:textId="77777777">
        <w:trPr>
          <w:jc w:val="center"/>
        </w:trPr>
        <w:tc>
          <w:tcPr>
            <w:tcW w:w="0" w:type="auto"/>
            <w:gridSpan w:val="3"/>
            <w:shd w:val="clear" w:color="auto" w:fill="CCEEFF"/>
            <w:tcMar>
              <w:top w:w="40" w:type="dxa"/>
              <w:left w:w="380" w:type="dxa"/>
              <w:bottom w:w="40" w:type="dxa"/>
              <w:right w:w="20" w:type="dxa"/>
            </w:tcMar>
            <w:vAlign w:val="center"/>
          </w:tcPr>
          <w:p w14:paraId="098A86A7" w14:textId="77777777" w:rsidR="00141CDF" w:rsidRDefault="00DF45E0">
            <w:pPr>
              <w:textAlignment w:val="center"/>
            </w:pPr>
            <w:r>
              <w:rPr>
                <w:rFonts w:ascii="Times New Roman" w:eastAsia="宋体" w:hAnsi="Times New Roman"/>
                <w:color w:val="000000"/>
                <w:sz w:val="16"/>
                <w:szCs w:val="16"/>
              </w:rPr>
              <w:t>Interest income</w:t>
            </w:r>
          </w:p>
        </w:tc>
        <w:tc>
          <w:tcPr>
            <w:tcW w:w="0" w:type="auto"/>
            <w:gridSpan w:val="3"/>
            <w:shd w:val="clear" w:color="auto" w:fill="CCEEFF"/>
            <w:tcMar>
              <w:top w:w="0" w:type="dxa"/>
              <w:left w:w="20" w:type="dxa"/>
              <w:bottom w:w="0" w:type="dxa"/>
              <w:right w:w="20" w:type="dxa"/>
            </w:tcMar>
            <w:vAlign w:val="bottom"/>
          </w:tcPr>
          <w:p w14:paraId="098A86A8"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6A9" w14:textId="77777777" w:rsidR="00141CDF" w:rsidRDefault="00DF45E0">
            <w:pPr>
              <w:jc w:val="right"/>
              <w:textAlignment w:val="center"/>
            </w:pPr>
            <w:r>
              <w:rPr>
                <w:rFonts w:ascii="Times New Roman" w:eastAsia="宋体" w:hAnsi="Times New Roman"/>
                <w:color w:val="000000"/>
                <w:sz w:val="16"/>
                <w:szCs w:val="16"/>
              </w:rPr>
              <w:t>(31)</w:t>
            </w:r>
          </w:p>
        </w:tc>
        <w:tc>
          <w:tcPr>
            <w:tcW w:w="0" w:type="auto"/>
            <w:shd w:val="clear" w:color="auto" w:fill="CCEEFF"/>
            <w:tcMar>
              <w:top w:w="40" w:type="dxa"/>
              <w:left w:w="0" w:type="dxa"/>
              <w:bottom w:w="40" w:type="dxa"/>
              <w:right w:w="20" w:type="dxa"/>
            </w:tcMar>
            <w:vAlign w:val="center"/>
          </w:tcPr>
          <w:p w14:paraId="098A86AA"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6AB"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6AC" w14:textId="77777777" w:rsidR="00141CDF" w:rsidRDefault="00DF45E0">
            <w:pPr>
              <w:jc w:val="right"/>
              <w:textAlignment w:val="center"/>
            </w:pPr>
            <w:r>
              <w:rPr>
                <w:rFonts w:ascii="Times New Roman" w:eastAsia="宋体" w:hAnsi="Times New Roman"/>
                <w:color w:val="000000"/>
                <w:sz w:val="16"/>
                <w:szCs w:val="16"/>
              </w:rPr>
              <w:t>(37)</w:t>
            </w:r>
          </w:p>
        </w:tc>
        <w:tc>
          <w:tcPr>
            <w:tcW w:w="0" w:type="auto"/>
            <w:shd w:val="clear" w:color="auto" w:fill="CCEEFF"/>
            <w:tcMar>
              <w:top w:w="40" w:type="dxa"/>
              <w:left w:w="0" w:type="dxa"/>
              <w:bottom w:w="40" w:type="dxa"/>
              <w:right w:w="20" w:type="dxa"/>
            </w:tcMar>
            <w:vAlign w:val="center"/>
          </w:tcPr>
          <w:p w14:paraId="098A86AD"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6AE"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bottom"/>
          </w:tcPr>
          <w:p w14:paraId="098A86AF" w14:textId="77777777" w:rsidR="00141CDF" w:rsidRDefault="00DF45E0">
            <w:pPr>
              <w:jc w:val="right"/>
              <w:textAlignment w:val="bottom"/>
            </w:pPr>
            <w:r>
              <w:rPr>
                <w:rFonts w:ascii="Times New Roman" w:eastAsia="宋体" w:hAnsi="Times New Roman"/>
                <w:color w:val="000000"/>
                <w:sz w:val="16"/>
                <w:szCs w:val="16"/>
              </w:rPr>
              <w:t>(67)</w:t>
            </w:r>
          </w:p>
        </w:tc>
        <w:tc>
          <w:tcPr>
            <w:tcW w:w="0" w:type="auto"/>
            <w:shd w:val="clear" w:color="auto" w:fill="CCEEFF"/>
            <w:tcMar>
              <w:top w:w="40" w:type="dxa"/>
              <w:left w:w="0" w:type="dxa"/>
              <w:bottom w:w="40" w:type="dxa"/>
              <w:right w:w="20" w:type="dxa"/>
            </w:tcMar>
            <w:vAlign w:val="bottom"/>
          </w:tcPr>
          <w:p w14:paraId="098A86B0"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6B1"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bottom"/>
          </w:tcPr>
          <w:p w14:paraId="098A86B2" w14:textId="77777777" w:rsidR="00141CDF" w:rsidRDefault="00DF45E0">
            <w:pPr>
              <w:jc w:val="right"/>
              <w:textAlignment w:val="bottom"/>
            </w:pPr>
            <w:r>
              <w:rPr>
                <w:rFonts w:ascii="Times New Roman" w:eastAsia="宋体" w:hAnsi="Times New Roman"/>
                <w:color w:val="000000"/>
                <w:sz w:val="16"/>
                <w:szCs w:val="16"/>
              </w:rPr>
              <w:t>(67)</w:t>
            </w:r>
          </w:p>
        </w:tc>
        <w:tc>
          <w:tcPr>
            <w:tcW w:w="0" w:type="auto"/>
            <w:shd w:val="clear" w:color="auto" w:fill="CCEEFF"/>
            <w:tcMar>
              <w:top w:w="40" w:type="dxa"/>
              <w:left w:w="0" w:type="dxa"/>
              <w:bottom w:w="40" w:type="dxa"/>
              <w:right w:w="20" w:type="dxa"/>
            </w:tcMar>
            <w:vAlign w:val="bottom"/>
          </w:tcPr>
          <w:p w14:paraId="098A86B3" w14:textId="77777777" w:rsidR="00141CDF" w:rsidRDefault="00141CDF">
            <w:pPr>
              <w:jc w:val="right"/>
              <w:rPr>
                <w:rFonts w:ascii="宋体"/>
              </w:rPr>
            </w:pPr>
          </w:p>
        </w:tc>
      </w:tr>
      <w:tr w:rsidR="00141CDF" w14:paraId="098A86C2" w14:textId="77777777">
        <w:trPr>
          <w:jc w:val="center"/>
        </w:trPr>
        <w:tc>
          <w:tcPr>
            <w:tcW w:w="0" w:type="auto"/>
            <w:gridSpan w:val="3"/>
            <w:shd w:val="clear" w:color="auto" w:fill="FFFFFF"/>
            <w:tcMar>
              <w:top w:w="40" w:type="dxa"/>
              <w:left w:w="605" w:type="dxa"/>
              <w:bottom w:w="40" w:type="dxa"/>
              <w:right w:w="20" w:type="dxa"/>
            </w:tcMar>
            <w:vAlign w:val="center"/>
          </w:tcPr>
          <w:p w14:paraId="098A86B5" w14:textId="77777777" w:rsidR="00141CDF" w:rsidRDefault="00DF45E0">
            <w:pPr>
              <w:textAlignment w:val="center"/>
            </w:pPr>
            <w:r>
              <w:rPr>
                <w:rFonts w:ascii="Times New Roman" w:eastAsia="宋体" w:hAnsi="Times New Roman"/>
                <w:color w:val="000000"/>
                <w:sz w:val="16"/>
                <w:szCs w:val="16"/>
              </w:rPr>
              <w:t>Interest, net</w:t>
            </w:r>
          </w:p>
        </w:tc>
        <w:tc>
          <w:tcPr>
            <w:tcW w:w="0" w:type="auto"/>
            <w:gridSpan w:val="3"/>
            <w:shd w:val="clear" w:color="auto" w:fill="FFFFFF"/>
            <w:tcMar>
              <w:top w:w="0" w:type="dxa"/>
              <w:left w:w="20" w:type="dxa"/>
              <w:bottom w:w="0" w:type="dxa"/>
              <w:right w:w="20" w:type="dxa"/>
            </w:tcMar>
            <w:vAlign w:val="bottom"/>
          </w:tcPr>
          <w:p w14:paraId="098A86B6" w14:textId="77777777" w:rsidR="00141CDF" w:rsidRDefault="00141C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98A86B7" w14:textId="77777777" w:rsidR="00141CDF" w:rsidRDefault="00DF45E0">
            <w:pPr>
              <w:jc w:val="right"/>
              <w:textAlignment w:val="center"/>
            </w:pPr>
            <w:r>
              <w:rPr>
                <w:rFonts w:ascii="Times New Roman" w:eastAsia="宋体" w:hAnsi="Times New Roman"/>
                <w:color w:val="000000"/>
                <w:sz w:val="16"/>
                <w:szCs w:val="16"/>
              </w:rPr>
              <w:t>448 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86B8"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6B9" w14:textId="77777777" w:rsidR="00141CDF" w:rsidRDefault="00141C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98A86BA" w14:textId="77777777" w:rsidR="00141CDF" w:rsidRDefault="00DF45E0">
            <w:pPr>
              <w:jc w:val="right"/>
              <w:textAlignment w:val="center"/>
            </w:pPr>
            <w:r>
              <w:rPr>
                <w:rFonts w:ascii="Times New Roman" w:eastAsia="宋体" w:hAnsi="Times New Roman"/>
                <w:color w:val="000000"/>
                <w:sz w:val="16"/>
                <w:szCs w:val="16"/>
              </w:rPr>
              <w:t>478 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86BB"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6BC" w14:textId="77777777" w:rsidR="00141CDF" w:rsidRDefault="00141C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98A86BD" w14:textId="77777777" w:rsidR="00141CDF" w:rsidRDefault="00DF45E0">
            <w:pPr>
              <w:jc w:val="right"/>
              <w:textAlignment w:val="center"/>
            </w:pPr>
            <w:r>
              <w:rPr>
                <w:rFonts w:ascii="Times New Roman" w:eastAsia="宋体" w:hAnsi="Times New Roman"/>
                <w:color w:val="000000"/>
                <w:sz w:val="16"/>
                <w:szCs w:val="16"/>
              </w:rPr>
              <w:t>867 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86BE"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6BF" w14:textId="77777777" w:rsidR="00141CDF" w:rsidRDefault="00141C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98A86C0" w14:textId="77777777" w:rsidR="00141CDF" w:rsidRDefault="00DF45E0">
            <w:pPr>
              <w:jc w:val="right"/>
              <w:textAlignment w:val="center"/>
            </w:pPr>
            <w:r>
              <w:rPr>
                <w:rFonts w:ascii="Times New Roman" w:eastAsia="宋体" w:hAnsi="Times New Roman"/>
                <w:color w:val="000000"/>
                <w:sz w:val="16"/>
                <w:szCs w:val="16"/>
              </w:rPr>
              <w:t>1,014 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86C1" w14:textId="77777777" w:rsidR="00141CDF" w:rsidRDefault="00141CDF">
            <w:pPr>
              <w:jc w:val="right"/>
              <w:rPr>
                <w:rFonts w:ascii="宋体"/>
              </w:rPr>
            </w:pPr>
          </w:p>
        </w:tc>
      </w:tr>
      <w:tr w:rsidR="00141CDF" w14:paraId="098A86CC" w14:textId="77777777">
        <w:trPr>
          <w:jc w:val="center"/>
          <w:hidden/>
        </w:trPr>
        <w:tc>
          <w:tcPr>
            <w:tcW w:w="0" w:type="auto"/>
            <w:gridSpan w:val="3"/>
            <w:shd w:val="clear" w:color="auto" w:fill="auto"/>
            <w:vAlign w:val="bottom"/>
          </w:tcPr>
          <w:p w14:paraId="098A86C3" w14:textId="77777777" w:rsidR="00141CDF" w:rsidRDefault="00141CDF">
            <w:pPr>
              <w:rPr>
                <w:rFonts w:ascii="宋体"/>
                <w:vanish/>
              </w:rPr>
            </w:pPr>
          </w:p>
        </w:tc>
        <w:tc>
          <w:tcPr>
            <w:tcW w:w="0" w:type="auto"/>
            <w:gridSpan w:val="3"/>
            <w:shd w:val="clear" w:color="auto" w:fill="auto"/>
            <w:vAlign w:val="bottom"/>
          </w:tcPr>
          <w:p w14:paraId="098A86C4" w14:textId="77777777" w:rsidR="00141CDF" w:rsidRDefault="00141CDF">
            <w:pPr>
              <w:rPr>
                <w:rFonts w:ascii="宋体"/>
                <w:vanish/>
              </w:rPr>
            </w:pPr>
          </w:p>
        </w:tc>
        <w:tc>
          <w:tcPr>
            <w:tcW w:w="0" w:type="auto"/>
            <w:gridSpan w:val="3"/>
            <w:shd w:val="clear" w:color="auto" w:fill="auto"/>
            <w:vAlign w:val="bottom"/>
          </w:tcPr>
          <w:p w14:paraId="098A86C5" w14:textId="77777777" w:rsidR="00141CDF" w:rsidRDefault="00141CDF">
            <w:pPr>
              <w:rPr>
                <w:rFonts w:ascii="宋体"/>
                <w:vanish/>
              </w:rPr>
            </w:pPr>
          </w:p>
        </w:tc>
        <w:tc>
          <w:tcPr>
            <w:tcW w:w="0" w:type="auto"/>
            <w:gridSpan w:val="3"/>
            <w:shd w:val="clear" w:color="auto" w:fill="auto"/>
            <w:vAlign w:val="bottom"/>
          </w:tcPr>
          <w:p w14:paraId="098A86C6" w14:textId="77777777" w:rsidR="00141CDF" w:rsidRDefault="00141CDF">
            <w:pPr>
              <w:rPr>
                <w:rFonts w:ascii="宋体"/>
                <w:vanish/>
              </w:rPr>
            </w:pPr>
          </w:p>
        </w:tc>
        <w:tc>
          <w:tcPr>
            <w:tcW w:w="0" w:type="auto"/>
            <w:gridSpan w:val="3"/>
            <w:shd w:val="clear" w:color="auto" w:fill="auto"/>
            <w:vAlign w:val="bottom"/>
          </w:tcPr>
          <w:p w14:paraId="098A86C7" w14:textId="77777777" w:rsidR="00141CDF" w:rsidRDefault="00141CDF">
            <w:pPr>
              <w:rPr>
                <w:rFonts w:ascii="宋体"/>
                <w:vanish/>
              </w:rPr>
            </w:pPr>
          </w:p>
        </w:tc>
        <w:tc>
          <w:tcPr>
            <w:tcW w:w="0" w:type="auto"/>
            <w:gridSpan w:val="3"/>
            <w:shd w:val="clear" w:color="auto" w:fill="auto"/>
            <w:vAlign w:val="bottom"/>
          </w:tcPr>
          <w:p w14:paraId="098A86C8" w14:textId="77777777" w:rsidR="00141CDF" w:rsidRDefault="00141CDF">
            <w:pPr>
              <w:rPr>
                <w:rFonts w:ascii="宋体"/>
                <w:vanish/>
              </w:rPr>
            </w:pPr>
          </w:p>
        </w:tc>
        <w:tc>
          <w:tcPr>
            <w:tcW w:w="0" w:type="auto"/>
            <w:gridSpan w:val="3"/>
            <w:shd w:val="clear" w:color="auto" w:fill="auto"/>
            <w:vAlign w:val="bottom"/>
          </w:tcPr>
          <w:p w14:paraId="098A86C9" w14:textId="77777777" w:rsidR="00141CDF" w:rsidRDefault="00141CDF">
            <w:pPr>
              <w:rPr>
                <w:rFonts w:ascii="宋体"/>
                <w:vanish/>
              </w:rPr>
            </w:pPr>
          </w:p>
        </w:tc>
        <w:tc>
          <w:tcPr>
            <w:tcW w:w="0" w:type="auto"/>
            <w:gridSpan w:val="3"/>
            <w:shd w:val="clear" w:color="auto" w:fill="auto"/>
            <w:vAlign w:val="bottom"/>
          </w:tcPr>
          <w:p w14:paraId="098A86CA" w14:textId="77777777" w:rsidR="00141CDF" w:rsidRDefault="00141CDF">
            <w:pPr>
              <w:rPr>
                <w:rFonts w:ascii="宋体"/>
                <w:vanish/>
              </w:rPr>
            </w:pPr>
          </w:p>
        </w:tc>
        <w:tc>
          <w:tcPr>
            <w:tcW w:w="0" w:type="auto"/>
            <w:gridSpan w:val="3"/>
            <w:shd w:val="clear" w:color="auto" w:fill="auto"/>
            <w:vAlign w:val="bottom"/>
          </w:tcPr>
          <w:p w14:paraId="098A86CB" w14:textId="77777777" w:rsidR="00141CDF" w:rsidRDefault="00141CDF">
            <w:pPr>
              <w:rPr>
                <w:rFonts w:ascii="宋体"/>
                <w:vanish/>
              </w:rPr>
            </w:pPr>
          </w:p>
        </w:tc>
      </w:tr>
      <w:tr w:rsidR="00141CDF" w14:paraId="098A86DA" w14:textId="77777777">
        <w:trPr>
          <w:jc w:val="center"/>
        </w:trPr>
        <w:tc>
          <w:tcPr>
            <w:tcW w:w="0" w:type="auto"/>
            <w:gridSpan w:val="3"/>
            <w:shd w:val="clear" w:color="auto" w:fill="CCEEFF"/>
            <w:tcMar>
              <w:top w:w="40" w:type="dxa"/>
              <w:left w:w="20" w:type="dxa"/>
              <w:bottom w:w="40" w:type="dxa"/>
              <w:right w:w="20" w:type="dxa"/>
            </w:tcMar>
            <w:vAlign w:val="center"/>
          </w:tcPr>
          <w:p w14:paraId="098A86CD" w14:textId="77777777" w:rsidR="00141CDF" w:rsidRDefault="00DF45E0">
            <w:pPr>
              <w:textAlignment w:val="center"/>
            </w:pPr>
            <w:r>
              <w:rPr>
                <w:rFonts w:ascii="Times New Roman" w:eastAsia="宋体" w:hAnsi="Times New Roman"/>
                <w:color w:val="000000"/>
                <w:sz w:val="16"/>
                <w:szCs w:val="16"/>
              </w:rPr>
              <w:t>Other (gains) and losses</w:t>
            </w:r>
          </w:p>
        </w:tc>
        <w:tc>
          <w:tcPr>
            <w:tcW w:w="0" w:type="auto"/>
            <w:gridSpan w:val="3"/>
            <w:shd w:val="clear" w:color="auto" w:fill="CCEEFF"/>
            <w:tcMar>
              <w:top w:w="0" w:type="dxa"/>
              <w:left w:w="20" w:type="dxa"/>
              <w:bottom w:w="0" w:type="dxa"/>
              <w:right w:w="20" w:type="dxa"/>
            </w:tcMar>
            <w:vAlign w:val="bottom"/>
          </w:tcPr>
          <w:p w14:paraId="098A86CE"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6CF" w14:textId="77777777" w:rsidR="00141CDF" w:rsidRDefault="00DF45E0">
            <w:pPr>
              <w:jc w:val="right"/>
              <w:textAlignment w:val="center"/>
            </w:pPr>
            <w:r>
              <w:rPr>
                <w:rFonts w:ascii="Times New Roman" w:eastAsia="宋体" w:hAnsi="Times New Roman"/>
                <w:color w:val="000000"/>
                <w:sz w:val="16"/>
                <w:szCs w:val="16"/>
              </w:rPr>
              <w:t>(238)</w:t>
            </w:r>
          </w:p>
        </w:tc>
        <w:tc>
          <w:tcPr>
            <w:tcW w:w="0" w:type="auto"/>
            <w:shd w:val="clear" w:color="auto" w:fill="CCEEFF"/>
            <w:tcMar>
              <w:top w:w="40" w:type="dxa"/>
              <w:left w:w="0" w:type="dxa"/>
              <w:bottom w:w="40" w:type="dxa"/>
              <w:right w:w="20" w:type="dxa"/>
            </w:tcMar>
            <w:vAlign w:val="center"/>
          </w:tcPr>
          <w:p w14:paraId="098A86D0"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6D1"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6D2" w14:textId="77777777" w:rsidR="00141CDF" w:rsidRDefault="00DF45E0">
            <w:pPr>
              <w:jc w:val="right"/>
              <w:textAlignment w:val="center"/>
            </w:pPr>
            <w:r>
              <w:rPr>
                <w:rFonts w:ascii="Times New Roman" w:eastAsia="宋体" w:hAnsi="Times New Roman"/>
                <w:color w:val="000000"/>
                <w:sz w:val="16"/>
                <w:szCs w:val="16"/>
              </w:rPr>
              <w:t>953 </w:t>
            </w:r>
          </w:p>
        </w:tc>
        <w:tc>
          <w:tcPr>
            <w:tcW w:w="0" w:type="auto"/>
            <w:shd w:val="clear" w:color="auto" w:fill="CCEEFF"/>
            <w:tcMar>
              <w:top w:w="40" w:type="dxa"/>
              <w:left w:w="0" w:type="dxa"/>
              <w:bottom w:w="40" w:type="dxa"/>
              <w:right w:w="20" w:type="dxa"/>
            </w:tcMar>
            <w:vAlign w:val="center"/>
          </w:tcPr>
          <w:p w14:paraId="098A86D3"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6D4"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bottom"/>
          </w:tcPr>
          <w:p w14:paraId="098A86D5" w14:textId="77777777" w:rsidR="00141CDF" w:rsidRDefault="00DF45E0">
            <w:pPr>
              <w:jc w:val="right"/>
              <w:textAlignment w:val="bottom"/>
            </w:pPr>
            <w:r>
              <w:rPr>
                <w:rFonts w:ascii="Times New Roman" w:eastAsia="宋体" w:hAnsi="Times New Roman"/>
                <w:color w:val="000000"/>
                <w:sz w:val="16"/>
                <w:szCs w:val="16"/>
              </w:rPr>
              <w:t>1,760 </w:t>
            </w:r>
          </w:p>
        </w:tc>
        <w:tc>
          <w:tcPr>
            <w:tcW w:w="0" w:type="auto"/>
            <w:shd w:val="clear" w:color="auto" w:fill="CCEEFF"/>
            <w:tcMar>
              <w:top w:w="40" w:type="dxa"/>
              <w:left w:w="0" w:type="dxa"/>
              <w:bottom w:w="40" w:type="dxa"/>
              <w:right w:w="20" w:type="dxa"/>
            </w:tcMar>
            <w:vAlign w:val="bottom"/>
          </w:tcPr>
          <w:p w14:paraId="098A86D6"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6D7"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bottom"/>
          </w:tcPr>
          <w:p w14:paraId="098A86D8" w14:textId="77777777" w:rsidR="00141CDF" w:rsidRDefault="00DF45E0">
            <w:pPr>
              <w:jc w:val="right"/>
              <w:textAlignment w:val="bottom"/>
            </w:pPr>
            <w:r>
              <w:rPr>
                <w:rFonts w:ascii="Times New Roman" w:eastAsia="宋体" w:hAnsi="Times New Roman"/>
                <w:color w:val="000000"/>
                <w:sz w:val="16"/>
                <w:szCs w:val="16"/>
              </w:rPr>
              <w:t>3,482 </w:t>
            </w:r>
          </w:p>
        </w:tc>
        <w:tc>
          <w:tcPr>
            <w:tcW w:w="0" w:type="auto"/>
            <w:shd w:val="clear" w:color="auto" w:fill="CCEEFF"/>
            <w:tcMar>
              <w:top w:w="40" w:type="dxa"/>
              <w:left w:w="0" w:type="dxa"/>
              <w:bottom w:w="40" w:type="dxa"/>
              <w:right w:w="20" w:type="dxa"/>
            </w:tcMar>
            <w:vAlign w:val="bottom"/>
          </w:tcPr>
          <w:p w14:paraId="098A86D9" w14:textId="77777777" w:rsidR="00141CDF" w:rsidRDefault="00141CDF">
            <w:pPr>
              <w:jc w:val="right"/>
              <w:rPr>
                <w:rFonts w:ascii="宋体"/>
              </w:rPr>
            </w:pPr>
          </w:p>
        </w:tc>
      </w:tr>
      <w:tr w:rsidR="00141CDF" w14:paraId="098A86E8" w14:textId="77777777">
        <w:trPr>
          <w:jc w:val="center"/>
        </w:trPr>
        <w:tc>
          <w:tcPr>
            <w:tcW w:w="0" w:type="auto"/>
            <w:gridSpan w:val="3"/>
            <w:shd w:val="clear" w:color="auto" w:fill="FFFFFF"/>
            <w:tcMar>
              <w:top w:w="40" w:type="dxa"/>
              <w:left w:w="20" w:type="dxa"/>
              <w:bottom w:w="40" w:type="dxa"/>
              <w:right w:w="20" w:type="dxa"/>
            </w:tcMar>
            <w:vAlign w:val="center"/>
          </w:tcPr>
          <w:p w14:paraId="098A86DB" w14:textId="77777777" w:rsidR="00141CDF" w:rsidRDefault="00DF45E0">
            <w:pPr>
              <w:textAlignment w:val="center"/>
            </w:pPr>
            <w:r>
              <w:rPr>
                <w:rFonts w:ascii="Times New Roman" w:eastAsia="宋体" w:hAnsi="Times New Roman"/>
                <w:b/>
                <w:bCs/>
                <w:color w:val="000000"/>
                <w:sz w:val="16"/>
                <w:szCs w:val="16"/>
              </w:rPr>
              <w:t>Income before income taxes</w:t>
            </w:r>
          </w:p>
        </w:tc>
        <w:tc>
          <w:tcPr>
            <w:tcW w:w="0" w:type="auto"/>
            <w:gridSpan w:val="3"/>
            <w:shd w:val="clear" w:color="auto" w:fill="FFFFFF"/>
            <w:tcMar>
              <w:top w:w="0" w:type="dxa"/>
              <w:left w:w="20" w:type="dxa"/>
              <w:bottom w:w="0" w:type="dxa"/>
              <w:right w:w="20" w:type="dxa"/>
            </w:tcMar>
            <w:vAlign w:val="bottom"/>
          </w:tcPr>
          <w:p w14:paraId="098A86DC" w14:textId="77777777" w:rsidR="00141CDF" w:rsidRDefault="00141C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98A86DD" w14:textId="77777777" w:rsidR="00141CDF" w:rsidRDefault="00DF45E0">
            <w:pPr>
              <w:jc w:val="right"/>
              <w:textAlignment w:val="center"/>
            </w:pPr>
            <w:r>
              <w:rPr>
                <w:rFonts w:ascii="Times New Roman" w:eastAsia="宋体" w:hAnsi="Times New Roman"/>
                <w:color w:val="000000"/>
                <w:sz w:val="16"/>
                <w:szCs w:val="16"/>
              </w:rPr>
              <w:t>6,644 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86DE"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6DF" w14:textId="77777777" w:rsidR="00141CDF" w:rsidRDefault="00141C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98A86E0" w14:textId="77777777" w:rsidR="00141CDF" w:rsidRDefault="00DF45E0">
            <w:pPr>
              <w:jc w:val="right"/>
              <w:textAlignment w:val="center"/>
            </w:pPr>
            <w:r>
              <w:rPr>
                <w:rFonts w:ascii="Times New Roman" w:eastAsia="宋体" w:hAnsi="Times New Roman"/>
                <w:color w:val="000000"/>
                <w:sz w:val="16"/>
                <w:szCs w:val="16"/>
              </w:rPr>
              <w:t>5,923 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86E1"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6E2" w14:textId="77777777" w:rsidR="00141CDF" w:rsidRDefault="00141C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98A86E3" w14:textId="77777777" w:rsidR="00141CDF" w:rsidRDefault="00DF45E0">
            <w:pPr>
              <w:jc w:val="right"/>
              <w:textAlignment w:val="bottom"/>
            </w:pPr>
            <w:r>
              <w:rPr>
                <w:rFonts w:ascii="Times New Roman" w:eastAsia="宋体" w:hAnsi="Times New Roman"/>
                <w:color w:val="000000"/>
                <w:sz w:val="16"/>
                <w:szCs w:val="16"/>
              </w:rPr>
              <w:t>9,545 </w:t>
            </w:r>
          </w:p>
        </w:tc>
        <w:tc>
          <w:tcPr>
            <w:tcW w:w="0" w:type="auto"/>
            <w:tcBorders>
              <w:top w:val="single" w:sz="8" w:space="0" w:color="000000"/>
            </w:tcBorders>
            <w:shd w:val="clear" w:color="auto" w:fill="FFFFFF"/>
            <w:tcMar>
              <w:top w:w="40" w:type="dxa"/>
              <w:left w:w="0" w:type="dxa"/>
              <w:bottom w:w="40" w:type="dxa"/>
              <w:right w:w="20" w:type="dxa"/>
            </w:tcMar>
            <w:vAlign w:val="bottom"/>
          </w:tcPr>
          <w:p w14:paraId="098A86E4"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6E5" w14:textId="77777777" w:rsidR="00141CDF" w:rsidRDefault="00141C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98A86E6" w14:textId="77777777" w:rsidR="00141CDF" w:rsidRDefault="00DF45E0">
            <w:pPr>
              <w:jc w:val="right"/>
              <w:textAlignment w:val="bottom"/>
            </w:pPr>
            <w:r>
              <w:rPr>
                <w:rFonts w:ascii="Times New Roman" w:eastAsia="宋体" w:hAnsi="Times New Roman"/>
                <w:color w:val="000000"/>
                <w:sz w:val="16"/>
                <w:szCs w:val="16"/>
              </w:rPr>
              <w:t>9,767 </w:t>
            </w:r>
          </w:p>
        </w:tc>
        <w:tc>
          <w:tcPr>
            <w:tcW w:w="0" w:type="auto"/>
            <w:tcBorders>
              <w:top w:val="single" w:sz="8" w:space="0" w:color="000000"/>
            </w:tcBorders>
            <w:shd w:val="clear" w:color="auto" w:fill="FFFFFF"/>
            <w:tcMar>
              <w:top w:w="40" w:type="dxa"/>
              <w:left w:w="0" w:type="dxa"/>
              <w:bottom w:w="40" w:type="dxa"/>
              <w:right w:w="20" w:type="dxa"/>
            </w:tcMar>
            <w:vAlign w:val="bottom"/>
          </w:tcPr>
          <w:p w14:paraId="098A86E7" w14:textId="77777777" w:rsidR="00141CDF" w:rsidRDefault="00141CDF">
            <w:pPr>
              <w:jc w:val="right"/>
              <w:rPr>
                <w:rFonts w:ascii="宋体"/>
              </w:rPr>
            </w:pPr>
          </w:p>
        </w:tc>
      </w:tr>
      <w:tr w:rsidR="00141CDF" w14:paraId="098A86F6" w14:textId="77777777">
        <w:trPr>
          <w:jc w:val="center"/>
        </w:trPr>
        <w:tc>
          <w:tcPr>
            <w:tcW w:w="0" w:type="auto"/>
            <w:gridSpan w:val="3"/>
            <w:shd w:val="clear" w:color="auto" w:fill="CCEEFF"/>
            <w:tcMar>
              <w:top w:w="40" w:type="dxa"/>
              <w:left w:w="20" w:type="dxa"/>
              <w:bottom w:w="40" w:type="dxa"/>
              <w:right w:w="20" w:type="dxa"/>
            </w:tcMar>
            <w:vAlign w:val="center"/>
          </w:tcPr>
          <w:p w14:paraId="098A86E9" w14:textId="77777777" w:rsidR="00141CDF" w:rsidRDefault="00DF45E0">
            <w:pPr>
              <w:textAlignment w:val="center"/>
            </w:pPr>
            <w:r>
              <w:rPr>
                <w:rFonts w:ascii="Times New Roman" w:eastAsia="宋体" w:hAnsi="Times New Roman"/>
                <w:color w:val="000000"/>
                <w:sz w:val="16"/>
                <w:szCs w:val="16"/>
              </w:rPr>
              <w:t>Provision for income taxes</w:t>
            </w:r>
          </w:p>
        </w:tc>
        <w:tc>
          <w:tcPr>
            <w:tcW w:w="0" w:type="auto"/>
            <w:gridSpan w:val="3"/>
            <w:shd w:val="clear" w:color="auto" w:fill="CCEEFF"/>
            <w:tcMar>
              <w:top w:w="0" w:type="dxa"/>
              <w:left w:w="20" w:type="dxa"/>
              <w:bottom w:w="0" w:type="dxa"/>
              <w:right w:w="20" w:type="dxa"/>
            </w:tcMar>
            <w:vAlign w:val="bottom"/>
          </w:tcPr>
          <w:p w14:paraId="098A86EA"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6EB" w14:textId="77777777" w:rsidR="00141CDF" w:rsidRDefault="00DF45E0">
            <w:pPr>
              <w:jc w:val="right"/>
              <w:textAlignment w:val="center"/>
            </w:pPr>
            <w:r>
              <w:rPr>
                <w:rFonts w:ascii="Times New Roman" w:eastAsia="宋体" w:hAnsi="Times New Roman"/>
                <w:color w:val="000000"/>
                <w:sz w:val="16"/>
                <w:szCs w:val="16"/>
              </w:rPr>
              <w:t>1,497 </w:t>
            </w:r>
          </w:p>
        </w:tc>
        <w:tc>
          <w:tcPr>
            <w:tcW w:w="0" w:type="auto"/>
            <w:shd w:val="clear" w:color="auto" w:fill="CCEEFF"/>
            <w:tcMar>
              <w:top w:w="40" w:type="dxa"/>
              <w:left w:w="0" w:type="dxa"/>
              <w:bottom w:w="40" w:type="dxa"/>
              <w:right w:w="20" w:type="dxa"/>
            </w:tcMar>
            <w:vAlign w:val="center"/>
          </w:tcPr>
          <w:p w14:paraId="098A86EC"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6ED"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6EE" w14:textId="77777777" w:rsidR="00141CDF" w:rsidRDefault="00DF45E0">
            <w:pPr>
              <w:jc w:val="right"/>
              <w:textAlignment w:val="center"/>
            </w:pPr>
            <w:r>
              <w:rPr>
                <w:rFonts w:ascii="Times New Roman" w:eastAsia="宋体" w:hAnsi="Times New Roman"/>
                <w:color w:val="000000"/>
                <w:sz w:val="16"/>
                <w:szCs w:val="16"/>
              </w:rPr>
              <w:t>1,559 </w:t>
            </w:r>
          </w:p>
        </w:tc>
        <w:tc>
          <w:tcPr>
            <w:tcW w:w="0" w:type="auto"/>
            <w:shd w:val="clear" w:color="auto" w:fill="CCEEFF"/>
            <w:tcMar>
              <w:top w:w="40" w:type="dxa"/>
              <w:left w:w="0" w:type="dxa"/>
              <w:bottom w:w="40" w:type="dxa"/>
              <w:right w:w="20" w:type="dxa"/>
            </w:tcMar>
            <w:vAlign w:val="center"/>
          </w:tcPr>
          <w:p w14:paraId="098A86EF"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6F0"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bottom"/>
          </w:tcPr>
          <w:p w14:paraId="098A86F1" w14:textId="77777777" w:rsidR="00141CDF" w:rsidRDefault="00DF45E0">
            <w:pPr>
              <w:jc w:val="right"/>
              <w:textAlignment w:val="bottom"/>
            </w:pPr>
            <w:r>
              <w:rPr>
                <w:rFonts w:ascii="Times New Roman" w:eastAsia="宋体" w:hAnsi="Times New Roman"/>
                <w:color w:val="000000"/>
                <w:sz w:val="16"/>
                <w:szCs w:val="16"/>
              </w:rPr>
              <w:t>2,295 </w:t>
            </w:r>
          </w:p>
        </w:tc>
        <w:tc>
          <w:tcPr>
            <w:tcW w:w="0" w:type="auto"/>
            <w:shd w:val="clear" w:color="auto" w:fill="CCEEFF"/>
            <w:tcMar>
              <w:top w:w="40" w:type="dxa"/>
              <w:left w:w="0" w:type="dxa"/>
              <w:bottom w:w="40" w:type="dxa"/>
              <w:right w:w="20" w:type="dxa"/>
            </w:tcMar>
            <w:vAlign w:val="bottom"/>
          </w:tcPr>
          <w:p w14:paraId="098A86F2"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6F3"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bottom"/>
          </w:tcPr>
          <w:p w14:paraId="098A86F4" w14:textId="77777777" w:rsidR="00141CDF" w:rsidRDefault="00DF45E0">
            <w:pPr>
              <w:jc w:val="right"/>
              <w:textAlignment w:val="bottom"/>
            </w:pPr>
            <w:r>
              <w:rPr>
                <w:rFonts w:ascii="Times New Roman" w:eastAsia="宋体" w:hAnsi="Times New Roman"/>
                <w:color w:val="000000"/>
                <w:sz w:val="16"/>
                <w:szCs w:val="16"/>
              </w:rPr>
              <w:t>2,592 </w:t>
            </w:r>
          </w:p>
        </w:tc>
        <w:tc>
          <w:tcPr>
            <w:tcW w:w="0" w:type="auto"/>
            <w:shd w:val="clear" w:color="auto" w:fill="CCEEFF"/>
            <w:tcMar>
              <w:top w:w="40" w:type="dxa"/>
              <w:left w:w="0" w:type="dxa"/>
              <w:bottom w:w="40" w:type="dxa"/>
              <w:right w:w="20" w:type="dxa"/>
            </w:tcMar>
            <w:vAlign w:val="bottom"/>
          </w:tcPr>
          <w:p w14:paraId="098A86F5" w14:textId="77777777" w:rsidR="00141CDF" w:rsidRDefault="00141CDF">
            <w:pPr>
              <w:jc w:val="right"/>
              <w:rPr>
                <w:rFonts w:ascii="宋体"/>
              </w:rPr>
            </w:pPr>
          </w:p>
        </w:tc>
      </w:tr>
      <w:tr w:rsidR="00141CDF" w14:paraId="098A8700" w14:textId="77777777">
        <w:trPr>
          <w:jc w:val="center"/>
          <w:hidden/>
        </w:trPr>
        <w:tc>
          <w:tcPr>
            <w:tcW w:w="0" w:type="auto"/>
            <w:gridSpan w:val="3"/>
            <w:shd w:val="clear" w:color="auto" w:fill="auto"/>
            <w:vAlign w:val="bottom"/>
          </w:tcPr>
          <w:p w14:paraId="098A86F7" w14:textId="77777777" w:rsidR="00141CDF" w:rsidRDefault="00141CDF">
            <w:pPr>
              <w:rPr>
                <w:rFonts w:ascii="宋体"/>
                <w:vanish/>
              </w:rPr>
            </w:pPr>
          </w:p>
        </w:tc>
        <w:tc>
          <w:tcPr>
            <w:tcW w:w="0" w:type="auto"/>
            <w:gridSpan w:val="3"/>
            <w:shd w:val="clear" w:color="auto" w:fill="auto"/>
            <w:vAlign w:val="bottom"/>
          </w:tcPr>
          <w:p w14:paraId="098A86F8" w14:textId="77777777" w:rsidR="00141CDF" w:rsidRDefault="00141CDF">
            <w:pPr>
              <w:rPr>
                <w:rFonts w:ascii="宋体"/>
                <w:vanish/>
              </w:rPr>
            </w:pPr>
          </w:p>
        </w:tc>
        <w:tc>
          <w:tcPr>
            <w:tcW w:w="0" w:type="auto"/>
            <w:gridSpan w:val="3"/>
            <w:shd w:val="clear" w:color="auto" w:fill="auto"/>
            <w:vAlign w:val="bottom"/>
          </w:tcPr>
          <w:p w14:paraId="098A86F9" w14:textId="77777777" w:rsidR="00141CDF" w:rsidRDefault="00141CDF">
            <w:pPr>
              <w:rPr>
                <w:rFonts w:ascii="宋体"/>
                <w:vanish/>
              </w:rPr>
            </w:pPr>
          </w:p>
        </w:tc>
        <w:tc>
          <w:tcPr>
            <w:tcW w:w="0" w:type="auto"/>
            <w:gridSpan w:val="3"/>
            <w:shd w:val="clear" w:color="auto" w:fill="auto"/>
            <w:vAlign w:val="bottom"/>
          </w:tcPr>
          <w:p w14:paraId="098A86FA" w14:textId="77777777" w:rsidR="00141CDF" w:rsidRDefault="00141CDF">
            <w:pPr>
              <w:rPr>
                <w:rFonts w:ascii="宋体"/>
                <w:vanish/>
              </w:rPr>
            </w:pPr>
          </w:p>
        </w:tc>
        <w:tc>
          <w:tcPr>
            <w:tcW w:w="0" w:type="auto"/>
            <w:gridSpan w:val="3"/>
            <w:shd w:val="clear" w:color="auto" w:fill="auto"/>
            <w:vAlign w:val="bottom"/>
          </w:tcPr>
          <w:p w14:paraId="098A86FB" w14:textId="77777777" w:rsidR="00141CDF" w:rsidRDefault="00141CDF">
            <w:pPr>
              <w:rPr>
                <w:rFonts w:ascii="宋体"/>
                <w:vanish/>
              </w:rPr>
            </w:pPr>
          </w:p>
        </w:tc>
        <w:tc>
          <w:tcPr>
            <w:tcW w:w="0" w:type="auto"/>
            <w:gridSpan w:val="3"/>
            <w:shd w:val="clear" w:color="auto" w:fill="auto"/>
            <w:vAlign w:val="bottom"/>
          </w:tcPr>
          <w:p w14:paraId="098A86FC" w14:textId="77777777" w:rsidR="00141CDF" w:rsidRDefault="00141CDF">
            <w:pPr>
              <w:rPr>
                <w:rFonts w:ascii="宋体"/>
                <w:vanish/>
              </w:rPr>
            </w:pPr>
          </w:p>
        </w:tc>
        <w:tc>
          <w:tcPr>
            <w:tcW w:w="0" w:type="auto"/>
            <w:gridSpan w:val="3"/>
            <w:shd w:val="clear" w:color="auto" w:fill="auto"/>
            <w:vAlign w:val="bottom"/>
          </w:tcPr>
          <w:p w14:paraId="098A86FD" w14:textId="77777777" w:rsidR="00141CDF" w:rsidRDefault="00141CDF">
            <w:pPr>
              <w:rPr>
                <w:rFonts w:ascii="宋体"/>
                <w:vanish/>
              </w:rPr>
            </w:pPr>
          </w:p>
        </w:tc>
        <w:tc>
          <w:tcPr>
            <w:tcW w:w="0" w:type="auto"/>
            <w:gridSpan w:val="3"/>
            <w:shd w:val="clear" w:color="auto" w:fill="auto"/>
            <w:vAlign w:val="bottom"/>
          </w:tcPr>
          <w:p w14:paraId="098A86FE" w14:textId="77777777" w:rsidR="00141CDF" w:rsidRDefault="00141CDF">
            <w:pPr>
              <w:rPr>
                <w:rFonts w:ascii="宋体"/>
                <w:vanish/>
              </w:rPr>
            </w:pPr>
          </w:p>
        </w:tc>
        <w:tc>
          <w:tcPr>
            <w:tcW w:w="0" w:type="auto"/>
            <w:gridSpan w:val="3"/>
            <w:shd w:val="clear" w:color="auto" w:fill="auto"/>
            <w:vAlign w:val="bottom"/>
          </w:tcPr>
          <w:p w14:paraId="098A86FF" w14:textId="77777777" w:rsidR="00141CDF" w:rsidRDefault="00141CDF">
            <w:pPr>
              <w:rPr>
                <w:rFonts w:ascii="宋体"/>
                <w:vanish/>
              </w:rPr>
            </w:pPr>
          </w:p>
        </w:tc>
      </w:tr>
      <w:tr w:rsidR="00141CDF" w14:paraId="098A870A" w14:textId="77777777">
        <w:trPr>
          <w:jc w:val="center"/>
          <w:hidden/>
        </w:trPr>
        <w:tc>
          <w:tcPr>
            <w:tcW w:w="0" w:type="auto"/>
            <w:gridSpan w:val="3"/>
            <w:shd w:val="clear" w:color="auto" w:fill="auto"/>
            <w:vAlign w:val="bottom"/>
          </w:tcPr>
          <w:p w14:paraId="098A8701" w14:textId="77777777" w:rsidR="00141CDF" w:rsidRDefault="00141CDF">
            <w:pPr>
              <w:rPr>
                <w:rFonts w:ascii="宋体"/>
                <w:vanish/>
              </w:rPr>
            </w:pPr>
          </w:p>
        </w:tc>
        <w:tc>
          <w:tcPr>
            <w:tcW w:w="0" w:type="auto"/>
            <w:gridSpan w:val="3"/>
            <w:shd w:val="clear" w:color="auto" w:fill="auto"/>
            <w:vAlign w:val="bottom"/>
          </w:tcPr>
          <w:p w14:paraId="098A8702" w14:textId="77777777" w:rsidR="00141CDF" w:rsidRDefault="00141CDF">
            <w:pPr>
              <w:rPr>
                <w:rFonts w:ascii="宋体"/>
                <w:vanish/>
              </w:rPr>
            </w:pPr>
          </w:p>
        </w:tc>
        <w:tc>
          <w:tcPr>
            <w:tcW w:w="0" w:type="auto"/>
            <w:gridSpan w:val="3"/>
            <w:shd w:val="clear" w:color="auto" w:fill="auto"/>
            <w:vAlign w:val="bottom"/>
          </w:tcPr>
          <w:p w14:paraId="098A8703" w14:textId="77777777" w:rsidR="00141CDF" w:rsidRDefault="00141CDF">
            <w:pPr>
              <w:rPr>
                <w:rFonts w:ascii="宋体"/>
                <w:vanish/>
              </w:rPr>
            </w:pPr>
          </w:p>
        </w:tc>
        <w:tc>
          <w:tcPr>
            <w:tcW w:w="0" w:type="auto"/>
            <w:gridSpan w:val="3"/>
            <w:shd w:val="clear" w:color="auto" w:fill="auto"/>
            <w:vAlign w:val="bottom"/>
          </w:tcPr>
          <w:p w14:paraId="098A8704" w14:textId="77777777" w:rsidR="00141CDF" w:rsidRDefault="00141CDF">
            <w:pPr>
              <w:rPr>
                <w:rFonts w:ascii="宋体"/>
                <w:vanish/>
              </w:rPr>
            </w:pPr>
          </w:p>
        </w:tc>
        <w:tc>
          <w:tcPr>
            <w:tcW w:w="0" w:type="auto"/>
            <w:gridSpan w:val="3"/>
            <w:shd w:val="clear" w:color="auto" w:fill="auto"/>
            <w:vAlign w:val="bottom"/>
          </w:tcPr>
          <w:p w14:paraId="098A8705" w14:textId="77777777" w:rsidR="00141CDF" w:rsidRDefault="00141CDF">
            <w:pPr>
              <w:rPr>
                <w:rFonts w:ascii="宋体"/>
                <w:vanish/>
              </w:rPr>
            </w:pPr>
          </w:p>
        </w:tc>
        <w:tc>
          <w:tcPr>
            <w:tcW w:w="0" w:type="auto"/>
            <w:gridSpan w:val="3"/>
            <w:shd w:val="clear" w:color="auto" w:fill="auto"/>
            <w:vAlign w:val="bottom"/>
          </w:tcPr>
          <w:p w14:paraId="098A8706" w14:textId="77777777" w:rsidR="00141CDF" w:rsidRDefault="00141CDF">
            <w:pPr>
              <w:rPr>
                <w:rFonts w:ascii="宋体"/>
                <w:vanish/>
              </w:rPr>
            </w:pPr>
          </w:p>
        </w:tc>
        <w:tc>
          <w:tcPr>
            <w:tcW w:w="0" w:type="auto"/>
            <w:gridSpan w:val="3"/>
            <w:shd w:val="clear" w:color="auto" w:fill="auto"/>
            <w:vAlign w:val="bottom"/>
          </w:tcPr>
          <w:p w14:paraId="098A8707" w14:textId="77777777" w:rsidR="00141CDF" w:rsidRDefault="00141CDF">
            <w:pPr>
              <w:rPr>
                <w:rFonts w:ascii="宋体"/>
                <w:vanish/>
              </w:rPr>
            </w:pPr>
          </w:p>
        </w:tc>
        <w:tc>
          <w:tcPr>
            <w:tcW w:w="0" w:type="auto"/>
            <w:gridSpan w:val="3"/>
            <w:shd w:val="clear" w:color="auto" w:fill="auto"/>
            <w:vAlign w:val="bottom"/>
          </w:tcPr>
          <w:p w14:paraId="098A8708" w14:textId="77777777" w:rsidR="00141CDF" w:rsidRDefault="00141CDF">
            <w:pPr>
              <w:rPr>
                <w:rFonts w:ascii="宋体"/>
                <w:vanish/>
              </w:rPr>
            </w:pPr>
          </w:p>
        </w:tc>
        <w:tc>
          <w:tcPr>
            <w:tcW w:w="0" w:type="auto"/>
            <w:gridSpan w:val="3"/>
            <w:shd w:val="clear" w:color="auto" w:fill="auto"/>
            <w:vAlign w:val="bottom"/>
          </w:tcPr>
          <w:p w14:paraId="098A8709" w14:textId="77777777" w:rsidR="00141CDF" w:rsidRDefault="00141CDF">
            <w:pPr>
              <w:rPr>
                <w:rFonts w:ascii="宋体"/>
                <w:vanish/>
              </w:rPr>
            </w:pPr>
          </w:p>
        </w:tc>
      </w:tr>
      <w:tr w:rsidR="00141CDF" w14:paraId="098A8718" w14:textId="77777777">
        <w:trPr>
          <w:jc w:val="center"/>
        </w:trPr>
        <w:tc>
          <w:tcPr>
            <w:tcW w:w="0" w:type="auto"/>
            <w:gridSpan w:val="3"/>
            <w:shd w:val="clear" w:color="auto" w:fill="FFFFFF"/>
            <w:tcMar>
              <w:top w:w="40" w:type="dxa"/>
              <w:left w:w="20" w:type="dxa"/>
              <w:bottom w:w="40" w:type="dxa"/>
              <w:right w:w="20" w:type="dxa"/>
            </w:tcMar>
            <w:vAlign w:val="center"/>
          </w:tcPr>
          <w:p w14:paraId="098A870B" w14:textId="77777777" w:rsidR="00141CDF" w:rsidRDefault="00DF45E0">
            <w:pPr>
              <w:textAlignment w:val="center"/>
            </w:pPr>
            <w:r>
              <w:rPr>
                <w:rFonts w:ascii="Times New Roman" w:eastAsia="宋体" w:hAnsi="Times New Roman"/>
                <w:b/>
                <w:bCs/>
                <w:color w:val="000000"/>
                <w:sz w:val="16"/>
                <w:szCs w:val="16"/>
              </w:rPr>
              <w:t>Consolidated net income</w:t>
            </w:r>
          </w:p>
        </w:tc>
        <w:tc>
          <w:tcPr>
            <w:tcW w:w="0" w:type="auto"/>
            <w:gridSpan w:val="3"/>
            <w:shd w:val="clear" w:color="auto" w:fill="FFFFFF"/>
            <w:tcMar>
              <w:top w:w="0" w:type="dxa"/>
              <w:left w:w="20" w:type="dxa"/>
              <w:bottom w:w="0" w:type="dxa"/>
              <w:right w:w="20" w:type="dxa"/>
            </w:tcMar>
            <w:vAlign w:val="bottom"/>
          </w:tcPr>
          <w:p w14:paraId="098A870C" w14:textId="77777777" w:rsidR="00141CDF" w:rsidRDefault="00141C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98A870D" w14:textId="77777777" w:rsidR="00141CDF" w:rsidRDefault="00DF45E0">
            <w:pPr>
              <w:jc w:val="right"/>
              <w:textAlignment w:val="center"/>
            </w:pPr>
            <w:r>
              <w:rPr>
                <w:rFonts w:ascii="Times New Roman" w:eastAsia="宋体" w:hAnsi="Times New Roman"/>
                <w:color w:val="000000"/>
                <w:sz w:val="16"/>
                <w:szCs w:val="16"/>
              </w:rPr>
              <w:t>5,147 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870E"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70F" w14:textId="77777777" w:rsidR="00141CDF" w:rsidRDefault="00141C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98A8710" w14:textId="77777777" w:rsidR="00141CDF" w:rsidRDefault="00DF45E0">
            <w:pPr>
              <w:jc w:val="right"/>
              <w:textAlignment w:val="center"/>
            </w:pPr>
            <w:r>
              <w:rPr>
                <w:rFonts w:ascii="Times New Roman" w:eastAsia="宋体" w:hAnsi="Times New Roman"/>
                <w:color w:val="000000"/>
                <w:sz w:val="16"/>
                <w:szCs w:val="16"/>
              </w:rPr>
              <w:t>4,364 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8711"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712" w14:textId="77777777" w:rsidR="00141CDF" w:rsidRDefault="00141C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98A8713" w14:textId="77777777" w:rsidR="00141CDF" w:rsidRDefault="00DF45E0">
            <w:pPr>
              <w:jc w:val="right"/>
              <w:textAlignment w:val="bottom"/>
            </w:pPr>
            <w:r>
              <w:rPr>
                <w:rFonts w:ascii="Times New Roman" w:eastAsia="宋体" w:hAnsi="Times New Roman"/>
                <w:color w:val="000000"/>
                <w:sz w:val="16"/>
                <w:szCs w:val="16"/>
              </w:rPr>
              <w:t>7,250 </w:t>
            </w:r>
          </w:p>
        </w:tc>
        <w:tc>
          <w:tcPr>
            <w:tcW w:w="0" w:type="auto"/>
            <w:tcBorders>
              <w:top w:val="single" w:sz="8" w:space="0" w:color="000000"/>
            </w:tcBorders>
            <w:shd w:val="clear" w:color="auto" w:fill="FFFFFF"/>
            <w:tcMar>
              <w:top w:w="40" w:type="dxa"/>
              <w:left w:w="0" w:type="dxa"/>
              <w:bottom w:w="40" w:type="dxa"/>
              <w:right w:w="20" w:type="dxa"/>
            </w:tcMar>
            <w:vAlign w:val="bottom"/>
          </w:tcPr>
          <w:p w14:paraId="098A8714"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715" w14:textId="77777777" w:rsidR="00141CDF" w:rsidRDefault="00141C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98A8716" w14:textId="77777777" w:rsidR="00141CDF" w:rsidRDefault="00DF45E0">
            <w:pPr>
              <w:jc w:val="right"/>
              <w:textAlignment w:val="bottom"/>
            </w:pPr>
            <w:r>
              <w:rPr>
                <w:rFonts w:ascii="Times New Roman" w:eastAsia="宋体" w:hAnsi="Times New Roman"/>
                <w:color w:val="000000"/>
                <w:sz w:val="16"/>
                <w:szCs w:val="16"/>
              </w:rPr>
              <w:t>7,175 </w:t>
            </w:r>
          </w:p>
        </w:tc>
        <w:tc>
          <w:tcPr>
            <w:tcW w:w="0" w:type="auto"/>
            <w:tcBorders>
              <w:top w:val="single" w:sz="8" w:space="0" w:color="000000"/>
            </w:tcBorders>
            <w:shd w:val="clear" w:color="auto" w:fill="FFFFFF"/>
            <w:tcMar>
              <w:top w:w="40" w:type="dxa"/>
              <w:left w:w="0" w:type="dxa"/>
              <w:bottom w:w="40" w:type="dxa"/>
              <w:right w:w="20" w:type="dxa"/>
            </w:tcMar>
            <w:vAlign w:val="bottom"/>
          </w:tcPr>
          <w:p w14:paraId="098A8717" w14:textId="77777777" w:rsidR="00141CDF" w:rsidRDefault="00141CDF">
            <w:pPr>
              <w:jc w:val="right"/>
              <w:rPr>
                <w:rFonts w:ascii="宋体"/>
              </w:rPr>
            </w:pPr>
          </w:p>
        </w:tc>
      </w:tr>
      <w:tr w:rsidR="00141CDF" w14:paraId="098A8726" w14:textId="77777777">
        <w:trPr>
          <w:jc w:val="center"/>
        </w:trPr>
        <w:tc>
          <w:tcPr>
            <w:tcW w:w="0" w:type="auto"/>
            <w:gridSpan w:val="3"/>
            <w:shd w:val="clear" w:color="auto" w:fill="CCEEFF"/>
            <w:tcMar>
              <w:top w:w="40" w:type="dxa"/>
              <w:left w:w="20" w:type="dxa"/>
              <w:bottom w:w="40" w:type="dxa"/>
              <w:right w:w="20" w:type="dxa"/>
            </w:tcMar>
            <w:vAlign w:val="center"/>
          </w:tcPr>
          <w:p w14:paraId="098A8719" w14:textId="77777777" w:rsidR="00141CDF" w:rsidRDefault="00DF45E0">
            <w:pPr>
              <w:textAlignment w:val="center"/>
            </w:pPr>
            <w:r>
              <w:rPr>
                <w:rFonts w:ascii="Times New Roman" w:eastAsia="宋体" w:hAnsi="Times New Roman"/>
                <w:color w:val="000000"/>
                <w:sz w:val="16"/>
                <w:szCs w:val="16"/>
              </w:rPr>
              <w:t>Consolidated net loss (income) attributable to noncontrolling interest</w:t>
            </w:r>
          </w:p>
        </w:tc>
        <w:tc>
          <w:tcPr>
            <w:tcW w:w="0" w:type="auto"/>
            <w:gridSpan w:val="3"/>
            <w:shd w:val="clear" w:color="auto" w:fill="CCEEFF"/>
            <w:tcMar>
              <w:top w:w="0" w:type="dxa"/>
              <w:left w:w="20" w:type="dxa"/>
              <w:bottom w:w="0" w:type="dxa"/>
              <w:right w:w="20" w:type="dxa"/>
            </w:tcMar>
            <w:vAlign w:val="bottom"/>
          </w:tcPr>
          <w:p w14:paraId="098A871A"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71B" w14:textId="77777777" w:rsidR="00141CDF" w:rsidRDefault="00DF45E0">
            <w:pPr>
              <w:jc w:val="right"/>
              <w:textAlignment w:val="center"/>
            </w:pPr>
            <w:r>
              <w:rPr>
                <w:rFonts w:ascii="Times New Roman" w:eastAsia="宋体" w:hAnsi="Times New Roman"/>
                <w:color w:val="000000"/>
                <w:sz w:val="16"/>
                <w:szCs w:val="16"/>
              </w:rPr>
              <w:t>2 </w:t>
            </w:r>
          </w:p>
        </w:tc>
        <w:tc>
          <w:tcPr>
            <w:tcW w:w="0" w:type="auto"/>
            <w:shd w:val="clear" w:color="auto" w:fill="CCEEFF"/>
            <w:tcMar>
              <w:top w:w="40" w:type="dxa"/>
              <w:left w:w="0" w:type="dxa"/>
              <w:bottom w:w="40" w:type="dxa"/>
              <w:right w:w="20" w:type="dxa"/>
            </w:tcMar>
            <w:vAlign w:val="center"/>
          </w:tcPr>
          <w:p w14:paraId="098A871C"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71D"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71E" w14:textId="77777777" w:rsidR="00141CDF" w:rsidRDefault="00DF45E0">
            <w:pPr>
              <w:jc w:val="right"/>
              <w:textAlignment w:val="center"/>
            </w:pPr>
            <w:r>
              <w:rPr>
                <w:rFonts w:ascii="Times New Roman" w:eastAsia="宋体" w:hAnsi="Times New Roman"/>
                <w:color w:val="000000"/>
                <w:sz w:val="16"/>
                <w:szCs w:val="16"/>
              </w:rPr>
              <w:t>(88)</w:t>
            </w:r>
          </w:p>
        </w:tc>
        <w:tc>
          <w:tcPr>
            <w:tcW w:w="0" w:type="auto"/>
            <w:shd w:val="clear" w:color="auto" w:fill="CCEEFF"/>
            <w:tcMar>
              <w:top w:w="40" w:type="dxa"/>
              <w:left w:w="0" w:type="dxa"/>
              <w:bottom w:w="40" w:type="dxa"/>
              <w:right w:w="20" w:type="dxa"/>
            </w:tcMar>
            <w:vAlign w:val="center"/>
          </w:tcPr>
          <w:p w14:paraId="098A871F"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720"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bottom"/>
          </w:tcPr>
          <w:p w14:paraId="098A8721" w14:textId="77777777" w:rsidR="00141CDF" w:rsidRDefault="00DF45E0">
            <w:pPr>
              <w:jc w:val="right"/>
              <w:textAlignment w:val="bottom"/>
            </w:pPr>
            <w:r>
              <w:rPr>
                <w:rFonts w:ascii="Times New Roman" w:eastAsia="宋体" w:hAnsi="Times New Roman"/>
                <w:color w:val="000000"/>
                <w:sz w:val="16"/>
                <w:szCs w:val="16"/>
              </w:rPr>
              <w:t>(47)</w:t>
            </w:r>
          </w:p>
        </w:tc>
        <w:tc>
          <w:tcPr>
            <w:tcW w:w="0" w:type="auto"/>
            <w:shd w:val="clear" w:color="auto" w:fill="CCEEFF"/>
            <w:tcMar>
              <w:top w:w="40" w:type="dxa"/>
              <w:left w:w="0" w:type="dxa"/>
              <w:bottom w:w="40" w:type="dxa"/>
              <w:right w:w="20" w:type="dxa"/>
            </w:tcMar>
            <w:vAlign w:val="bottom"/>
          </w:tcPr>
          <w:p w14:paraId="098A8722"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723"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bottom"/>
          </w:tcPr>
          <w:p w14:paraId="098A8724" w14:textId="77777777" w:rsidR="00141CDF" w:rsidRDefault="00DF45E0">
            <w:pPr>
              <w:jc w:val="right"/>
              <w:textAlignment w:val="bottom"/>
            </w:pPr>
            <w:r>
              <w:rPr>
                <w:rFonts w:ascii="Times New Roman" w:eastAsia="宋体" w:hAnsi="Times New Roman"/>
                <w:color w:val="000000"/>
                <w:sz w:val="16"/>
                <w:szCs w:val="16"/>
              </w:rPr>
              <w:t>(169)</w:t>
            </w:r>
          </w:p>
        </w:tc>
        <w:tc>
          <w:tcPr>
            <w:tcW w:w="0" w:type="auto"/>
            <w:shd w:val="clear" w:color="auto" w:fill="CCEEFF"/>
            <w:tcMar>
              <w:top w:w="40" w:type="dxa"/>
              <w:left w:w="0" w:type="dxa"/>
              <w:bottom w:w="40" w:type="dxa"/>
              <w:right w:w="20" w:type="dxa"/>
            </w:tcMar>
            <w:vAlign w:val="bottom"/>
          </w:tcPr>
          <w:p w14:paraId="098A8725" w14:textId="77777777" w:rsidR="00141CDF" w:rsidRDefault="00141CDF">
            <w:pPr>
              <w:jc w:val="right"/>
              <w:rPr>
                <w:rFonts w:ascii="宋体"/>
              </w:rPr>
            </w:pPr>
          </w:p>
        </w:tc>
      </w:tr>
      <w:tr w:rsidR="00141CDF" w14:paraId="098A8738" w14:textId="77777777">
        <w:trPr>
          <w:jc w:val="center"/>
        </w:trPr>
        <w:tc>
          <w:tcPr>
            <w:tcW w:w="0" w:type="auto"/>
            <w:gridSpan w:val="3"/>
            <w:shd w:val="clear" w:color="auto" w:fill="FFFFFF"/>
            <w:tcMar>
              <w:top w:w="40" w:type="dxa"/>
              <w:left w:w="20" w:type="dxa"/>
              <w:bottom w:w="40" w:type="dxa"/>
              <w:right w:w="20" w:type="dxa"/>
            </w:tcMar>
            <w:vAlign w:val="center"/>
          </w:tcPr>
          <w:p w14:paraId="098A8727" w14:textId="77777777" w:rsidR="00141CDF" w:rsidRDefault="00DF45E0">
            <w:pPr>
              <w:textAlignment w:val="center"/>
            </w:pPr>
            <w:r>
              <w:rPr>
                <w:rFonts w:ascii="Times New Roman" w:eastAsia="宋体" w:hAnsi="Times New Roman"/>
                <w:b/>
                <w:bCs/>
                <w:color w:val="000000"/>
                <w:sz w:val="16"/>
                <w:szCs w:val="16"/>
              </w:rPr>
              <w:t>Consolidated net income attributable to Walmart</w:t>
            </w:r>
          </w:p>
        </w:tc>
        <w:tc>
          <w:tcPr>
            <w:tcW w:w="0" w:type="auto"/>
            <w:gridSpan w:val="3"/>
            <w:shd w:val="clear" w:color="auto" w:fill="FFFFFF"/>
            <w:tcMar>
              <w:top w:w="0" w:type="dxa"/>
              <w:left w:w="20" w:type="dxa"/>
              <w:bottom w:w="0" w:type="dxa"/>
              <w:right w:w="20" w:type="dxa"/>
            </w:tcMar>
            <w:vAlign w:val="bottom"/>
          </w:tcPr>
          <w:p w14:paraId="098A8728" w14:textId="77777777" w:rsidR="00141CDF" w:rsidRDefault="00141C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98A8729"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98A872A" w14:textId="77777777" w:rsidR="00141CDF" w:rsidRDefault="00DF45E0">
            <w:pPr>
              <w:jc w:val="right"/>
              <w:textAlignment w:val="center"/>
            </w:pPr>
            <w:r>
              <w:rPr>
                <w:rFonts w:ascii="Times New Roman" w:eastAsia="宋体" w:hAnsi="Times New Roman"/>
                <w:color w:val="000000"/>
                <w:sz w:val="16"/>
                <w:szCs w:val="16"/>
              </w:rPr>
              <w:t>5,149 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872B"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72C" w14:textId="77777777" w:rsidR="00141CDF" w:rsidRDefault="00141C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98A872D"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98A872E" w14:textId="77777777" w:rsidR="00141CDF" w:rsidRDefault="00DF45E0">
            <w:pPr>
              <w:jc w:val="right"/>
              <w:textAlignment w:val="center"/>
            </w:pPr>
            <w:r>
              <w:rPr>
                <w:rFonts w:ascii="Times New Roman" w:eastAsia="宋体" w:hAnsi="Times New Roman"/>
                <w:color w:val="000000"/>
                <w:sz w:val="16"/>
                <w:szCs w:val="16"/>
              </w:rPr>
              <w:t>4,276 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872F"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730" w14:textId="77777777" w:rsidR="00141CDF" w:rsidRDefault="00141C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98A8731"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98A8732" w14:textId="77777777" w:rsidR="00141CDF" w:rsidRDefault="00DF45E0">
            <w:pPr>
              <w:jc w:val="right"/>
              <w:textAlignment w:val="center"/>
            </w:pPr>
            <w:r>
              <w:rPr>
                <w:rFonts w:ascii="Times New Roman" w:eastAsia="宋体" w:hAnsi="Times New Roman"/>
                <w:color w:val="000000"/>
                <w:sz w:val="16"/>
                <w:szCs w:val="16"/>
              </w:rPr>
              <w:t>7,203 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8733"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734" w14:textId="77777777" w:rsidR="00141CDF" w:rsidRDefault="00141C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98A8735"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98A8736" w14:textId="77777777" w:rsidR="00141CDF" w:rsidRDefault="00DF45E0">
            <w:pPr>
              <w:jc w:val="right"/>
              <w:textAlignment w:val="center"/>
            </w:pPr>
            <w:r>
              <w:rPr>
                <w:rFonts w:ascii="Times New Roman" w:eastAsia="宋体" w:hAnsi="Times New Roman"/>
                <w:color w:val="000000"/>
                <w:sz w:val="16"/>
                <w:szCs w:val="16"/>
              </w:rPr>
              <w:t>7,006 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8737" w14:textId="77777777" w:rsidR="00141CDF" w:rsidRDefault="00141CDF">
            <w:pPr>
              <w:jc w:val="right"/>
              <w:rPr>
                <w:rFonts w:ascii="宋体"/>
              </w:rPr>
            </w:pPr>
          </w:p>
        </w:tc>
      </w:tr>
      <w:tr w:rsidR="00141CDF" w14:paraId="098A8742" w14:textId="77777777">
        <w:trPr>
          <w:jc w:val="center"/>
          <w:hidden/>
        </w:trPr>
        <w:tc>
          <w:tcPr>
            <w:tcW w:w="0" w:type="auto"/>
            <w:gridSpan w:val="3"/>
            <w:shd w:val="clear" w:color="auto" w:fill="auto"/>
            <w:vAlign w:val="bottom"/>
          </w:tcPr>
          <w:p w14:paraId="098A8739" w14:textId="77777777" w:rsidR="00141CDF" w:rsidRDefault="00141CDF">
            <w:pPr>
              <w:rPr>
                <w:rFonts w:ascii="宋体"/>
                <w:vanish/>
              </w:rPr>
            </w:pPr>
          </w:p>
        </w:tc>
        <w:tc>
          <w:tcPr>
            <w:tcW w:w="0" w:type="auto"/>
            <w:gridSpan w:val="3"/>
            <w:shd w:val="clear" w:color="auto" w:fill="auto"/>
            <w:vAlign w:val="bottom"/>
          </w:tcPr>
          <w:p w14:paraId="098A873A" w14:textId="77777777" w:rsidR="00141CDF" w:rsidRDefault="00141CDF">
            <w:pPr>
              <w:rPr>
                <w:rFonts w:ascii="宋体"/>
                <w:vanish/>
              </w:rPr>
            </w:pPr>
          </w:p>
        </w:tc>
        <w:tc>
          <w:tcPr>
            <w:tcW w:w="0" w:type="auto"/>
            <w:gridSpan w:val="3"/>
            <w:shd w:val="clear" w:color="auto" w:fill="auto"/>
            <w:vAlign w:val="bottom"/>
          </w:tcPr>
          <w:p w14:paraId="098A873B" w14:textId="77777777" w:rsidR="00141CDF" w:rsidRDefault="00141CDF">
            <w:pPr>
              <w:rPr>
                <w:rFonts w:ascii="宋体"/>
                <w:vanish/>
              </w:rPr>
            </w:pPr>
          </w:p>
        </w:tc>
        <w:tc>
          <w:tcPr>
            <w:tcW w:w="0" w:type="auto"/>
            <w:gridSpan w:val="3"/>
            <w:shd w:val="clear" w:color="auto" w:fill="auto"/>
            <w:vAlign w:val="bottom"/>
          </w:tcPr>
          <w:p w14:paraId="098A873C" w14:textId="77777777" w:rsidR="00141CDF" w:rsidRDefault="00141CDF">
            <w:pPr>
              <w:rPr>
                <w:rFonts w:ascii="宋体"/>
                <w:vanish/>
              </w:rPr>
            </w:pPr>
          </w:p>
        </w:tc>
        <w:tc>
          <w:tcPr>
            <w:tcW w:w="0" w:type="auto"/>
            <w:gridSpan w:val="3"/>
            <w:shd w:val="clear" w:color="auto" w:fill="auto"/>
            <w:vAlign w:val="bottom"/>
          </w:tcPr>
          <w:p w14:paraId="098A873D" w14:textId="77777777" w:rsidR="00141CDF" w:rsidRDefault="00141CDF">
            <w:pPr>
              <w:rPr>
                <w:rFonts w:ascii="宋体"/>
                <w:vanish/>
              </w:rPr>
            </w:pPr>
          </w:p>
        </w:tc>
        <w:tc>
          <w:tcPr>
            <w:tcW w:w="0" w:type="auto"/>
            <w:gridSpan w:val="3"/>
            <w:shd w:val="clear" w:color="auto" w:fill="auto"/>
            <w:vAlign w:val="bottom"/>
          </w:tcPr>
          <w:p w14:paraId="098A873E" w14:textId="77777777" w:rsidR="00141CDF" w:rsidRDefault="00141CDF">
            <w:pPr>
              <w:rPr>
                <w:rFonts w:ascii="宋体"/>
                <w:vanish/>
              </w:rPr>
            </w:pPr>
          </w:p>
        </w:tc>
        <w:tc>
          <w:tcPr>
            <w:tcW w:w="0" w:type="auto"/>
            <w:gridSpan w:val="3"/>
            <w:shd w:val="clear" w:color="auto" w:fill="auto"/>
            <w:vAlign w:val="bottom"/>
          </w:tcPr>
          <w:p w14:paraId="098A873F" w14:textId="77777777" w:rsidR="00141CDF" w:rsidRDefault="00141CDF">
            <w:pPr>
              <w:rPr>
                <w:rFonts w:ascii="宋体"/>
                <w:vanish/>
              </w:rPr>
            </w:pPr>
          </w:p>
        </w:tc>
        <w:tc>
          <w:tcPr>
            <w:tcW w:w="0" w:type="auto"/>
            <w:gridSpan w:val="3"/>
            <w:shd w:val="clear" w:color="auto" w:fill="auto"/>
            <w:vAlign w:val="bottom"/>
          </w:tcPr>
          <w:p w14:paraId="098A8740" w14:textId="77777777" w:rsidR="00141CDF" w:rsidRDefault="00141CDF">
            <w:pPr>
              <w:rPr>
                <w:rFonts w:ascii="宋体"/>
                <w:vanish/>
              </w:rPr>
            </w:pPr>
          </w:p>
        </w:tc>
        <w:tc>
          <w:tcPr>
            <w:tcW w:w="0" w:type="auto"/>
            <w:gridSpan w:val="3"/>
            <w:shd w:val="clear" w:color="auto" w:fill="auto"/>
            <w:vAlign w:val="bottom"/>
          </w:tcPr>
          <w:p w14:paraId="098A8741" w14:textId="77777777" w:rsidR="00141CDF" w:rsidRDefault="00141CDF">
            <w:pPr>
              <w:rPr>
                <w:rFonts w:ascii="宋体"/>
                <w:vanish/>
              </w:rPr>
            </w:pPr>
          </w:p>
        </w:tc>
      </w:tr>
      <w:tr w:rsidR="00141CDF" w14:paraId="098A874C" w14:textId="77777777">
        <w:trPr>
          <w:trHeight w:val="220"/>
          <w:jc w:val="center"/>
        </w:trPr>
        <w:tc>
          <w:tcPr>
            <w:tcW w:w="0" w:type="auto"/>
            <w:gridSpan w:val="3"/>
            <w:shd w:val="clear" w:color="auto" w:fill="CCEEFF"/>
            <w:tcMar>
              <w:top w:w="0" w:type="dxa"/>
              <w:left w:w="20" w:type="dxa"/>
              <w:bottom w:w="0" w:type="dxa"/>
              <w:right w:w="20" w:type="dxa"/>
            </w:tcMar>
            <w:vAlign w:val="bottom"/>
          </w:tcPr>
          <w:p w14:paraId="098A8743"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744" w14:textId="77777777" w:rsidR="00141CDF" w:rsidRDefault="00141CD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98A8745"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746" w14:textId="77777777" w:rsidR="00141CDF" w:rsidRDefault="00141CD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98A8747"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748" w14:textId="77777777" w:rsidR="00141CDF" w:rsidRDefault="00141CD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98A8749"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74A" w14:textId="77777777" w:rsidR="00141CDF" w:rsidRDefault="00141CD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98A874B" w14:textId="77777777" w:rsidR="00141CDF" w:rsidRDefault="00141CDF">
            <w:pPr>
              <w:rPr>
                <w:rFonts w:ascii="宋体"/>
              </w:rPr>
            </w:pPr>
          </w:p>
        </w:tc>
      </w:tr>
      <w:tr w:rsidR="00141CDF" w14:paraId="098A8756" w14:textId="77777777">
        <w:trPr>
          <w:jc w:val="center"/>
          <w:hidden/>
        </w:trPr>
        <w:tc>
          <w:tcPr>
            <w:tcW w:w="0" w:type="auto"/>
            <w:gridSpan w:val="3"/>
            <w:shd w:val="clear" w:color="auto" w:fill="auto"/>
            <w:vAlign w:val="bottom"/>
          </w:tcPr>
          <w:p w14:paraId="098A874D" w14:textId="77777777" w:rsidR="00141CDF" w:rsidRDefault="00141CDF">
            <w:pPr>
              <w:rPr>
                <w:rFonts w:ascii="宋体"/>
                <w:vanish/>
              </w:rPr>
            </w:pPr>
          </w:p>
        </w:tc>
        <w:tc>
          <w:tcPr>
            <w:tcW w:w="0" w:type="auto"/>
            <w:gridSpan w:val="3"/>
            <w:shd w:val="clear" w:color="auto" w:fill="auto"/>
            <w:vAlign w:val="bottom"/>
          </w:tcPr>
          <w:p w14:paraId="098A874E" w14:textId="77777777" w:rsidR="00141CDF" w:rsidRDefault="00141CDF">
            <w:pPr>
              <w:rPr>
                <w:rFonts w:ascii="宋体"/>
                <w:vanish/>
              </w:rPr>
            </w:pPr>
          </w:p>
        </w:tc>
        <w:tc>
          <w:tcPr>
            <w:tcW w:w="0" w:type="auto"/>
            <w:gridSpan w:val="3"/>
            <w:shd w:val="clear" w:color="auto" w:fill="auto"/>
            <w:vAlign w:val="bottom"/>
          </w:tcPr>
          <w:p w14:paraId="098A874F" w14:textId="77777777" w:rsidR="00141CDF" w:rsidRDefault="00141CDF">
            <w:pPr>
              <w:rPr>
                <w:rFonts w:ascii="宋体"/>
                <w:vanish/>
              </w:rPr>
            </w:pPr>
          </w:p>
        </w:tc>
        <w:tc>
          <w:tcPr>
            <w:tcW w:w="0" w:type="auto"/>
            <w:gridSpan w:val="3"/>
            <w:shd w:val="clear" w:color="auto" w:fill="auto"/>
            <w:vAlign w:val="bottom"/>
          </w:tcPr>
          <w:p w14:paraId="098A8750" w14:textId="77777777" w:rsidR="00141CDF" w:rsidRDefault="00141CDF">
            <w:pPr>
              <w:rPr>
                <w:rFonts w:ascii="宋体"/>
                <w:vanish/>
              </w:rPr>
            </w:pPr>
          </w:p>
        </w:tc>
        <w:tc>
          <w:tcPr>
            <w:tcW w:w="0" w:type="auto"/>
            <w:gridSpan w:val="3"/>
            <w:shd w:val="clear" w:color="auto" w:fill="auto"/>
            <w:vAlign w:val="bottom"/>
          </w:tcPr>
          <w:p w14:paraId="098A8751" w14:textId="77777777" w:rsidR="00141CDF" w:rsidRDefault="00141CDF">
            <w:pPr>
              <w:rPr>
                <w:rFonts w:ascii="宋体"/>
                <w:vanish/>
              </w:rPr>
            </w:pPr>
          </w:p>
        </w:tc>
        <w:tc>
          <w:tcPr>
            <w:tcW w:w="0" w:type="auto"/>
            <w:gridSpan w:val="3"/>
            <w:shd w:val="clear" w:color="auto" w:fill="auto"/>
            <w:vAlign w:val="bottom"/>
          </w:tcPr>
          <w:p w14:paraId="098A8752" w14:textId="77777777" w:rsidR="00141CDF" w:rsidRDefault="00141CDF">
            <w:pPr>
              <w:rPr>
                <w:rFonts w:ascii="宋体"/>
                <w:vanish/>
              </w:rPr>
            </w:pPr>
          </w:p>
        </w:tc>
        <w:tc>
          <w:tcPr>
            <w:tcW w:w="0" w:type="auto"/>
            <w:gridSpan w:val="3"/>
            <w:shd w:val="clear" w:color="auto" w:fill="auto"/>
            <w:vAlign w:val="bottom"/>
          </w:tcPr>
          <w:p w14:paraId="098A8753" w14:textId="77777777" w:rsidR="00141CDF" w:rsidRDefault="00141CDF">
            <w:pPr>
              <w:rPr>
                <w:rFonts w:ascii="宋体"/>
                <w:vanish/>
              </w:rPr>
            </w:pPr>
          </w:p>
        </w:tc>
        <w:tc>
          <w:tcPr>
            <w:tcW w:w="0" w:type="auto"/>
            <w:gridSpan w:val="3"/>
            <w:shd w:val="clear" w:color="auto" w:fill="auto"/>
            <w:vAlign w:val="bottom"/>
          </w:tcPr>
          <w:p w14:paraId="098A8754" w14:textId="77777777" w:rsidR="00141CDF" w:rsidRDefault="00141CDF">
            <w:pPr>
              <w:rPr>
                <w:rFonts w:ascii="宋体"/>
                <w:vanish/>
              </w:rPr>
            </w:pPr>
          </w:p>
        </w:tc>
        <w:tc>
          <w:tcPr>
            <w:tcW w:w="0" w:type="auto"/>
            <w:gridSpan w:val="3"/>
            <w:shd w:val="clear" w:color="auto" w:fill="auto"/>
            <w:vAlign w:val="bottom"/>
          </w:tcPr>
          <w:p w14:paraId="098A8755" w14:textId="77777777" w:rsidR="00141CDF" w:rsidRDefault="00141CDF">
            <w:pPr>
              <w:rPr>
                <w:rFonts w:ascii="宋体"/>
                <w:vanish/>
              </w:rPr>
            </w:pPr>
          </w:p>
        </w:tc>
      </w:tr>
      <w:tr w:rsidR="00141CDF" w14:paraId="098A8760" w14:textId="77777777">
        <w:trPr>
          <w:jc w:val="center"/>
          <w:hidden/>
        </w:trPr>
        <w:tc>
          <w:tcPr>
            <w:tcW w:w="0" w:type="auto"/>
            <w:gridSpan w:val="3"/>
            <w:shd w:val="clear" w:color="auto" w:fill="auto"/>
            <w:vAlign w:val="bottom"/>
          </w:tcPr>
          <w:p w14:paraId="098A8757" w14:textId="77777777" w:rsidR="00141CDF" w:rsidRDefault="00141CDF">
            <w:pPr>
              <w:rPr>
                <w:rFonts w:ascii="宋体"/>
                <w:vanish/>
              </w:rPr>
            </w:pPr>
          </w:p>
        </w:tc>
        <w:tc>
          <w:tcPr>
            <w:tcW w:w="0" w:type="auto"/>
            <w:gridSpan w:val="3"/>
            <w:shd w:val="clear" w:color="auto" w:fill="auto"/>
            <w:vAlign w:val="bottom"/>
          </w:tcPr>
          <w:p w14:paraId="098A8758" w14:textId="77777777" w:rsidR="00141CDF" w:rsidRDefault="00141CDF">
            <w:pPr>
              <w:rPr>
                <w:rFonts w:ascii="宋体"/>
                <w:vanish/>
              </w:rPr>
            </w:pPr>
          </w:p>
        </w:tc>
        <w:tc>
          <w:tcPr>
            <w:tcW w:w="0" w:type="auto"/>
            <w:gridSpan w:val="3"/>
            <w:shd w:val="clear" w:color="auto" w:fill="auto"/>
            <w:vAlign w:val="bottom"/>
          </w:tcPr>
          <w:p w14:paraId="098A8759" w14:textId="77777777" w:rsidR="00141CDF" w:rsidRDefault="00141CDF">
            <w:pPr>
              <w:rPr>
                <w:rFonts w:ascii="宋体"/>
                <w:vanish/>
              </w:rPr>
            </w:pPr>
          </w:p>
        </w:tc>
        <w:tc>
          <w:tcPr>
            <w:tcW w:w="0" w:type="auto"/>
            <w:gridSpan w:val="3"/>
            <w:shd w:val="clear" w:color="auto" w:fill="auto"/>
            <w:vAlign w:val="bottom"/>
          </w:tcPr>
          <w:p w14:paraId="098A875A" w14:textId="77777777" w:rsidR="00141CDF" w:rsidRDefault="00141CDF">
            <w:pPr>
              <w:rPr>
                <w:rFonts w:ascii="宋体"/>
                <w:vanish/>
              </w:rPr>
            </w:pPr>
          </w:p>
        </w:tc>
        <w:tc>
          <w:tcPr>
            <w:tcW w:w="0" w:type="auto"/>
            <w:gridSpan w:val="3"/>
            <w:shd w:val="clear" w:color="auto" w:fill="auto"/>
            <w:vAlign w:val="bottom"/>
          </w:tcPr>
          <w:p w14:paraId="098A875B" w14:textId="77777777" w:rsidR="00141CDF" w:rsidRDefault="00141CDF">
            <w:pPr>
              <w:rPr>
                <w:rFonts w:ascii="宋体"/>
                <w:vanish/>
              </w:rPr>
            </w:pPr>
          </w:p>
        </w:tc>
        <w:tc>
          <w:tcPr>
            <w:tcW w:w="0" w:type="auto"/>
            <w:gridSpan w:val="3"/>
            <w:shd w:val="clear" w:color="auto" w:fill="auto"/>
            <w:vAlign w:val="bottom"/>
          </w:tcPr>
          <w:p w14:paraId="098A875C" w14:textId="77777777" w:rsidR="00141CDF" w:rsidRDefault="00141CDF">
            <w:pPr>
              <w:rPr>
                <w:rFonts w:ascii="宋体"/>
                <w:vanish/>
              </w:rPr>
            </w:pPr>
          </w:p>
        </w:tc>
        <w:tc>
          <w:tcPr>
            <w:tcW w:w="0" w:type="auto"/>
            <w:gridSpan w:val="3"/>
            <w:shd w:val="clear" w:color="auto" w:fill="auto"/>
            <w:vAlign w:val="bottom"/>
          </w:tcPr>
          <w:p w14:paraId="098A875D" w14:textId="77777777" w:rsidR="00141CDF" w:rsidRDefault="00141CDF">
            <w:pPr>
              <w:rPr>
                <w:rFonts w:ascii="宋体"/>
                <w:vanish/>
              </w:rPr>
            </w:pPr>
          </w:p>
        </w:tc>
        <w:tc>
          <w:tcPr>
            <w:tcW w:w="0" w:type="auto"/>
            <w:gridSpan w:val="3"/>
            <w:shd w:val="clear" w:color="auto" w:fill="auto"/>
            <w:vAlign w:val="bottom"/>
          </w:tcPr>
          <w:p w14:paraId="098A875E" w14:textId="77777777" w:rsidR="00141CDF" w:rsidRDefault="00141CDF">
            <w:pPr>
              <w:rPr>
                <w:rFonts w:ascii="宋体"/>
                <w:vanish/>
              </w:rPr>
            </w:pPr>
          </w:p>
        </w:tc>
        <w:tc>
          <w:tcPr>
            <w:tcW w:w="0" w:type="auto"/>
            <w:gridSpan w:val="3"/>
            <w:shd w:val="clear" w:color="auto" w:fill="auto"/>
            <w:vAlign w:val="bottom"/>
          </w:tcPr>
          <w:p w14:paraId="098A875F" w14:textId="77777777" w:rsidR="00141CDF" w:rsidRDefault="00141CDF">
            <w:pPr>
              <w:rPr>
                <w:rFonts w:ascii="宋体"/>
                <w:vanish/>
              </w:rPr>
            </w:pPr>
          </w:p>
        </w:tc>
      </w:tr>
      <w:tr w:rsidR="00141CDF" w14:paraId="098A876A" w14:textId="77777777">
        <w:trPr>
          <w:jc w:val="center"/>
          <w:hidden/>
        </w:trPr>
        <w:tc>
          <w:tcPr>
            <w:tcW w:w="0" w:type="auto"/>
            <w:gridSpan w:val="3"/>
            <w:shd w:val="clear" w:color="auto" w:fill="auto"/>
            <w:vAlign w:val="bottom"/>
          </w:tcPr>
          <w:p w14:paraId="098A8761" w14:textId="77777777" w:rsidR="00141CDF" w:rsidRDefault="00141CDF">
            <w:pPr>
              <w:rPr>
                <w:rFonts w:ascii="宋体"/>
                <w:vanish/>
              </w:rPr>
            </w:pPr>
          </w:p>
        </w:tc>
        <w:tc>
          <w:tcPr>
            <w:tcW w:w="0" w:type="auto"/>
            <w:gridSpan w:val="3"/>
            <w:shd w:val="clear" w:color="auto" w:fill="auto"/>
            <w:vAlign w:val="bottom"/>
          </w:tcPr>
          <w:p w14:paraId="098A8762" w14:textId="77777777" w:rsidR="00141CDF" w:rsidRDefault="00141CDF">
            <w:pPr>
              <w:rPr>
                <w:rFonts w:ascii="宋体"/>
                <w:vanish/>
              </w:rPr>
            </w:pPr>
          </w:p>
        </w:tc>
        <w:tc>
          <w:tcPr>
            <w:tcW w:w="0" w:type="auto"/>
            <w:gridSpan w:val="3"/>
            <w:shd w:val="clear" w:color="auto" w:fill="auto"/>
            <w:vAlign w:val="bottom"/>
          </w:tcPr>
          <w:p w14:paraId="098A8763" w14:textId="77777777" w:rsidR="00141CDF" w:rsidRDefault="00141CDF">
            <w:pPr>
              <w:rPr>
                <w:rFonts w:ascii="宋体"/>
                <w:vanish/>
              </w:rPr>
            </w:pPr>
          </w:p>
        </w:tc>
        <w:tc>
          <w:tcPr>
            <w:tcW w:w="0" w:type="auto"/>
            <w:gridSpan w:val="3"/>
            <w:shd w:val="clear" w:color="auto" w:fill="auto"/>
            <w:vAlign w:val="bottom"/>
          </w:tcPr>
          <w:p w14:paraId="098A8764" w14:textId="77777777" w:rsidR="00141CDF" w:rsidRDefault="00141CDF">
            <w:pPr>
              <w:rPr>
                <w:rFonts w:ascii="宋体"/>
                <w:vanish/>
              </w:rPr>
            </w:pPr>
          </w:p>
        </w:tc>
        <w:tc>
          <w:tcPr>
            <w:tcW w:w="0" w:type="auto"/>
            <w:gridSpan w:val="3"/>
            <w:shd w:val="clear" w:color="auto" w:fill="auto"/>
            <w:vAlign w:val="bottom"/>
          </w:tcPr>
          <w:p w14:paraId="098A8765" w14:textId="77777777" w:rsidR="00141CDF" w:rsidRDefault="00141CDF">
            <w:pPr>
              <w:rPr>
                <w:rFonts w:ascii="宋体"/>
                <w:vanish/>
              </w:rPr>
            </w:pPr>
          </w:p>
        </w:tc>
        <w:tc>
          <w:tcPr>
            <w:tcW w:w="0" w:type="auto"/>
            <w:gridSpan w:val="3"/>
            <w:shd w:val="clear" w:color="auto" w:fill="auto"/>
            <w:vAlign w:val="bottom"/>
          </w:tcPr>
          <w:p w14:paraId="098A8766" w14:textId="77777777" w:rsidR="00141CDF" w:rsidRDefault="00141CDF">
            <w:pPr>
              <w:rPr>
                <w:rFonts w:ascii="宋体"/>
                <w:vanish/>
              </w:rPr>
            </w:pPr>
          </w:p>
        </w:tc>
        <w:tc>
          <w:tcPr>
            <w:tcW w:w="0" w:type="auto"/>
            <w:gridSpan w:val="3"/>
            <w:shd w:val="clear" w:color="auto" w:fill="auto"/>
            <w:vAlign w:val="bottom"/>
          </w:tcPr>
          <w:p w14:paraId="098A8767" w14:textId="77777777" w:rsidR="00141CDF" w:rsidRDefault="00141CDF">
            <w:pPr>
              <w:rPr>
                <w:rFonts w:ascii="宋体"/>
                <w:vanish/>
              </w:rPr>
            </w:pPr>
          </w:p>
        </w:tc>
        <w:tc>
          <w:tcPr>
            <w:tcW w:w="0" w:type="auto"/>
            <w:gridSpan w:val="3"/>
            <w:shd w:val="clear" w:color="auto" w:fill="auto"/>
            <w:vAlign w:val="bottom"/>
          </w:tcPr>
          <w:p w14:paraId="098A8768" w14:textId="77777777" w:rsidR="00141CDF" w:rsidRDefault="00141CDF">
            <w:pPr>
              <w:rPr>
                <w:rFonts w:ascii="宋体"/>
                <w:vanish/>
              </w:rPr>
            </w:pPr>
          </w:p>
        </w:tc>
        <w:tc>
          <w:tcPr>
            <w:tcW w:w="0" w:type="auto"/>
            <w:gridSpan w:val="3"/>
            <w:shd w:val="clear" w:color="auto" w:fill="auto"/>
            <w:vAlign w:val="bottom"/>
          </w:tcPr>
          <w:p w14:paraId="098A8769" w14:textId="77777777" w:rsidR="00141CDF" w:rsidRDefault="00141CDF">
            <w:pPr>
              <w:rPr>
                <w:rFonts w:ascii="宋体"/>
                <w:vanish/>
              </w:rPr>
            </w:pPr>
          </w:p>
        </w:tc>
      </w:tr>
      <w:tr w:rsidR="00141CDF" w14:paraId="098A8774" w14:textId="77777777">
        <w:trPr>
          <w:jc w:val="center"/>
        </w:trPr>
        <w:tc>
          <w:tcPr>
            <w:tcW w:w="0" w:type="auto"/>
            <w:gridSpan w:val="3"/>
            <w:shd w:val="clear" w:color="auto" w:fill="FFFFFF"/>
            <w:tcMar>
              <w:top w:w="40" w:type="dxa"/>
              <w:left w:w="20" w:type="dxa"/>
              <w:bottom w:w="40" w:type="dxa"/>
              <w:right w:w="20" w:type="dxa"/>
            </w:tcMar>
            <w:vAlign w:val="center"/>
          </w:tcPr>
          <w:p w14:paraId="098A876B" w14:textId="77777777" w:rsidR="00141CDF" w:rsidRDefault="00DF45E0">
            <w:pPr>
              <w:textAlignment w:val="center"/>
            </w:pPr>
            <w:r>
              <w:rPr>
                <w:rFonts w:ascii="Times New Roman" w:eastAsia="宋体" w:hAnsi="Times New Roman"/>
                <w:b/>
                <w:bCs/>
                <w:color w:val="000000"/>
                <w:sz w:val="16"/>
                <w:szCs w:val="16"/>
              </w:rPr>
              <w:t>Net income per common share:</w:t>
            </w:r>
          </w:p>
        </w:tc>
        <w:tc>
          <w:tcPr>
            <w:tcW w:w="0" w:type="auto"/>
            <w:gridSpan w:val="3"/>
            <w:shd w:val="clear" w:color="auto" w:fill="FFFFFF"/>
            <w:tcMar>
              <w:top w:w="0" w:type="dxa"/>
              <w:left w:w="20" w:type="dxa"/>
              <w:bottom w:w="0" w:type="dxa"/>
              <w:right w:w="20" w:type="dxa"/>
            </w:tcMar>
            <w:vAlign w:val="bottom"/>
          </w:tcPr>
          <w:p w14:paraId="098A876C"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76D"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76E"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76F"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770"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771"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772"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773" w14:textId="77777777" w:rsidR="00141CDF" w:rsidRDefault="00141CDF">
            <w:pPr>
              <w:rPr>
                <w:rFonts w:ascii="宋体"/>
              </w:rPr>
            </w:pPr>
          </w:p>
        </w:tc>
      </w:tr>
      <w:tr w:rsidR="00141CDF" w14:paraId="098A8786" w14:textId="77777777">
        <w:trPr>
          <w:jc w:val="center"/>
        </w:trPr>
        <w:tc>
          <w:tcPr>
            <w:tcW w:w="0" w:type="auto"/>
            <w:gridSpan w:val="3"/>
            <w:shd w:val="clear" w:color="auto" w:fill="CCEEFF"/>
            <w:tcMar>
              <w:top w:w="40" w:type="dxa"/>
              <w:left w:w="380" w:type="dxa"/>
              <w:bottom w:w="40" w:type="dxa"/>
              <w:right w:w="20" w:type="dxa"/>
            </w:tcMar>
            <w:vAlign w:val="center"/>
          </w:tcPr>
          <w:p w14:paraId="098A8775" w14:textId="77777777" w:rsidR="00141CDF" w:rsidRDefault="00DF45E0">
            <w:pPr>
              <w:textAlignment w:val="center"/>
            </w:pPr>
            <w:r>
              <w:rPr>
                <w:rFonts w:ascii="Times New Roman" w:eastAsia="宋体" w:hAnsi="Times New Roman"/>
                <w:color w:val="000000"/>
                <w:sz w:val="16"/>
                <w:szCs w:val="16"/>
              </w:rPr>
              <w:t>Basic net income per common share attributable to Walmart</w:t>
            </w:r>
          </w:p>
        </w:tc>
        <w:tc>
          <w:tcPr>
            <w:tcW w:w="0" w:type="auto"/>
            <w:gridSpan w:val="3"/>
            <w:shd w:val="clear" w:color="auto" w:fill="CCEEFF"/>
            <w:tcMar>
              <w:top w:w="0" w:type="dxa"/>
              <w:left w:w="20" w:type="dxa"/>
              <w:bottom w:w="0" w:type="dxa"/>
              <w:right w:w="20" w:type="dxa"/>
            </w:tcMar>
            <w:vAlign w:val="bottom"/>
          </w:tcPr>
          <w:p w14:paraId="098A8776"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8777"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8778" w14:textId="77777777" w:rsidR="00141CDF" w:rsidRDefault="00DF45E0">
            <w:pPr>
              <w:jc w:val="right"/>
              <w:textAlignment w:val="center"/>
            </w:pPr>
            <w:r>
              <w:rPr>
                <w:rFonts w:ascii="Times New Roman" w:eastAsia="宋体" w:hAnsi="Times New Roman"/>
                <w:color w:val="000000"/>
                <w:sz w:val="16"/>
                <w:szCs w:val="16"/>
              </w:rPr>
              <w:t>1.88 </w:t>
            </w:r>
          </w:p>
        </w:tc>
        <w:tc>
          <w:tcPr>
            <w:tcW w:w="0" w:type="auto"/>
            <w:shd w:val="clear" w:color="auto" w:fill="CCEEFF"/>
            <w:tcMar>
              <w:top w:w="40" w:type="dxa"/>
              <w:left w:w="0" w:type="dxa"/>
              <w:bottom w:w="40" w:type="dxa"/>
              <w:right w:w="20" w:type="dxa"/>
            </w:tcMar>
            <w:vAlign w:val="center"/>
          </w:tcPr>
          <w:p w14:paraId="098A8779"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77A"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877B"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877C" w14:textId="77777777" w:rsidR="00141CDF" w:rsidRDefault="00DF45E0">
            <w:pPr>
              <w:jc w:val="right"/>
              <w:textAlignment w:val="center"/>
            </w:pPr>
            <w:r>
              <w:rPr>
                <w:rFonts w:ascii="Times New Roman" w:eastAsia="宋体" w:hAnsi="Times New Roman"/>
                <w:color w:val="000000"/>
                <w:sz w:val="16"/>
                <w:szCs w:val="16"/>
              </w:rPr>
              <w:t>1.53 </w:t>
            </w:r>
          </w:p>
        </w:tc>
        <w:tc>
          <w:tcPr>
            <w:tcW w:w="0" w:type="auto"/>
            <w:shd w:val="clear" w:color="auto" w:fill="CCEEFF"/>
            <w:tcMar>
              <w:top w:w="40" w:type="dxa"/>
              <w:left w:w="0" w:type="dxa"/>
              <w:bottom w:w="40" w:type="dxa"/>
              <w:right w:w="20" w:type="dxa"/>
            </w:tcMar>
            <w:vAlign w:val="center"/>
          </w:tcPr>
          <w:p w14:paraId="098A877D"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77E"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877F"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8780" w14:textId="77777777" w:rsidR="00141CDF" w:rsidRDefault="00DF45E0">
            <w:pPr>
              <w:jc w:val="right"/>
              <w:textAlignment w:val="center"/>
            </w:pPr>
            <w:r>
              <w:rPr>
                <w:rFonts w:ascii="Times New Roman" w:eastAsia="宋体" w:hAnsi="Times New Roman"/>
                <w:color w:val="000000"/>
                <w:sz w:val="16"/>
                <w:szCs w:val="16"/>
              </w:rPr>
              <w:t>2.62 </w:t>
            </w:r>
          </w:p>
        </w:tc>
        <w:tc>
          <w:tcPr>
            <w:tcW w:w="0" w:type="auto"/>
            <w:shd w:val="clear" w:color="auto" w:fill="CCEEFF"/>
            <w:tcMar>
              <w:top w:w="40" w:type="dxa"/>
              <w:left w:w="0" w:type="dxa"/>
              <w:bottom w:w="40" w:type="dxa"/>
              <w:right w:w="20" w:type="dxa"/>
            </w:tcMar>
            <w:vAlign w:val="center"/>
          </w:tcPr>
          <w:p w14:paraId="098A8781"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782"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8783"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8784" w14:textId="77777777" w:rsidR="00141CDF" w:rsidRDefault="00DF45E0">
            <w:pPr>
              <w:jc w:val="right"/>
              <w:textAlignment w:val="center"/>
            </w:pPr>
            <w:r>
              <w:rPr>
                <w:rFonts w:ascii="Times New Roman" w:eastAsia="宋体" w:hAnsi="Times New Roman"/>
                <w:color w:val="000000"/>
                <w:sz w:val="16"/>
                <w:szCs w:val="16"/>
              </w:rPr>
              <w:t>2.50 </w:t>
            </w:r>
          </w:p>
        </w:tc>
        <w:tc>
          <w:tcPr>
            <w:tcW w:w="0" w:type="auto"/>
            <w:shd w:val="clear" w:color="auto" w:fill="CCEEFF"/>
            <w:tcMar>
              <w:top w:w="40" w:type="dxa"/>
              <w:left w:w="0" w:type="dxa"/>
              <w:bottom w:w="40" w:type="dxa"/>
              <w:right w:w="20" w:type="dxa"/>
            </w:tcMar>
            <w:vAlign w:val="center"/>
          </w:tcPr>
          <w:p w14:paraId="098A8785" w14:textId="77777777" w:rsidR="00141CDF" w:rsidRDefault="00141CDF">
            <w:pPr>
              <w:jc w:val="right"/>
              <w:rPr>
                <w:rFonts w:ascii="宋体"/>
              </w:rPr>
            </w:pPr>
          </w:p>
        </w:tc>
      </w:tr>
      <w:tr w:rsidR="00141CDF" w14:paraId="098A8790" w14:textId="77777777">
        <w:trPr>
          <w:jc w:val="center"/>
          <w:hidden/>
        </w:trPr>
        <w:tc>
          <w:tcPr>
            <w:tcW w:w="0" w:type="auto"/>
            <w:gridSpan w:val="3"/>
            <w:shd w:val="clear" w:color="auto" w:fill="auto"/>
            <w:vAlign w:val="bottom"/>
          </w:tcPr>
          <w:p w14:paraId="098A8787" w14:textId="77777777" w:rsidR="00141CDF" w:rsidRDefault="00141CDF">
            <w:pPr>
              <w:rPr>
                <w:rFonts w:ascii="宋体"/>
                <w:vanish/>
              </w:rPr>
            </w:pPr>
          </w:p>
        </w:tc>
        <w:tc>
          <w:tcPr>
            <w:tcW w:w="0" w:type="auto"/>
            <w:gridSpan w:val="3"/>
            <w:shd w:val="clear" w:color="auto" w:fill="auto"/>
            <w:vAlign w:val="bottom"/>
          </w:tcPr>
          <w:p w14:paraId="098A8788" w14:textId="77777777" w:rsidR="00141CDF" w:rsidRDefault="00141CDF">
            <w:pPr>
              <w:rPr>
                <w:rFonts w:ascii="宋体"/>
                <w:vanish/>
              </w:rPr>
            </w:pPr>
          </w:p>
        </w:tc>
        <w:tc>
          <w:tcPr>
            <w:tcW w:w="0" w:type="auto"/>
            <w:gridSpan w:val="3"/>
            <w:shd w:val="clear" w:color="auto" w:fill="auto"/>
            <w:vAlign w:val="bottom"/>
          </w:tcPr>
          <w:p w14:paraId="098A8789" w14:textId="77777777" w:rsidR="00141CDF" w:rsidRDefault="00141CDF">
            <w:pPr>
              <w:rPr>
                <w:rFonts w:ascii="宋体"/>
                <w:vanish/>
              </w:rPr>
            </w:pPr>
          </w:p>
        </w:tc>
        <w:tc>
          <w:tcPr>
            <w:tcW w:w="0" w:type="auto"/>
            <w:gridSpan w:val="3"/>
            <w:shd w:val="clear" w:color="auto" w:fill="auto"/>
            <w:vAlign w:val="bottom"/>
          </w:tcPr>
          <w:p w14:paraId="098A878A" w14:textId="77777777" w:rsidR="00141CDF" w:rsidRDefault="00141CDF">
            <w:pPr>
              <w:rPr>
                <w:rFonts w:ascii="宋体"/>
                <w:vanish/>
              </w:rPr>
            </w:pPr>
          </w:p>
        </w:tc>
        <w:tc>
          <w:tcPr>
            <w:tcW w:w="0" w:type="auto"/>
            <w:gridSpan w:val="3"/>
            <w:shd w:val="clear" w:color="auto" w:fill="auto"/>
            <w:vAlign w:val="bottom"/>
          </w:tcPr>
          <w:p w14:paraId="098A878B" w14:textId="77777777" w:rsidR="00141CDF" w:rsidRDefault="00141CDF">
            <w:pPr>
              <w:rPr>
                <w:rFonts w:ascii="宋体"/>
                <w:vanish/>
              </w:rPr>
            </w:pPr>
          </w:p>
        </w:tc>
        <w:tc>
          <w:tcPr>
            <w:tcW w:w="0" w:type="auto"/>
            <w:gridSpan w:val="3"/>
            <w:shd w:val="clear" w:color="auto" w:fill="auto"/>
            <w:vAlign w:val="bottom"/>
          </w:tcPr>
          <w:p w14:paraId="098A878C" w14:textId="77777777" w:rsidR="00141CDF" w:rsidRDefault="00141CDF">
            <w:pPr>
              <w:rPr>
                <w:rFonts w:ascii="宋体"/>
                <w:vanish/>
              </w:rPr>
            </w:pPr>
          </w:p>
        </w:tc>
        <w:tc>
          <w:tcPr>
            <w:tcW w:w="0" w:type="auto"/>
            <w:gridSpan w:val="3"/>
            <w:shd w:val="clear" w:color="auto" w:fill="auto"/>
            <w:vAlign w:val="bottom"/>
          </w:tcPr>
          <w:p w14:paraId="098A878D" w14:textId="77777777" w:rsidR="00141CDF" w:rsidRDefault="00141CDF">
            <w:pPr>
              <w:rPr>
                <w:rFonts w:ascii="宋体"/>
                <w:vanish/>
              </w:rPr>
            </w:pPr>
          </w:p>
        </w:tc>
        <w:tc>
          <w:tcPr>
            <w:tcW w:w="0" w:type="auto"/>
            <w:gridSpan w:val="3"/>
            <w:shd w:val="clear" w:color="auto" w:fill="auto"/>
            <w:vAlign w:val="bottom"/>
          </w:tcPr>
          <w:p w14:paraId="098A878E" w14:textId="77777777" w:rsidR="00141CDF" w:rsidRDefault="00141CDF">
            <w:pPr>
              <w:rPr>
                <w:rFonts w:ascii="宋体"/>
                <w:vanish/>
              </w:rPr>
            </w:pPr>
          </w:p>
        </w:tc>
        <w:tc>
          <w:tcPr>
            <w:tcW w:w="0" w:type="auto"/>
            <w:gridSpan w:val="3"/>
            <w:shd w:val="clear" w:color="auto" w:fill="auto"/>
            <w:vAlign w:val="bottom"/>
          </w:tcPr>
          <w:p w14:paraId="098A878F" w14:textId="77777777" w:rsidR="00141CDF" w:rsidRDefault="00141CDF">
            <w:pPr>
              <w:rPr>
                <w:rFonts w:ascii="宋体"/>
                <w:vanish/>
              </w:rPr>
            </w:pPr>
          </w:p>
        </w:tc>
      </w:tr>
      <w:tr w:rsidR="00141CDF" w14:paraId="098A879A" w14:textId="77777777">
        <w:trPr>
          <w:jc w:val="center"/>
          <w:hidden/>
        </w:trPr>
        <w:tc>
          <w:tcPr>
            <w:tcW w:w="0" w:type="auto"/>
            <w:gridSpan w:val="3"/>
            <w:shd w:val="clear" w:color="auto" w:fill="auto"/>
            <w:vAlign w:val="bottom"/>
          </w:tcPr>
          <w:p w14:paraId="098A8791" w14:textId="77777777" w:rsidR="00141CDF" w:rsidRDefault="00141CDF">
            <w:pPr>
              <w:rPr>
                <w:rFonts w:ascii="宋体"/>
                <w:vanish/>
              </w:rPr>
            </w:pPr>
          </w:p>
        </w:tc>
        <w:tc>
          <w:tcPr>
            <w:tcW w:w="0" w:type="auto"/>
            <w:gridSpan w:val="3"/>
            <w:shd w:val="clear" w:color="auto" w:fill="auto"/>
            <w:vAlign w:val="bottom"/>
          </w:tcPr>
          <w:p w14:paraId="098A8792" w14:textId="77777777" w:rsidR="00141CDF" w:rsidRDefault="00141CDF">
            <w:pPr>
              <w:rPr>
                <w:rFonts w:ascii="宋体"/>
                <w:vanish/>
              </w:rPr>
            </w:pPr>
          </w:p>
        </w:tc>
        <w:tc>
          <w:tcPr>
            <w:tcW w:w="0" w:type="auto"/>
            <w:gridSpan w:val="3"/>
            <w:shd w:val="clear" w:color="auto" w:fill="auto"/>
            <w:vAlign w:val="bottom"/>
          </w:tcPr>
          <w:p w14:paraId="098A8793" w14:textId="77777777" w:rsidR="00141CDF" w:rsidRDefault="00141CDF">
            <w:pPr>
              <w:rPr>
                <w:rFonts w:ascii="宋体"/>
                <w:vanish/>
              </w:rPr>
            </w:pPr>
          </w:p>
        </w:tc>
        <w:tc>
          <w:tcPr>
            <w:tcW w:w="0" w:type="auto"/>
            <w:gridSpan w:val="3"/>
            <w:shd w:val="clear" w:color="auto" w:fill="auto"/>
            <w:vAlign w:val="bottom"/>
          </w:tcPr>
          <w:p w14:paraId="098A8794" w14:textId="77777777" w:rsidR="00141CDF" w:rsidRDefault="00141CDF">
            <w:pPr>
              <w:rPr>
                <w:rFonts w:ascii="宋体"/>
                <w:vanish/>
              </w:rPr>
            </w:pPr>
          </w:p>
        </w:tc>
        <w:tc>
          <w:tcPr>
            <w:tcW w:w="0" w:type="auto"/>
            <w:gridSpan w:val="3"/>
            <w:shd w:val="clear" w:color="auto" w:fill="auto"/>
            <w:vAlign w:val="bottom"/>
          </w:tcPr>
          <w:p w14:paraId="098A8795" w14:textId="77777777" w:rsidR="00141CDF" w:rsidRDefault="00141CDF">
            <w:pPr>
              <w:rPr>
                <w:rFonts w:ascii="宋体"/>
                <w:vanish/>
              </w:rPr>
            </w:pPr>
          </w:p>
        </w:tc>
        <w:tc>
          <w:tcPr>
            <w:tcW w:w="0" w:type="auto"/>
            <w:gridSpan w:val="3"/>
            <w:shd w:val="clear" w:color="auto" w:fill="auto"/>
            <w:vAlign w:val="bottom"/>
          </w:tcPr>
          <w:p w14:paraId="098A8796" w14:textId="77777777" w:rsidR="00141CDF" w:rsidRDefault="00141CDF">
            <w:pPr>
              <w:rPr>
                <w:rFonts w:ascii="宋体"/>
                <w:vanish/>
              </w:rPr>
            </w:pPr>
          </w:p>
        </w:tc>
        <w:tc>
          <w:tcPr>
            <w:tcW w:w="0" w:type="auto"/>
            <w:gridSpan w:val="3"/>
            <w:shd w:val="clear" w:color="auto" w:fill="auto"/>
            <w:vAlign w:val="bottom"/>
          </w:tcPr>
          <w:p w14:paraId="098A8797" w14:textId="77777777" w:rsidR="00141CDF" w:rsidRDefault="00141CDF">
            <w:pPr>
              <w:rPr>
                <w:rFonts w:ascii="宋体"/>
                <w:vanish/>
              </w:rPr>
            </w:pPr>
          </w:p>
        </w:tc>
        <w:tc>
          <w:tcPr>
            <w:tcW w:w="0" w:type="auto"/>
            <w:gridSpan w:val="3"/>
            <w:shd w:val="clear" w:color="auto" w:fill="auto"/>
            <w:vAlign w:val="bottom"/>
          </w:tcPr>
          <w:p w14:paraId="098A8798" w14:textId="77777777" w:rsidR="00141CDF" w:rsidRDefault="00141CDF">
            <w:pPr>
              <w:rPr>
                <w:rFonts w:ascii="宋体"/>
                <w:vanish/>
              </w:rPr>
            </w:pPr>
          </w:p>
        </w:tc>
        <w:tc>
          <w:tcPr>
            <w:tcW w:w="0" w:type="auto"/>
            <w:gridSpan w:val="3"/>
            <w:shd w:val="clear" w:color="auto" w:fill="auto"/>
            <w:vAlign w:val="bottom"/>
          </w:tcPr>
          <w:p w14:paraId="098A8799" w14:textId="77777777" w:rsidR="00141CDF" w:rsidRDefault="00141CDF">
            <w:pPr>
              <w:rPr>
                <w:rFonts w:ascii="宋体"/>
                <w:vanish/>
              </w:rPr>
            </w:pPr>
          </w:p>
        </w:tc>
      </w:tr>
      <w:tr w:rsidR="00141CDF" w14:paraId="098A87A4" w14:textId="77777777">
        <w:trPr>
          <w:jc w:val="center"/>
          <w:hidden/>
        </w:trPr>
        <w:tc>
          <w:tcPr>
            <w:tcW w:w="0" w:type="auto"/>
            <w:gridSpan w:val="3"/>
            <w:shd w:val="clear" w:color="auto" w:fill="auto"/>
            <w:vAlign w:val="bottom"/>
          </w:tcPr>
          <w:p w14:paraId="098A879B" w14:textId="77777777" w:rsidR="00141CDF" w:rsidRDefault="00141CDF">
            <w:pPr>
              <w:rPr>
                <w:rFonts w:ascii="宋体"/>
                <w:vanish/>
              </w:rPr>
            </w:pPr>
          </w:p>
        </w:tc>
        <w:tc>
          <w:tcPr>
            <w:tcW w:w="0" w:type="auto"/>
            <w:gridSpan w:val="3"/>
            <w:shd w:val="clear" w:color="auto" w:fill="auto"/>
            <w:vAlign w:val="bottom"/>
          </w:tcPr>
          <w:p w14:paraId="098A879C" w14:textId="77777777" w:rsidR="00141CDF" w:rsidRDefault="00141CDF">
            <w:pPr>
              <w:rPr>
                <w:rFonts w:ascii="宋体"/>
                <w:vanish/>
              </w:rPr>
            </w:pPr>
          </w:p>
        </w:tc>
        <w:tc>
          <w:tcPr>
            <w:tcW w:w="0" w:type="auto"/>
            <w:gridSpan w:val="3"/>
            <w:shd w:val="clear" w:color="auto" w:fill="auto"/>
            <w:vAlign w:val="bottom"/>
          </w:tcPr>
          <w:p w14:paraId="098A879D" w14:textId="77777777" w:rsidR="00141CDF" w:rsidRDefault="00141CDF">
            <w:pPr>
              <w:rPr>
                <w:rFonts w:ascii="宋体"/>
                <w:vanish/>
              </w:rPr>
            </w:pPr>
          </w:p>
        </w:tc>
        <w:tc>
          <w:tcPr>
            <w:tcW w:w="0" w:type="auto"/>
            <w:gridSpan w:val="3"/>
            <w:shd w:val="clear" w:color="auto" w:fill="auto"/>
            <w:vAlign w:val="bottom"/>
          </w:tcPr>
          <w:p w14:paraId="098A879E" w14:textId="77777777" w:rsidR="00141CDF" w:rsidRDefault="00141CDF">
            <w:pPr>
              <w:rPr>
                <w:rFonts w:ascii="宋体"/>
                <w:vanish/>
              </w:rPr>
            </w:pPr>
          </w:p>
        </w:tc>
        <w:tc>
          <w:tcPr>
            <w:tcW w:w="0" w:type="auto"/>
            <w:gridSpan w:val="3"/>
            <w:shd w:val="clear" w:color="auto" w:fill="auto"/>
            <w:vAlign w:val="bottom"/>
          </w:tcPr>
          <w:p w14:paraId="098A879F" w14:textId="77777777" w:rsidR="00141CDF" w:rsidRDefault="00141CDF">
            <w:pPr>
              <w:rPr>
                <w:rFonts w:ascii="宋体"/>
                <w:vanish/>
              </w:rPr>
            </w:pPr>
          </w:p>
        </w:tc>
        <w:tc>
          <w:tcPr>
            <w:tcW w:w="0" w:type="auto"/>
            <w:gridSpan w:val="3"/>
            <w:shd w:val="clear" w:color="auto" w:fill="auto"/>
            <w:vAlign w:val="bottom"/>
          </w:tcPr>
          <w:p w14:paraId="098A87A0" w14:textId="77777777" w:rsidR="00141CDF" w:rsidRDefault="00141CDF">
            <w:pPr>
              <w:rPr>
                <w:rFonts w:ascii="宋体"/>
                <w:vanish/>
              </w:rPr>
            </w:pPr>
          </w:p>
        </w:tc>
        <w:tc>
          <w:tcPr>
            <w:tcW w:w="0" w:type="auto"/>
            <w:gridSpan w:val="3"/>
            <w:shd w:val="clear" w:color="auto" w:fill="auto"/>
            <w:vAlign w:val="bottom"/>
          </w:tcPr>
          <w:p w14:paraId="098A87A1" w14:textId="77777777" w:rsidR="00141CDF" w:rsidRDefault="00141CDF">
            <w:pPr>
              <w:rPr>
                <w:rFonts w:ascii="宋体"/>
                <w:vanish/>
              </w:rPr>
            </w:pPr>
          </w:p>
        </w:tc>
        <w:tc>
          <w:tcPr>
            <w:tcW w:w="0" w:type="auto"/>
            <w:gridSpan w:val="3"/>
            <w:shd w:val="clear" w:color="auto" w:fill="auto"/>
            <w:vAlign w:val="bottom"/>
          </w:tcPr>
          <w:p w14:paraId="098A87A2" w14:textId="77777777" w:rsidR="00141CDF" w:rsidRDefault="00141CDF">
            <w:pPr>
              <w:rPr>
                <w:rFonts w:ascii="宋体"/>
                <w:vanish/>
              </w:rPr>
            </w:pPr>
          </w:p>
        </w:tc>
        <w:tc>
          <w:tcPr>
            <w:tcW w:w="0" w:type="auto"/>
            <w:gridSpan w:val="3"/>
            <w:shd w:val="clear" w:color="auto" w:fill="auto"/>
            <w:vAlign w:val="bottom"/>
          </w:tcPr>
          <w:p w14:paraId="098A87A3" w14:textId="77777777" w:rsidR="00141CDF" w:rsidRDefault="00141CDF">
            <w:pPr>
              <w:rPr>
                <w:rFonts w:ascii="宋体"/>
                <w:vanish/>
              </w:rPr>
            </w:pPr>
          </w:p>
        </w:tc>
      </w:tr>
      <w:tr w:rsidR="00141CDF" w14:paraId="098A87AE" w14:textId="77777777">
        <w:trPr>
          <w:jc w:val="center"/>
          <w:hidden/>
        </w:trPr>
        <w:tc>
          <w:tcPr>
            <w:tcW w:w="0" w:type="auto"/>
            <w:gridSpan w:val="3"/>
            <w:shd w:val="clear" w:color="auto" w:fill="auto"/>
            <w:vAlign w:val="bottom"/>
          </w:tcPr>
          <w:p w14:paraId="098A87A5" w14:textId="77777777" w:rsidR="00141CDF" w:rsidRDefault="00141CDF">
            <w:pPr>
              <w:rPr>
                <w:rFonts w:ascii="宋体"/>
                <w:vanish/>
              </w:rPr>
            </w:pPr>
          </w:p>
        </w:tc>
        <w:tc>
          <w:tcPr>
            <w:tcW w:w="0" w:type="auto"/>
            <w:gridSpan w:val="3"/>
            <w:shd w:val="clear" w:color="auto" w:fill="auto"/>
            <w:vAlign w:val="bottom"/>
          </w:tcPr>
          <w:p w14:paraId="098A87A6" w14:textId="77777777" w:rsidR="00141CDF" w:rsidRDefault="00141CDF">
            <w:pPr>
              <w:rPr>
                <w:rFonts w:ascii="宋体"/>
                <w:vanish/>
              </w:rPr>
            </w:pPr>
          </w:p>
        </w:tc>
        <w:tc>
          <w:tcPr>
            <w:tcW w:w="0" w:type="auto"/>
            <w:gridSpan w:val="3"/>
            <w:shd w:val="clear" w:color="auto" w:fill="auto"/>
            <w:vAlign w:val="bottom"/>
          </w:tcPr>
          <w:p w14:paraId="098A87A7" w14:textId="77777777" w:rsidR="00141CDF" w:rsidRDefault="00141CDF">
            <w:pPr>
              <w:rPr>
                <w:rFonts w:ascii="宋体"/>
                <w:vanish/>
              </w:rPr>
            </w:pPr>
          </w:p>
        </w:tc>
        <w:tc>
          <w:tcPr>
            <w:tcW w:w="0" w:type="auto"/>
            <w:gridSpan w:val="3"/>
            <w:shd w:val="clear" w:color="auto" w:fill="auto"/>
            <w:vAlign w:val="bottom"/>
          </w:tcPr>
          <w:p w14:paraId="098A87A8" w14:textId="77777777" w:rsidR="00141CDF" w:rsidRDefault="00141CDF">
            <w:pPr>
              <w:rPr>
                <w:rFonts w:ascii="宋体"/>
                <w:vanish/>
              </w:rPr>
            </w:pPr>
          </w:p>
        </w:tc>
        <w:tc>
          <w:tcPr>
            <w:tcW w:w="0" w:type="auto"/>
            <w:gridSpan w:val="3"/>
            <w:shd w:val="clear" w:color="auto" w:fill="auto"/>
            <w:vAlign w:val="bottom"/>
          </w:tcPr>
          <w:p w14:paraId="098A87A9" w14:textId="77777777" w:rsidR="00141CDF" w:rsidRDefault="00141CDF">
            <w:pPr>
              <w:rPr>
                <w:rFonts w:ascii="宋体"/>
                <w:vanish/>
              </w:rPr>
            </w:pPr>
          </w:p>
        </w:tc>
        <w:tc>
          <w:tcPr>
            <w:tcW w:w="0" w:type="auto"/>
            <w:gridSpan w:val="3"/>
            <w:shd w:val="clear" w:color="auto" w:fill="auto"/>
            <w:vAlign w:val="bottom"/>
          </w:tcPr>
          <w:p w14:paraId="098A87AA" w14:textId="77777777" w:rsidR="00141CDF" w:rsidRDefault="00141CDF">
            <w:pPr>
              <w:rPr>
                <w:rFonts w:ascii="宋体"/>
                <w:vanish/>
              </w:rPr>
            </w:pPr>
          </w:p>
        </w:tc>
        <w:tc>
          <w:tcPr>
            <w:tcW w:w="0" w:type="auto"/>
            <w:gridSpan w:val="3"/>
            <w:shd w:val="clear" w:color="auto" w:fill="auto"/>
            <w:vAlign w:val="bottom"/>
          </w:tcPr>
          <w:p w14:paraId="098A87AB" w14:textId="77777777" w:rsidR="00141CDF" w:rsidRDefault="00141CDF">
            <w:pPr>
              <w:rPr>
                <w:rFonts w:ascii="宋体"/>
                <w:vanish/>
              </w:rPr>
            </w:pPr>
          </w:p>
        </w:tc>
        <w:tc>
          <w:tcPr>
            <w:tcW w:w="0" w:type="auto"/>
            <w:gridSpan w:val="3"/>
            <w:shd w:val="clear" w:color="auto" w:fill="auto"/>
            <w:vAlign w:val="bottom"/>
          </w:tcPr>
          <w:p w14:paraId="098A87AC" w14:textId="77777777" w:rsidR="00141CDF" w:rsidRDefault="00141CDF">
            <w:pPr>
              <w:rPr>
                <w:rFonts w:ascii="宋体"/>
                <w:vanish/>
              </w:rPr>
            </w:pPr>
          </w:p>
        </w:tc>
        <w:tc>
          <w:tcPr>
            <w:tcW w:w="0" w:type="auto"/>
            <w:gridSpan w:val="3"/>
            <w:shd w:val="clear" w:color="auto" w:fill="auto"/>
            <w:vAlign w:val="bottom"/>
          </w:tcPr>
          <w:p w14:paraId="098A87AD" w14:textId="77777777" w:rsidR="00141CDF" w:rsidRDefault="00141CDF">
            <w:pPr>
              <w:rPr>
                <w:rFonts w:ascii="宋体"/>
                <w:vanish/>
              </w:rPr>
            </w:pPr>
          </w:p>
        </w:tc>
      </w:tr>
      <w:tr w:rsidR="00141CDF" w14:paraId="098A87BC" w14:textId="77777777">
        <w:trPr>
          <w:jc w:val="center"/>
        </w:trPr>
        <w:tc>
          <w:tcPr>
            <w:tcW w:w="0" w:type="auto"/>
            <w:gridSpan w:val="3"/>
            <w:shd w:val="clear" w:color="auto" w:fill="FFFFFF"/>
            <w:tcMar>
              <w:top w:w="40" w:type="dxa"/>
              <w:left w:w="380" w:type="dxa"/>
              <w:bottom w:w="40" w:type="dxa"/>
              <w:right w:w="20" w:type="dxa"/>
            </w:tcMar>
            <w:vAlign w:val="center"/>
          </w:tcPr>
          <w:p w14:paraId="098A87AF" w14:textId="77777777" w:rsidR="00141CDF" w:rsidRDefault="00DF45E0">
            <w:pPr>
              <w:textAlignment w:val="center"/>
            </w:pPr>
            <w:r>
              <w:rPr>
                <w:rFonts w:ascii="Times New Roman" w:eastAsia="宋体" w:hAnsi="Times New Roman"/>
                <w:color w:val="000000"/>
                <w:sz w:val="16"/>
                <w:szCs w:val="16"/>
              </w:rPr>
              <w:t>Diluted net income per common share attributable to Walmart</w:t>
            </w:r>
          </w:p>
        </w:tc>
        <w:tc>
          <w:tcPr>
            <w:tcW w:w="0" w:type="auto"/>
            <w:gridSpan w:val="3"/>
            <w:shd w:val="clear" w:color="auto" w:fill="FFFFFF"/>
            <w:tcMar>
              <w:top w:w="0" w:type="dxa"/>
              <w:left w:w="20" w:type="dxa"/>
              <w:bottom w:w="0" w:type="dxa"/>
              <w:right w:w="20" w:type="dxa"/>
            </w:tcMar>
            <w:vAlign w:val="bottom"/>
          </w:tcPr>
          <w:p w14:paraId="098A87B0"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7B1" w14:textId="77777777" w:rsidR="00141CDF" w:rsidRDefault="00DF45E0">
            <w:pPr>
              <w:jc w:val="right"/>
              <w:textAlignment w:val="center"/>
            </w:pPr>
            <w:r>
              <w:rPr>
                <w:rFonts w:ascii="Times New Roman" w:eastAsia="宋体" w:hAnsi="Times New Roman"/>
                <w:color w:val="000000"/>
                <w:sz w:val="16"/>
                <w:szCs w:val="16"/>
              </w:rPr>
              <w:t>1.88 </w:t>
            </w:r>
          </w:p>
        </w:tc>
        <w:tc>
          <w:tcPr>
            <w:tcW w:w="0" w:type="auto"/>
            <w:shd w:val="clear" w:color="auto" w:fill="FFFFFF"/>
            <w:tcMar>
              <w:top w:w="40" w:type="dxa"/>
              <w:left w:w="0" w:type="dxa"/>
              <w:bottom w:w="40" w:type="dxa"/>
              <w:right w:w="20" w:type="dxa"/>
            </w:tcMar>
            <w:vAlign w:val="center"/>
          </w:tcPr>
          <w:p w14:paraId="098A87B2"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7B3"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7B4" w14:textId="77777777" w:rsidR="00141CDF" w:rsidRDefault="00DF45E0">
            <w:pPr>
              <w:jc w:val="right"/>
              <w:textAlignment w:val="center"/>
            </w:pPr>
            <w:r>
              <w:rPr>
                <w:rFonts w:ascii="Times New Roman" w:eastAsia="宋体" w:hAnsi="Times New Roman"/>
                <w:color w:val="000000"/>
                <w:sz w:val="16"/>
                <w:szCs w:val="16"/>
              </w:rPr>
              <w:t>1.52 </w:t>
            </w:r>
          </w:p>
        </w:tc>
        <w:tc>
          <w:tcPr>
            <w:tcW w:w="0" w:type="auto"/>
            <w:shd w:val="clear" w:color="auto" w:fill="FFFFFF"/>
            <w:tcMar>
              <w:top w:w="40" w:type="dxa"/>
              <w:left w:w="0" w:type="dxa"/>
              <w:bottom w:w="40" w:type="dxa"/>
              <w:right w:w="20" w:type="dxa"/>
            </w:tcMar>
            <w:vAlign w:val="center"/>
          </w:tcPr>
          <w:p w14:paraId="098A87B5"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7B6"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7B7" w14:textId="77777777" w:rsidR="00141CDF" w:rsidRDefault="00DF45E0">
            <w:pPr>
              <w:jc w:val="right"/>
              <w:textAlignment w:val="center"/>
            </w:pPr>
            <w:r>
              <w:rPr>
                <w:rFonts w:ascii="Times New Roman" w:eastAsia="宋体" w:hAnsi="Times New Roman"/>
                <w:color w:val="000000"/>
                <w:sz w:val="16"/>
                <w:szCs w:val="16"/>
              </w:rPr>
              <w:t>2.61 </w:t>
            </w:r>
          </w:p>
        </w:tc>
        <w:tc>
          <w:tcPr>
            <w:tcW w:w="0" w:type="auto"/>
            <w:shd w:val="clear" w:color="auto" w:fill="FFFFFF"/>
            <w:tcMar>
              <w:top w:w="40" w:type="dxa"/>
              <w:left w:w="0" w:type="dxa"/>
              <w:bottom w:w="40" w:type="dxa"/>
              <w:right w:w="20" w:type="dxa"/>
            </w:tcMar>
            <w:vAlign w:val="center"/>
          </w:tcPr>
          <w:p w14:paraId="098A87B8"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7B9"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7BA" w14:textId="77777777" w:rsidR="00141CDF" w:rsidRDefault="00DF45E0">
            <w:pPr>
              <w:jc w:val="right"/>
              <w:textAlignment w:val="center"/>
            </w:pPr>
            <w:r>
              <w:rPr>
                <w:rFonts w:ascii="Times New Roman" w:eastAsia="宋体" w:hAnsi="Times New Roman"/>
                <w:color w:val="000000"/>
                <w:sz w:val="16"/>
                <w:szCs w:val="16"/>
              </w:rPr>
              <w:t>2.48 </w:t>
            </w:r>
          </w:p>
        </w:tc>
        <w:tc>
          <w:tcPr>
            <w:tcW w:w="0" w:type="auto"/>
            <w:shd w:val="clear" w:color="auto" w:fill="FFFFFF"/>
            <w:tcMar>
              <w:top w:w="40" w:type="dxa"/>
              <w:left w:w="0" w:type="dxa"/>
              <w:bottom w:w="40" w:type="dxa"/>
              <w:right w:w="20" w:type="dxa"/>
            </w:tcMar>
            <w:vAlign w:val="center"/>
          </w:tcPr>
          <w:p w14:paraId="098A87BB" w14:textId="77777777" w:rsidR="00141CDF" w:rsidRDefault="00141CDF">
            <w:pPr>
              <w:jc w:val="right"/>
              <w:rPr>
                <w:rFonts w:ascii="宋体"/>
              </w:rPr>
            </w:pPr>
          </w:p>
        </w:tc>
      </w:tr>
      <w:tr w:rsidR="00141CDF" w14:paraId="098A87C6" w14:textId="77777777">
        <w:trPr>
          <w:trHeight w:val="220"/>
          <w:jc w:val="center"/>
        </w:trPr>
        <w:tc>
          <w:tcPr>
            <w:tcW w:w="0" w:type="auto"/>
            <w:gridSpan w:val="3"/>
            <w:shd w:val="clear" w:color="auto" w:fill="CCEEFF"/>
            <w:tcMar>
              <w:top w:w="0" w:type="dxa"/>
              <w:left w:w="20" w:type="dxa"/>
              <w:bottom w:w="0" w:type="dxa"/>
              <w:right w:w="20" w:type="dxa"/>
            </w:tcMar>
            <w:vAlign w:val="bottom"/>
          </w:tcPr>
          <w:p w14:paraId="098A87BD"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7BE"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7BF"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7C0"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7C1"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7C2"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7C3"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7C4"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7C5" w14:textId="77777777" w:rsidR="00141CDF" w:rsidRDefault="00141CDF">
            <w:pPr>
              <w:rPr>
                <w:rFonts w:ascii="宋体"/>
              </w:rPr>
            </w:pPr>
          </w:p>
        </w:tc>
      </w:tr>
      <w:tr w:rsidR="00141CDF" w14:paraId="098A87D0" w14:textId="77777777">
        <w:trPr>
          <w:jc w:val="center"/>
        </w:trPr>
        <w:tc>
          <w:tcPr>
            <w:tcW w:w="0" w:type="auto"/>
            <w:gridSpan w:val="3"/>
            <w:shd w:val="clear" w:color="auto" w:fill="FFFFFF"/>
            <w:tcMar>
              <w:top w:w="40" w:type="dxa"/>
              <w:left w:w="20" w:type="dxa"/>
              <w:bottom w:w="40" w:type="dxa"/>
              <w:right w:w="20" w:type="dxa"/>
            </w:tcMar>
            <w:vAlign w:val="center"/>
          </w:tcPr>
          <w:p w14:paraId="098A87C7" w14:textId="77777777" w:rsidR="00141CDF" w:rsidRDefault="00DF45E0">
            <w:pPr>
              <w:textAlignment w:val="center"/>
            </w:pPr>
            <w:r>
              <w:rPr>
                <w:rFonts w:ascii="Times New Roman" w:eastAsia="宋体" w:hAnsi="Times New Roman"/>
                <w:b/>
                <w:bCs/>
                <w:color w:val="000000"/>
                <w:sz w:val="16"/>
                <w:szCs w:val="16"/>
              </w:rPr>
              <w:t>Weighted-average common shares outstanding:</w:t>
            </w:r>
          </w:p>
        </w:tc>
        <w:tc>
          <w:tcPr>
            <w:tcW w:w="0" w:type="auto"/>
            <w:gridSpan w:val="3"/>
            <w:shd w:val="clear" w:color="auto" w:fill="FFFFFF"/>
            <w:tcMar>
              <w:top w:w="0" w:type="dxa"/>
              <w:left w:w="20" w:type="dxa"/>
              <w:bottom w:w="0" w:type="dxa"/>
              <w:right w:w="20" w:type="dxa"/>
            </w:tcMar>
            <w:vAlign w:val="bottom"/>
          </w:tcPr>
          <w:p w14:paraId="098A87C8"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7C9"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7CA"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7CB"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7CC"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7CD"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7CE"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7CF" w14:textId="77777777" w:rsidR="00141CDF" w:rsidRDefault="00141CDF">
            <w:pPr>
              <w:rPr>
                <w:rFonts w:ascii="宋体"/>
              </w:rPr>
            </w:pPr>
          </w:p>
        </w:tc>
      </w:tr>
      <w:tr w:rsidR="00141CDF" w14:paraId="098A87DE" w14:textId="77777777">
        <w:trPr>
          <w:jc w:val="center"/>
        </w:trPr>
        <w:tc>
          <w:tcPr>
            <w:tcW w:w="0" w:type="auto"/>
            <w:gridSpan w:val="3"/>
            <w:shd w:val="clear" w:color="auto" w:fill="CCEEFF"/>
            <w:tcMar>
              <w:top w:w="40" w:type="dxa"/>
              <w:left w:w="380" w:type="dxa"/>
              <w:bottom w:w="40" w:type="dxa"/>
              <w:right w:w="20" w:type="dxa"/>
            </w:tcMar>
            <w:vAlign w:val="center"/>
          </w:tcPr>
          <w:p w14:paraId="098A87D1" w14:textId="77777777" w:rsidR="00141CDF" w:rsidRDefault="00DF45E0">
            <w:pPr>
              <w:textAlignment w:val="center"/>
            </w:pPr>
            <w:r>
              <w:rPr>
                <w:rFonts w:ascii="Times New Roman" w:eastAsia="宋体" w:hAnsi="Times New Roman"/>
                <w:color w:val="000000"/>
                <w:sz w:val="16"/>
                <w:szCs w:val="16"/>
              </w:rPr>
              <w:t>Basic</w:t>
            </w:r>
          </w:p>
        </w:tc>
        <w:tc>
          <w:tcPr>
            <w:tcW w:w="0" w:type="auto"/>
            <w:gridSpan w:val="3"/>
            <w:shd w:val="clear" w:color="auto" w:fill="CCEEFF"/>
            <w:tcMar>
              <w:top w:w="0" w:type="dxa"/>
              <w:left w:w="20" w:type="dxa"/>
              <w:bottom w:w="0" w:type="dxa"/>
              <w:right w:w="20" w:type="dxa"/>
            </w:tcMar>
            <w:vAlign w:val="bottom"/>
          </w:tcPr>
          <w:p w14:paraId="098A87D2"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7D3" w14:textId="77777777" w:rsidR="00141CDF" w:rsidRDefault="00DF45E0">
            <w:pPr>
              <w:jc w:val="right"/>
              <w:textAlignment w:val="center"/>
            </w:pPr>
            <w:r>
              <w:rPr>
                <w:rFonts w:ascii="Times New Roman" w:eastAsia="宋体" w:hAnsi="Times New Roman"/>
                <w:color w:val="000000"/>
                <w:sz w:val="16"/>
                <w:szCs w:val="16"/>
              </w:rPr>
              <w:t>2,736 </w:t>
            </w:r>
          </w:p>
        </w:tc>
        <w:tc>
          <w:tcPr>
            <w:tcW w:w="0" w:type="auto"/>
            <w:shd w:val="clear" w:color="auto" w:fill="CCEEFF"/>
            <w:tcMar>
              <w:top w:w="40" w:type="dxa"/>
              <w:left w:w="0" w:type="dxa"/>
              <w:bottom w:w="40" w:type="dxa"/>
              <w:right w:w="20" w:type="dxa"/>
            </w:tcMar>
            <w:vAlign w:val="center"/>
          </w:tcPr>
          <w:p w14:paraId="098A87D4"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7D5"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7D6" w14:textId="77777777" w:rsidR="00141CDF" w:rsidRDefault="00DF45E0">
            <w:pPr>
              <w:jc w:val="right"/>
              <w:textAlignment w:val="center"/>
            </w:pPr>
            <w:r>
              <w:rPr>
                <w:rFonts w:ascii="Times New Roman" w:eastAsia="宋体" w:hAnsi="Times New Roman"/>
                <w:color w:val="000000"/>
                <w:sz w:val="16"/>
                <w:szCs w:val="16"/>
              </w:rPr>
              <w:t>2,799 </w:t>
            </w:r>
          </w:p>
        </w:tc>
        <w:tc>
          <w:tcPr>
            <w:tcW w:w="0" w:type="auto"/>
            <w:shd w:val="clear" w:color="auto" w:fill="CCEEFF"/>
            <w:tcMar>
              <w:top w:w="40" w:type="dxa"/>
              <w:left w:w="0" w:type="dxa"/>
              <w:bottom w:w="40" w:type="dxa"/>
              <w:right w:w="20" w:type="dxa"/>
            </w:tcMar>
            <w:vAlign w:val="center"/>
          </w:tcPr>
          <w:p w14:paraId="098A87D7"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7D8"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7D9" w14:textId="77777777" w:rsidR="00141CDF" w:rsidRDefault="00DF45E0">
            <w:pPr>
              <w:jc w:val="right"/>
              <w:textAlignment w:val="center"/>
            </w:pPr>
            <w:r>
              <w:rPr>
                <w:rFonts w:ascii="Times New Roman" w:eastAsia="宋体" w:hAnsi="Times New Roman"/>
                <w:color w:val="000000"/>
                <w:sz w:val="16"/>
                <w:szCs w:val="16"/>
              </w:rPr>
              <w:t>2,745 </w:t>
            </w:r>
          </w:p>
        </w:tc>
        <w:tc>
          <w:tcPr>
            <w:tcW w:w="0" w:type="auto"/>
            <w:shd w:val="clear" w:color="auto" w:fill="CCEEFF"/>
            <w:tcMar>
              <w:top w:w="40" w:type="dxa"/>
              <w:left w:w="0" w:type="dxa"/>
              <w:bottom w:w="40" w:type="dxa"/>
              <w:right w:w="20" w:type="dxa"/>
            </w:tcMar>
            <w:vAlign w:val="center"/>
          </w:tcPr>
          <w:p w14:paraId="098A87DA"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7DB"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7DC" w14:textId="77777777" w:rsidR="00141CDF" w:rsidRDefault="00DF45E0">
            <w:pPr>
              <w:jc w:val="right"/>
              <w:textAlignment w:val="center"/>
            </w:pPr>
            <w:r>
              <w:rPr>
                <w:rFonts w:ascii="Times New Roman" w:eastAsia="宋体" w:hAnsi="Times New Roman"/>
                <w:color w:val="000000"/>
                <w:sz w:val="16"/>
                <w:szCs w:val="16"/>
              </w:rPr>
              <w:t>2,807 </w:t>
            </w:r>
          </w:p>
        </w:tc>
        <w:tc>
          <w:tcPr>
            <w:tcW w:w="0" w:type="auto"/>
            <w:shd w:val="clear" w:color="auto" w:fill="CCEEFF"/>
            <w:tcMar>
              <w:top w:w="40" w:type="dxa"/>
              <w:left w:w="0" w:type="dxa"/>
              <w:bottom w:w="40" w:type="dxa"/>
              <w:right w:w="20" w:type="dxa"/>
            </w:tcMar>
            <w:vAlign w:val="center"/>
          </w:tcPr>
          <w:p w14:paraId="098A87DD" w14:textId="77777777" w:rsidR="00141CDF" w:rsidRDefault="00141CDF">
            <w:pPr>
              <w:jc w:val="right"/>
              <w:rPr>
                <w:rFonts w:ascii="宋体"/>
              </w:rPr>
            </w:pPr>
          </w:p>
        </w:tc>
      </w:tr>
      <w:tr w:rsidR="00141CDF" w14:paraId="098A87EC" w14:textId="77777777">
        <w:trPr>
          <w:jc w:val="center"/>
        </w:trPr>
        <w:tc>
          <w:tcPr>
            <w:tcW w:w="0" w:type="auto"/>
            <w:gridSpan w:val="3"/>
            <w:shd w:val="clear" w:color="auto" w:fill="FFFFFF"/>
            <w:tcMar>
              <w:top w:w="40" w:type="dxa"/>
              <w:left w:w="380" w:type="dxa"/>
              <w:bottom w:w="40" w:type="dxa"/>
              <w:right w:w="20" w:type="dxa"/>
            </w:tcMar>
            <w:vAlign w:val="center"/>
          </w:tcPr>
          <w:p w14:paraId="098A87DF" w14:textId="77777777" w:rsidR="00141CDF" w:rsidRDefault="00DF45E0">
            <w:pPr>
              <w:textAlignment w:val="center"/>
            </w:pPr>
            <w:r>
              <w:rPr>
                <w:rFonts w:ascii="Times New Roman" w:eastAsia="宋体" w:hAnsi="Times New Roman"/>
                <w:color w:val="000000"/>
                <w:sz w:val="16"/>
                <w:szCs w:val="16"/>
              </w:rPr>
              <w:t>Diluted</w:t>
            </w:r>
          </w:p>
        </w:tc>
        <w:tc>
          <w:tcPr>
            <w:tcW w:w="0" w:type="auto"/>
            <w:gridSpan w:val="3"/>
            <w:shd w:val="clear" w:color="auto" w:fill="FFFFFF"/>
            <w:tcMar>
              <w:top w:w="0" w:type="dxa"/>
              <w:left w:w="20" w:type="dxa"/>
              <w:bottom w:w="0" w:type="dxa"/>
              <w:right w:w="20" w:type="dxa"/>
            </w:tcMar>
            <w:vAlign w:val="bottom"/>
          </w:tcPr>
          <w:p w14:paraId="098A87E0"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7E1" w14:textId="77777777" w:rsidR="00141CDF" w:rsidRDefault="00DF45E0">
            <w:pPr>
              <w:jc w:val="right"/>
              <w:textAlignment w:val="center"/>
            </w:pPr>
            <w:r>
              <w:rPr>
                <w:rFonts w:ascii="Times New Roman" w:eastAsia="宋体" w:hAnsi="Times New Roman"/>
                <w:color w:val="000000"/>
                <w:sz w:val="16"/>
                <w:szCs w:val="16"/>
              </w:rPr>
              <w:t>2,745 </w:t>
            </w:r>
          </w:p>
        </w:tc>
        <w:tc>
          <w:tcPr>
            <w:tcW w:w="0" w:type="auto"/>
            <w:shd w:val="clear" w:color="auto" w:fill="FFFFFF"/>
            <w:tcMar>
              <w:top w:w="40" w:type="dxa"/>
              <w:left w:w="0" w:type="dxa"/>
              <w:bottom w:w="40" w:type="dxa"/>
              <w:right w:w="20" w:type="dxa"/>
            </w:tcMar>
            <w:vAlign w:val="center"/>
          </w:tcPr>
          <w:p w14:paraId="098A87E2"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7E3"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7E4" w14:textId="77777777" w:rsidR="00141CDF" w:rsidRDefault="00DF45E0">
            <w:pPr>
              <w:jc w:val="right"/>
              <w:textAlignment w:val="center"/>
            </w:pPr>
            <w:r>
              <w:rPr>
                <w:rFonts w:ascii="Times New Roman" w:eastAsia="宋体" w:hAnsi="Times New Roman"/>
                <w:color w:val="000000"/>
                <w:sz w:val="16"/>
                <w:szCs w:val="16"/>
              </w:rPr>
              <w:t>2,812 </w:t>
            </w:r>
          </w:p>
        </w:tc>
        <w:tc>
          <w:tcPr>
            <w:tcW w:w="0" w:type="auto"/>
            <w:shd w:val="clear" w:color="auto" w:fill="FFFFFF"/>
            <w:tcMar>
              <w:top w:w="40" w:type="dxa"/>
              <w:left w:w="0" w:type="dxa"/>
              <w:bottom w:w="40" w:type="dxa"/>
              <w:right w:w="20" w:type="dxa"/>
            </w:tcMar>
            <w:vAlign w:val="center"/>
          </w:tcPr>
          <w:p w14:paraId="098A87E5"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7E6"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7E7" w14:textId="77777777" w:rsidR="00141CDF" w:rsidRDefault="00DF45E0">
            <w:pPr>
              <w:jc w:val="right"/>
              <w:textAlignment w:val="center"/>
            </w:pPr>
            <w:r>
              <w:rPr>
                <w:rFonts w:ascii="Times New Roman" w:eastAsia="宋体" w:hAnsi="Times New Roman"/>
                <w:color w:val="000000"/>
                <w:sz w:val="16"/>
                <w:szCs w:val="16"/>
              </w:rPr>
              <w:t>2,755 </w:t>
            </w:r>
          </w:p>
        </w:tc>
        <w:tc>
          <w:tcPr>
            <w:tcW w:w="0" w:type="auto"/>
            <w:shd w:val="clear" w:color="auto" w:fill="FFFFFF"/>
            <w:tcMar>
              <w:top w:w="40" w:type="dxa"/>
              <w:left w:w="0" w:type="dxa"/>
              <w:bottom w:w="40" w:type="dxa"/>
              <w:right w:w="20" w:type="dxa"/>
            </w:tcMar>
            <w:vAlign w:val="center"/>
          </w:tcPr>
          <w:p w14:paraId="098A87E8"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7E9"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7EA" w14:textId="77777777" w:rsidR="00141CDF" w:rsidRDefault="00DF45E0">
            <w:pPr>
              <w:jc w:val="right"/>
              <w:textAlignment w:val="center"/>
            </w:pPr>
            <w:r>
              <w:rPr>
                <w:rFonts w:ascii="Times New Roman" w:eastAsia="宋体" w:hAnsi="Times New Roman"/>
                <w:color w:val="000000"/>
                <w:sz w:val="16"/>
                <w:szCs w:val="16"/>
              </w:rPr>
              <w:t>2,820 </w:t>
            </w:r>
          </w:p>
        </w:tc>
        <w:tc>
          <w:tcPr>
            <w:tcW w:w="0" w:type="auto"/>
            <w:shd w:val="clear" w:color="auto" w:fill="FFFFFF"/>
            <w:tcMar>
              <w:top w:w="40" w:type="dxa"/>
              <w:left w:w="0" w:type="dxa"/>
              <w:bottom w:w="40" w:type="dxa"/>
              <w:right w:w="20" w:type="dxa"/>
            </w:tcMar>
            <w:vAlign w:val="center"/>
          </w:tcPr>
          <w:p w14:paraId="098A87EB" w14:textId="77777777" w:rsidR="00141CDF" w:rsidRDefault="00141CDF">
            <w:pPr>
              <w:jc w:val="right"/>
              <w:rPr>
                <w:rFonts w:ascii="宋体"/>
              </w:rPr>
            </w:pPr>
          </w:p>
        </w:tc>
      </w:tr>
      <w:tr w:rsidR="00141CDF" w14:paraId="098A87F6" w14:textId="77777777">
        <w:trPr>
          <w:trHeight w:val="220"/>
          <w:jc w:val="center"/>
        </w:trPr>
        <w:tc>
          <w:tcPr>
            <w:tcW w:w="0" w:type="auto"/>
            <w:gridSpan w:val="3"/>
            <w:shd w:val="clear" w:color="auto" w:fill="CCEEFF"/>
            <w:tcMar>
              <w:top w:w="0" w:type="dxa"/>
              <w:left w:w="20" w:type="dxa"/>
              <w:bottom w:w="0" w:type="dxa"/>
              <w:right w:w="20" w:type="dxa"/>
            </w:tcMar>
            <w:vAlign w:val="bottom"/>
          </w:tcPr>
          <w:p w14:paraId="098A87ED"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7EE"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7EF"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7F0"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7F1"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7F2"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7F3"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7F4"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7F5" w14:textId="77777777" w:rsidR="00141CDF" w:rsidRDefault="00141CDF">
            <w:pPr>
              <w:rPr>
                <w:rFonts w:ascii="宋体"/>
              </w:rPr>
            </w:pPr>
          </w:p>
        </w:tc>
      </w:tr>
      <w:tr w:rsidR="00141CDF" w14:paraId="098A8808" w14:textId="77777777">
        <w:trPr>
          <w:jc w:val="center"/>
        </w:trPr>
        <w:tc>
          <w:tcPr>
            <w:tcW w:w="0" w:type="auto"/>
            <w:gridSpan w:val="3"/>
            <w:shd w:val="clear" w:color="auto" w:fill="FFFFFF"/>
            <w:tcMar>
              <w:top w:w="40" w:type="dxa"/>
              <w:left w:w="20" w:type="dxa"/>
              <w:bottom w:w="40" w:type="dxa"/>
              <w:right w:w="20" w:type="dxa"/>
            </w:tcMar>
            <w:vAlign w:val="center"/>
          </w:tcPr>
          <w:p w14:paraId="098A87F7" w14:textId="77777777" w:rsidR="00141CDF" w:rsidRDefault="00DF45E0">
            <w:pPr>
              <w:textAlignment w:val="center"/>
            </w:pPr>
            <w:r>
              <w:rPr>
                <w:rFonts w:ascii="Times New Roman" w:eastAsia="宋体" w:hAnsi="Times New Roman"/>
                <w:b/>
                <w:bCs/>
                <w:color w:val="000000"/>
                <w:sz w:val="16"/>
                <w:szCs w:val="16"/>
              </w:rPr>
              <w:t>Dividends declared per common share</w:t>
            </w:r>
          </w:p>
        </w:tc>
        <w:tc>
          <w:tcPr>
            <w:tcW w:w="0" w:type="auto"/>
            <w:gridSpan w:val="3"/>
            <w:shd w:val="clear" w:color="auto" w:fill="FFFFFF"/>
            <w:tcMar>
              <w:top w:w="0" w:type="dxa"/>
              <w:left w:w="20" w:type="dxa"/>
              <w:bottom w:w="0" w:type="dxa"/>
              <w:right w:w="20" w:type="dxa"/>
            </w:tcMar>
            <w:vAlign w:val="bottom"/>
          </w:tcPr>
          <w:p w14:paraId="098A87F8" w14:textId="77777777" w:rsidR="00141CDF" w:rsidRDefault="00141CDF">
            <w:pPr>
              <w:rPr>
                <w:rFonts w:ascii="宋体"/>
              </w:rPr>
            </w:pPr>
          </w:p>
        </w:tc>
        <w:tc>
          <w:tcPr>
            <w:tcW w:w="0" w:type="auto"/>
            <w:shd w:val="clear" w:color="auto" w:fill="FFFFFF"/>
            <w:tcMar>
              <w:top w:w="40" w:type="dxa"/>
              <w:left w:w="20" w:type="dxa"/>
              <w:bottom w:w="40" w:type="dxa"/>
              <w:right w:w="0" w:type="dxa"/>
            </w:tcMar>
            <w:vAlign w:val="center"/>
          </w:tcPr>
          <w:p w14:paraId="098A87F9"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098A87FA"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87FB"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7FC" w14:textId="77777777" w:rsidR="00141CDF" w:rsidRDefault="00141CDF">
            <w:pPr>
              <w:rPr>
                <w:rFonts w:ascii="宋体"/>
              </w:rPr>
            </w:pPr>
          </w:p>
        </w:tc>
        <w:tc>
          <w:tcPr>
            <w:tcW w:w="0" w:type="auto"/>
            <w:shd w:val="clear" w:color="auto" w:fill="FFFFFF"/>
            <w:tcMar>
              <w:top w:w="40" w:type="dxa"/>
              <w:left w:w="20" w:type="dxa"/>
              <w:bottom w:w="40" w:type="dxa"/>
              <w:right w:w="0" w:type="dxa"/>
            </w:tcMar>
            <w:vAlign w:val="center"/>
          </w:tcPr>
          <w:p w14:paraId="098A87FD"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098A87FE"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87FF"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800" w14:textId="77777777" w:rsidR="00141CDF" w:rsidRDefault="00141CDF">
            <w:pPr>
              <w:rPr>
                <w:rFonts w:ascii="宋体"/>
              </w:rPr>
            </w:pPr>
          </w:p>
        </w:tc>
        <w:tc>
          <w:tcPr>
            <w:tcW w:w="0" w:type="auto"/>
            <w:shd w:val="clear" w:color="auto" w:fill="FFFFFF"/>
            <w:tcMar>
              <w:top w:w="40" w:type="dxa"/>
              <w:left w:w="20" w:type="dxa"/>
              <w:bottom w:w="40" w:type="dxa"/>
              <w:right w:w="0" w:type="dxa"/>
            </w:tcMar>
            <w:vAlign w:val="center"/>
          </w:tcPr>
          <w:p w14:paraId="098A8801"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098A8802" w14:textId="77777777" w:rsidR="00141CDF" w:rsidRDefault="00DF45E0">
            <w:pPr>
              <w:jc w:val="right"/>
              <w:textAlignment w:val="center"/>
            </w:pPr>
            <w:r>
              <w:rPr>
                <w:rFonts w:ascii="Times New Roman" w:eastAsia="宋体" w:hAnsi="Times New Roman"/>
                <w:color w:val="000000"/>
                <w:sz w:val="16"/>
                <w:szCs w:val="16"/>
              </w:rPr>
              <w:t>2.24 </w:t>
            </w:r>
          </w:p>
        </w:tc>
        <w:tc>
          <w:tcPr>
            <w:tcW w:w="0" w:type="auto"/>
            <w:shd w:val="clear" w:color="auto" w:fill="FFFFFF"/>
            <w:tcMar>
              <w:top w:w="40" w:type="dxa"/>
              <w:left w:w="0" w:type="dxa"/>
              <w:bottom w:w="40" w:type="dxa"/>
              <w:right w:w="20" w:type="dxa"/>
            </w:tcMar>
            <w:vAlign w:val="center"/>
          </w:tcPr>
          <w:p w14:paraId="098A8803"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804" w14:textId="77777777" w:rsidR="00141CDF" w:rsidRDefault="00141CDF">
            <w:pPr>
              <w:rPr>
                <w:rFonts w:ascii="宋体"/>
              </w:rPr>
            </w:pPr>
          </w:p>
        </w:tc>
        <w:tc>
          <w:tcPr>
            <w:tcW w:w="0" w:type="auto"/>
            <w:shd w:val="clear" w:color="auto" w:fill="FFFFFF"/>
            <w:tcMar>
              <w:top w:w="40" w:type="dxa"/>
              <w:left w:w="20" w:type="dxa"/>
              <w:bottom w:w="40" w:type="dxa"/>
              <w:right w:w="0" w:type="dxa"/>
            </w:tcMar>
            <w:vAlign w:val="center"/>
          </w:tcPr>
          <w:p w14:paraId="098A8805"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098A8806" w14:textId="77777777" w:rsidR="00141CDF" w:rsidRDefault="00DF45E0">
            <w:pPr>
              <w:jc w:val="right"/>
              <w:textAlignment w:val="center"/>
            </w:pPr>
            <w:r>
              <w:rPr>
                <w:rFonts w:ascii="Times New Roman" w:eastAsia="宋体" w:hAnsi="Times New Roman"/>
                <w:color w:val="000000"/>
                <w:sz w:val="16"/>
                <w:szCs w:val="16"/>
              </w:rPr>
              <w:t>2.20 </w:t>
            </w:r>
          </w:p>
        </w:tc>
        <w:tc>
          <w:tcPr>
            <w:tcW w:w="0" w:type="auto"/>
            <w:shd w:val="clear" w:color="auto" w:fill="FFFFFF"/>
            <w:tcMar>
              <w:top w:w="40" w:type="dxa"/>
              <w:left w:w="0" w:type="dxa"/>
              <w:bottom w:w="40" w:type="dxa"/>
              <w:right w:w="20" w:type="dxa"/>
            </w:tcMar>
            <w:vAlign w:val="center"/>
          </w:tcPr>
          <w:p w14:paraId="098A8807" w14:textId="77777777" w:rsidR="00141CDF" w:rsidRDefault="00141CDF">
            <w:pPr>
              <w:jc w:val="right"/>
              <w:rPr>
                <w:rFonts w:ascii="宋体"/>
              </w:rPr>
            </w:pPr>
          </w:p>
        </w:tc>
      </w:tr>
    </w:tbl>
    <w:p w14:paraId="098A8809" w14:textId="77777777" w:rsidR="00141CDF" w:rsidRDefault="00DF45E0">
      <w:pPr>
        <w:spacing w:before="80"/>
      </w:pPr>
      <w:r>
        <w:rPr>
          <w:rFonts w:ascii="Times New Roman" w:eastAsia="宋体" w:hAnsi="Times New Roman"/>
          <w:i/>
          <w:iCs/>
          <w:color w:val="000000"/>
          <w:sz w:val="16"/>
          <w:szCs w:val="16"/>
        </w:rPr>
        <w:t xml:space="preserve">See accompanying notes. </w:t>
      </w:r>
    </w:p>
    <w:p w14:paraId="098A880A" w14:textId="77777777" w:rsidR="00141CDF" w:rsidRDefault="00DF45E0">
      <w:pPr>
        <w:jc w:val="center"/>
      </w:pPr>
      <w:r>
        <w:rPr>
          <w:rFonts w:ascii="Times New Roman" w:eastAsia="宋体" w:hAnsi="Times New Roman"/>
          <w:color w:val="000000"/>
          <w:sz w:val="20"/>
          <w:szCs w:val="20"/>
        </w:rPr>
        <w:t>3</w:t>
      </w:r>
    </w:p>
    <w:p w14:paraId="098A880B" w14:textId="77777777" w:rsidR="00141CDF" w:rsidRDefault="00DF45E0">
      <w:r>
        <w:pict w14:anchorId="098AA651">
          <v:rect id="_x0000_i1027" style="width:415.3pt;height:1.5pt" o:hralign="center" o:hrstd="t" o:hr="t" fillcolor="#a0a0a0" stroked="f"/>
        </w:pict>
      </w:r>
    </w:p>
    <w:p w14:paraId="098A880C" w14:textId="77777777" w:rsidR="00141CDF" w:rsidRDefault="00DF45E0">
      <w:hyperlink r:id="rId43" w:anchor="i24a2f296795646fa8b5ba32fd1359591_7" w:history="1">
        <w:r>
          <w:rPr>
            <w:rStyle w:val="a5"/>
            <w:rFonts w:ascii="Times New Roman" w:eastAsia="宋体" w:hAnsi="Times New Roman"/>
            <w:sz w:val="20"/>
            <w:szCs w:val="20"/>
          </w:rPr>
          <w:t xml:space="preserve">Table of </w:t>
        </w:r>
      </w:hyperlink>
      <w:hyperlink r:id="rId44" w:anchor="i24a2f296795646fa8b5ba32fd1359591_7" w:history="1">
        <w:r>
          <w:rPr>
            <w:rStyle w:val="a5"/>
            <w:rFonts w:ascii="Times New Roman" w:eastAsia="宋体" w:hAnsi="Times New Roman"/>
            <w:sz w:val="20"/>
            <w:szCs w:val="20"/>
          </w:rPr>
          <w:t>Contents</w:t>
        </w:r>
      </w:hyperlink>
    </w:p>
    <w:p w14:paraId="098A880D" w14:textId="77777777" w:rsidR="00141CDF" w:rsidRDefault="00DF45E0">
      <w:pPr>
        <w:jc w:val="center"/>
      </w:pPr>
      <w:r>
        <w:rPr>
          <w:rFonts w:ascii="Times New Roman" w:eastAsia="宋体" w:hAnsi="Times New Roman"/>
          <w:b/>
          <w:bCs/>
          <w:color w:val="000000"/>
          <w:sz w:val="20"/>
          <w:szCs w:val="20"/>
        </w:rPr>
        <w:t>Walmart Inc.</w:t>
      </w:r>
    </w:p>
    <w:p w14:paraId="098A880E" w14:textId="77777777" w:rsidR="00141CDF" w:rsidRDefault="00DF45E0">
      <w:pPr>
        <w:spacing w:before="60"/>
        <w:jc w:val="center"/>
      </w:pPr>
      <w:r>
        <w:rPr>
          <w:rFonts w:ascii="Times New Roman" w:eastAsia="宋体" w:hAnsi="Times New Roman"/>
          <w:b/>
          <w:bCs/>
          <w:color w:val="000000"/>
          <w:sz w:val="20"/>
          <w:szCs w:val="20"/>
        </w:rPr>
        <w:t>Condensed Consolidated Statements of Comprehensive Income</w:t>
      </w:r>
    </w:p>
    <w:p w14:paraId="098A880F" w14:textId="77777777" w:rsidR="00141CDF" w:rsidRDefault="00DF45E0">
      <w:pPr>
        <w:spacing w:before="60"/>
        <w:jc w:val="center"/>
      </w:pPr>
      <w:r>
        <w:rPr>
          <w:rFonts w:ascii="Times New Roman" w:eastAsia="宋体" w:hAnsi="Times New Roman"/>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709"/>
        <w:gridCol w:w="39"/>
        <w:gridCol w:w="100"/>
        <w:gridCol w:w="400"/>
        <w:gridCol w:w="36"/>
        <w:gridCol w:w="36"/>
        <w:gridCol w:w="36"/>
        <w:gridCol w:w="36"/>
        <w:gridCol w:w="100"/>
        <w:gridCol w:w="400"/>
        <w:gridCol w:w="36"/>
        <w:gridCol w:w="36"/>
        <w:gridCol w:w="36"/>
        <w:gridCol w:w="36"/>
        <w:gridCol w:w="100"/>
        <w:gridCol w:w="400"/>
        <w:gridCol w:w="36"/>
        <w:gridCol w:w="36"/>
        <w:gridCol w:w="36"/>
        <w:gridCol w:w="36"/>
        <w:gridCol w:w="100"/>
        <w:gridCol w:w="480"/>
        <w:gridCol w:w="36"/>
      </w:tblGrid>
      <w:tr w:rsidR="00141CDF" w14:paraId="098A8828" w14:textId="77777777">
        <w:trPr>
          <w:jc w:val="center"/>
        </w:trPr>
        <w:tc>
          <w:tcPr>
            <w:tcW w:w="50" w:type="pct"/>
            <w:shd w:val="clear" w:color="auto" w:fill="auto"/>
            <w:vAlign w:val="bottom"/>
          </w:tcPr>
          <w:p w14:paraId="098A8810" w14:textId="77777777" w:rsidR="00141CDF" w:rsidRDefault="00141CDF">
            <w:pPr>
              <w:rPr>
                <w:rFonts w:ascii="宋体"/>
              </w:rPr>
            </w:pPr>
          </w:p>
        </w:tc>
        <w:tc>
          <w:tcPr>
            <w:tcW w:w="3538" w:type="pct"/>
            <w:shd w:val="clear" w:color="auto" w:fill="auto"/>
            <w:vAlign w:val="bottom"/>
          </w:tcPr>
          <w:p w14:paraId="098A8811" w14:textId="77777777" w:rsidR="00141CDF" w:rsidRDefault="00141CDF">
            <w:pPr>
              <w:rPr>
                <w:rFonts w:ascii="宋体"/>
              </w:rPr>
            </w:pPr>
          </w:p>
        </w:tc>
        <w:tc>
          <w:tcPr>
            <w:tcW w:w="5" w:type="pct"/>
            <w:shd w:val="clear" w:color="auto" w:fill="auto"/>
            <w:vAlign w:val="bottom"/>
          </w:tcPr>
          <w:p w14:paraId="098A8812" w14:textId="77777777" w:rsidR="00141CDF" w:rsidRDefault="00141CDF">
            <w:pPr>
              <w:rPr>
                <w:rFonts w:ascii="宋体"/>
              </w:rPr>
            </w:pPr>
          </w:p>
        </w:tc>
        <w:tc>
          <w:tcPr>
            <w:tcW w:w="50" w:type="pct"/>
            <w:shd w:val="clear" w:color="auto" w:fill="auto"/>
            <w:vAlign w:val="bottom"/>
          </w:tcPr>
          <w:p w14:paraId="098A8813" w14:textId="77777777" w:rsidR="00141CDF" w:rsidRDefault="00141CDF">
            <w:pPr>
              <w:rPr>
                <w:rFonts w:ascii="宋体"/>
              </w:rPr>
            </w:pPr>
          </w:p>
        </w:tc>
        <w:tc>
          <w:tcPr>
            <w:tcW w:w="263" w:type="pct"/>
            <w:shd w:val="clear" w:color="auto" w:fill="auto"/>
            <w:vAlign w:val="bottom"/>
          </w:tcPr>
          <w:p w14:paraId="098A8814" w14:textId="77777777" w:rsidR="00141CDF" w:rsidRDefault="00141CDF">
            <w:pPr>
              <w:rPr>
                <w:rFonts w:ascii="宋体"/>
              </w:rPr>
            </w:pPr>
          </w:p>
        </w:tc>
        <w:tc>
          <w:tcPr>
            <w:tcW w:w="5" w:type="pct"/>
            <w:shd w:val="clear" w:color="auto" w:fill="auto"/>
            <w:vAlign w:val="bottom"/>
          </w:tcPr>
          <w:p w14:paraId="098A8815" w14:textId="77777777" w:rsidR="00141CDF" w:rsidRDefault="00141CDF">
            <w:pPr>
              <w:rPr>
                <w:rFonts w:ascii="宋体"/>
              </w:rPr>
            </w:pPr>
          </w:p>
        </w:tc>
        <w:tc>
          <w:tcPr>
            <w:tcW w:w="5" w:type="pct"/>
            <w:shd w:val="clear" w:color="auto" w:fill="auto"/>
            <w:vAlign w:val="bottom"/>
          </w:tcPr>
          <w:p w14:paraId="098A8816" w14:textId="77777777" w:rsidR="00141CDF" w:rsidRDefault="00141CDF">
            <w:pPr>
              <w:rPr>
                <w:rFonts w:ascii="宋体"/>
              </w:rPr>
            </w:pPr>
          </w:p>
        </w:tc>
        <w:tc>
          <w:tcPr>
            <w:tcW w:w="33" w:type="pct"/>
            <w:shd w:val="clear" w:color="auto" w:fill="auto"/>
            <w:vAlign w:val="bottom"/>
          </w:tcPr>
          <w:p w14:paraId="098A8817" w14:textId="77777777" w:rsidR="00141CDF" w:rsidRDefault="00141CDF">
            <w:pPr>
              <w:rPr>
                <w:rFonts w:ascii="宋体"/>
              </w:rPr>
            </w:pPr>
          </w:p>
        </w:tc>
        <w:tc>
          <w:tcPr>
            <w:tcW w:w="5" w:type="pct"/>
            <w:shd w:val="clear" w:color="auto" w:fill="auto"/>
            <w:vAlign w:val="bottom"/>
          </w:tcPr>
          <w:p w14:paraId="098A8818" w14:textId="77777777" w:rsidR="00141CDF" w:rsidRDefault="00141CDF">
            <w:pPr>
              <w:rPr>
                <w:rFonts w:ascii="宋体"/>
              </w:rPr>
            </w:pPr>
          </w:p>
        </w:tc>
        <w:tc>
          <w:tcPr>
            <w:tcW w:w="50" w:type="pct"/>
            <w:shd w:val="clear" w:color="auto" w:fill="auto"/>
            <w:vAlign w:val="bottom"/>
          </w:tcPr>
          <w:p w14:paraId="098A8819" w14:textId="77777777" w:rsidR="00141CDF" w:rsidRDefault="00141CDF">
            <w:pPr>
              <w:rPr>
                <w:rFonts w:ascii="宋体"/>
              </w:rPr>
            </w:pPr>
          </w:p>
        </w:tc>
        <w:tc>
          <w:tcPr>
            <w:tcW w:w="263" w:type="pct"/>
            <w:shd w:val="clear" w:color="auto" w:fill="auto"/>
            <w:vAlign w:val="bottom"/>
          </w:tcPr>
          <w:p w14:paraId="098A881A" w14:textId="77777777" w:rsidR="00141CDF" w:rsidRDefault="00141CDF">
            <w:pPr>
              <w:rPr>
                <w:rFonts w:ascii="宋体"/>
              </w:rPr>
            </w:pPr>
          </w:p>
        </w:tc>
        <w:tc>
          <w:tcPr>
            <w:tcW w:w="5" w:type="pct"/>
            <w:shd w:val="clear" w:color="auto" w:fill="auto"/>
            <w:vAlign w:val="bottom"/>
          </w:tcPr>
          <w:p w14:paraId="098A881B" w14:textId="77777777" w:rsidR="00141CDF" w:rsidRDefault="00141CDF">
            <w:pPr>
              <w:rPr>
                <w:rFonts w:ascii="宋体"/>
              </w:rPr>
            </w:pPr>
          </w:p>
        </w:tc>
        <w:tc>
          <w:tcPr>
            <w:tcW w:w="5" w:type="pct"/>
            <w:shd w:val="clear" w:color="auto" w:fill="auto"/>
            <w:vAlign w:val="bottom"/>
          </w:tcPr>
          <w:p w14:paraId="098A881C" w14:textId="77777777" w:rsidR="00141CDF" w:rsidRDefault="00141CDF">
            <w:pPr>
              <w:rPr>
                <w:rFonts w:ascii="宋体"/>
              </w:rPr>
            </w:pPr>
          </w:p>
        </w:tc>
        <w:tc>
          <w:tcPr>
            <w:tcW w:w="33" w:type="pct"/>
            <w:shd w:val="clear" w:color="auto" w:fill="auto"/>
            <w:vAlign w:val="bottom"/>
          </w:tcPr>
          <w:p w14:paraId="098A881D" w14:textId="77777777" w:rsidR="00141CDF" w:rsidRDefault="00141CDF">
            <w:pPr>
              <w:rPr>
                <w:rFonts w:ascii="宋体"/>
              </w:rPr>
            </w:pPr>
          </w:p>
        </w:tc>
        <w:tc>
          <w:tcPr>
            <w:tcW w:w="5" w:type="pct"/>
            <w:shd w:val="clear" w:color="auto" w:fill="auto"/>
            <w:vAlign w:val="bottom"/>
          </w:tcPr>
          <w:p w14:paraId="098A881E" w14:textId="77777777" w:rsidR="00141CDF" w:rsidRDefault="00141CDF">
            <w:pPr>
              <w:rPr>
                <w:rFonts w:ascii="宋体"/>
              </w:rPr>
            </w:pPr>
          </w:p>
        </w:tc>
        <w:tc>
          <w:tcPr>
            <w:tcW w:w="50" w:type="pct"/>
            <w:shd w:val="clear" w:color="auto" w:fill="auto"/>
            <w:vAlign w:val="bottom"/>
          </w:tcPr>
          <w:p w14:paraId="098A881F" w14:textId="77777777" w:rsidR="00141CDF" w:rsidRDefault="00141CDF">
            <w:pPr>
              <w:rPr>
                <w:rFonts w:ascii="宋体"/>
              </w:rPr>
            </w:pPr>
          </w:p>
        </w:tc>
        <w:tc>
          <w:tcPr>
            <w:tcW w:w="263" w:type="pct"/>
            <w:shd w:val="clear" w:color="auto" w:fill="auto"/>
            <w:vAlign w:val="bottom"/>
          </w:tcPr>
          <w:p w14:paraId="098A8820" w14:textId="77777777" w:rsidR="00141CDF" w:rsidRDefault="00141CDF">
            <w:pPr>
              <w:rPr>
                <w:rFonts w:ascii="宋体"/>
              </w:rPr>
            </w:pPr>
          </w:p>
        </w:tc>
        <w:tc>
          <w:tcPr>
            <w:tcW w:w="5" w:type="pct"/>
            <w:shd w:val="clear" w:color="auto" w:fill="auto"/>
            <w:vAlign w:val="bottom"/>
          </w:tcPr>
          <w:p w14:paraId="098A8821" w14:textId="77777777" w:rsidR="00141CDF" w:rsidRDefault="00141CDF">
            <w:pPr>
              <w:rPr>
                <w:rFonts w:ascii="宋体"/>
              </w:rPr>
            </w:pPr>
          </w:p>
        </w:tc>
        <w:tc>
          <w:tcPr>
            <w:tcW w:w="5" w:type="pct"/>
            <w:shd w:val="clear" w:color="auto" w:fill="auto"/>
            <w:vAlign w:val="bottom"/>
          </w:tcPr>
          <w:p w14:paraId="098A8822" w14:textId="77777777" w:rsidR="00141CDF" w:rsidRDefault="00141CDF">
            <w:pPr>
              <w:rPr>
                <w:rFonts w:ascii="宋体"/>
              </w:rPr>
            </w:pPr>
          </w:p>
        </w:tc>
        <w:tc>
          <w:tcPr>
            <w:tcW w:w="33" w:type="pct"/>
            <w:shd w:val="clear" w:color="auto" w:fill="auto"/>
            <w:vAlign w:val="bottom"/>
          </w:tcPr>
          <w:p w14:paraId="098A8823" w14:textId="77777777" w:rsidR="00141CDF" w:rsidRDefault="00141CDF">
            <w:pPr>
              <w:rPr>
                <w:rFonts w:ascii="宋体"/>
              </w:rPr>
            </w:pPr>
          </w:p>
        </w:tc>
        <w:tc>
          <w:tcPr>
            <w:tcW w:w="5" w:type="pct"/>
            <w:shd w:val="clear" w:color="auto" w:fill="auto"/>
            <w:vAlign w:val="bottom"/>
          </w:tcPr>
          <w:p w14:paraId="098A8824" w14:textId="77777777" w:rsidR="00141CDF" w:rsidRDefault="00141CDF">
            <w:pPr>
              <w:rPr>
                <w:rFonts w:ascii="宋体"/>
              </w:rPr>
            </w:pPr>
          </w:p>
        </w:tc>
        <w:tc>
          <w:tcPr>
            <w:tcW w:w="50" w:type="pct"/>
            <w:shd w:val="clear" w:color="auto" w:fill="auto"/>
            <w:vAlign w:val="bottom"/>
          </w:tcPr>
          <w:p w14:paraId="098A8825" w14:textId="77777777" w:rsidR="00141CDF" w:rsidRDefault="00141CDF">
            <w:pPr>
              <w:rPr>
                <w:rFonts w:ascii="宋体"/>
              </w:rPr>
            </w:pPr>
          </w:p>
        </w:tc>
        <w:tc>
          <w:tcPr>
            <w:tcW w:w="263" w:type="pct"/>
            <w:shd w:val="clear" w:color="auto" w:fill="auto"/>
            <w:vAlign w:val="bottom"/>
          </w:tcPr>
          <w:p w14:paraId="098A8826" w14:textId="77777777" w:rsidR="00141CDF" w:rsidRDefault="00141CDF">
            <w:pPr>
              <w:rPr>
                <w:rFonts w:ascii="宋体"/>
              </w:rPr>
            </w:pPr>
          </w:p>
        </w:tc>
        <w:tc>
          <w:tcPr>
            <w:tcW w:w="5" w:type="pct"/>
            <w:shd w:val="clear" w:color="auto" w:fill="auto"/>
            <w:vAlign w:val="bottom"/>
          </w:tcPr>
          <w:p w14:paraId="098A8827" w14:textId="77777777" w:rsidR="00141CDF" w:rsidRDefault="00141CDF">
            <w:pPr>
              <w:rPr>
                <w:rFonts w:ascii="宋体"/>
              </w:rPr>
            </w:pPr>
          </w:p>
        </w:tc>
      </w:tr>
      <w:tr w:rsidR="00141CDF" w14:paraId="098A882D" w14:textId="77777777">
        <w:trPr>
          <w:jc w:val="center"/>
        </w:trPr>
        <w:tc>
          <w:tcPr>
            <w:tcW w:w="0" w:type="auto"/>
            <w:gridSpan w:val="3"/>
            <w:shd w:val="clear" w:color="auto" w:fill="auto"/>
            <w:tcMar>
              <w:top w:w="40" w:type="dxa"/>
              <w:left w:w="20" w:type="dxa"/>
              <w:bottom w:w="40" w:type="dxa"/>
              <w:right w:w="20" w:type="dxa"/>
            </w:tcMar>
            <w:vAlign w:val="bottom"/>
          </w:tcPr>
          <w:p w14:paraId="098A8829" w14:textId="77777777" w:rsidR="00141CDF" w:rsidRDefault="00DF45E0">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098A882A" w14:textId="77777777" w:rsidR="00141CDF" w:rsidRDefault="00DF45E0">
            <w:pPr>
              <w:jc w:val="center"/>
              <w:textAlignment w:val="bottom"/>
            </w:pPr>
            <w:r>
              <w:rPr>
                <w:rFonts w:ascii="Times New Roman" w:eastAsia="宋体" w:hAnsi="Times New Roman"/>
                <w:b/>
                <w:bCs/>
                <w:color w:val="000000"/>
                <w:sz w:val="16"/>
                <w:szCs w:val="16"/>
              </w:rPr>
              <w:t>Three Months Ended July 31,</w:t>
            </w:r>
          </w:p>
        </w:tc>
        <w:tc>
          <w:tcPr>
            <w:tcW w:w="0" w:type="auto"/>
            <w:gridSpan w:val="3"/>
            <w:shd w:val="clear" w:color="auto" w:fill="auto"/>
            <w:tcMar>
              <w:top w:w="0" w:type="dxa"/>
              <w:left w:w="20" w:type="dxa"/>
              <w:bottom w:w="0" w:type="dxa"/>
              <w:right w:w="20" w:type="dxa"/>
            </w:tcMar>
            <w:vAlign w:val="bottom"/>
          </w:tcPr>
          <w:p w14:paraId="098A882B" w14:textId="77777777" w:rsidR="00141CDF" w:rsidRDefault="00141CDF">
            <w:pPr>
              <w:rPr>
                <w:rFonts w:ascii="宋体"/>
              </w:rPr>
            </w:pPr>
          </w:p>
        </w:tc>
        <w:tc>
          <w:tcPr>
            <w:tcW w:w="0" w:type="auto"/>
            <w:gridSpan w:val="9"/>
            <w:shd w:val="clear" w:color="auto" w:fill="auto"/>
            <w:tcMar>
              <w:top w:w="40" w:type="dxa"/>
              <w:left w:w="20" w:type="dxa"/>
              <w:bottom w:w="40" w:type="dxa"/>
              <w:right w:w="20" w:type="dxa"/>
            </w:tcMar>
            <w:vAlign w:val="bottom"/>
          </w:tcPr>
          <w:p w14:paraId="098A882C" w14:textId="77777777" w:rsidR="00141CDF" w:rsidRDefault="00DF45E0">
            <w:pPr>
              <w:jc w:val="center"/>
              <w:textAlignment w:val="bottom"/>
            </w:pPr>
            <w:r>
              <w:rPr>
                <w:rFonts w:ascii="Times New Roman" w:eastAsia="宋体" w:hAnsi="Times New Roman"/>
                <w:b/>
                <w:bCs/>
                <w:color w:val="000000"/>
                <w:sz w:val="16"/>
                <w:szCs w:val="16"/>
              </w:rPr>
              <w:t>Six Months Ended July 31,</w:t>
            </w:r>
          </w:p>
        </w:tc>
      </w:tr>
      <w:tr w:rsidR="00141CDF" w14:paraId="098A8836" w14:textId="77777777">
        <w:trPr>
          <w:jc w:val="center"/>
        </w:trPr>
        <w:tc>
          <w:tcPr>
            <w:tcW w:w="0" w:type="auto"/>
            <w:gridSpan w:val="3"/>
            <w:shd w:val="clear" w:color="auto" w:fill="auto"/>
            <w:tcMar>
              <w:top w:w="40" w:type="dxa"/>
              <w:left w:w="20" w:type="dxa"/>
              <w:bottom w:w="40" w:type="dxa"/>
              <w:right w:w="20" w:type="dxa"/>
            </w:tcMar>
            <w:vAlign w:val="bottom"/>
          </w:tcPr>
          <w:p w14:paraId="098A882E" w14:textId="77777777" w:rsidR="00141CDF" w:rsidRDefault="00DF45E0">
            <w:pPr>
              <w:textAlignment w:val="bottom"/>
            </w:pPr>
            <w:r>
              <w:rPr>
                <w:rFonts w:ascii="Times New Roman" w:eastAsia="宋体" w:hAnsi="Times New Roman"/>
                <w:i/>
                <w:iCs/>
                <w:color w:val="000000"/>
                <w:sz w:val="16"/>
                <w:szCs w:val="16"/>
              </w:rPr>
              <w:t>(Amounts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98A882F" w14:textId="77777777" w:rsidR="00141CDF" w:rsidRDefault="00DF45E0">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8830"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98A8831" w14:textId="77777777" w:rsidR="00141CDF" w:rsidRDefault="00DF45E0">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098A8832"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98A8833" w14:textId="77777777" w:rsidR="00141CDF" w:rsidRDefault="00DF45E0">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8834"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98A8835" w14:textId="77777777" w:rsidR="00141CDF" w:rsidRDefault="00DF45E0">
            <w:pPr>
              <w:jc w:val="center"/>
              <w:textAlignment w:val="bottom"/>
            </w:pPr>
            <w:r>
              <w:rPr>
                <w:rFonts w:ascii="Times New Roman" w:eastAsia="宋体" w:hAnsi="Times New Roman"/>
                <w:b/>
                <w:bCs/>
                <w:color w:val="000000"/>
                <w:sz w:val="16"/>
                <w:szCs w:val="16"/>
              </w:rPr>
              <w:t>2021</w:t>
            </w:r>
          </w:p>
        </w:tc>
      </w:tr>
      <w:tr w:rsidR="00141CDF" w14:paraId="098A8847" w14:textId="77777777">
        <w:trPr>
          <w:jc w:val="center"/>
        </w:trPr>
        <w:tc>
          <w:tcPr>
            <w:tcW w:w="0" w:type="auto"/>
            <w:gridSpan w:val="3"/>
            <w:shd w:val="clear" w:color="auto" w:fill="CCEEFF"/>
            <w:tcMar>
              <w:top w:w="40" w:type="dxa"/>
              <w:left w:w="20" w:type="dxa"/>
              <w:bottom w:w="40" w:type="dxa"/>
              <w:right w:w="20" w:type="dxa"/>
            </w:tcMar>
            <w:vAlign w:val="center"/>
          </w:tcPr>
          <w:p w14:paraId="098A8837" w14:textId="77777777" w:rsidR="00141CDF" w:rsidRDefault="00DF45E0">
            <w:pPr>
              <w:textAlignment w:val="center"/>
            </w:pPr>
            <w:r>
              <w:rPr>
                <w:rFonts w:ascii="Times New Roman" w:eastAsia="宋体" w:hAnsi="Times New Roman"/>
                <w:b/>
                <w:bCs/>
                <w:color w:val="000000"/>
                <w:sz w:val="16"/>
                <w:szCs w:val="16"/>
              </w:rPr>
              <w:t xml:space="preserve">Consolidated net </w:t>
            </w:r>
            <w:r>
              <w:rPr>
                <w:rFonts w:ascii="Times New Roman" w:eastAsia="宋体" w:hAnsi="Times New Roman"/>
                <w:b/>
                <w:bCs/>
                <w:color w:val="000000"/>
                <w:sz w:val="16"/>
                <w:szCs w:val="16"/>
              </w:rPr>
              <w:t>income</w:t>
            </w:r>
          </w:p>
        </w:tc>
        <w:tc>
          <w:tcPr>
            <w:tcW w:w="0" w:type="auto"/>
            <w:tcBorders>
              <w:top w:val="single" w:sz="8" w:space="0" w:color="000000"/>
            </w:tcBorders>
            <w:shd w:val="clear" w:color="auto" w:fill="CCEEFF"/>
            <w:tcMar>
              <w:top w:w="40" w:type="dxa"/>
              <w:left w:w="20" w:type="dxa"/>
              <w:bottom w:w="40" w:type="dxa"/>
              <w:right w:w="0" w:type="dxa"/>
            </w:tcMar>
            <w:vAlign w:val="center"/>
          </w:tcPr>
          <w:p w14:paraId="098A8838"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8839" w14:textId="77777777" w:rsidR="00141CDF" w:rsidRDefault="00DF45E0">
            <w:pPr>
              <w:jc w:val="right"/>
              <w:textAlignment w:val="center"/>
            </w:pPr>
            <w:r>
              <w:rPr>
                <w:rFonts w:ascii="Times New Roman" w:eastAsia="宋体" w:hAnsi="Times New Roman"/>
                <w:color w:val="000000"/>
                <w:sz w:val="16"/>
                <w:szCs w:val="16"/>
              </w:rPr>
              <w:t>5,147 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883A"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83B"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883C"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883D" w14:textId="77777777" w:rsidR="00141CDF" w:rsidRDefault="00DF45E0">
            <w:pPr>
              <w:jc w:val="right"/>
              <w:textAlignment w:val="center"/>
            </w:pPr>
            <w:r>
              <w:rPr>
                <w:rFonts w:ascii="Times New Roman" w:eastAsia="宋体" w:hAnsi="Times New Roman"/>
                <w:color w:val="000000"/>
                <w:sz w:val="16"/>
                <w:szCs w:val="16"/>
              </w:rPr>
              <w:t>4,364 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883E"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83F"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8840"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8841" w14:textId="77777777" w:rsidR="00141CDF" w:rsidRDefault="00DF45E0">
            <w:pPr>
              <w:jc w:val="right"/>
              <w:textAlignment w:val="center"/>
            </w:pPr>
            <w:r>
              <w:rPr>
                <w:rFonts w:ascii="Times New Roman" w:eastAsia="宋体" w:hAnsi="Times New Roman"/>
                <w:color w:val="000000"/>
                <w:sz w:val="16"/>
                <w:szCs w:val="16"/>
              </w:rPr>
              <w:t>7,250 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8842"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843"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8844"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8845" w14:textId="77777777" w:rsidR="00141CDF" w:rsidRDefault="00DF45E0">
            <w:pPr>
              <w:jc w:val="right"/>
              <w:textAlignment w:val="center"/>
            </w:pPr>
            <w:r>
              <w:rPr>
                <w:rFonts w:ascii="Times New Roman" w:eastAsia="宋体" w:hAnsi="Times New Roman"/>
                <w:color w:val="000000"/>
                <w:sz w:val="16"/>
                <w:szCs w:val="16"/>
              </w:rPr>
              <w:t>7,175 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8846" w14:textId="77777777" w:rsidR="00141CDF" w:rsidRDefault="00141CDF">
            <w:pPr>
              <w:jc w:val="right"/>
              <w:rPr>
                <w:rFonts w:ascii="宋体"/>
              </w:rPr>
            </w:pPr>
          </w:p>
        </w:tc>
      </w:tr>
      <w:tr w:rsidR="00141CDF" w14:paraId="098A8854" w14:textId="77777777">
        <w:trPr>
          <w:jc w:val="center"/>
        </w:trPr>
        <w:tc>
          <w:tcPr>
            <w:tcW w:w="0" w:type="auto"/>
            <w:gridSpan w:val="3"/>
            <w:shd w:val="clear" w:color="auto" w:fill="FFFFFF"/>
            <w:tcMar>
              <w:top w:w="40" w:type="dxa"/>
              <w:left w:w="380" w:type="dxa"/>
              <w:bottom w:w="40" w:type="dxa"/>
              <w:right w:w="20" w:type="dxa"/>
            </w:tcMar>
            <w:vAlign w:val="center"/>
          </w:tcPr>
          <w:p w14:paraId="098A8848" w14:textId="77777777" w:rsidR="00141CDF" w:rsidRDefault="00DF45E0">
            <w:pPr>
              <w:textAlignment w:val="center"/>
            </w:pPr>
            <w:r>
              <w:rPr>
                <w:rFonts w:ascii="Times New Roman" w:eastAsia="宋体" w:hAnsi="Times New Roman"/>
                <w:color w:val="000000"/>
                <w:sz w:val="16"/>
                <w:szCs w:val="16"/>
              </w:rPr>
              <w:t>Consolidated net loss (income) attributable to noncontrolling interest</w:t>
            </w:r>
          </w:p>
        </w:tc>
        <w:tc>
          <w:tcPr>
            <w:tcW w:w="0" w:type="auto"/>
            <w:gridSpan w:val="2"/>
            <w:shd w:val="clear" w:color="auto" w:fill="FFFFFF"/>
            <w:tcMar>
              <w:top w:w="40" w:type="dxa"/>
              <w:left w:w="20" w:type="dxa"/>
              <w:bottom w:w="40" w:type="dxa"/>
              <w:right w:w="0" w:type="dxa"/>
            </w:tcMar>
            <w:vAlign w:val="center"/>
          </w:tcPr>
          <w:p w14:paraId="098A8849" w14:textId="77777777" w:rsidR="00141CDF" w:rsidRDefault="00DF45E0">
            <w:pPr>
              <w:jc w:val="right"/>
              <w:textAlignment w:val="center"/>
            </w:pPr>
            <w:r>
              <w:rPr>
                <w:rFonts w:ascii="Times New Roman" w:eastAsia="宋体" w:hAnsi="Times New Roman"/>
                <w:color w:val="000000"/>
                <w:sz w:val="16"/>
                <w:szCs w:val="16"/>
              </w:rPr>
              <w:t>2 </w:t>
            </w:r>
          </w:p>
        </w:tc>
        <w:tc>
          <w:tcPr>
            <w:tcW w:w="0" w:type="auto"/>
            <w:shd w:val="clear" w:color="auto" w:fill="FFFFFF"/>
            <w:tcMar>
              <w:top w:w="40" w:type="dxa"/>
              <w:left w:w="0" w:type="dxa"/>
              <w:bottom w:w="40" w:type="dxa"/>
              <w:right w:w="20" w:type="dxa"/>
            </w:tcMar>
            <w:vAlign w:val="center"/>
          </w:tcPr>
          <w:p w14:paraId="098A884A"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84B"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84C" w14:textId="77777777" w:rsidR="00141CDF" w:rsidRDefault="00DF45E0">
            <w:pPr>
              <w:jc w:val="right"/>
              <w:textAlignment w:val="center"/>
            </w:pPr>
            <w:r>
              <w:rPr>
                <w:rFonts w:ascii="Times New Roman" w:eastAsia="宋体" w:hAnsi="Times New Roman"/>
                <w:color w:val="000000"/>
                <w:sz w:val="16"/>
                <w:szCs w:val="16"/>
              </w:rPr>
              <w:t>(88)</w:t>
            </w:r>
          </w:p>
        </w:tc>
        <w:tc>
          <w:tcPr>
            <w:tcW w:w="0" w:type="auto"/>
            <w:shd w:val="clear" w:color="auto" w:fill="FFFFFF"/>
            <w:tcMar>
              <w:top w:w="40" w:type="dxa"/>
              <w:left w:w="0" w:type="dxa"/>
              <w:bottom w:w="40" w:type="dxa"/>
              <w:right w:w="20" w:type="dxa"/>
            </w:tcMar>
            <w:vAlign w:val="center"/>
          </w:tcPr>
          <w:p w14:paraId="098A884D"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84E"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84F" w14:textId="77777777" w:rsidR="00141CDF" w:rsidRDefault="00DF45E0">
            <w:pPr>
              <w:jc w:val="right"/>
              <w:textAlignment w:val="center"/>
            </w:pPr>
            <w:r>
              <w:rPr>
                <w:rFonts w:ascii="Times New Roman" w:eastAsia="宋体" w:hAnsi="Times New Roman"/>
                <w:color w:val="000000"/>
                <w:sz w:val="16"/>
                <w:szCs w:val="16"/>
              </w:rPr>
              <w:t>(47)</w:t>
            </w:r>
          </w:p>
        </w:tc>
        <w:tc>
          <w:tcPr>
            <w:tcW w:w="0" w:type="auto"/>
            <w:shd w:val="clear" w:color="auto" w:fill="FFFFFF"/>
            <w:tcMar>
              <w:top w:w="40" w:type="dxa"/>
              <w:left w:w="0" w:type="dxa"/>
              <w:bottom w:w="40" w:type="dxa"/>
              <w:right w:w="20" w:type="dxa"/>
            </w:tcMar>
            <w:vAlign w:val="center"/>
          </w:tcPr>
          <w:p w14:paraId="098A8850"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851"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852" w14:textId="77777777" w:rsidR="00141CDF" w:rsidRDefault="00DF45E0">
            <w:pPr>
              <w:jc w:val="right"/>
              <w:textAlignment w:val="center"/>
            </w:pPr>
            <w:r>
              <w:rPr>
                <w:rFonts w:ascii="Times New Roman" w:eastAsia="宋体" w:hAnsi="Times New Roman"/>
                <w:color w:val="000000"/>
                <w:sz w:val="16"/>
                <w:szCs w:val="16"/>
              </w:rPr>
              <w:t>(169)</w:t>
            </w:r>
          </w:p>
        </w:tc>
        <w:tc>
          <w:tcPr>
            <w:tcW w:w="0" w:type="auto"/>
            <w:shd w:val="clear" w:color="auto" w:fill="FFFFFF"/>
            <w:tcMar>
              <w:top w:w="40" w:type="dxa"/>
              <w:left w:w="0" w:type="dxa"/>
              <w:bottom w:w="40" w:type="dxa"/>
              <w:right w:w="20" w:type="dxa"/>
            </w:tcMar>
            <w:vAlign w:val="center"/>
          </w:tcPr>
          <w:p w14:paraId="098A8853" w14:textId="77777777" w:rsidR="00141CDF" w:rsidRDefault="00141CDF">
            <w:pPr>
              <w:jc w:val="right"/>
              <w:rPr>
                <w:rFonts w:ascii="宋体"/>
              </w:rPr>
            </w:pPr>
          </w:p>
        </w:tc>
      </w:tr>
      <w:tr w:rsidR="00141CDF" w14:paraId="098A885D" w14:textId="77777777">
        <w:trPr>
          <w:jc w:val="center"/>
          <w:hidden/>
        </w:trPr>
        <w:tc>
          <w:tcPr>
            <w:tcW w:w="0" w:type="auto"/>
            <w:gridSpan w:val="3"/>
            <w:shd w:val="clear" w:color="auto" w:fill="auto"/>
            <w:vAlign w:val="bottom"/>
          </w:tcPr>
          <w:p w14:paraId="098A8855" w14:textId="77777777" w:rsidR="00141CDF" w:rsidRDefault="00141CDF">
            <w:pPr>
              <w:rPr>
                <w:rFonts w:ascii="宋体"/>
                <w:vanish/>
              </w:rPr>
            </w:pPr>
          </w:p>
        </w:tc>
        <w:tc>
          <w:tcPr>
            <w:tcW w:w="0" w:type="auto"/>
            <w:gridSpan w:val="3"/>
            <w:shd w:val="clear" w:color="auto" w:fill="auto"/>
            <w:vAlign w:val="bottom"/>
          </w:tcPr>
          <w:p w14:paraId="098A8856" w14:textId="77777777" w:rsidR="00141CDF" w:rsidRDefault="00141CDF">
            <w:pPr>
              <w:rPr>
                <w:rFonts w:ascii="宋体"/>
                <w:vanish/>
              </w:rPr>
            </w:pPr>
          </w:p>
        </w:tc>
        <w:tc>
          <w:tcPr>
            <w:tcW w:w="0" w:type="auto"/>
            <w:gridSpan w:val="3"/>
            <w:shd w:val="clear" w:color="auto" w:fill="auto"/>
            <w:vAlign w:val="bottom"/>
          </w:tcPr>
          <w:p w14:paraId="098A8857" w14:textId="77777777" w:rsidR="00141CDF" w:rsidRDefault="00141CDF">
            <w:pPr>
              <w:rPr>
                <w:rFonts w:ascii="宋体"/>
                <w:vanish/>
              </w:rPr>
            </w:pPr>
          </w:p>
        </w:tc>
        <w:tc>
          <w:tcPr>
            <w:tcW w:w="0" w:type="auto"/>
            <w:gridSpan w:val="3"/>
            <w:shd w:val="clear" w:color="auto" w:fill="auto"/>
            <w:vAlign w:val="bottom"/>
          </w:tcPr>
          <w:p w14:paraId="098A8858" w14:textId="77777777" w:rsidR="00141CDF" w:rsidRDefault="00141CDF">
            <w:pPr>
              <w:rPr>
                <w:rFonts w:ascii="宋体"/>
                <w:vanish/>
              </w:rPr>
            </w:pPr>
          </w:p>
        </w:tc>
        <w:tc>
          <w:tcPr>
            <w:tcW w:w="0" w:type="auto"/>
            <w:gridSpan w:val="3"/>
            <w:shd w:val="clear" w:color="auto" w:fill="auto"/>
            <w:vAlign w:val="bottom"/>
          </w:tcPr>
          <w:p w14:paraId="098A8859" w14:textId="77777777" w:rsidR="00141CDF" w:rsidRDefault="00141CDF">
            <w:pPr>
              <w:rPr>
                <w:rFonts w:ascii="宋体"/>
                <w:vanish/>
              </w:rPr>
            </w:pPr>
          </w:p>
        </w:tc>
        <w:tc>
          <w:tcPr>
            <w:tcW w:w="0" w:type="auto"/>
            <w:gridSpan w:val="3"/>
            <w:shd w:val="clear" w:color="auto" w:fill="auto"/>
            <w:vAlign w:val="bottom"/>
          </w:tcPr>
          <w:p w14:paraId="098A885A" w14:textId="77777777" w:rsidR="00141CDF" w:rsidRDefault="00141CDF">
            <w:pPr>
              <w:rPr>
                <w:rFonts w:ascii="宋体"/>
                <w:vanish/>
              </w:rPr>
            </w:pPr>
          </w:p>
        </w:tc>
        <w:tc>
          <w:tcPr>
            <w:tcW w:w="0" w:type="auto"/>
            <w:gridSpan w:val="3"/>
            <w:shd w:val="clear" w:color="auto" w:fill="auto"/>
            <w:vAlign w:val="bottom"/>
          </w:tcPr>
          <w:p w14:paraId="098A885B" w14:textId="77777777" w:rsidR="00141CDF" w:rsidRDefault="00141CDF">
            <w:pPr>
              <w:rPr>
                <w:rFonts w:ascii="宋体"/>
                <w:vanish/>
              </w:rPr>
            </w:pPr>
          </w:p>
        </w:tc>
        <w:tc>
          <w:tcPr>
            <w:tcW w:w="0" w:type="auto"/>
            <w:gridSpan w:val="3"/>
            <w:shd w:val="clear" w:color="auto" w:fill="auto"/>
            <w:vAlign w:val="bottom"/>
          </w:tcPr>
          <w:p w14:paraId="098A885C" w14:textId="77777777" w:rsidR="00141CDF" w:rsidRDefault="00141CDF">
            <w:pPr>
              <w:rPr>
                <w:rFonts w:ascii="宋体"/>
                <w:vanish/>
              </w:rPr>
            </w:pPr>
          </w:p>
        </w:tc>
      </w:tr>
      <w:tr w:rsidR="00141CDF" w14:paraId="098A886A" w14:textId="77777777">
        <w:trPr>
          <w:jc w:val="center"/>
        </w:trPr>
        <w:tc>
          <w:tcPr>
            <w:tcW w:w="0" w:type="auto"/>
            <w:gridSpan w:val="3"/>
            <w:shd w:val="clear" w:color="auto" w:fill="CCEEFF"/>
            <w:tcMar>
              <w:top w:w="40" w:type="dxa"/>
              <w:left w:w="20" w:type="dxa"/>
              <w:bottom w:w="40" w:type="dxa"/>
              <w:right w:w="20" w:type="dxa"/>
            </w:tcMar>
            <w:vAlign w:val="center"/>
          </w:tcPr>
          <w:p w14:paraId="098A885E" w14:textId="77777777" w:rsidR="00141CDF" w:rsidRDefault="00DF45E0">
            <w:pPr>
              <w:textAlignment w:val="center"/>
            </w:pPr>
            <w:r>
              <w:rPr>
                <w:rFonts w:ascii="Times New Roman" w:eastAsia="宋体" w:hAnsi="Times New Roman"/>
                <w:b/>
                <w:bCs/>
                <w:color w:val="000000"/>
                <w:sz w:val="16"/>
                <w:szCs w:val="16"/>
              </w:rPr>
              <w:t>Consolidated net income attributable to Walmart</w:t>
            </w:r>
          </w:p>
        </w:tc>
        <w:tc>
          <w:tcPr>
            <w:tcW w:w="0" w:type="auto"/>
            <w:gridSpan w:val="2"/>
            <w:shd w:val="clear" w:color="auto" w:fill="CCEEFF"/>
            <w:tcMar>
              <w:top w:w="40" w:type="dxa"/>
              <w:left w:w="20" w:type="dxa"/>
              <w:bottom w:w="40" w:type="dxa"/>
              <w:right w:w="0" w:type="dxa"/>
            </w:tcMar>
            <w:vAlign w:val="center"/>
          </w:tcPr>
          <w:p w14:paraId="098A885F" w14:textId="77777777" w:rsidR="00141CDF" w:rsidRDefault="00DF45E0">
            <w:pPr>
              <w:jc w:val="right"/>
              <w:textAlignment w:val="center"/>
            </w:pPr>
            <w:r>
              <w:rPr>
                <w:rFonts w:ascii="Times New Roman" w:eastAsia="宋体" w:hAnsi="Times New Roman"/>
                <w:color w:val="000000"/>
                <w:sz w:val="16"/>
                <w:szCs w:val="16"/>
              </w:rPr>
              <w:t>5,149 </w:t>
            </w:r>
          </w:p>
        </w:tc>
        <w:tc>
          <w:tcPr>
            <w:tcW w:w="0" w:type="auto"/>
            <w:shd w:val="clear" w:color="auto" w:fill="CCEEFF"/>
            <w:tcMar>
              <w:top w:w="40" w:type="dxa"/>
              <w:left w:w="0" w:type="dxa"/>
              <w:bottom w:w="40" w:type="dxa"/>
              <w:right w:w="20" w:type="dxa"/>
            </w:tcMar>
            <w:vAlign w:val="center"/>
          </w:tcPr>
          <w:p w14:paraId="098A8860"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861"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862" w14:textId="77777777" w:rsidR="00141CDF" w:rsidRDefault="00DF45E0">
            <w:pPr>
              <w:jc w:val="right"/>
              <w:textAlignment w:val="center"/>
            </w:pPr>
            <w:r>
              <w:rPr>
                <w:rFonts w:ascii="Times New Roman" w:eastAsia="宋体" w:hAnsi="Times New Roman"/>
                <w:color w:val="000000"/>
                <w:sz w:val="16"/>
                <w:szCs w:val="16"/>
              </w:rPr>
              <w:t>4,276 </w:t>
            </w:r>
          </w:p>
        </w:tc>
        <w:tc>
          <w:tcPr>
            <w:tcW w:w="0" w:type="auto"/>
            <w:shd w:val="clear" w:color="auto" w:fill="CCEEFF"/>
            <w:tcMar>
              <w:top w:w="40" w:type="dxa"/>
              <w:left w:w="0" w:type="dxa"/>
              <w:bottom w:w="40" w:type="dxa"/>
              <w:right w:w="20" w:type="dxa"/>
            </w:tcMar>
            <w:vAlign w:val="center"/>
          </w:tcPr>
          <w:p w14:paraId="098A8863"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864"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865" w14:textId="77777777" w:rsidR="00141CDF" w:rsidRDefault="00DF45E0">
            <w:pPr>
              <w:jc w:val="right"/>
              <w:textAlignment w:val="center"/>
            </w:pPr>
            <w:r>
              <w:rPr>
                <w:rFonts w:ascii="Times New Roman" w:eastAsia="宋体" w:hAnsi="Times New Roman"/>
                <w:color w:val="000000"/>
                <w:sz w:val="16"/>
                <w:szCs w:val="16"/>
              </w:rPr>
              <w:t>7,203 </w:t>
            </w:r>
          </w:p>
        </w:tc>
        <w:tc>
          <w:tcPr>
            <w:tcW w:w="0" w:type="auto"/>
            <w:shd w:val="clear" w:color="auto" w:fill="CCEEFF"/>
            <w:tcMar>
              <w:top w:w="40" w:type="dxa"/>
              <w:left w:w="0" w:type="dxa"/>
              <w:bottom w:w="40" w:type="dxa"/>
              <w:right w:w="20" w:type="dxa"/>
            </w:tcMar>
            <w:vAlign w:val="center"/>
          </w:tcPr>
          <w:p w14:paraId="098A8866"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867"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868" w14:textId="77777777" w:rsidR="00141CDF" w:rsidRDefault="00DF45E0">
            <w:pPr>
              <w:jc w:val="right"/>
              <w:textAlignment w:val="center"/>
            </w:pPr>
            <w:r>
              <w:rPr>
                <w:rFonts w:ascii="Times New Roman" w:eastAsia="宋体" w:hAnsi="Times New Roman"/>
                <w:color w:val="000000"/>
                <w:sz w:val="16"/>
                <w:szCs w:val="16"/>
              </w:rPr>
              <w:t>7,006 </w:t>
            </w:r>
          </w:p>
        </w:tc>
        <w:tc>
          <w:tcPr>
            <w:tcW w:w="0" w:type="auto"/>
            <w:shd w:val="clear" w:color="auto" w:fill="CCEEFF"/>
            <w:tcMar>
              <w:top w:w="40" w:type="dxa"/>
              <w:left w:w="0" w:type="dxa"/>
              <w:bottom w:w="40" w:type="dxa"/>
              <w:right w:w="20" w:type="dxa"/>
            </w:tcMar>
            <w:vAlign w:val="center"/>
          </w:tcPr>
          <w:p w14:paraId="098A8869" w14:textId="77777777" w:rsidR="00141CDF" w:rsidRDefault="00141CDF">
            <w:pPr>
              <w:jc w:val="right"/>
              <w:rPr>
                <w:rFonts w:ascii="宋体"/>
              </w:rPr>
            </w:pPr>
          </w:p>
        </w:tc>
      </w:tr>
      <w:tr w:rsidR="00141CDF" w14:paraId="098A8873" w14:textId="77777777">
        <w:trPr>
          <w:trHeight w:val="220"/>
          <w:jc w:val="center"/>
        </w:trPr>
        <w:tc>
          <w:tcPr>
            <w:tcW w:w="0" w:type="auto"/>
            <w:gridSpan w:val="3"/>
            <w:shd w:val="clear" w:color="auto" w:fill="FFFFFF"/>
            <w:tcMar>
              <w:top w:w="0" w:type="dxa"/>
              <w:left w:w="20" w:type="dxa"/>
              <w:bottom w:w="0" w:type="dxa"/>
              <w:right w:w="20" w:type="dxa"/>
            </w:tcMar>
            <w:vAlign w:val="bottom"/>
          </w:tcPr>
          <w:p w14:paraId="098A886B" w14:textId="77777777" w:rsidR="00141CDF" w:rsidRDefault="00141CD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98A886C"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86D" w14:textId="77777777" w:rsidR="00141CDF" w:rsidRDefault="00141CD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98A886E"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86F" w14:textId="77777777" w:rsidR="00141CDF" w:rsidRDefault="00141CD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98A8870"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871" w14:textId="77777777" w:rsidR="00141CDF" w:rsidRDefault="00141CD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98A8872" w14:textId="77777777" w:rsidR="00141CDF" w:rsidRDefault="00141CDF">
            <w:pPr>
              <w:rPr>
                <w:rFonts w:ascii="宋体"/>
              </w:rPr>
            </w:pPr>
          </w:p>
        </w:tc>
      </w:tr>
      <w:tr w:rsidR="00141CDF" w14:paraId="098A887C" w14:textId="77777777">
        <w:trPr>
          <w:jc w:val="center"/>
        </w:trPr>
        <w:tc>
          <w:tcPr>
            <w:tcW w:w="0" w:type="auto"/>
            <w:gridSpan w:val="3"/>
            <w:shd w:val="clear" w:color="auto" w:fill="CCEEFF"/>
            <w:tcMar>
              <w:top w:w="40" w:type="dxa"/>
              <w:left w:w="20" w:type="dxa"/>
              <w:bottom w:w="40" w:type="dxa"/>
              <w:right w:w="20" w:type="dxa"/>
            </w:tcMar>
            <w:vAlign w:val="center"/>
          </w:tcPr>
          <w:p w14:paraId="098A8874" w14:textId="77777777" w:rsidR="00141CDF" w:rsidRDefault="00DF45E0">
            <w:pPr>
              <w:textAlignment w:val="center"/>
            </w:pPr>
            <w:r>
              <w:rPr>
                <w:rFonts w:ascii="Times New Roman" w:eastAsia="宋体" w:hAnsi="Times New Roman"/>
                <w:color w:val="000000"/>
                <w:sz w:val="16"/>
                <w:szCs w:val="16"/>
              </w:rPr>
              <w:t>Other comprehensive (loss) income, net of income taxes</w:t>
            </w:r>
          </w:p>
        </w:tc>
        <w:tc>
          <w:tcPr>
            <w:tcW w:w="0" w:type="auto"/>
            <w:gridSpan w:val="3"/>
            <w:shd w:val="clear" w:color="auto" w:fill="CCEEFF"/>
            <w:tcMar>
              <w:top w:w="0" w:type="dxa"/>
              <w:left w:w="20" w:type="dxa"/>
              <w:bottom w:w="0" w:type="dxa"/>
              <w:right w:w="20" w:type="dxa"/>
            </w:tcMar>
            <w:vAlign w:val="bottom"/>
          </w:tcPr>
          <w:p w14:paraId="098A8875"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876"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877"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878"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879"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87A"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87B" w14:textId="77777777" w:rsidR="00141CDF" w:rsidRDefault="00141CDF">
            <w:pPr>
              <w:rPr>
                <w:rFonts w:ascii="宋体"/>
              </w:rPr>
            </w:pPr>
          </w:p>
        </w:tc>
      </w:tr>
      <w:tr w:rsidR="00141CDF" w14:paraId="098A8889" w14:textId="77777777">
        <w:trPr>
          <w:jc w:val="center"/>
        </w:trPr>
        <w:tc>
          <w:tcPr>
            <w:tcW w:w="0" w:type="auto"/>
            <w:gridSpan w:val="3"/>
            <w:shd w:val="clear" w:color="auto" w:fill="FFFFFF"/>
            <w:tcMar>
              <w:top w:w="40" w:type="dxa"/>
              <w:left w:w="380" w:type="dxa"/>
              <w:bottom w:w="40" w:type="dxa"/>
              <w:right w:w="20" w:type="dxa"/>
            </w:tcMar>
            <w:vAlign w:val="center"/>
          </w:tcPr>
          <w:p w14:paraId="098A887D" w14:textId="77777777" w:rsidR="00141CDF" w:rsidRDefault="00DF45E0">
            <w:pPr>
              <w:textAlignment w:val="center"/>
            </w:pPr>
            <w:r>
              <w:rPr>
                <w:rFonts w:ascii="Times New Roman" w:eastAsia="宋体" w:hAnsi="Times New Roman"/>
                <w:color w:val="000000"/>
                <w:sz w:val="16"/>
                <w:szCs w:val="16"/>
              </w:rPr>
              <w:t>Currency translation and other</w:t>
            </w:r>
          </w:p>
        </w:tc>
        <w:tc>
          <w:tcPr>
            <w:tcW w:w="0" w:type="auto"/>
            <w:gridSpan w:val="2"/>
            <w:shd w:val="clear" w:color="auto" w:fill="FFFFFF"/>
            <w:tcMar>
              <w:top w:w="40" w:type="dxa"/>
              <w:left w:w="20" w:type="dxa"/>
              <w:bottom w:w="40" w:type="dxa"/>
              <w:right w:w="0" w:type="dxa"/>
            </w:tcMar>
            <w:vAlign w:val="center"/>
          </w:tcPr>
          <w:p w14:paraId="098A887E" w14:textId="77777777" w:rsidR="00141CDF" w:rsidRDefault="00DF45E0">
            <w:pPr>
              <w:jc w:val="right"/>
              <w:textAlignment w:val="center"/>
            </w:pPr>
            <w:r>
              <w:rPr>
                <w:rFonts w:ascii="Times New Roman" w:eastAsia="宋体" w:hAnsi="Times New Roman"/>
                <w:color w:val="000000"/>
                <w:sz w:val="16"/>
                <w:szCs w:val="16"/>
              </w:rPr>
              <w:t>(1,380)</w:t>
            </w:r>
          </w:p>
        </w:tc>
        <w:tc>
          <w:tcPr>
            <w:tcW w:w="0" w:type="auto"/>
            <w:shd w:val="clear" w:color="auto" w:fill="FFFFFF"/>
            <w:tcMar>
              <w:top w:w="40" w:type="dxa"/>
              <w:left w:w="0" w:type="dxa"/>
              <w:bottom w:w="40" w:type="dxa"/>
              <w:right w:w="20" w:type="dxa"/>
            </w:tcMar>
            <w:vAlign w:val="center"/>
          </w:tcPr>
          <w:p w14:paraId="098A887F"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880"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881" w14:textId="77777777" w:rsidR="00141CDF" w:rsidRDefault="00DF45E0">
            <w:pPr>
              <w:jc w:val="right"/>
              <w:textAlignment w:val="center"/>
            </w:pPr>
            <w:r>
              <w:rPr>
                <w:rFonts w:ascii="Times New Roman" w:eastAsia="宋体" w:hAnsi="Times New Roman"/>
                <w:color w:val="000000"/>
                <w:sz w:val="16"/>
                <w:szCs w:val="16"/>
              </w:rPr>
              <w:t>201 </w:t>
            </w:r>
          </w:p>
        </w:tc>
        <w:tc>
          <w:tcPr>
            <w:tcW w:w="0" w:type="auto"/>
            <w:shd w:val="clear" w:color="auto" w:fill="FFFFFF"/>
            <w:tcMar>
              <w:top w:w="40" w:type="dxa"/>
              <w:left w:w="0" w:type="dxa"/>
              <w:bottom w:w="40" w:type="dxa"/>
              <w:right w:w="20" w:type="dxa"/>
            </w:tcMar>
            <w:vAlign w:val="center"/>
          </w:tcPr>
          <w:p w14:paraId="098A8882"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883"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884" w14:textId="77777777" w:rsidR="00141CDF" w:rsidRDefault="00DF45E0">
            <w:pPr>
              <w:jc w:val="right"/>
              <w:textAlignment w:val="center"/>
            </w:pPr>
            <w:r>
              <w:rPr>
                <w:rFonts w:ascii="Times New Roman" w:eastAsia="宋体" w:hAnsi="Times New Roman"/>
                <w:color w:val="000000"/>
                <w:sz w:val="16"/>
                <w:szCs w:val="16"/>
              </w:rPr>
              <w:t>(1,148)</w:t>
            </w:r>
          </w:p>
        </w:tc>
        <w:tc>
          <w:tcPr>
            <w:tcW w:w="0" w:type="auto"/>
            <w:shd w:val="clear" w:color="auto" w:fill="FFFFFF"/>
            <w:tcMar>
              <w:top w:w="40" w:type="dxa"/>
              <w:left w:w="0" w:type="dxa"/>
              <w:bottom w:w="40" w:type="dxa"/>
              <w:right w:w="20" w:type="dxa"/>
            </w:tcMar>
            <w:vAlign w:val="center"/>
          </w:tcPr>
          <w:p w14:paraId="098A8885"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886"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887" w14:textId="77777777" w:rsidR="00141CDF" w:rsidRDefault="00DF45E0">
            <w:pPr>
              <w:jc w:val="right"/>
              <w:textAlignment w:val="center"/>
            </w:pPr>
            <w:r>
              <w:rPr>
                <w:rFonts w:ascii="Times New Roman" w:eastAsia="宋体" w:hAnsi="Times New Roman"/>
                <w:color w:val="000000"/>
                <w:sz w:val="16"/>
                <w:szCs w:val="16"/>
              </w:rPr>
              <w:t>3,160 </w:t>
            </w:r>
          </w:p>
        </w:tc>
        <w:tc>
          <w:tcPr>
            <w:tcW w:w="0" w:type="auto"/>
            <w:shd w:val="clear" w:color="auto" w:fill="FFFFFF"/>
            <w:tcMar>
              <w:top w:w="40" w:type="dxa"/>
              <w:left w:w="0" w:type="dxa"/>
              <w:bottom w:w="40" w:type="dxa"/>
              <w:right w:w="20" w:type="dxa"/>
            </w:tcMar>
            <w:vAlign w:val="center"/>
          </w:tcPr>
          <w:p w14:paraId="098A8888" w14:textId="77777777" w:rsidR="00141CDF" w:rsidRDefault="00141CDF">
            <w:pPr>
              <w:jc w:val="right"/>
              <w:rPr>
                <w:rFonts w:ascii="宋体"/>
              </w:rPr>
            </w:pPr>
          </w:p>
        </w:tc>
      </w:tr>
      <w:tr w:rsidR="00141CDF" w14:paraId="098A8896" w14:textId="77777777">
        <w:trPr>
          <w:jc w:val="center"/>
        </w:trPr>
        <w:tc>
          <w:tcPr>
            <w:tcW w:w="0" w:type="auto"/>
            <w:gridSpan w:val="3"/>
            <w:shd w:val="clear" w:color="auto" w:fill="CCEEFF"/>
            <w:tcMar>
              <w:top w:w="40" w:type="dxa"/>
              <w:left w:w="380" w:type="dxa"/>
              <w:bottom w:w="40" w:type="dxa"/>
              <w:right w:w="20" w:type="dxa"/>
            </w:tcMar>
            <w:vAlign w:val="center"/>
          </w:tcPr>
          <w:p w14:paraId="098A888A" w14:textId="77777777" w:rsidR="00141CDF" w:rsidRDefault="00DF45E0">
            <w:pPr>
              <w:textAlignment w:val="center"/>
            </w:pPr>
            <w:r>
              <w:rPr>
                <w:rFonts w:ascii="Times New Roman" w:eastAsia="宋体" w:hAnsi="Times New Roman"/>
                <w:color w:val="000000"/>
                <w:sz w:val="16"/>
                <w:szCs w:val="16"/>
              </w:rPr>
              <w:t>Net investment hedges</w:t>
            </w:r>
          </w:p>
        </w:tc>
        <w:tc>
          <w:tcPr>
            <w:tcW w:w="0" w:type="auto"/>
            <w:gridSpan w:val="2"/>
            <w:shd w:val="clear" w:color="auto" w:fill="CCEEFF"/>
            <w:tcMar>
              <w:top w:w="40" w:type="dxa"/>
              <w:left w:w="20" w:type="dxa"/>
              <w:bottom w:w="40" w:type="dxa"/>
              <w:right w:w="0" w:type="dxa"/>
            </w:tcMar>
            <w:vAlign w:val="center"/>
          </w:tcPr>
          <w:p w14:paraId="098A888B"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098A888C"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88D"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88E"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098A888F"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890"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891"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098A8892"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893"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894" w14:textId="77777777" w:rsidR="00141CDF" w:rsidRDefault="00DF45E0">
            <w:pPr>
              <w:jc w:val="right"/>
              <w:textAlignment w:val="center"/>
            </w:pPr>
            <w:r>
              <w:rPr>
                <w:rFonts w:ascii="Times New Roman" w:eastAsia="宋体" w:hAnsi="Times New Roman"/>
                <w:color w:val="000000"/>
                <w:sz w:val="16"/>
                <w:szCs w:val="16"/>
              </w:rPr>
              <w:t>(1,202)</w:t>
            </w:r>
          </w:p>
        </w:tc>
        <w:tc>
          <w:tcPr>
            <w:tcW w:w="0" w:type="auto"/>
            <w:shd w:val="clear" w:color="auto" w:fill="CCEEFF"/>
            <w:tcMar>
              <w:top w:w="40" w:type="dxa"/>
              <w:left w:w="0" w:type="dxa"/>
              <w:bottom w:w="40" w:type="dxa"/>
              <w:right w:w="20" w:type="dxa"/>
            </w:tcMar>
            <w:vAlign w:val="center"/>
          </w:tcPr>
          <w:p w14:paraId="098A8895" w14:textId="77777777" w:rsidR="00141CDF" w:rsidRDefault="00141CDF">
            <w:pPr>
              <w:jc w:val="right"/>
              <w:rPr>
                <w:rFonts w:ascii="宋体"/>
              </w:rPr>
            </w:pPr>
          </w:p>
        </w:tc>
      </w:tr>
      <w:tr w:rsidR="00141CDF" w14:paraId="098A88A3" w14:textId="77777777">
        <w:trPr>
          <w:jc w:val="center"/>
        </w:trPr>
        <w:tc>
          <w:tcPr>
            <w:tcW w:w="0" w:type="auto"/>
            <w:gridSpan w:val="3"/>
            <w:shd w:val="clear" w:color="auto" w:fill="FFFFFF"/>
            <w:tcMar>
              <w:top w:w="40" w:type="dxa"/>
              <w:left w:w="380" w:type="dxa"/>
              <w:bottom w:w="40" w:type="dxa"/>
              <w:right w:w="20" w:type="dxa"/>
            </w:tcMar>
            <w:vAlign w:val="center"/>
          </w:tcPr>
          <w:p w14:paraId="098A8897" w14:textId="77777777" w:rsidR="00141CDF" w:rsidRDefault="00DF45E0">
            <w:pPr>
              <w:textAlignment w:val="center"/>
            </w:pPr>
            <w:r>
              <w:rPr>
                <w:rFonts w:ascii="Times New Roman" w:eastAsia="宋体" w:hAnsi="Times New Roman"/>
                <w:color w:val="000000"/>
                <w:sz w:val="16"/>
                <w:szCs w:val="16"/>
              </w:rPr>
              <w:t>Cash flow hedges</w:t>
            </w:r>
          </w:p>
        </w:tc>
        <w:tc>
          <w:tcPr>
            <w:tcW w:w="0" w:type="auto"/>
            <w:gridSpan w:val="2"/>
            <w:shd w:val="clear" w:color="auto" w:fill="FFFFFF"/>
            <w:tcMar>
              <w:top w:w="40" w:type="dxa"/>
              <w:left w:w="20" w:type="dxa"/>
              <w:bottom w:w="40" w:type="dxa"/>
              <w:right w:w="0" w:type="dxa"/>
            </w:tcMar>
            <w:vAlign w:val="center"/>
          </w:tcPr>
          <w:p w14:paraId="098A8898" w14:textId="77777777" w:rsidR="00141CDF" w:rsidRDefault="00DF45E0">
            <w:pPr>
              <w:jc w:val="right"/>
              <w:textAlignment w:val="center"/>
            </w:pPr>
            <w:r>
              <w:rPr>
                <w:rFonts w:ascii="Times New Roman" w:eastAsia="宋体" w:hAnsi="Times New Roman"/>
                <w:color w:val="000000"/>
                <w:sz w:val="16"/>
                <w:szCs w:val="16"/>
              </w:rPr>
              <w:t>(293)</w:t>
            </w:r>
          </w:p>
        </w:tc>
        <w:tc>
          <w:tcPr>
            <w:tcW w:w="0" w:type="auto"/>
            <w:shd w:val="clear" w:color="auto" w:fill="FFFFFF"/>
            <w:tcMar>
              <w:top w:w="40" w:type="dxa"/>
              <w:left w:w="0" w:type="dxa"/>
              <w:bottom w:w="40" w:type="dxa"/>
              <w:right w:w="20" w:type="dxa"/>
            </w:tcMar>
            <w:vAlign w:val="center"/>
          </w:tcPr>
          <w:p w14:paraId="098A8899"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89A"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89B" w14:textId="77777777" w:rsidR="00141CDF" w:rsidRDefault="00DF45E0">
            <w:pPr>
              <w:jc w:val="right"/>
              <w:textAlignment w:val="center"/>
            </w:pPr>
            <w:r>
              <w:rPr>
                <w:rFonts w:ascii="Times New Roman" w:eastAsia="宋体" w:hAnsi="Times New Roman"/>
                <w:color w:val="000000"/>
                <w:sz w:val="16"/>
                <w:szCs w:val="16"/>
              </w:rPr>
              <w:t>(155)</w:t>
            </w:r>
          </w:p>
        </w:tc>
        <w:tc>
          <w:tcPr>
            <w:tcW w:w="0" w:type="auto"/>
            <w:shd w:val="clear" w:color="auto" w:fill="FFFFFF"/>
            <w:tcMar>
              <w:top w:w="40" w:type="dxa"/>
              <w:left w:w="0" w:type="dxa"/>
              <w:bottom w:w="40" w:type="dxa"/>
              <w:right w:w="20" w:type="dxa"/>
            </w:tcMar>
            <w:vAlign w:val="center"/>
          </w:tcPr>
          <w:p w14:paraId="098A889C"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89D"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89E" w14:textId="77777777" w:rsidR="00141CDF" w:rsidRDefault="00DF45E0">
            <w:pPr>
              <w:jc w:val="right"/>
              <w:textAlignment w:val="center"/>
            </w:pPr>
            <w:r>
              <w:rPr>
                <w:rFonts w:ascii="Times New Roman" w:eastAsia="宋体" w:hAnsi="Times New Roman"/>
                <w:color w:val="000000"/>
                <w:sz w:val="16"/>
                <w:szCs w:val="16"/>
              </w:rPr>
              <w:t>(251)</w:t>
            </w:r>
          </w:p>
        </w:tc>
        <w:tc>
          <w:tcPr>
            <w:tcW w:w="0" w:type="auto"/>
            <w:shd w:val="clear" w:color="auto" w:fill="FFFFFF"/>
            <w:tcMar>
              <w:top w:w="40" w:type="dxa"/>
              <w:left w:w="0" w:type="dxa"/>
              <w:bottom w:w="40" w:type="dxa"/>
              <w:right w:w="20" w:type="dxa"/>
            </w:tcMar>
            <w:vAlign w:val="center"/>
          </w:tcPr>
          <w:p w14:paraId="098A889F"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8A0"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8A1" w14:textId="77777777" w:rsidR="00141CDF" w:rsidRDefault="00DF45E0">
            <w:pPr>
              <w:jc w:val="right"/>
              <w:textAlignment w:val="center"/>
            </w:pPr>
            <w:r>
              <w:rPr>
                <w:rFonts w:ascii="Times New Roman" w:eastAsia="宋体" w:hAnsi="Times New Roman"/>
                <w:color w:val="000000"/>
                <w:sz w:val="16"/>
                <w:szCs w:val="16"/>
              </w:rPr>
              <w:t>(135)</w:t>
            </w:r>
          </w:p>
        </w:tc>
        <w:tc>
          <w:tcPr>
            <w:tcW w:w="0" w:type="auto"/>
            <w:shd w:val="clear" w:color="auto" w:fill="FFFFFF"/>
            <w:tcMar>
              <w:top w:w="40" w:type="dxa"/>
              <w:left w:w="0" w:type="dxa"/>
              <w:bottom w:w="40" w:type="dxa"/>
              <w:right w:w="20" w:type="dxa"/>
            </w:tcMar>
            <w:vAlign w:val="center"/>
          </w:tcPr>
          <w:p w14:paraId="098A88A2" w14:textId="77777777" w:rsidR="00141CDF" w:rsidRDefault="00141CDF">
            <w:pPr>
              <w:jc w:val="right"/>
              <w:rPr>
                <w:rFonts w:ascii="宋体"/>
              </w:rPr>
            </w:pPr>
          </w:p>
        </w:tc>
      </w:tr>
      <w:tr w:rsidR="00141CDF" w14:paraId="098A88B0" w14:textId="77777777">
        <w:trPr>
          <w:jc w:val="center"/>
        </w:trPr>
        <w:tc>
          <w:tcPr>
            <w:tcW w:w="0" w:type="auto"/>
            <w:gridSpan w:val="3"/>
            <w:shd w:val="clear" w:color="auto" w:fill="CCEEFF"/>
            <w:tcMar>
              <w:top w:w="40" w:type="dxa"/>
              <w:left w:w="380" w:type="dxa"/>
              <w:bottom w:w="40" w:type="dxa"/>
              <w:right w:w="20" w:type="dxa"/>
            </w:tcMar>
            <w:vAlign w:val="center"/>
          </w:tcPr>
          <w:p w14:paraId="098A88A4" w14:textId="77777777" w:rsidR="00141CDF" w:rsidRDefault="00DF45E0">
            <w:pPr>
              <w:textAlignment w:val="center"/>
            </w:pPr>
            <w:r>
              <w:rPr>
                <w:rFonts w:ascii="Times New Roman" w:eastAsia="宋体" w:hAnsi="Times New Roman"/>
                <w:color w:val="000000"/>
                <w:sz w:val="16"/>
                <w:szCs w:val="16"/>
              </w:rPr>
              <w:t>Minimum pension liability</w:t>
            </w:r>
          </w:p>
        </w:tc>
        <w:tc>
          <w:tcPr>
            <w:tcW w:w="0" w:type="auto"/>
            <w:gridSpan w:val="2"/>
            <w:shd w:val="clear" w:color="auto" w:fill="CCEEFF"/>
            <w:tcMar>
              <w:top w:w="40" w:type="dxa"/>
              <w:left w:w="20" w:type="dxa"/>
              <w:bottom w:w="40" w:type="dxa"/>
              <w:right w:w="0" w:type="dxa"/>
            </w:tcMar>
            <w:vAlign w:val="center"/>
          </w:tcPr>
          <w:p w14:paraId="098A88A5" w14:textId="77777777" w:rsidR="00141CDF" w:rsidRDefault="00DF45E0">
            <w:pPr>
              <w:jc w:val="right"/>
              <w:textAlignment w:val="center"/>
            </w:pPr>
            <w:r>
              <w:rPr>
                <w:rFonts w:ascii="Times New Roman" w:eastAsia="宋体" w:hAnsi="Times New Roman"/>
                <w:color w:val="000000"/>
                <w:sz w:val="16"/>
                <w:szCs w:val="16"/>
              </w:rPr>
              <w:t>2 </w:t>
            </w:r>
          </w:p>
        </w:tc>
        <w:tc>
          <w:tcPr>
            <w:tcW w:w="0" w:type="auto"/>
            <w:shd w:val="clear" w:color="auto" w:fill="CCEEFF"/>
            <w:tcMar>
              <w:top w:w="40" w:type="dxa"/>
              <w:left w:w="0" w:type="dxa"/>
              <w:bottom w:w="40" w:type="dxa"/>
              <w:right w:w="20" w:type="dxa"/>
            </w:tcMar>
            <w:vAlign w:val="center"/>
          </w:tcPr>
          <w:p w14:paraId="098A88A6"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8A7"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8A8" w14:textId="77777777" w:rsidR="00141CDF" w:rsidRDefault="00DF45E0">
            <w:pPr>
              <w:jc w:val="right"/>
              <w:textAlignment w:val="center"/>
            </w:pPr>
            <w:r>
              <w:rPr>
                <w:rFonts w:ascii="Times New Roman" w:eastAsia="宋体" w:hAnsi="Times New Roman"/>
                <w:color w:val="000000"/>
                <w:sz w:val="16"/>
                <w:szCs w:val="16"/>
              </w:rPr>
              <w:t>2 </w:t>
            </w:r>
          </w:p>
        </w:tc>
        <w:tc>
          <w:tcPr>
            <w:tcW w:w="0" w:type="auto"/>
            <w:shd w:val="clear" w:color="auto" w:fill="CCEEFF"/>
            <w:tcMar>
              <w:top w:w="40" w:type="dxa"/>
              <w:left w:w="0" w:type="dxa"/>
              <w:bottom w:w="40" w:type="dxa"/>
              <w:right w:w="20" w:type="dxa"/>
            </w:tcMar>
            <w:vAlign w:val="center"/>
          </w:tcPr>
          <w:p w14:paraId="098A88A9"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8AA"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8AB" w14:textId="77777777" w:rsidR="00141CDF" w:rsidRDefault="00DF45E0">
            <w:pPr>
              <w:jc w:val="right"/>
              <w:textAlignment w:val="center"/>
            </w:pPr>
            <w:r>
              <w:rPr>
                <w:rFonts w:ascii="Times New Roman" w:eastAsia="宋体" w:hAnsi="Times New Roman"/>
                <w:color w:val="000000"/>
                <w:sz w:val="16"/>
                <w:szCs w:val="16"/>
              </w:rPr>
              <w:t>3 </w:t>
            </w:r>
          </w:p>
        </w:tc>
        <w:tc>
          <w:tcPr>
            <w:tcW w:w="0" w:type="auto"/>
            <w:shd w:val="clear" w:color="auto" w:fill="CCEEFF"/>
            <w:tcMar>
              <w:top w:w="40" w:type="dxa"/>
              <w:left w:w="0" w:type="dxa"/>
              <w:bottom w:w="40" w:type="dxa"/>
              <w:right w:w="20" w:type="dxa"/>
            </w:tcMar>
            <w:vAlign w:val="center"/>
          </w:tcPr>
          <w:p w14:paraId="098A88AC"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8AD"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8AE" w14:textId="77777777" w:rsidR="00141CDF" w:rsidRDefault="00DF45E0">
            <w:pPr>
              <w:jc w:val="right"/>
              <w:textAlignment w:val="center"/>
            </w:pPr>
            <w:r>
              <w:rPr>
                <w:rFonts w:ascii="Times New Roman" w:eastAsia="宋体" w:hAnsi="Times New Roman"/>
                <w:color w:val="000000"/>
                <w:sz w:val="16"/>
                <w:szCs w:val="16"/>
              </w:rPr>
              <w:t>1,971 </w:t>
            </w:r>
          </w:p>
        </w:tc>
        <w:tc>
          <w:tcPr>
            <w:tcW w:w="0" w:type="auto"/>
            <w:shd w:val="clear" w:color="auto" w:fill="CCEEFF"/>
            <w:tcMar>
              <w:top w:w="40" w:type="dxa"/>
              <w:left w:w="0" w:type="dxa"/>
              <w:bottom w:w="40" w:type="dxa"/>
              <w:right w:w="20" w:type="dxa"/>
            </w:tcMar>
            <w:vAlign w:val="center"/>
          </w:tcPr>
          <w:p w14:paraId="098A88AF" w14:textId="77777777" w:rsidR="00141CDF" w:rsidRDefault="00141CDF">
            <w:pPr>
              <w:jc w:val="right"/>
              <w:rPr>
                <w:rFonts w:ascii="宋体"/>
              </w:rPr>
            </w:pPr>
          </w:p>
        </w:tc>
      </w:tr>
      <w:tr w:rsidR="00141CDF" w14:paraId="098A88B9" w14:textId="77777777">
        <w:trPr>
          <w:jc w:val="center"/>
          <w:hidden/>
        </w:trPr>
        <w:tc>
          <w:tcPr>
            <w:tcW w:w="0" w:type="auto"/>
            <w:gridSpan w:val="3"/>
            <w:shd w:val="clear" w:color="auto" w:fill="auto"/>
            <w:vAlign w:val="bottom"/>
          </w:tcPr>
          <w:p w14:paraId="098A88B1" w14:textId="77777777" w:rsidR="00141CDF" w:rsidRDefault="00141CDF">
            <w:pPr>
              <w:rPr>
                <w:rFonts w:ascii="宋体"/>
                <w:vanish/>
              </w:rPr>
            </w:pPr>
          </w:p>
        </w:tc>
        <w:tc>
          <w:tcPr>
            <w:tcW w:w="0" w:type="auto"/>
            <w:gridSpan w:val="3"/>
            <w:shd w:val="clear" w:color="auto" w:fill="auto"/>
            <w:vAlign w:val="bottom"/>
          </w:tcPr>
          <w:p w14:paraId="098A88B2" w14:textId="77777777" w:rsidR="00141CDF" w:rsidRDefault="00141CDF">
            <w:pPr>
              <w:rPr>
                <w:rFonts w:ascii="宋体"/>
                <w:vanish/>
              </w:rPr>
            </w:pPr>
          </w:p>
        </w:tc>
        <w:tc>
          <w:tcPr>
            <w:tcW w:w="0" w:type="auto"/>
            <w:gridSpan w:val="3"/>
            <w:shd w:val="clear" w:color="auto" w:fill="auto"/>
            <w:vAlign w:val="bottom"/>
          </w:tcPr>
          <w:p w14:paraId="098A88B3" w14:textId="77777777" w:rsidR="00141CDF" w:rsidRDefault="00141CDF">
            <w:pPr>
              <w:rPr>
                <w:rFonts w:ascii="宋体"/>
                <w:vanish/>
              </w:rPr>
            </w:pPr>
          </w:p>
        </w:tc>
        <w:tc>
          <w:tcPr>
            <w:tcW w:w="0" w:type="auto"/>
            <w:gridSpan w:val="3"/>
            <w:shd w:val="clear" w:color="auto" w:fill="auto"/>
            <w:vAlign w:val="bottom"/>
          </w:tcPr>
          <w:p w14:paraId="098A88B4" w14:textId="77777777" w:rsidR="00141CDF" w:rsidRDefault="00141CDF">
            <w:pPr>
              <w:rPr>
                <w:rFonts w:ascii="宋体"/>
                <w:vanish/>
              </w:rPr>
            </w:pPr>
          </w:p>
        </w:tc>
        <w:tc>
          <w:tcPr>
            <w:tcW w:w="0" w:type="auto"/>
            <w:gridSpan w:val="3"/>
            <w:shd w:val="clear" w:color="auto" w:fill="auto"/>
            <w:vAlign w:val="bottom"/>
          </w:tcPr>
          <w:p w14:paraId="098A88B5" w14:textId="77777777" w:rsidR="00141CDF" w:rsidRDefault="00141CDF">
            <w:pPr>
              <w:rPr>
                <w:rFonts w:ascii="宋体"/>
                <w:vanish/>
              </w:rPr>
            </w:pPr>
          </w:p>
        </w:tc>
        <w:tc>
          <w:tcPr>
            <w:tcW w:w="0" w:type="auto"/>
            <w:gridSpan w:val="3"/>
            <w:shd w:val="clear" w:color="auto" w:fill="auto"/>
            <w:vAlign w:val="bottom"/>
          </w:tcPr>
          <w:p w14:paraId="098A88B6" w14:textId="77777777" w:rsidR="00141CDF" w:rsidRDefault="00141CDF">
            <w:pPr>
              <w:rPr>
                <w:rFonts w:ascii="宋体"/>
                <w:vanish/>
              </w:rPr>
            </w:pPr>
          </w:p>
        </w:tc>
        <w:tc>
          <w:tcPr>
            <w:tcW w:w="0" w:type="auto"/>
            <w:gridSpan w:val="3"/>
            <w:shd w:val="clear" w:color="auto" w:fill="auto"/>
            <w:vAlign w:val="bottom"/>
          </w:tcPr>
          <w:p w14:paraId="098A88B7" w14:textId="77777777" w:rsidR="00141CDF" w:rsidRDefault="00141CDF">
            <w:pPr>
              <w:rPr>
                <w:rFonts w:ascii="宋体"/>
                <w:vanish/>
              </w:rPr>
            </w:pPr>
          </w:p>
        </w:tc>
        <w:tc>
          <w:tcPr>
            <w:tcW w:w="0" w:type="auto"/>
            <w:gridSpan w:val="3"/>
            <w:shd w:val="clear" w:color="auto" w:fill="auto"/>
            <w:vAlign w:val="bottom"/>
          </w:tcPr>
          <w:p w14:paraId="098A88B8" w14:textId="77777777" w:rsidR="00141CDF" w:rsidRDefault="00141CDF">
            <w:pPr>
              <w:rPr>
                <w:rFonts w:ascii="宋体"/>
                <w:vanish/>
              </w:rPr>
            </w:pPr>
          </w:p>
        </w:tc>
      </w:tr>
      <w:tr w:rsidR="00141CDF" w14:paraId="098A88C6" w14:textId="77777777">
        <w:trPr>
          <w:jc w:val="center"/>
        </w:trPr>
        <w:tc>
          <w:tcPr>
            <w:tcW w:w="0" w:type="auto"/>
            <w:gridSpan w:val="3"/>
            <w:shd w:val="clear" w:color="auto" w:fill="FFFFFF"/>
            <w:tcMar>
              <w:top w:w="40" w:type="dxa"/>
              <w:left w:w="20" w:type="dxa"/>
              <w:bottom w:w="40" w:type="dxa"/>
              <w:right w:w="20" w:type="dxa"/>
            </w:tcMar>
            <w:vAlign w:val="center"/>
          </w:tcPr>
          <w:p w14:paraId="098A88BA" w14:textId="77777777" w:rsidR="00141CDF" w:rsidRDefault="00DF45E0">
            <w:pPr>
              <w:textAlignment w:val="center"/>
            </w:pPr>
            <w:r>
              <w:rPr>
                <w:rFonts w:ascii="Times New Roman" w:eastAsia="宋体" w:hAnsi="Times New Roman"/>
                <w:color w:val="000000"/>
                <w:sz w:val="16"/>
                <w:szCs w:val="16"/>
              </w:rPr>
              <w:t>Other comprehensive (loss) income, net of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98A88BB" w14:textId="77777777" w:rsidR="00141CDF" w:rsidRDefault="00DF45E0">
            <w:pPr>
              <w:jc w:val="right"/>
              <w:textAlignment w:val="center"/>
            </w:pPr>
            <w:r>
              <w:rPr>
                <w:rFonts w:ascii="Times New Roman" w:eastAsia="宋体" w:hAnsi="Times New Roman"/>
                <w:color w:val="000000"/>
                <w:sz w:val="16"/>
                <w:szCs w:val="16"/>
              </w:rPr>
              <w:t>(1,671)</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88BC"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8BD" w14:textId="77777777" w:rsidR="00141CDF" w:rsidRDefault="00141C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98A88BE" w14:textId="77777777" w:rsidR="00141CDF" w:rsidRDefault="00DF45E0">
            <w:pPr>
              <w:jc w:val="right"/>
              <w:textAlignment w:val="center"/>
            </w:pPr>
            <w:r>
              <w:rPr>
                <w:rFonts w:ascii="Times New Roman" w:eastAsia="宋体" w:hAnsi="Times New Roman"/>
                <w:color w:val="000000"/>
                <w:sz w:val="16"/>
                <w:szCs w:val="16"/>
              </w:rPr>
              <w:t>48 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88BF"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8C0" w14:textId="77777777" w:rsidR="00141CDF" w:rsidRDefault="00141C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98A88C1" w14:textId="77777777" w:rsidR="00141CDF" w:rsidRDefault="00DF45E0">
            <w:pPr>
              <w:jc w:val="right"/>
              <w:textAlignment w:val="center"/>
            </w:pPr>
            <w:r>
              <w:rPr>
                <w:rFonts w:ascii="Times New Roman" w:eastAsia="宋体" w:hAnsi="Times New Roman"/>
                <w:color w:val="000000"/>
                <w:sz w:val="16"/>
                <w:szCs w:val="16"/>
              </w:rPr>
              <w:t>(1,396)</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88C2"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8C3" w14:textId="77777777" w:rsidR="00141CDF" w:rsidRDefault="00141C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98A88C4" w14:textId="77777777" w:rsidR="00141CDF" w:rsidRDefault="00DF45E0">
            <w:pPr>
              <w:jc w:val="right"/>
              <w:textAlignment w:val="center"/>
            </w:pPr>
            <w:r>
              <w:rPr>
                <w:rFonts w:ascii="Times New Roman" w:eastAsia="宋体" w:hAnsi="Times New Roman"/>
                <w:color w:val="000000"/>
                <w:sz w:val="16"/>
                <w:szCs w:val="16"/>
              </w:rPr>
              <w:t>3,794 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88C5" w14:textId="77777777" w:rsidR="00141CDF" w:rsidRDefault="00141CDF">
            <w:pPr>
              <w:jc w:val="right"/>
              <w:rPr>
                <w:rFonts w:ascii="宋体"/>
              </w:rPr>
            </w:pPr>
          </w:p>
        </w:tc>
      </w:tr>
      <w:tr w:rsidR="00141CDF" w14:paraId="098A88D3" w14:textId="77777777">
        <w:trPr>
          <w:jc w:val="center"/>
        </w:trPr>
        <w:tc>
          <w:tcPr>
            <w:tcW w:w="0" w:type="auto"/>
            <w:gridSpan w:val="3"/>
            <w:shd w:val="clear" w:color="auto" w:fill="CCEEFF"/>
            <w:tcMar>
              <w:top w:w="40" w:type="dxa"/>
              <w:left w:w="380" w:type="dxa"/>
              <w:bottom w:w="40" w:type="dxa"/>
              <w:right w:w="20" w:type="dxa"/>
            </w:tcMar>
            <w:vAlign w:val="center"/>
          </w:tcPr>
          <w:p w14:paraId="098A88C7" w14:textId="77777777" w:rsidR="00141CDF" w:rsidRDefault="00DF45E0">
            <w:pPr>
              <w:textAlignment w:val="center"/>
            </w:pPr>
            <w:r>
              <w:rPr>
                <w:rFonts w:ascii="Times New Roman" w:eastAsia="宋体" w:hAnsi="Times New Roman"/>
                <w:color w:val="000000"/>
                <w:sz w:val="16"/>
                <w:szCs w:val="16"/>
              </w:rPr>
              <w:t>Other comprehensive loss (income) attributable to noncontrolling interest</w:t>
            </w:r>
          </w:p>
        </w:tc>
        <w:tc>
          <w:tcPr>
            <w:tcW w:w="0" w:type="auto"/>
            <w:gridSpan w:val="2"/>
            <w:shd w:val="clear" w:color="auto" w:fill="CCEEFF"/>
            <w:tcMar>
              <w:top w:w="40" w:type="dxa"/>
              <w:left w:w="20" w:type="dxa"/>
              <w:bottom w:w="40" w:type="dxa"/>
              <w:right w:w="0" w:type="dxa"/>
            </w:tcMar>
            <w:vAlign w:val="center"/>
          </w:tcPr>
          <w:p w14:paraId="098A88C8" w14:textId="77777777" w:rsidR="00141CDF" w:rsidRDefault="00DF45E0">
            <w:pPr>
              <w:jc w:val="right"/>
              <w:textAlignment w:val="center"/>
            </w:pPr>
            <w:r>
              <w:rPr>
                <w:rFonts w:ascii="Times New Roman" w:eastAsia="宋体" w:hAnsi="Times New Roman"/>
                <w:color w:val="000000"/>
                <w:sz w:val="16"/>
                <w:szCs w:val="16"/>
              </w:rPr>
              <w:t>275 </w:t>
            </w:r>
          </w:p>
        </w:tc>
        <w:tc>
          <w:tcPr>
            <w:tcW w:w="0" w:type="auto"/>
            <w:shd w:val="clear" w:color="auto" w:fill="CCEEFF"/>
            <w:tcMar>
              <w:top w:w="40" w:type="dxa"/>
              <w:left w:w="0" w:type="dxa"/>
              <w:bottom w:w="40" w:type="dxa"/>
              <w:right w:w="20" w:type="dxa"/>
            </w:tcMar>
            <w:vAlign w:val="center"/>
          </w:tcPr>
          <w:p w14:paraId="098A88C9"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8CA"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8CB" w14:textId="77777777" w:rsidR="00141CDF" w:rsidRDefault="00DF45E0">
            <w:pPr>
              <w:jc w:val="right"/>
              <w:textAlignment w:val="center"/>
            </w:pPr>
            <w:r>
              <w:rPr>
                <w:rFonts w:ascii="Times New Roman" w:eastAsia="宋体" w:hAnsi="Times New Roman"/>
                <w:color w:val="000000"/>
                <w:sz w:val="16"/>
                <w:szCs w:val="16"/>
              </w:rPr>
              <w:t>(78)</w:t>
            </w:r>
          </w:p>
        </w:tc>
        <w:tc>
          <w:tcPr>
            <w:tcW w:w="0" w:type="auto"/>
            <w:shd w:val="clear" w:color="auto" w:fill="CCEEFF"/>
            <w:tcMar>
              <w:top w:w="40" w:type="dxa"/>
              <w:left w:w="0" w:type="dxa"/>
              <w:bottom w:w="40" w:type="dxa"/>
              <w:right w:w="20" w:type="dxa"/>
            </w:tcMar>
            <w:vAlign w:val="center"/>
          </w:tcPr>
          <w:p w14:paraId="098A88CC"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8CD"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8CE" w14:textId="77777777" w:rsidR="00141CDF" w:rsidRDefault="00DF45E0">
            <w:pPr>
              <w:jc w:val="right"/>
              <w:textAlignment w:val="center"/>
            </w:pPr>
            <w:r>
              <w:rPr>
                <w:rFonts w:ascii="Times New Roman" w:eastAsia="宋体" w:hAnsi="Times New Roman"/>
                <w:color w:val="000000"/>
                <w:sz w:val="16"/>
                <w:szCs w:val="16"/>
              </w:rPr>
              <w:t>268 </w:t>
            </w:r>
          </w:p>
        </w:tc>
        <w:tc>
          <w:tcPr>
            <w:tcW w:w="0" w:type="auto"/>
            <w:shd w:val="clear" w:color="auto" w:fill="CCEEFF"/>
            <w:tcMar>
              <w:top w:w="40" w:type="dxa"/>
              <w:left w:w="0" w:type="dxa"/>
              <w:bottom w:w="40" w:type="dxa"/>
              <w:right w:w="20" w:type="dxa"/>
            </w:tcMar>
            <w:vAlign w:val="center"/>
          </w:tcPr>
          <w:p w14:paraId="098A88CF"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8D0"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8D1" w14:textId="77777777" w:rsidR="00141CDF" w:rsidRDefault="00DF45E0">
            <w:pPr>
              <w:jc w:val="right"/>
              <w:textAlignment w:val="center"/>
            </w:pPr>
            <w:r>
              <w:rPr>
                <w:rFonts w:ascii="Times New Roman" w:eastAsia="宋体" w:hAnsi="Times New Roman"/>
                <w:color w:val="000000"/>
                <w:sz w:val="16"/>
                <w:szCs w:val="16"/>
              </w:rPr>
              <w:t>(4)</w:t>
            </w:r>
          </w:p>
        </w:tc>
        <w:tc>
          <w:tcPr>
            <w:tcW w:w="0" w:type="auto"/>
            <w:shd w:val="clear" w:color="auto" w:fill="CCEEFF"/>
            <w:tcMar>
              <w:top w:w="40" w:type="dxa"/>
              <w:left w:w="0" w:type="dxa"/>
              <w:bottom w:w="40" w:type="dxa"/>
              <w:right w:w="20" w:type="dxa"/>
            </w:tcMar>
            <w:vAlign w:val="center"/>
          </w:tcPr>
          <w:p w14:paraId="098A88D2" w14:textId="77777777" w:rsidR="00141CDF" w:rsidRDefault="00141CDF">
            <w:pPr>
              <w:jc w:val="right"/>
              <w:rPr>
                <w:rFonts w:ascii="宋体"/>
              </w:rPr>
            </w:pPr>
          </w:p>
        </w:tc>
      </w:tr>
      <w:tr w:rsidR="00141CDF" w14:paraId="098A88DC" w14:textId="77777777">
        <w:trPr>
          <w:jc w:val="center"/>
          <w:hidden/>
        </w:trPr>
        <w:tc>
          <w:tcPr>
            <w:tcW w:w="0" w:type="auto"/>
            <w:gridSpan w:val="3"/>
            <w:shd w:val="clear" w:color="auto" w:fill="auto"/>
            <w:vAlign w:val="bottom"/>
          </w:tcPr>
          <w:p w14:paraId="098A88D4" w14:textId="77777777" w:rsidR="00141CDF" w:rsidRDefault="00141CDF">
            <w:pPr>
              <w:rPr>
                <w:rFonts w:ascii="宋体"/>
                <w:vanish/>
              </w:rPr>
            </w:pPr>
          </w:p>
        </w:tc>
        <w:tc>
          <w:tcPr>
            <w:tcW w:w="0" w:type="auto"/>
            <w:gridSpan w:val="3"/>
            <w:shd w:val="clear" w:color="auto" w:fill="auto"/>
            <w:vAlign w:val="bottom"/>
          </w:tcPr>
          <w:p w14:paraId="098A88D5" w14:textId="77777777" w:rsidR="00141CDF" w:rsidRDefault="00141CDF">
            <w:pPr>
              <w:rPr>
                <w:rFonts w:ascii="宋体"/>
                <w:vanish/>
              </w:rPr>
            </w:pPr>
          </w:p>
        </w:tc>
        <w:tc>
          <w:tcPr>
            <w:tcW w:w="0" w:type="auto"/>
            <w:gridSpan w:val="3"/>
            <w:shd w:val="clear" w:color="auto" w:fill="auto"/>
            <w:vAlign w:val="bottom"/>
          </w:tcPr>
          <w:p w14:paraId="098A88D6" w14:textId="77777777" w:rsidR="00141CDF" w:rsidRDefault="00141CDF">
            <w:pPr>
              <w:rPr>
                <w:rFonts w:ascii="宋体"/>
                <w:vanish/>
              </w:rPr>
            </w:pPr>
          </w:p>
        </w:tc>
        <w:tc>
          <w:tcPr>
            <w:tcW w:w="0" w:type="auto"/>
            <w:gridSpan w:val="3"/>
            <w:shd w:val="clear" w:color="auto" w:fill="auto"/>
            <w:vAlign w:val="bottom"/>
          </w:tcPr>
          <w:p w14:paraId="098A88D7" w14:textId="77777777" w:rsidR="00141CDF" w:rsidRDefault="00141CDF">
            <w:pPr>
              <w:rPr>
                <w:rFonts w:ascii="宋体"/>
                <w:vanish/>
              </w:rPr>
            </w:pPr>
          </w:p>
        </w:tc>
        <w:tc>
          <w:tcPr>
            <w:tcW w:w="0" w:type="auto"/>
            <w:gridSpan w:val="3"/>
            <w:shd w:val="clear" w:color="auto" w:fill="auto"/>
            <w:vAlign w:val="bottom"/>
          </w:tcPr>
          <w:p w14:paraId="098A88D8" w14:textId="77777777" w:rsidR="00141CDF" w:rsidRDefault="00141CDF">
            <w:pPr>
              <w:rPr>
                <w:rFonts w:ascii="宋体"/>
                <w:vanish/>
              </w:rPr>
            </w:pPr>
          </w:p>
        </w:tc>
        <w:tc>
          <w:tcPr>
            <w:tcW w:w="0" w:type="auto"/>
            <w:gridSpan w:val="3"/>
            <w:shd w:val="clear" w:color="auto" w:fill="auto"/>
            <w:vAlign w:val="bottom"/>
          </w:tcPr>
          <w:p w14:paraId="098A88D9" w14:textId="77777777" w:rsidR="00141CDF" w:rsidRDefault="00141CDF">
            <w:pPr>
              <w:rPr>
                <w:rFonts w:ascii="宋体"/>
                <w:vanish/>
              </w:rPr>
            </w:pPr>
          </w:p>
        </w:tc>
        <w:tc>
          <w:tcPr>
            <w:tcW w:w="0" w:type="auto"/>
            <w:gridSpan w:val="3"/>
            <w:shd w:val="clear" w:color="auto" w:fill="auto"/>
            <w:vAlign w:val="bottom"/>
          </w:tcPr>
          <w:p w14:paraId="098A88DA" w14:textId="77777777" w:rsidR="00141CDF" w:rsidRDefault="00141CDF">
            <w:pPr>
              <w:rPr>
                <w:rFonts w:ascii="宋体"/>
                <w:vanish/>
              </w:rPr>
            </w:pPr>
          </w:p>
        </w:tc>
        <w:tc>
          <w:tcPr>
            <w:tcW w:w="0" w:type="auto"/>
            <w:gridSpan w:val="3"/>
            <w:shd w:val="clear" w:color="auto" w:fill="auto"/>
            <w:vAlign w:val="bottom"/>
          </w:tcPr>
          <w:p w14:paraId="098A88DB" w14:textId="77777777" w:rsidR="00141CDF" w:rsidRDefault="00141CDF">
            <w:pPr>
              <w:rPr>
                <w:rFonts w:ascii="宋体"/>
                <w:vanish/>
              </w:rPr>
            </w:pPr>
          </w:p>
        </w:tc>
      </w:tr>
      <w:tr w:rsidR="00141CDF" w14:paraId="098A88E9" w14:textId="77777777">
        <w:trPr>
          <w:jc w:val="center"/>
        </w:trPr>
        <w:tc>
          <w:tcPr>
            <w:tcW w:w="0" w:type="auto"/>
            <w:gridSpan w:val="3"/>
            <w:shd w:val="clear" w:color="auto" w:fill="FFFFFF"/>
            <w:tcMar>
              <w:top w:w="40" w:type="dxa"/>
              <w:left w:w="20" w:type="dxa"/>
              <w:bottom w:w="40" w:type="dxa"/>
              <w:right w:w="20" w:type="dxa"/>
            </w:tcMar>
            <w:vAlign w:val="center"/>
          </w:tcPr>
          <w:p w14:paraId="098A88DD" w14:textId="77777777" w:rsidR="00141CDF" w:rsidRDefault="00DF45E0">
            <w:pPr>
              <w:textAlignment w:val="center"/>
            </w:pPr>
            <w:r>
              <w:rPr>
                <w:rFonts w:ascii="Times New Roman" w:eastAsia="宋体" w:hAnsi="Times New Roman"/>
                <w:b/>
                <w:bCs/>
                <w:color w:val="000000"/>
                <w:sz w:val="16"/>
                <w:szCs w:val="16"/>
              </w:rPr>
              <w:t>Other comprehensive (loss) income attributable to Walmart</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98A88DE" w14:textId="77777777" w:rsidR="00141CDF" w:rsidRDefault="00DF45E0">
            <w:pPr>
              <w:jc w:val="right"/>
              <w:textAlignment w:val="center"/>
            </w:pPr>
            <w:r>
              <w:rPr>
                <w:rFonts w:ascii="Times New Roman" w:eastAsia="宋体" w:hAnsi="Times New Roman"/>
                <w:color w:val="000000"/>
                <w:sz w:val="16"/>
                <w:szCs w:val="16"/>
              </w:rPr>
              <w:t>(1,396)</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88DF"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8E0" w14:textId="77777777" w:rsidR="00141CDF" w:rsidRDefault="00141C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98A88E1" w14:textId="77777777" w:rsidR="00141CDF" w:rsidRDefault="00DF45E0">
            <w:pPr>
              <w:jc w:val="right"/>
              <w:textAlignment w:val="center"/>
            </w:pPr>
            <w:r>
              <w:rPr>
                <w:rFonts w:ascii="Times New Roman" w:eastAsia="宋体" w:hAnsi="Times New Roman"/>
                <w:color w:val="000000"/>
                <w:sz w:val="16"/>
                <w:szCs w:val="16"/>
              </w:rPr>
              <w:t>(30)</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88E2"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8E3" w14:textId="77777777" w:rsidR="00141CDF" w:rsidRDefault="00141C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98A88E4" w14:textId="77777777" w:rsidR="00141CDF" w:rsidRDefault="00DF45E0">
            <w:pPr>
              <w:jc w:val="right"/>
              <w:textAlignment w:val="center"/>
            </w:pPr>
            <w:r>
              <w:rPr>
                <w:rFonts w:ascii="Times New Roman" w:eastAsia="宋体" w:hAnsi="Times New Roman"/>
                <w:color w:val="000000"/>
                <w:sz w:val="16"/>
                <w:szCs w:val="16"/>
              </w:rPr>
              <w:t>(1,128)</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88E5"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8E6" w14:textId="77777777" w:rsidR="00141CDF" w:rsidRDefault="00141C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98A88E7" w14:textId="77777777" w:rsidR="00141CDF" w:rsidRDefault="00DF45E0">
            <w:pPr>
              <w:jc w:val="right"/>
              <w:textAlignment w:val="center"/>
            </w:pPr>
            <w:r>
              <w:rPr>
                <w:rFonts w:ascii="Times New Roman" w:eastAsia="宋体" w:hAnsi="Times New Roman"/>
                <w:color w:val="000000"/>
                <w:sz w:val="16"/>
                <w:szCs w:val="16"/>
              </w:rPr>
              <w:t>3,790 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88E8" w14:textId="77777777" w:rsidR="00141CDF" w:rsidRDefault="00141CDF">
            <w:pPr>
              <w:jc w:val="right"/>
              <w:rPr>
                <w:rFonts w:ascii="宋体"/>
              </w:rPr>
            </w:pPr>
          </w:p>
        </w:tc>
      </w:tr>
      <w:tr w:rsidR="00141CDF" w14:paraId="098A88F2" w14:textId="77777777">
        <w:trPr>
          <w:trHeight w:val="220"/>
          <w:jc w:val="center"/>
        </w:trPr>
        <w:tc>
          <w:tcPr>
            <w:tcW w:w="0" w:type="auto"/>
            <w:gridSpan w:val="3"/>
            <w:shd w:val="clear" w:color="auto" w:fill="CCEEFF"/>
            <w:tcMar>
              <w:top w:w="0" w:type="dxa"/>
              <w:left w:w="20" w:type="dxa"/>
              <w:bottom w:w="0" w:type="dxa"/>
              <w:right w:w="20" w:type="dxa"/>
            </w:tcMar>
            <w:vAlign w:val="bottom"/>
          </w:tcPr>
          <w:p w14:paraId="098A88EA" w14:textId="77777777" w:rsidR="00141CDF" w:rsidRDefault="00141CD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98A88EB"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8EC" w14:textId="77777777" w:rsidR="00141CDF" w:rsidRDefault="00141CD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98A88ED"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8EE" w14:textId="77777777" w:rsidR="00141CDF" w:rsidRDefault="00141CD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98A88EF"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8F0" w14:textId="77777777" w:rsidR="00141CDF" w:rsidRDefault="00141CD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98A88F1" w14:textId="77777777" w:rsidR="00141CDF" w:rsidRDefault="00141CDF">
            <w:pPr>
              <w:rPr>
                <w:rFonts w:ascii="宋体"/>
              </w:rPr>
            </w:pPr>
          </w:p>
        </w:tc>
      </w:tr>
      <w:tr w:rsidR="00141CDF" w14:paraId="098A88FF" w14:textId="77777777">
        <w:trPr>
          <w:jc w:val="center"/>
        </w:trPr>
        <w:tc>
          <w:tcPr>
            <w:tcW w:w="0" w:type="auto"/>
            <w:gridSpan w:val="3"/>
            <w:shd w:val="clear" w:color="auto" w:fill="FFFFFF"/>
            <w:tcMar>
              <w:top w:w="40" w:type="dxa"/>
              <w:left w:w="20" w:type="dxa"/>
              <w:bottom w:w="40" w:type="dxa"/>
              <w:right w:w="20" w:type="dxa"/>
            </w:tcMar>
            <w:vAlign w:val="center"/>
          </w:tcPr>
          <w:p w14:paraId="098A88F3" w14:textId="77777777" w:rsidR="00141CDF" w:rsidRDefault="00DF45E0">
            <w:pPr>
              <w:textAlignment w:val="center"/>
            </w:pPr>
            <w:r>
              <w:rPr>
                <w:rFonts w:ascii="Times New Roman" w:eastAsia="宋体" w:hAnsi="Times New Roman"/>
                <w:color w:val="000000"/>
                <w:sz w:val="16"/>
                <w:szCs w:val="16"/>
              </w:rPr>
              <w:t>Comprehensive income, net of income taxes</w:t>
            </w:r>
          </w:p>
        </w:tc>
        <w:tc>
          <w:tcPr>
            <w:tcW w:w="0" w:type="auto"/>
            <w:gridSpan w:val="2"/>
            <w:shd w:val="clear" w:color="auto" w:fill="FFFFFF"/>
            <w:tcMar>
              <w:top w:w="40" w:type="dxa"/>
              <w:left w:w="20" w:type="dxa"/>
              <w:bottom w:w="40" w:type="dxa"/>
              <w:right w:w="0" w:type="dxa"/>
            </w:tcMar>
            <w:vAlign w:val="center"/>
          </w:tcPr>
          <w:p w14:paraId="098A88F4" w14:textId="77777777" w:rsidR="00141CDF" w:rsidRDefault="00DF45E0">
            <w:pPr>
              <w:jc w:val="right"/>
              <w:textAlignment w:val="center"/>
            </w:pPr>
            <w:r>
              <w:rPr>
                <w:rFonts w:ascii="Times New Roman" w:eastAsia="宋体" w:hAnsi="Times New Roman"/>
                <w:color w:val="000000"/>
                <w:sz w:val="16"/>
                <w:szCs w:val="16"/>
              </w:rPr>
              <w:t>3,476 </w:t>
            </w:r>
          </w:p>
        </w:tc>
        <w:tc>
          <w:tcPr>
            <w:tcW w:w="0" w:type="auto"/>
            <w:shd w:val="clear" w:color="auto" w:fill="FFFFFF"/>
            <w:tcMar>
              <w:top w:w="40" w:type="dxa"/>
              <w:left w:w="0" w:type="dxa"/>
              <w:bottom w:w="40" w:type="dxa"/>
              <w:right w:w="20" w:type="dxa"/>
            </w:tcMar>
            <w:vAlign w:val="center"/>
          </w:tcPr>
          <w:p w14:paraId="098A88F5"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8F6"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8F7" w14:textId="77777777" w:rsidR="00141CDF" w:rsidRDefault="00DF45E0">
            <w:pPr>
              <w:jc w:val="right"/>
              <w:textAlignment w:val="center"/>
            </w:pPr>
            <w:r>
              <w:rPr>
                <w:rFonts w:ascii="Times New Roman" w:eastAsia="宋体" w:hAnsi="Times New Roman"/>
                <w:color w:val="000000"/>
                <w:sz w:val="16"/>
                <w:szCs w:val="16"/>
              </w:rPr>
              <w:t>4,412 </w:t>
            </w:r>
          </w:p>
        </w:tc>
        <w:tc>
          <w:tcPr>
            <w:tcW w:w="0" w:type="auto"/>
            <w:shd w:val="clear" w:color="auto" w:fill="FFFFFF"/>
            <w:tcMar>
              <w:top w:w="40" w:type="dxa"/>
              <w:left w:w="0" w:type="dxa"/>
              <w:bottom w:w="40" w:type="dxa"/>
              <w:right w:w="20" w:type="dxa"/>
            </w:tcMar>
            <w:vAlign w:val="center"/>
          </w:tcPr>
          <w:p w14:paraId="098A88F8"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8F9"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8FA" w14:textId="77777777" w:rsidR="00141CDF" w:rsidRDefault="00DF45E0">
            <w:pPr>
              <w:jc w:val="right"/>
              <w:textAlignment w:val="center"/>
            </w:pPr>
            <w:r>
              <w:rPr>
                <w:rFonts w:ascii="Times New Roman" w:eastAsia="宋体" w:hAnsi="Times New Roman"/>
                <w:color w:val="000000"/>
                <w:sz w:val="16"/>
                <w:szCs w:val="16"/>
              </w:rPr>
              <w:t>5,854 </w:t>
            </w:r>
          </w:p>
        </w:tc>
        <w:tc>
          <w:tcPr>
            <w:tcW w:w="0" w:type="auto"/>
            <w:shd w:val="clear" w:color="auto" w:fill="FFFFFF"/>
            <w:tcMar>
              <w:top w:w="40" w:type="dxa"/>
              <w:left w:w="0" w:type="dxa"/>
              <w:bottom w:w="40" w:type="dxa"/>
              <w:right w:w="20" w:type="dxa"/>
            </w:tcMar>
            <w:vAlign w:val="center"/>
          </w:tcPr>
          <w:p w14:paraId="098A88FB"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8FC"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8FD" w14:textId="77777777" w:rsidR="00141CDF" w:rsidRDefault="00DF45E0">
            <w:pPr>
              <w:jc w:val="right"/>
              <w:textAlignment w:val="center"/>
            </w:pPr>
            <w:r>
              <w:rPr>
                <w:rFonts w:ascii="Times New Roman" w:eastAsia="宋体" w:hAnsi="Times New Roman"/>
                <w:color w:val="000000"/>
                <w:sz w:val="16"/>
                <w:szCs w:val="16"/>
              </w:rPr>
              <w:t>10,969 </w:t>
            </w:r>
          </w:p>
        </w:tc>
        <w:tc>
          <w:tcPr>
            <w:tcW w:w="0" w:type="auto"/>
            <w:shd w:val="clear" w:color="auto" w:fill="FFFFFF"/>
            <w:tcMar>
              <w:top w:w="40" w:type="dxa"/>
              <w:left w:w="0" w:type="dxa"/>
              <w:bottom w:w="40" w:type="dxa"/>
              <w:right w:w="20" w:type="dxa"/>
            </w:tcMar>
            <w:vAlign w:val="center"/>
          </w:tcPr>
          <w:p w14:paraId="098A88FE" w14:textId="77777777" w:rsidR="00141CDF" w:rsidRDefault="00141CDF">
            <w:pPr>
              <w:jc w:val="right"/>
              <w:rPr>
                <w:rFonts w:ascii="宋体"/>
              </w:rPr>
            </w:pPr>
          </w:p>
        </w:tc>
      </w:tr>
      <w:tr w:rsidR="00141CDF" w14:paraId="098A890C" w14:textId="77777777">
        <w:trPr>
          <w:jc w:val="center"/>
        </w:trPr>
        <w:tc>
          <w:tcPr>
            <w:tcW w:w="0" w:type="auto"/>
            <w:gridSpan w:val="3"/>
            <w:shd w:val="clear" w:color="auto" w:fill="CCEEFF"/>
            <w:tcMar>
              <w:top w:w="40" w:type="dxa"/>
              <w:left w:w="380" w:type="dxa"/>
              <w:bottom w:w="40" w:type="dxa"/>
              <w:right w:w="20" w:type="dxa"/>
            </w:tcMar>
            <w:vAlign w:val="center"/>
          </w:tcPr>
          <w:p w14:paraId="098A8900" w14:textId="77777777" w:rsidR="00141CDF" w:rsidRDefault="00DF45E0">
            <w:pPr>
              <w:textAlignment w:val="center"/>
            </w:pPr>
            <w:r>
              <w:rPr>
                <w:rFonts w:ascii="Times New Roman" w:eastAsia="宋体" w:hAnsi="Times New Roman"/>
                <w:color w:val="000000"/>
                <w:sz w:val="16"/>
                <w:szCs w:val="16"/>
              </w:rPr>
              <w:t>Comprehensive loss (income) attributable to noncontrolling interest</w:t>
            </w:r>
          </w:p>
        </w:tc>
        <w:tc>
          <w:tcPr>
            <w:tcW w:w="0" w:type="auto"/>
            <w:gridSpan w:val="2"/>
            <w:shd w:val="clear" w:color="auto" w:fill="CCEEFF"/>
            <w:tcMar>
              <w:top w:w="40" w:type="dxa"/>
              <w:left w:w="20" w:type="dxa"/>
              <w:bottom w:w="40" w:type="dxa"/>
              <w:right w:w="0" w:type="dxa"/>
            </w:tcMar>
            <w:vAlign w:val="center"/>
          </w:tcPr>
          <w:p w14:paraId="098A8901" w14:textId="77777777" w:rsidR="00141CDF" w:rsidRDefault="00DF45E0">
            <w:pPr>
              <w:jc w:val="right"/>
              <w:textAlignment w:val="center"/>
            </w:pPr>
            <w:r>
              <w:rPr>
                <w:rFonts w:ascii="Times New Roman" w:eastAsia="宋体" w:hAnsi="Times New Roman"/>
                <w:color w:val="000000"/>
                <w:sz w:val="16"/>
                <w:szCs w:val="16"/>
              </w:rPr>
              <w:t>277 </w:t>
            </w:r>
          </w:p>
        </w:tc>
        <w:tc>
          <w:tcPr>
            <w:tcW w:w="0" w:type="auto"/>
            <w:shd w:val="clear" w:color="auto" w:fill="CCEEFF"/>
            <w:tcMar>
              <w:top w:w="40" w:type="dxa"/>
              <w:left w:w="0" w:type="dxa"/>
              <w:bottom w:w="40" w:type="dxa"/>
              <w:right w:w="20" w:type="dxa"/>
            </w:tcMar>
            <w:vAlign w:val="center"/>
          </w:tcPr>
          <w:p w14:paraId="098A8902"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903"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904" w14:textId="77777777" w:rsidR="00141CDF" w:rsidRDefault="00DF45E0">
            <w:pPr>
              <w:jc w:val="right"/>
              <w:textAlignment w:val="center"/>
            </w:pPr>
            <w:r>
              <w:rPr>
                <w:rFonts w:ascii="Times New Roman" w:eastAsia="宋体" w:hAnsi="Times New Roman"/>
                <w:color w:val="000000"/>
                <w:sz w:val="16"/>
                <w:szCs w:val="16"/>
              </w:rPr>
              <w:t>(166)</w:t>
            </w:r>
          </w:p>
        </w:tc>
        <w:tc>
          <w:tcPr>
            <w:tcW w:w="0" w:type="auto"/>
            <w:shd w:val="clear" w:color="auto" w:fill="CCEEFF"/>
            <w:tcMar>
              <w:top w:w="40" w:type="dxa"/>
              <w:left w:w="0" w:type="dxa"/>
              <w:bottom w:w="40" w:type="dxa"/>
              <w:right w:w="20" w:type="dxa"/>
            </w:tcMar>
            <w:vAlign w:val="center"/>
          </w:tcPr>
          <w:p w14:paraId="098A8905"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906"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907" w14:textId="77777777" w:rsidR="00141CDF" w:rsidRDefault="00DF45E0">
            <w:pPr>
              <w:jc w:val="right"/>
              <w:textAlignment w:val="center"/>
            </w:pPr>
            <w:r>
              <w:rPr>
                <w:rFonts w:ascii="Times New Roman" w:eastAsia="宋体" w:hAnsi="Times New Roman"/>
                <w:color w:val="000000"/>
                <w:sz w:val="16"/>
                <w:szCs w:val="16"/>
              </w:rPr>
              <w:t>221 </w:t>
            </w:r>
          </w:p>
        </w:tc>
        <w:tc>
          <w:tcPr>
            <w:tcW w:w="0" w:type="auto"/>
            <w:shd w:val="clear" w:color="auto" w:fill="CCEEFF"/>
            <w:tcMar>
              <w:top w:w="40" w:type="dxa"/>
              <w:left w:w="0" w:type="dxa"/>
              <w:bottom w:w="40" w:type="dxa"/>
              <w:right w:w="20" w:type="dxa"/>
            </w:tcMar>
            <w:vAlign w:val="center"/>
          </w:tcPr>
          <w:p w14:paraId="098A8908"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909"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90A" w14:textId="77777777" w:rsidR="00141CDF" w:rsidRDefault="00DF45E0">
            <w:pPr>
              <w:jc w:val="right"/>
              <w:textAlignment w:val="center"/>
            </w:pPr>
            <w:r>
              <w:rPr>
                <w:rFonts w:ascii="Times New Roman" w:eastAsia="宋体" w:hAnsi="Times New Roman"/>
                <w:color w:val="000000"/>
                <w:sz w:val="16"/>
                <w:szCs w:val="16"/>
              </w:rPr>
              <w:t>(173)</w:t>
            </w:r>
          </w:p>
        </w:tc>
        <w:tc>
          <w:tcPr>
            <w:tcW w:w="0" w:type="auto"/>
            <w:shd w:val="clear" w:color="auto" w:fill="CCEEFF"/>
            <w:tcMar>
              <w:top w:w="40" w:type="dxa"/>
              <w:left w:w="0" w:type="dxa"/>
              <w:bottom w:w="40" w:type="dxa"/>
              <w:right w:w="20" w:type="dxa"/>
            </w:tcMar>
            <w:vAlign w:val="center"/>
          </w:tcPr>
          <w:p w14:paraId="098A890B" w14:textId="77777777" w:rsidR="00141CDF" w:rsidRDefault="00141CDF">
            <w:pPr>
              <w:jc w:val="right"/>
              <w:rPr>
                <w:rFonts w:ascii="宋体"/>
              </w:rPr>
            </w:pPr>
          </w:p>
        </w:tc>
      </w:tr>
      <w:tr w:rsidR="00141CDF" w14:paraId="098A8915" w14:textId="77777777">
        <w:trPr>
          <w:jc w:val="center"/>
          <w:hidden/>
        </w:trPr>
        <w:tc>
          <w:tcPr>
            <w:tcW w:w="0" w:type="auto"/>
            <w:gridSpan w:val="3"/>
            <w:shd w:val="clear" w:color="auto" w:fill="auto"/>
            <w:vAlign w:val="bottom"/>
          </w:tcPr>
          <w:p w14:paraId="098A890D" w14:textId="77777777" w:rsidR="00141CDF" w:rsidRDefault="00141CDF">
            <w:pPr>
              <w:rPr>
                <w:rFonts w:ascii="宋体"/>
                <w:vanish/>
              </w:rPr>
            </w:pPr>
          </w:p>
        </w:tc>
        <w:tc>
          <w:tcPr>
            <w:tcW w:w="0" w:type="auto"/>
            <w:gridSpan w:val="3"/>
            <w:shd w:val="clear" w:color="auto" w:fill="auto"/>
            <w:vAlign w:val="bottom"/>
          </w:tcPr>
          <w:p w14:paraId="098A890E" w14:textId="77777777" w:rsidR="00141CDF" w:rsidRDefault="00141CDF">
            <w:pPr>
              <w:rPr>
                <w:rFonts w:ascii="宋体"/>
                <w:vanish/>
              </w:rPr>
            </w:pPr>
          </w:p>
        </w:tc>
        <w:tc>
          <w:tcPr>
            <w:tcW w:w="0" w:type="auto"/>
            <w:gridSpan w:val="3"/>
            <w:shd w:val="clear" w:color="auto" w:fill="auto"/>
            <w:vAlign w:val="bottom"/>
          </w:tcPr>
          <w:p w14:paraId="098A890F" w14:textId="77777777" w:rsidR="00141CDF" w:rsidRDefault="00141CDF">
            <w:pPr>
              <w:rPr>
                <w:rFonts w:ascii="宋体"/>
                <w:vanish/>
              </w:rPr>
            </w:pPr>
          </w:p>
        </w:tc>
        <w:tc>
          <w:tcPr>
            <w:tcW w:w="0" w:type="auto"/>
            <w:gridSpan w:val="3"/>
            <w:shd w:val="clear" w:color="auto" w:fill="auto"/>
            <w:vAlign w:val="bottom"/>
          </w:tcPr>
          <w:p w14:paraId="098A8910" w14:textId="77777777" w:rsidR="00141CDF" w:rsidRDefault="00141CDF">
            <w:pPr>
              <w:rPr>
                <w:rFonts w:ascii="宋体"/>
                <w:vanish/>
              </w:rPr>
            </w:pPr>
          </w:p>
        </w:tc>
        <w:tc>
          <w:tcPr>
            <w:tcW w:w="0" w:type="auto"/>
            <w:gridSpan w:val="3"/>
            <w:shd w:val="clear" w:color="auto" w:fill="auto"/>
            <w:vAlign w:val="bottom"/>
          </w:tcPr>
          <w:p w14:paraId="098A8911" w14:textId="77777777" w:rsidR="00141CDF" w:rsidRDefault="00141CDF">
            <w:pPr>
              <w:rPr>
                <w:rFonts w:ascii="宋体"/>
                <w:vanish/>
              </w:rPr>
            </w:pPr>
          </w:p>
        </w:tc>
        <w:tc>
          <w:tcPr>
            <w:tcW w:w="0" w:type="auto"/>
            <w:gridSpan w:val="3"/>
            <w:shd w:val="clear" w:color="auto" w:fill="auto"/>
            <w:vAlign w:val="bottom"/>
          </w:tcPr>
          <w:p w14:paraId="098A8912" w14:textId="77777777" w:rsidR="00141CDF" w:rsidRDefault="00141CDF">
            <w:pPr>
              <w:rPr>
                <w:rFonts w:ascii="宋体"/>
                <w:vanish/>
              </w:rPr>
            </w:pPr>
          </w:p>
        </w:tc>
        <w:tc>
          <w:tcPr>
            <w:tcW w:w="0" w:type="auto"/>
            <w:gridSpan w:val="3"/>
            <w:shd w:val="clear" w:color="auto" w:fill="auto"/>
            <w:vAlign w:val="bottom"/>
          </w:tcPr>
          <w:p w14:paraId="098A8913" w14:textId="77777777" w:rsidR="00141CDF" w:rsidRDefault="00141CDF">
            <w:pPr>
              <w:rPr>
                <w:rFonts w:ascii="宋体"/>
                <w:vanish/>
              </w:rPr>
            </w:pPr>
          </w:p>
        </w:tc>
        <w:tc>
          <w:tcPr>
            <w:tcW w:w="0" w:type="auto"/>
            <w:gridSpan w:val="3"/>
            <w:shd w:val="clear" w:color="auto" w:fill="auto"/>
            <w:vAlign w:val="bottom"/>
          </w:tcPr>
          <w:p w14:paraId="098A8914" w14:textId="77777777" w:rsidR="00141CDF" w:rsidRDefault="00141CDF">
            <w:pPr>
              <w:rPr>
                <w:rFonts w:ascii="宋体"/>
                <w:vanish/>
              </w:rPr>
            </w:pPr>
          </w:p>
        </w:tc>
      </w:tr>
      <w:tr w:rsidR="00141CDF" w14:paraId="098A8926" w14:textId="77777777">
        <w:trPr>
          <w:jc w:val="center"/>
        </w:trPr>
        <w:tc>
          <w:tcPr>
            <w:tcW w:w="0" w:type="auto"/>
            <w:gridSpan w:val="3"/>
            <w:shd w:val="clear" w:color="auto" w:fill="FFFFFF"/>
            <w:tcMar>
              <w:top w:w="40" w:type="dxa"/>
              <w:left w:w="20" w:type="dxa"/>
              <w:bottom w:w="40" w:type="dxa"/>
              <w:right w:w="20" w:type="dxa"/>
            </w:tcMar>
            <w:vAlign w:val="center"/>
          </w:tcPr>
          <w:p w14:paraId="098A8916" w14:textId="77777777" w:rsidR="00141CDF" w:rsidRDefault="00DF45E0">
            <w:pPr>
              <w:textAlignment w:val="center"/>
            </w:pPr>
            <w:r>
              <w:rPr>
                <w:rFonts w:ascii="Times New Roman" w:eastAsia="宋体" w:hAnsi="Times New Roman"/>
                <w:b/>
                <w:bCs/>
                <w:color w:val="000000"/>
                <w:sz w:val="16"/>
                <w:szCs w:val="16"/>
              </w:rPr>
              <w:t>Comprehensive income attributable to Walmart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98A8917"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98A8918" w14:textId="77777777" w:rsidR="00141CDF" w:rsidRDefault="00DF45E0">
            <w:pPr>
              <w:jc w:val="right"/>
              <w:textAlignment w:val="center"/>
            </w:pPr>
            <w:r>
              <w:rPr>
                <w:rFonts w:ascii="Times New Roman" w:eastAsia="宋体" w:hAnsi="Times New Roman"/>
                <w:color w:val="000000"/>
                <w:sz w:val="16"/>
                <w:szCs w:val="16"/>
              </w:rPr>
              <w:t>3,753 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98A8919"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91A" w14:textId="77777777" w:rsidR="00141CDF" w:rsidRDefault="00141C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98A891B"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98A891C" w14:textId="77777777" w:rsidR="00141CDF" w:rsidRDefault="00DF45E0">
            <w:pPr>
              <w:jc w:val="right"/>
              <w:textAlignment w:val="center"/>
            </w:pPr>
            <w:r>
              <w:rPr>
                <w:rFonts w:ascii="Times New Roman" w:eastAsia="宋体" w:hAnsi="Times New Roman"/>
                <w:color w:val="000000"/>
                <w:sz w:val="16"/>
                <w:szCs w:val="16"/>
              </w:rPr>
              <w:t>4,246 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98A891D"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91E" w14:textId="77777777" w:rsidR="00141CDF" w:rsidRDefault="00141C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98A891F"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98A8920" w14:textId="77777777" w:rsidR="00141CDF" w:rsidRDefault="00DF45E0">
            <w:pPr>
              <w:jc w:val="right"/>
              <w:textAlignment w:val="center"/>
            </w:pPr>
            <w:r>
              <w:rPr>
                <w:rFonts w:ascii="Times New Roman" w:eastAsia="宋体" w:hAnsi="Times New Roman"/>
                <w:color w:val="000000"/>
                <w:sz w:val="16"/>
                <w:szCs w:val="16"/>
              </w:rPr>
              <w:t>6,075 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98A8921"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922" w14:textId="77777777" w:rsidR="00141CDF" w:rsidRDefault="00141C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98A8923"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98A8924" w14:textId="77777777" w:rsidR="00141CDF" w:rsidRDefault="00DF45E0">
            <w:pPr>
              <w:jc w:val="right"/>
              <w:textAlignment w:val="center"/>
            </w:pPr>
            <w:r>
              <w:rPr>
                <w:rFonts w:ascii="Times New Roman" w:eastAsia="宋体" w:hAnsi="Times New Roman"/>
                <w:color w:val="000000"/>
                <w:sz w:val="16"/>
                <w:szCs w:val="16"/>
              </w:rPr>
              <w:t>10,796 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98A8925" w14:textId="77777777" w:rsidR="00141CDF" w:rsidRDefault="00141CDF">
            <w:pPr>
              <w:jc w:val="right"/>
              <w:rPr>
                <w:rFonts w:ascii="宋体"/>
              </w:rPr>
            </w:pPr>
          </w:p>
        </w:tc>
      </w:tr>
    </w:tbl>
    <w:p w14:paraId="098A8927" w14:textId="77777777" w:rsidR="00141CDF" w:rsidRDefault="00DF45E0">
      <w:pPr>
        <w:spacing w:before="80"/>
      </w:pPr>
      <w:r>
        <w:rPr>
          <w:rFonts w:ascii="Times New Roman" w:eastAsia="宋体" w:hAnsi="Times New Roman"/>
          <w:i/>
          <w:iCs/>
          <w:color w:val="000000"/>
          <w:sz w:val="16"/>
          <w:szCs w:val="16"/>
        </w:rPr>
        <w:t xml:space="preserve">See accompanying notes. </w:t>
      </w:r>
    </w:p>
    <w:p w14:paraId="098A8928" w14:textId="77777777" w:rsidR="00141CDF" w:rsidRDefault="00DF45E0">
      <w:pPr>
        <w:jc w:val="center"/>
      </w:pPr>
      <w:r>
        <w:rPr>
          <w:rFonts w:ascii="Times New Roman" w:eastAsia="宋体" w:hAnsi="Times New Roman"/>
          <w:color w:val="000000"/>
          <w:sz w:val="20"/>
          <w:szCs w:val="20"/>
        </w:rPr>
        <w:t>4</w:t>
      </w:r>
    </w:p>
    <w:p w14:paraId="098A8929" w14:textId="77777777" w:rsidR="00141CDF" w:rsidRDefault="00DF45E0">
      <w:r>
        <w:pict w14:anchorId="098AA652">
          <v:rect id="_x0000_i1028" style="width:415.3pt;height:1.5pt" o:hralign="center" o:hrstd="t" o:hr="t" fillcolor="#a0a0a0" stroked="f"/>
        </w:pict>
      </w:r>
    </w:p>
    <w:p w14:paraId="098A892A" w14:textId="77777777" w:rsidR="00141CDF" w:rsidRDefault="00DF45E0">
      <w:hyperlink r:id="rId45" w:anchor="i24a2f296795646fa8b5ba32fd1359591_7" w:history="1">
        <w:r>
          <w:rPr>
            <w:rStyle w:val="a5"/>
            <w:rFonts w:ascii="Times New Roman" w:eastAsia="宋体" w:hAnsi="Times New Roman"/>
            <w:sz w:val="20"/>
            <w:szCs w:val="20"/>
          </w:rPr>
          <w:t xml:space="preserve">Table of </w:t>
        </w:r>
      </w:hyperlink>
      <w:hyperlink r:id="rId46" w:anchor="i24a2f296795646fa8b5ba32fd1359591_7" w:history="1">
        <w:r>
          <w:rPr>
            <w:rStyle w:val="a5"/>
            <w:rFonts w:ascii="Times New Roman" w:eastAsia="宋体" w:hAnsi="Times New Roman"/>
            <w:sz w:val="20"/>
            <w:szCs w:val="20"/>
          </w:rPr>
          <w:t>Contents</w:t>
        </w:r>
      </w:hyperlink>
    </w:p>
    <w:p w14:paraId="098A892B" w14:textId="77777777" w:rsidR="00141CDF" w:rsidRDefault="00DF45E0">
      <w:pPr>
        <w:jc w:val="center"/>
      </w:pPr>
      <w:r>
        <w:rPr>
          <w:rFonts w:ascii="Times New Roman" w:eastAsia="宋体" w:hAnsi="Times New Roman"/>
          <w:b/>
          <w:bCs/>
          <w:color w:val="000000"/>
          <w:sz w:val="20"/>
          <w:szCs w:val="20"/>
        </w:rPr>
        <w:t>Walmart Inc.</w:t>
      </w:r>
    </w:p>
    <w:p w14:paraId="098A892C" w14:textId="77777777" w:rsidR="00141CDF" w:rsidRDefault="00DF45E0">
      <w:pPr>
        <w:spacing w:before="60"/>
        <w:jc w:val="center"/>
      </w:pPr>
      <w:r>
        <w:rPr>
          <w:rFonts w:ascii="Times New Roman" w:eastAsia="宋体" w:hAnsi="Times New Roman"/>
          <w:b/>
          <w:bCs/>
          <w:color w:val="000000"/>
          <w:sz w:val="20"/>
          <w:szCs w:val="20"/>
        </w:rPr>
        <w:t>Condensed Consolidated Balance Sheets</w:t>
      </w:r>
    </w:p>
    <w:p w14:paraId="098A892D" w14:textId="77777777" w:rsidR="00141CDF" w:rsidRDefault="00DF45E0">
      <w:pPr>
        <w:spacing w:before="60"/>
        <w:jc w:val="center"/>
      </w:pPr>
      <w:r>
        <w:rPr>
          <w:rFonts w:ascii="Times New Roman" w:eastAsia="宋体" w:hAnsi="Times New Roman"/>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5134"/>
        <w:gridCol w:w="39"/>
        <w:gridCol w:w="36"/>
        <w:gridCol w:w="36"/>
        <w:gridCol w:w="36"/>
        <w:gridCol w:w="100"/>
        <w:gridCol w:w="795"/>
        <w:gridCol w:w="36"/>
        <w:gridCol w:w="36"/>
        <w:gridCol w:w="36"/>
        <w:gridCol w:w="36"/>
        <w:gridCol w:w="100"/>
        <w:gridCol w:w="797"/>
        <w:gridCol w:w="36"/>
        <w:gridCol w:w="36"/>
        <w:gridCol w:w="36"/>
        <w:gridCol w:w="36"/>
        <w:gridCol w:w="100"/>
        <w:gridCol w:w="797"/>
        <w:gridCol w:w="36"/>
      </w:tblGrid>
      <w:tr w:rsidR="00141CDF" w14:paraId="098A8943" w14:textId="77777777">
        <w:trPr>
          <w:jc w:val="center"/>
        </w:trPr>
        <w:tc>
          <w:tcPr>
            <w:tcW w:w="50" w:type="pct"/>
            <w:shd w:val="clear" w:color="auto" w:fill="auto"/>
            <w:vAlign w:val="bottom"/>
          </w:tcPr>
          <w:p w14:paraId="098A892E" w14:textId="77777777" w:rsidR="00141CDF" w:rsidRDefault="00141CDF">
            <w:pPr>
              <w:rPr>
                <w:rFonts w:ascii="宋体"/>
              </w:rPr>
            </w:pPr>
          </w:p>
        </w:tc>
        <w:tc>
          <w:tcPr>
            <w:tcW w:w="3102" w:type="pct"/>
            <w:shd w:val="clear" w:color="auto" w:fill="auto"/>
            <w:vAlign w:val="bottom"/>
          </w:tcPr>
          <w:p w14:paraId="098A892F" w14:textId="77777777" w:rsidR="00141CDF" w:rsidRDefault="00141CDF">
            <w:pPr>
              <w:rPr>
                <w:rFonts w:ascii="宋体"/>
              </w:rPr>
            </w:pPr>
          </w:p>
        </w:tc>
        <w:tc>
          <w:tcPr>
            <w:tcW w:w="5" w:type="pct"/>
            <w:shd w:val="clear" w:color="auto" w:fill="auto"/>
            <w:vAlign w:val="bottom"/>
          </w:tcPr>
          <w:p w14:paraId="098A8930" w14:textId="77777777" w:rsidR="00141CDF" w:rsidRDefault="00141CDF">
            <w:pPr>
              <w:rPr>
                <w:rFonts w:ascii="宋体"/>
              </w:rPr>
            </w:pPr>
          </w:p>
        </w:tc>
        <w:tc>
          <w:tcPr>
            <w:tcW w:w="5" w:type="pct"/>
            <w:shd w:val="clear" w:color="auto" w:fill="auto"/>
            <w:vAlign w:val="bottom"/>
          </w:tcPr>
          <w:p w14:paraId="098A8931" w14:textId="77777777" w:rsidR="00141CDF" w:rsidRDefault="00141CDF">
            <w:pPr>
              <w:rPr>
                <w:rFonts w:ascii="宋体"/>
              </w:rPr>
            </w:pPr>
          </w:p>
        </w:tc>
        <w:tc>
          <w:tcPr>
            <w:tcW w:w="26" w:type="pct"/>
            <w:shd w:val="clear" w:color="auto" w:fill="auto"/>
            <w:vAlign w:val="bottom"/>
          </w:tcPr>
          <w:p w14:paraId="098A8932" w14:textId="77777777" w:rsidR="00141CDF" w:rsidRDefault="00141CDF">
            <w:pPr>
              <w:rPr>
                <w:rFonts w:ascii="宋体"/>
              </w:rPr>
            </w:pPr>
          </w:p>
        </w:tc>
        <w:tc>
          <w:tcPr>
            <w:tcW w:w="5" w:type="pct"/>
            <w:shd w:val="clear" w:color="auto" w:fill="auto"/>
            <w:vAlign w:val="bottom"/>
          </w:tcPr>
          <w:p w14:paraId="098A8933" w14:textId="77777777" w:rsidR="00141CDF" w:rsidRDefault="00141CDF">
            <w:pPr>
              <w:rPr>
                <w:rFonts w:ascii="宋体"/>
              </w:rPr>
            </w:pPr>
          </w:p>
        </w:tc>
        <w:tc>
          <w:tcPr>
            <w:tcW w:w="50" w:type="pct"/>
            <w:shd w:val="clear" w:color="auto" w:fill="auto"/>
            <w:vAlign w:val="bottom"/>
          </w:tcPr>
          <w:p w14:paraId="098A8934" w14:textId="77777777" w:rsidR="00141CDF" w:rsidRDefault="00141CDF">
            <w:pPr>
              <w:rPr>
                <w:rFonts w:ascii="宋体"/>
              </w:rPr>
            </w:pPr>
          </w:p>
        </w:tc>
        <w:tc>
          <w:tcPr>
            <w:tcW w:w="522" w:type="pct"/>
            <w:shd w:val="clear" w:color="auto" w:fill="auto"/>
            <w:vAlign w:val="bottom"/>
          </w:tcPr>
          <w:p w14:paraId="098A8935" w14:textId="77777777" w:rsidR="00141CDF" w:rsidRDefault="00141CDF">
            <w:pPr>
              <w:rPr>
                <w:rFonts w:ascii="宋体"/>
              </w:rPr>
            </w:pPr>
          </w:p>
        </w:tc>
        <w:tc>
          <w:tcPr>
            <w:tcW w:w="5" w:type="pct"/>
            <w:shd w:val="clear" w:color="auto" w:fill="auto"/>
            <w:vAlign w:val="bottom"/>
          </w:tcPr>
          <w:p w14:paraId="098A8936" w14:textId="77777777" w:rsidR="00141CDF" w:rsidRDefault="00141CDF">
            <w:pPr>
              <w:rPr>
                <w:rFonts w:ascii="宋体"/>
              </w:rPr>
            </w:pPr>
          </w:p>
        </w:tc>
        <w:tc>
          <w:tcPr>
            <w:tcW w:w="5" w:type="pct"/>
            <w:shd w:val="clear" w:color="auto" w:fill="auto"/>
            <w:vAlign w:val="bottom"/>
          </w:tcPr>
          <w:p w14:paraId="098A8937" w14:textId="77777777" w:rsidR="00141CDF" w:rsidRDefault="00141CDF">
            <w:pPr>
              <w:rPr>
                <w:rFonts w:ascii="宋体"/>
              </w:rPr>
            </w:pPr>
          </w:p>
        </w:tc>
        <w:tc>
          <w:tcPr>
            <w:tcW w:w="26" w:type="pct"/>
            <w:shd w:val="clear" w:color="auto" w:fill="auto"/>
            <w:vAlign w:val="bottom"/>
          </w:tcPr>
          <w:p w14:paraId="098A8938" w14:textId="77777777" w:rsidR="00141CDF" w:rsidRDefault="00141CDF">
            <w:pPr>
              <w:rPr>
                <w:rFonts w:ascii="宋体"/>
              </w:rPr>
            </w:pPr>
          </w:p>
        </w:tc>
        <w:tc>
          <w:tcPr>
            <w:tcW w:w="5" w:type="pct"/>
            <w:shd w:val="clear" w:color="auto" w:fill="auto"/>
            <w:vAlign w:val="bottom"/>
          </w:tcPr>
          <w:p w14:paraId="098A8939" w14:textId="77777777" w:rsidR="00141CDF" w:rsidRDefault="00141CDF">
            <w:pPr>
              <w:rPr>
                <w:rFonts w:ascii="宋体"/>
              </w:rPr>
            </w:pPr>
          </w:p>
        </w:tc>
        <w:tc>
          <w:tcPr>
            <w:tcW w:w="50" w:type="pct"/>
            <w:shd w:val="clear" w:color="auto" w:fill="auto"/>
            <w:vAlign w:val="bottom"/>
          </w:tcPr>
          <w:p w14:paraId="098A893A" w14:textId="77777777" w:rsidR="00141CDF" w:rsidRDefault="00141CDF">
            <w:pPr>
              <w:rPr>
                <w:rFonts w:ascii="宋体"/>
              </w:rPr>
            </w:pPr>
          </w:p>
        </w:tc>
        <w:tc>
          <w:tcPr>
            <w:tcW w:w="522" w:type="pct"/>
            <w:shd w:val="clear" w:color="auto" w:fill="auto"/>
            <w:vAlign w:val="bottom"/>
          </w:tcPr>
          <w:p w14:paraId="098A893B" w14:textId="77777777" w:rsidR="00141CDF" w:rsidRDefault="00141CDF">
            <w:pPr>
              <w:rPr>
                <w:rFonts w:ascii="宋体"/>
              </w:rPr>
            </w:pPr>
          </w:p>
        </w:tc>
        <w:tc>
          <w:tcPr>
            <w:tcW w:w="5" w:type="pct"/>
            <w:shd w:val="clear" w:color="auto" w:fill="auto"/>
            <w:vAlign w:val="bottom"/>
          </w:tcPr>
          <w:p w14:paraId="098A893C" w14:textId="77777777" w:rsidR="00141CDF" w:rsidRDefault="00141CDF">
            <w:pPr>
              <w:rPr>
                <w:rFonts w:ascii="宋体"/>
              </w:rPr>
            </w:pPr>
          </w:p>
        </w:tc>
        <w:tc>
          <w:tcPr>
            <w:tcW w:w="5" w:type="pct"/>
            <w:shd w:val="clear" w:color="auto" w:fill="auto"/>
            <w:vAlign w:val="bottom"/>
          </w:tcPr>
          <w:p w14:paraId="098A893D" w14:textId="77777777" w:rsidR="00141CDF" w:rsidRDefault="00141CDF">
            <w:pPr>
              <w:rPr>
                <w:rFonts w:ascii="宋体"/>
              </w:rPr>
            </w:pPr>
          </w:p>
        </w:tc>
        <w:tc>
          <w:tcPr>
            <w:tcW w:w="26" w:type="pct"/>
            <w:shd w:val="clear" w:color="auto" w:fill="auto"/>
            <w:vAlign w:val="bottom"/>
          </w:tcPr>
          <w:p w14:paraId="098A893E" w14:textId="77777777" w:rsidR="00141CDF" w:rsidRDefault="00141CDF">
            <w:pPr>
              <w:rPr>
                <w:rFonts w:ascii="宋体"/>
              </w:rPr>
            </w:pPr>
          </w:p>
        </w:tc>
        <w:tc>
          <w:tcPr>
            <w:tcW w:w="5" w:type="pct"/>
            <w:shd w:val="clear" w:color="auto" w:fill="auto"/>
            <w:vAlign w:val="bottom"/>
          </w:tcPr>
          <w:p w14:paraId="098A893F" w14:textId="77777777" w:rsidR="00141CDF" w:rsidRDefault="00141CDF">
            <w:pPr>
              <w:rPr>
                <w:rFonts w:ascii="宋体"/>
              </w:rPr>
            </w:pPr>
          </w:p>
        </w:tc>
        <w:tc>
          <w:tcPr>
            <w:tcW w:w="50" w:type="pct"/>
            <w:shd w:val="clear" w:color="auto" w:fill="auto"/>
            <w:vAlign w:val="bottom"/>
          </w:tcPr>
          <w:p w14:paraId="098A8940" w14:textId="77777777" w:rsidR="00141CDF" w:rsidRDefault="00141CDF">
            <w:pPr>
              <w:rPr>
                <w:rFonts w:ascii="宋体"/>
              </w:rPr>
            </w:pPr>
          </w:p>
        </w:tc>
        <w:tc>
          <w:tcPr>
            <w:tcW w:w="522" w:type="pct"/>
            <w:shd w:val="clear" w:color="auto" w:fill="auto"/>
            <w:vAlign w:val="bottom"/>
          </w:tcPr>
          <w:p w14:paraId="098A8941" w14:textId="77777777" w:rsidR="00141CDF" w:rsidRDefault="00141CDF">
            <w:pPr>
              <w:rPr>
                <w:rFonts w:ascii="宋体"/>
              </w:rPr>
            </w:pPr>
          </w:p>
        </w:tc>
        <w:tc>
          <w:tcPr>
            <w:tcW w:w="5" w:type="pct"/>
            <w:shd w:val="clear" w:color="auto" w:fill="auto"/>
            <w:vAlign w:val="bottom"/>
          </w:tcPr>
          <w:p w14:paraId="098A8942" w14:textId="77777777" w:rsidR="00141CDF" w:rsidRDefault="00141CDF">
            <w:pPr>
              <w:rPr>
                <w:rFonts w:ascii="宋体"/>
              </w:rPr>
            </w:pPr>
          </w:p>
        </w:tc>
      </w:tr>
      <w:tr w:rsidR="00141CDF" w14:paraId="098A894B" w14:textId="77777777">
        <w:trPr>
          <w:jc w:val="center"/>
        </w:trPr>
        <w:tc>
          <w:tcPr>
            <w:tcW w:w="0" w:type="auto"/>
            <w:gridSpan w:val="3"/>
            <w:shd w:val="clear" w:color="auto" w:fill="auto"/>
            <w:tcMar>
              <w:top w:w="0" w:type="dxa"/>
              <w:left w:w="20" w:type="dxa"/>
              <w:bottom w:w="0" w:type="dxa"/>
              <w:right w:w="20" w:type="dxa"/>
            </w:tcMar>
            <w:vAlign w:val="bottom"/>
          </w:tcPr>
          <w:p w14:paraId="098A8944"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945"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946" w14:textId="77777777" w:rsidR="00141CDF" w:rsidRDefault="00DF45E0">
            <w:pPr>
              <w:jc w:val="center"/>
              <w:textAlignment w:val="bottom"/>
            </w:pPr>
            <w:r>
              <w:rPr>
                <w:rFonts w:ascii="Times New Roman" w:eastAsia="宋体" w:hAnsi="Times New Roman"/>
                <w:b/>
                <w:bCs/>
                <w:color w:val="000000"/>
                <w:sz w:val="16"/>
                <w:szCs w:val="16"/>
              </w:rPr>
              <w:t>July 31,</w:t>
            </w:r>
          </w:p>
        </w:tc>
        <w:tc>
          <w:tcPr>
            <w:tcW w:w="0" w:type="auto"/>
            <w:gridSpan w:val="3"/>
            <w:shd w:val="clear" w:color="auto" w:fill="auto"/>
            <w:tcMar>
              <w:top w:w="0" w:type="dxa"/>
              <w:left w:w="20" w:type="dxa"/>
              <w:bottom w:w="0" w:type="dxa"/>
              <w:right w:w="20" w:type="dxa"/>
            </w:tcMar>
            <w:vAlign w:val="bottom"/>
          </w:tcPr>
          <w:p w14:paraId="098A8947"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948" w14:textId="77777777" w:rsidR="00141CDF" w:rsidRDefault="00DF45E0">
            <w:pPr>
              <w:jc w:val="center"/>
              <w:textAlignment w:val="bottom"/>
            </w:pPr>
            <w:r>
              <w:rPr>
                <w:rFonts w:ascii="Times New Roman" w:eastAsia="宋体" w:hAnsi="Times New Roman"/>
                <w:b/>
                <w:bCs/>
                <w:color w:val="000000"/>
                <w:sz w:val="16"/>
                <w:szCs w:val="16"/>
              </w:rPr>
              <w:t>January 31,</w:t>
            </w:r>
          </w:p>
        </w:tc>
        <w:tc>
          <w:tcPr>
            <w:tcW w:w="0" w:type="auto"/>
            <w:gridSpan w:val="3"/>
            <w:shd w:val="clear" w:color="auto" w:fill="auto"/>
            <w:tcMar>
              <w:top w:w="0" w:type="dxa"/>
              <w:left w:w="20" w:type="dxa"/>
              <w:bottom w:w="0" w:type="dxa"/>
              <w:right w:w="20" w:type="dxa"/>
            </w:tcMar>
            <w:vAlign w:val="bottom"/>
          </w:tcPr>
          <w:p w14:paraId="098A8949"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94A" w14:textId="77777777" w:rsidR="00141CDF" w:rsidRDefault="00DF45E0">
            <w:pPr>
              <w:jc w:val="center"/>
              <w:textAlignment w:val="bottom"/>
            </w:pPr>
            <w:r>
              <w:rPr>
                <w:rFonts w:ascii="Times New Roman" w:eastAsia="宋体" w:hAnsi="Times New Roman"/>
                <w:b/>
                <w:bCs/>
                <w:color w:val="000000"/>
                <w:sz w:val="16"/>
                <w:szCs w:val="16"/>
              </w:rPr>
              <w:t>July 31,</w:t>
            </w:r>
          </w:p>
        </w:tc>
      </w:tr>
      <w:tr w:rsidR="00141CDF" w14:paraId="098A8953" w14:textId="77777777">
        <w:trPr>
          <w:jc w:val="center"/>
        </w:trPr>
        <w:tc>
          <w:tcPr>
            <w:tcW w:w="0" w:type="auto"/>
            <w:gridSpan w:val="3"/>
            <w:shd w:val="clear" w:color="auto" w:fill="auto"/>
            <w:tcMar>
              <w:top w:w="40" w:type="dxa"/>
              <w:left w:w="20" w:type="dxa"/>
              <w:bottom w:w="40" w:type="dxa"/>
              <w:right w:w="20" w:type="dxa"/>
            </w:tcMar>
            <w:vAlign w:val="bottom"/>
          </w:tcPr>
          <w:p w14:paraId="098A894C" w14:textId="77777777" w:rsidR="00141CDF" w:rsidRDefault="00DF45E0">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098A894D"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94E" w14:textId="77777777" w:rsidR="00141CDF" w:rsidRDefault="00DF45E0">
            <w:pPr>
              <w:jc w:val="center"/>
              <w:textAlignment w:val="bottom"/>
            </w:pPr>
            <w:r>
              <w:rPr>
                <w:rFonts w:ascii="Times New Roman" w:eastAsia="宋体" w:hAnsi="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14:paraId="098A894F"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950" w14:textId="77777777" w:rsidR="00141CDF" w:rsidRDefault="00DF45E0">
            <w:pPr>
              <w:jc w:val="center"/>
              <w:textAlignment w:val="bottom"/>
            </w:pPr>
            <w:r>
              <w:rPr>
                <w:rFonts w:ascii="Times New Roman" w:eastAsia="宋体" w:hAnsi="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14:paraId="098A8951"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952" w14:textId="77777777" w:rsidR="00141CDF" w:rsidRDefault="00DF45E0">
            <w:pPr>
              <w:jc w:val="center"/>
              <w:textAlignment w:val="bottom"/>
            </w:pPr>
            <w:r>
              <w:rPr>
                <w:rFonts w:ascii="Times New Roman" w:eastAsia="宋体" w:hAnsi="Times New Roman"/>
                <w:b/>
                <w:bCs/>
                <w:color w:val="000000"/>
                <w:sz w:val="16"/>
                <w:szCs w:val="16"/>
              </w:rPr>
              <w:t>2021</w:t>
            </w:r>
          </w:p>
        </w:tc>
      </w:tr>
      <w:tr w:rsidR="00141CDF" w14:paraId="098A895B" w14:textId="77777777">
        <w:trPr>
          <w:jc w:val="center"/>
        </w:trPr>
        <w:tc>
          <w:tcPr>
            <w:tcW w:w="0" w:type="auto"/>
            <w:gridSpan w:val="3"/>
            <w:shd w:val="clear" w:color="auto" w:fill="auto"/>
            <w:tcMar>
              <w:top w:w="40" w:type="dxa"/>
              <w:left w:w="20" w:type="dxa"/>
              <w:bottom w:w="40" w:type="dxa"/>
              <w:right w:w="20" w:type="dxa"/>
            </w:tcMar>
            <w:vAlign w:val="center"/>
          </w:tcPr>
          <w:p w14:paraId="098A8954" w14:textId="77777777" w:rsidR="00141CDF" w:rsidRDefault="00DF45E0">
            <w:pPr>
              <w:textAlignment w:val="center"/>
            </w:pPr>
            <w:r>
              <w:rPr>
                <w:rFonts w:ascii="Times New Roman" w:eastAsia="宋体" w:hAnsi="Times New Roman"/>
                <w:b/>
                <w:bCs/>
                <w:color w:val="000000"/>
                <w:sz w:val="16"/>
                <w:szCs w:val="16"/>
              </w:rPr>
              <w:t>ASSETS</w:t>
            </w:r>
          </w:p>
        </w:tc>
        <w:tc>
          <w:tcPr>
            <w:tcW w:w="0" w:type="auto"/>
            <w:gridSpan w:val="3"/>
            <w:shd w:val="clear" w:color="auto" w:fill="auto"/>
            <w:tcMar>
              <w:top w:w="0" w:type="dxa"/>
              <w:left w:w="20" w:type="dxa"/>
              <w:bottom w:w="0" w:type="dxa"/>
              <w:right w:w="20" w:type="dxa"/>
            </w:tcMar>
            <w:vAlign w:val="bottom"/>
          </w:tcPr>
          <w:p w14:paraId="098A8955" w14:textId="77777777" w:rsidR="00141CDF" w:rsidRDefault="00141CD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8956"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957" w14:textId="77777777" w:rsidR="00141CDF" w:rsidRDefault="00141CD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8958"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959" w14:textId="77777777" w:rsidR="00141CDF" w:rsidRDefault="00141CD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895A" w14:textId="77777777" w:rsidR="00141CDF" w:rsidRDefault="00141CDF">
            <w:pPr>
              <w:rPr>
                <w:rFonts w:ascii="宋体"/>
              </w:rPr>
            </w:pPr>
          </w:p>
        </w:tc>
      </w:tr>
      <w:tr w:rsidR="00141CDF" w14:paraId="098A8963" w14:textId="77777777">
        <w:trPr>
          <w:jc w:val="center"/>
        </w:trPr>
        <w:tc>
          <w:tcPr>
            <w:tcW w:w="0" w:type="auto"/>
            <w:gridSpan w:val="3"/>
            <w:shd w:val="clear" w:color="auto" w:fill="auto"/>
            <w:tcMar>
              <w:top w:w="40" w:type="dxa"/>
              <w:left w:w="20" w:type="dxa"/>
              <w:bottom w:w="40" w:type="dxa"/>
              <w:right w:w="20" w:type="dxa"/>
            </w:tcMar>
            <w:vAlign w:val="center"/>
          </w:tcPr>
          <w:p w14:paraId="098A895C" w14:textId="77777777" w:rsidR="00141CDF" w:rsidRDefault="00DF45E0">
            <w:pPr>
              <w:textAlignment w:val="center"/>
            </w:pPr>
            <w:r>
              <w:rPr>
                <w:rFonts w:ascii="Times New Roman" w:eastAsia="宋体" w:hAnsi="Times New Roman"/>
                <w:b/>
                <w:bCs/>
                <w:color w:val="000000"/>
                <w:sz w:val="16"/>
                <w:szCs w:val="16"/>
              </w:rPr>
              <w:t>Current assets:</w:t>
            </w:r>
          </w:p>
        </w:tc>
        <w:tc>
          <w:tcPr>
            <w:tcW w:w="0" w:type="auto"/>
            <w:gridSpan w:val="3"/>
            <w:shd w:val="clear" w:color="auto" w:fill="auto"/>
            <w:tcMar>
              <w:top w:w="0" w:type="dxa"/>
              <w:left w:w="20" w:type="dxa"/>
              <w:bottom w:w="0" w:type="dxa"/>
              <w:right w:w="20" w:type="dxa"/>
            </w:tcMar>
            <w:vAlign w:val="bottom"/>
          </w:tcPr>
          <w:p w14:paraId="098A895D"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95E"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95F"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960"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961"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962" w14:textId="77777777" w:rsidR="00141CDF" w:rsidRDefault="00141CDF">
            <w:pPr>
              <w:rPr>
                <w:rFonts w:ascii="宋体"/>
              </w:rPr>
            </w:pPr>
          </w:p>
        </w:tc>
      </w:tr>
      <w:tr w:rsidR="00141CDF" w14:paraId="098A8971" w14:textId="77777777">
        <w:trPr>
          <w:jc w:val="center"/>
        </w:trPr>
        <w:tc>
          <w:tcPr>
            <w:tcW w:w="0" w:type="auto"/>
            <w:gridSpan w:val="3"/>
            <w:shd w:val="clear" w:color="auto" w:fill="CCEEFF"/>
            <w:tcMar>
              <w:top w:w="40" w:type="dxa"/>
              <w:left w:w="380" w:type="dxa"/>
              <w:bottom w:w="40" w:type="dxa"/>
              <w:right w:w="20" w:type="dxa"/>
            </w:tcMar>
            <w:vAlign w:val="center"/>
          </w:tcPr>
          <w:p w14:paraId="098A8964" w14:textId="77777777" w:rsidR="00141CDF" w:rsidRDefault="00DF45E0">
            <w:pPr>
              <w:textAlignment w:val="center"/>
            </w:pPr>
            <w:r>
              <w:rPr>
                <w:rFonts w:ascii="Times New Roman" w:eastAsia="宋体" w:hAnsi="Times New Roman"/>
                <w:color w:val="000000"/>
                <w:sz w:val="16"/>
                <w:szCs w:val="16"/>
              </w:rPr>
              <w:t>Cash and cash equivalents</w:t>
            </w:r>
          </w:p>
        </w:tc>
        <w:tc>
          <w:tcPr>
            <w:tcW w:w="0" w:type="auto"/>
            <w:gridSpan w:val="3"/>
            <w:shd w:val="clear" w:color="auto" w:fill="CCEEFF"/>
            <w:tcMar>
              <w:top w:w="0" w:type="dxa"/>
              <w:left w:w="20" w:type="dxa"/>
              <w:bottom w:w="0" w:type="dxa"/>
              <w:right w:w="20" w:type="dxa"/>
            </w:tcMar>
            <w:vAlign w:val="bottom"/>
          </w:tcPr>
          <w:p w14:paraId="098A8965"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8966"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8967" w14:textId="77777777" w:rsidR="00141CDF" w:rsidRDefault="00DF45E0">
            <w:pPr>
              <w:jc w:val="right"/>
              <w:textAlignment w:val="center"/>
            </w:pPr>
            <w:r>
              <w:rPr>
                <w:rFonts w:ascii="Times New Roman" w:eastAsia="宋体" w:hAnsi="Times New Roman"/>
                <w:color w:val="000000"/>
                <w:sz w:val="16"/>
                <w:szCs w:val="16"/>
              </w:rPr>
              <w:t>13,923 </w:t>
            </w:r>
          </w:p>
        </w:tc>
        <w:tc>
          <w:tcPr>
            <w:tcW w:w="0" w:type="auto"/>
            <w:shd w:val="clear" w:color="auto" w:fill="CCEEFF"/>
            <w:tcMar>
              <w:top w:w="40" w:type="dxa"/>
              <w:left w:w="0" w:type="dxa"/>
              <w:bottom w:w="40" w:type="dxa"/>
              <w:right w:w="20" w:type="dxa"/>
            </w:tcMar>
            <w:vAlign w:val="center"/>
          </w:tcPr>
          <w:p w14:paraId="098A8968"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969"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896A"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896B" w14:textId="77777777" w:rsidR="00141CDF" w:rsidRDefault="00DF45E0">
            <w:pPr>
              <w:jc w:val="right"/>
              <w:textAlignment w:val="center"/>
            </w:pPr>
            <w:r>
              <w:rPr>
                <w:rFonts w:ascii="Times New Roman" w:eastAsia="宋体" w:hAnsi="Times New Roman"/>
                <w:color w:val="000000"/>
                <w:sz w:val="16"/>
                <w:szCs w:val="16"/>
              </w:rPr>
              <w:t>14,760 </w:t>
            </w:r>
          </w:p>
        </w:tc>
        <w:tc>
          <w:tcPr>
            <w:tcW w:w="0" w:type="auto"/>
            <w:shd w:val="clear" w:color="auto" w:fill="CCEEFF"/>
            <w:tcMar>
              <w:top w:w="40" w:type="dxa"/>
              <w:left w:w="0" w:type="dxa"/>
              <w:bottom w:w="40" w:type="dxa"/>
              <w:right w:w="20" w:type="dxa"/>
            </w:tcMar>
            <w:vAlign w:val="center"/>
          </w:tcPr>
          <w:p w14:paraId="098A896C"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96D"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896E"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896F" w14:textId="77777777" w:rsidR="00141CDF" w:rsidRDefault="00DF45E0">
            <w:pPr>
              <w:jc w:val="right"/>
              <w:textAlignment w:val="center"/>
            </w:pPr>
            <w:r>
              <w:rPr>
                <w:rFonts w:ascii="Times New Roman" w:eastAsia="宋体" w:hAnsi="Times New Roman"/>
                <w:color w:val="000000"/>
                <w:sz w:val="16"/>
                <w:szCs w:val="16"/>
              </w:rPr>
              <w:t>22,831 </w:t>
            </w:r>
          </w:p>
        </w:tc>
        <w:tc>
          <w:tcPr>
            <w:tcW w:w="0" w:type="auto"/>
            <w:shd w:val="clear" w:color="auto" w:fill="CCEEFF"/>
            <w:tcMar>
              <w:top w:w="40" w:type="dxa"/>
              <w:left w:w="0" w:type="dxa"/>
              <w:bottom w:w="40" w:type="dxa"/>
              <w:right w:w="20" w:type="dxa"/>
            </w:tcMar>
            <w:vAlign w:val="center"/>
          </w:tcPr>
          <w:p w14:paraId="098A8970" w14:textId="77777777" w:rsidR="00141CDF" w:rsidRDefault="00141CDF">
            <w:pPr>
              <w:jc w:val="right"/>
              <w:rPr>
                <w:rFonts w:ascii="宋体"/>
              </w:rPr>
            </w:pPr>
          </w:p>
        </w:tc>
      </w:tr>
      <w:tr w:rsidR="00141CDF" w14:paraId="098A897C" w14:textId="77777777">
        <w:trPr>
          <w:jc w:val="center"/>
        </w:trPr>
        <w:tc>
          <w:tcPr>
            <w:tcW w:w="0" w:type="auto"/>
            <w:gridSpan w:val="3"/>
            <w:shd w:val="clear" w:color="auto" w:fill="FFFFFF"/>
            <w:tcMar>
              <w:top w:w="40" w:type="dxa"/>
              <w:left w:w="380" w:type="dxa"/>
              <w:bottom w:w="40" w:type="dxa"/>
              <w:right w:w="20" w:type="dxa"/>
            </w:tcMar>
            <w:vAlign w:val="center"/>
          </w:tcPr>
          <w:p w14:paraId="098A8972" w14:textId="77777777" w:rsidR="00141CDF" w:rsidRDefault="00DF45E0">
            <w:pPr>
              <w:textAlignment w:val="center"/>
            </w:pPr>
            <w:r>
              <w:rPr>
                <w:rFonts w:ascii="Times New Roman" w:eastAsia="宋体" w:hAnsi="Times New Roman"/>
                <w:color w:val="000000"/>
                <w:sz w:val="16"/>
                <w:szCs w:val="16"/>
              </w:rPr>
              <w:t>Receivables, net</w:t>
            </w:r>
          </w:p>
        </w:tc>
        <w:tc>
          <w:tcPr>
            <w:tcW w:w="0" w:type="auto"/>
            <w:gridSpan w:val="3"/>
            <w:shd w:val="clear" w:color="auto" w:fill="FFFFFF"/>
            <w:tcMar>
              <w:top w:w="0" w:type="dxa"/>
              <w:left w:w="20" w:type="dxa"/>
              <w:bottom w:w="0" w:type="dxa"/>
              <w:right w:w="20" w:type="dxa"/>
            </w:tcMar>
            <w:vAlign w:val="bottom"/>
          </w:tcPr>
          <w:p w14:paraId="098A8973"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974" w14:textId="77777777" w:rsidR="00141CDF" w:rsidRDefault="00DF45E0">
            <w:pPr>
              <w:jc w:val="right"/>
              <w:textAlignment w:val="center"/>
            </w:pPr>
            <w:r>
              <w:rPr>
                <w:rFonts w:ascii="Times New Roman" w:eastAsia="宋体" w:hAnsi="Times New Roman"/>
                <w:color w:val="000000"/>
                <w:sz w:val="16"/>
                <w:szCs w:val="16"/>
              </w:rPr>
              <w:t>7,522 </w:t>
            </w:r>
          </w:p>
        </w:tc>
        <w:tc>
          <w:tcPr>
            <w:tcW w:w="0" w:type="auto"/>
            <w:shd w:val="clear" w:color="auto" w:fill="FFFFFF"/>
            <w:tcMar>
              <w:top w:w="40" w:type="dxa"/>
              <w:left w:w="0" w:type="dxa"/>
              <w:bottom w:w="40" w:type="dxa"/>
              <w:right w:w="20" w:type="dxa"/>
            </w:tcMar>
            <w:vAlign w:val="center"/>
          </w:tcPr>
          <w:p w14:paraId="098A8975"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976"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977" w14:textId="77777777" w:rsidR="00141CDF" w:rsidRDefault="00DF45E0">
            <w:pPr>
              <w:jc w:val="right"/>
              <w:textAlignment w:val="center"/>
            </w:pPr>
            <w:r>
              <w:rPr>
                <w:rFonts w:ascii="Times New Roman" w:eastAsia="宋体" w:hAnsi="Times New Roman"/>
                <w:color w:val="000000"/>
                <w:sz w:val="16"/>
                <w:szCs w:val="16"/>
              </w:rPr>
              <w:t>8,280 </w:t>
            </w:r>
          </w:p>
        </w:tc>
        <w:tc>
          <w:tcPr>
            <w:tcW w:w="0" w:type="auto"/>
            <w:shd w:val="clear" w:color="auto" w:fill="FFFFFF"/>
            <w:tcMar>
              <w:top w:w="40" w:type="dxa"/>
              <w:left w:w="0" w:type="dxa"/>
              <w:bottom w:w="40" w:type="dxa"/>
              <w:right w:w="20" w:type="dxa"/>
            </w:tcMar>
            <w:vAlign w:val="center"/>
          </w:tcPr>
          <w:p w14:paraId="098A8978"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979"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97A" w14:textId="77777777" w:rsidR="00141CDF" w:rsidRDefault="00DF45E0">
            <w:pPr>
              <w:jc w:val="right"/>
              <w:textAlignment w:val="center"/>
            </w:pPr>
            <w:r>
              <w:rPr>
                <w:rFonts w:ascii="Times New Roman" w:eastAsia="宋体" w:hAnsi="Times New Roman"/>
                <w:color w:val="000000"/>
                <w:sz w:val="16"/>
                <w:szCs w:val="16"/>
              </w:rPr>
              <w:t>6,103 </w:t>
            </w:r>
          </w:p>
        </w:tc>
        <w:tc>
          <w:tcPr>
            <w:tcW w:w="0" w:type="auto"/>
            <w:shd w:val="clear" w:color="auto" w:fill="FFFFFF"/>
            <w:tcMar>
              <w:top w:w="40" w:type="dxa"/>
              <w:left w:w="0" w:type="dxa"/>
              <w:bottom w:w="40" w:type="dxa"/>
              <w:right w:w="20" w:type="dxa"/>
            </w:tcMar>
            <w:vAlign w:val="center"/>
          </w:tcPr>
          <w:p w14:paraId="098A897B" w14:textId="77777777" w:rsidR="00141CDF" w:rsidRDefault="00141CDF">
            <w:pPr>
              <w:jc w:val="right"/>
              <w:rPr>
                <w:rFonts w:ascii="宋体"/>
              </w:rPr>
            </w:pPr>
          </w:p>
        </w:tc>
      </w:tr>
      <w:tr w:rsidR="00141CDF" w14:paraId="098A8987" w14:textId="77777777">
        <w:trPr>
          <w:jc w:val="center"/>
        </w:trPr>
        <w:tc>
          <w:tcPr>
            <w:tcW w:w="0" w:type="auto"/>
            <w:gridSpan w:val="3"/>
            <w:shd w:val="clear" w:color="auto" w:fill="CCEEFF"/>
            <w:tcMar>
              <w:top w:w="40" w:type="dxa"/>
              <w:left w:w="380" w:type="dxa"/>
              <w:bottom w:w="40" w:type="dxa"/>
              <w:right w:w="20" w:type="dxa"/>
            </w:tcMar>
            <w:vAlign w:val="center"/>
          </w:tcPr>
          <w:p w14:paraId="098A897D" w14:textId="77777777" w:rsidR="00141CDF" w:rsidRDefault="00DF45E0">
            <w:pPr>
              <w:textAlignment w:val="center"/>
            </w:pPr>
            <w:r>
              <w:rPr>
                <w:rFonts w:ascii="Times New Roman" w:eastAsia="宋体" w:hAnsi="Times New Roman"/>
                <w:color w:val="000000"/>
                <w:sz w:val="16"/>
                <w:szCs w:val="16"/>
              </w:rPr>
              <w:t>Inventories</w:t>
            </w:r>
          </w:p>
        </w:tc>
        <w:tc>
          <w:tcPr>
            <w:tcW w:w="0" w:type="auto"/>
            <w:gridSpan w:val="3"/>
            <w:shd w:val="clear" w:color="auto" w:fill="CCEEFF"/>
            <w:tcMar>
              <w:top w:w="0" w:type="dxa"/>
              <w:left w:w="20" w:type="dxa"/>
              <w:bottom w:w="0" w:type="dxa"/>
              <w:right w:w="20" w:type="dxa"/>
            </w:tcMar>
            <w:vAlign w:val="bottom"/>
          </w:tcPr>
          <w:p w14:paraId="098A897E"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97F" w14:textId="77777777" w:rsidR="00141CDF" w:rsidRDefault="00DF45E0">
            <w:pPr>
              <w:jc w:val="right"/>
              <w:textAlignment w:val="center"/>
            </w:pPr>
            <w:r>
              <w:rPr>
                <w:rFonts w:ascii="Times New Roman" w:eastAsia="宋体" w:hAnsi="Times New Roman"/>
                <w:color w:val="000000"/>
                <w:sz w:val="16"/>
                <w:szCs w:val="16"/>
              </w:rPr>
              <w:t>59,921 </w:t>
            </w:r>
          </w:p>
        </w:tc>
        <w:tc>
          <w:tcPr>
            <w:tcW w:w="0" w:type="auto"/>
            <w:shd w:val="clear" w:color="auto" w:fill="CCEEFF"/>
            <w:tcMar>
              <w:top w:w="40" w:type="dxa"/>
              <w:left w:w="0" w:type="dxa"/>
              <w:bottom w:w="40" w:type="dxa"/>
              <w:right w:w="20" w:type="dxa"/>
            </w:tcMar>
            <w:vAlign w:val="center"/>
          </w:tcPr>
          <w:p w14:paraId="098A8980"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981"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982" w14:textId="77777777" w:rsidR="00141CDF" w:rsidRDefault="00DF45E0">
            <w:pPr>
              <w:jc w:val="right"/>
              <w:textAlignment w:val="center"/>
            </w:pPr>
            <w:r>
              <w:rPr>
                <w:rFonts w:ascii="Times New Roman" w:eastAsia="宋体" w:hAnsi="Times New Roman"/>
                <w:color w:val="000000"/>
                <w:sz w:val="16"/>
                <w:szCs w:val="16"/>
              </w:rPr>
              <w:t>56,511 </w:t>
            </w:r>
          </w:p>
        </w:tc>
        <w:tc>
          <w:tcPr>
            <w:tcW w:w="0" w:type="auto"/>
            <w:shd w:val="clear" w:color="auto" w:fill="CCEEFF"/>
            <w:tcMar>
              <w:top w:w="40" w:type="dxa"/>
              <w:left w:w="0" w:type="dxa"/>
              <w:bottom w:w="40" w:type="dxa"/>
              <w:right w:w="20" w:type="dxa"/>
            </w:tcMar>
            <w:vAlign w:val="center"/>
          </w:tcPr>
          <w:p w14:paraId="098A8983"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984"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985" w14:textId="77777777" w:rsidR="00141CDF" w:rsidRDefault="00DF45E0">
            <w:pPr>
              <w:jc w:val="right"/>
              <w:textAlignment w:val="center"/>
            </w:pPr>
            <w:r>
              <w:rPr>
                <w:rFonts w:ascii="Times New Roman" w:eastAsia="宋体" w:hAnsi="Times New Roman"/>
                <w:color w:val="000000"/>
                <w:sz w:val="16"/>
                <w:szCs w:val="16"/>
              </w:rPr>
              <w:t>47,754 </w:t>
            </w:r>
          </w:p>
        </w:tc>
        <w:tc>
          <w:tcPr>
            <w:tcW w:w="0" w:type="auto"/>
            <w:shd w:val="clear" w:color="auto" w:fill="CCEEFF"/>
            <w:tcMar>
              <w:top w:w="40" w:type="dxa"/>
              <w:left w:w="0" w:type="dxa"/>
              <w:bottom w:w="40" w:type="dxa"/>
              <w:right w:w="20" w:type="dxa"/>
            </w:tcMar>
            <w:vAlign w:val="center"/>
          </w:tcPr>
          <w:p w14:paraId="098A8986" w14:textId="77777777" w:rsidR="00141CDF" w:rsidRDefault="00141CDF">
            <w:pPr>
              <w:jc w:val="right"/>
              <w:rPr>
                <w:rFonts w:ascii="宋体"/>
              </w:rPr>
            </w:pPr>
          </w:p>
        </w:tc>
      </w:tr>
      <w:tr w:rsidR="00141CDF" w14:paraId="098A8992" w14:textId="77777777">
        <w:trPr>
          <w:jc w:val="center"/>
        </w:trPr>
        <w:tc>
          <w:tcPr>
            <w:tcW w:w="0" w:type="auto"/>
            <w:gridSpan w:val="3"/>
            <w:shd w:val="clear" w:color="auto" w:fill="FFFFFF"/>
            <w:tcMar>
              <w:top w:w="40" w:type="dxa"/>
              <w:left w:w="380" w:type="dxa"/>
              <w:bottom w:w="40" w:type="dxa"/>
              <w:right w:w="20" w:type="dxa"/>
            </w:tcMar>
            <w:vAlign w:val="center"/>
          </w:tcPr>
          <w:p w14:paraId="098A8988" w14:textId="77777777" w:rsidR="00141CDF" w:rsidRDefault="00DF45E0">
            <w:pPr>
              <w:textAlignment w:val="center"/>
            </w:pPr>
            <w:r>
              <w:rPr>
                <w:rFonts w:ascii="Times New Roman" w:eastAsia="宋体" w:hAnsi="Times New Roman"/>
                <w:color w:val="000000"/>
                <w:sz w:val="16"/>
                <w:szCs w:val="16"/>
              </w:rPr>
              <w:t>Prepaid expenses and other</w:t>
            </w:r>
          </w:p>
        </w:tc>
        <w:tc>
          <w:tcPr>
            <w:tcW w:w="0" w:type="auto"/>
            <w:gridSpan w:val="3"/>
            <w:shd w:val="clear" w:color="auto" w:fill="FFFFFF"/>
            <w:tcMar>
              <w:top w:w="0" w:type="dxa"/>
              <w:left w:w="20" w:type="dxa"/>
              <w:bottom w:w="0" w:type="dxa"/>
              <w:right w:w="20" w:type="dxa"/>
            </w:tcMar>
            <w:vAlign w:val="bottom"/>
          </w:tcPr>
          <w:p w14:paraId="098A8989"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98A" w14:textId="77777777" w:rsidR="00141CDF" w:rsidRDefault="00DF45E0">
            <w:pPr>
              <w:jc w:val="right"/>
              <w:textAlignment w:val="center"/>
            </w:pPr>
            <w:r>
              <w:rPr>
                <w:rFonts w:ascii="Times New Roman" w:eastAsia="宋体" w:hAnsi="Times New Roman"/>
                <w:color w:val="000000"/>
                <w:sz w:val="16"/>
                <w:szCs w:val="16"/>
              </w:rPr>
              <w:t>2,798 </w:t>
            </w:r>
          </w:p>
        </w:tc>
        <w:tc>
          <w:tcPr>
            <w:tcW w:w="0" w:type="auto"/>
            <w:shd w:val="clear" w:color="auto" w:fill="FFFFFF"/>
            <w:tcMar>
              <w:top w:w="40" w:type="dxa"/>
              <w:left w:w="0" w:type="dxa"/>
              <w:bottom w:w="40" w:type="dxa"/>
              <w:right w:w="20" w:type="dxa"/>
            </w:tcMar>
            <w:vAlign w:val="center"/>
          </w:tcPr>
          <w:p w14:paraId="098A898B"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98C"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98D" w14:textId="77777777" w:rsidR="00141CDF" w:rsidRDefault="00DF45E0">
            <w:pPr>
              <w:jc w:val="right"/>
              <w:textAlignment w:val="center"/>
            </w:pPr>
            <w:r>
              <w:rPr>
                <w:rFonts w:ascii="Times New Roman" w:eastAsia="宋体" w:hAnsi="Times New Roman"/>
                <w:color w:val="000000"/>
                <w:sz w:val="16"/>
                <w:szCs w:val="16"/>
              </w:rPr>
              <w:t>1,519 </w:t>
            </w:r>
          </w:p>
        </w:tc>
        <w:tc>
          <w:tcPr>
            <w:tcW w:w="0" w:type="auto"/>
            <w:shd w:val="clear" w:color="auto" w:fill="FFFFFF"/>
            <w:tcMar>
              <w:top w:w="40" w:type="dxa"/>
              <w:left w:w="0" w:type="dxa"/>
              <w:bottom w:w="40" w:type="dxa"/>
              <w:right w:w="20" w:type="dxa"/>
            </w:tcMar>
            <w:vAlign w:val="center"/>
          </w:tcPr>
          <w:p w14:paraId="098A898E"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98F"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990" w14:textId="77777777" w:rsidR="00141CDF" w:rsidRDefault="00DF45E0">
            <w:pPr>
              <w:jc w:val="right"/>
              <w:textAlignment w:val="center"/>
            </w:pPr>
            <w:r>
              <w:rPr>
                <w:rFonts w:ascii="Times New Roman" w:eastAsia="宋体" w:hAnsi="Times New Roman"/>
                <w:color w:val="000000"/>
                <w:sz w:val="16"/>
                <w:szCs w:val="16"/>
              </w:rPr>
              <w:t>1,555 </w:t>
            </w:r>
          </w:p>
        </w:tc>
        <w:tc>
          <w:tcPr>
            <w:tcW w:w="0" w:type="auto"/>
            <w:shd w:val="clear" w:color="auto" w:fill="FFFFFF"/>
            <w:tcMar>
              <w:top w:w="40" w:type="dxa"/>
              <w:left w:w="0" w:type="dxa"/>
              <w:bottom w:w="40" w:type="dxa"/>
              <w:right w:w="20" w:type="dxa"/>
            </w:tcMar>
            <w:vAlign w:val="center"/>
          </w:tcPr>
          <w:p w14:paraId="098A8991" w14:textId="77777777" w:rsidR="00141CDF" w:rsidRDefault="00141CDF">
            <w:pPr>
              <w:jc w:val="right"/>
              <w:rPr>
                <w:rFonts w:ascii="宋体"/>
              </w:rPr>
            </w:pPr>
          </w:p>
        </w:tc>
      </w:tr>
      <w:tr w:rsidR="00141CDF" w14:paraId="098A899A" w14:textId="77777777">
        <w:trPr>
          <w:jc w:val="center"/>
          <w:hidden/>
        </w:trPr>
        <w:tc>
          <w:tcPr>
            <w:tcW w:w="0" w:type="auto"/>
            <w:gridSpan w:val="3"/>
            <w:shd w:val="clear" w:color="auto" w:fill="auto"/>
            <w:vAlign w:val="bottom"/>
          </w:tcPr>
          <w:p w14:paraId="098A8993" w14:textId="77777777" w:rsidR="00141CDF" w:rsidRDefault="00141CDF">
            <w:pPr>
              <w:rPr>
                <w:rFonts w:ascii="宋体"/>
                <w:vanish/>
              </w:rPr>
            </w:pPr>
          </w:p>
        </w:tc>
        <w:tc>
          <w:tcPr>
            <w:tcW w:w="0" w:type="auto"/>
            <w:gridSpan w:val="3"/>
            <w:shd w:val="clear" w:color="auto" w:fill="auto"/>
            <w:vAlign w:val="bottom"/>
          </w:tcPr>
          <w:p w14:paraId="098A8994" w14:textId="77777777" w:rsidR="00141CDF" w:rsidRDefault="00141CDF">
            <w:pPr>
              <w:rPr>
                <w:rFonts w:ascii="宋体"/>
                <w:vanish/>
              </w:rPr>
            </w:pPr>
          </w:p>
        </w:tc>
        <w:tc>
          <w:tcPr>
            <w:tcW w:w="0" w:type="auto"/>
            <w:gridSpan w:val="3"/>
            <w:shd w:val="clear" w:color="auto" w:fill="auto"/>
            <w:vAlign w:val="bottom"/>
          </w:tcPr>
          <w:p w14:paraId="098A8995" w14:textId="77777777" w:rsidR="00141CDF" w:rsidRDefault="00141CDF">
            <w:pPr>
              <w:rPr>
                <w:rFonts w:ascii="宋体"/>
                <w:vanish/>
              </w:rPr>
            </w:pPr>
          </w:p>
        </w:tc>
        <w:tc>
          <w:tcPr>
            <w:tcW w:w="0" w:type="auto"/>
            <w:gridSpan w:val="3"/>
            <w:shd w:val="clear" w:color="auto" w:fill="auto"/>
            <w:vAlign w:val="bottom"/>
          </w:tcPr>
          <w:p w14:paraId="098A8996" w14:textId="77777777" w:rsidR="00141CDF" w:rsidRDefault="00141CDF">
            <w:pPr>
              <w:rPr>
                <w:rFonts w:ascii="宋体"/>
                <w:vanish/>
              </w:rPr>
            </w:pPr>
          </w:p>
        </w:tc>
        <w:tc>
          <w:tcPr>
            <w:tcW w:w="0" w:type="auto"/>
            <w:gridSpan w:val="3"/>
            <w:shd w:val="clear" w:color="auto" w:fill="auto"/>
            <w:vAlign w:val="bottom"/>
          </w:tcPr>
          <w:p w14:paraId="098A8997" w14:textId="77777777" w:rsidR="00141CDF" w:rsidRDefault="00141CDF">
            <w:pPr>
              <w:rPr>
                <w:rFonts w:ascii="宋体"/>
                <w:vanish/>
              </w:rPr>
            </w:pPr>
          </w:p>
        </w:tc>
        <w:tc>
          <w:tcPr>
            <w:tcW w:w="0" w:type="auto"/>
            <w:gridSpan w:val="3"/>
            <w:shd w:val="clear" w:color="auto" w:fill="auto"/>
            <w:vAlign w:val="bottom"/>
          </w:tcPr>
          <w:p w14:paraId="098A8998" w14:textId="77777777" w:rsidR="00141CDF" w:rsidRDefault="00141CDF">
            <w:pPr>
              <w:rPr>
                <w:rFonts w:ascii="宋体"/>
                <w:vanish/>
              </w:rPr>
            </w:pPr>
          </w:p>
        </w:tc>
        <w:tc>
          <w:tcPr>
            <w:tcW w:w="0" w:type="auto"/>
            <w:gridSpan w:val="3"/>
            <w:shd w:val="clear" w:color="auto" w:fill="auto"/>
            <w:vAlign w:val="bottom"/>
          </w:tcPr>
          <w:p w14:paraId="098A8999" w14:textId="77777777" w:rsidR="00141CDF" w:rsidRDefault="00141CDF">
            <w:pPr>
              <w:rPr>
                <w:rFonts w:ascii="宋体"/>
                <w:vanish/>
              </w:rPr>
            </w:pPr>
          </w:p>
        </w:tc>
      </w:tr>
      <w:tr w:rsidR="00141CDF" w14:paraId="098A89A5" w14:textId="77777777">
        <w:trPr>
          <w:jc w:val="center"/>
        </w:trPr>
        <w:tc>
          <w:tcPr>
            <w:tcW w:w="0" w:type="auto"/>
            <w:gridSpan w:val="3"/>
            <w:shd w:val="clear" w:color="auto" w:fill="CCEEFF"/>
            <w:tcMar>
              <w:top w:w="40" w:type="dxa"/>
              <w:left w:w="740" w:type="dxa"/>
              <w:bottom w:w="40" w:type="dxa"/>
              <w:right w:w="20" w:type="dxa"/>
            </w:tcMar>
            <w:vAlign w:val="center"/>
          </w:tcPr>
          <w:p w14:paraId="098A899B" w14:textId="77777777" w:rsidR="00141CDF" w:rsidRDefault="00DF45E0">
            <w:pPr>
              <w:textAlignment w:val="center"/>
            </w:pPr>
            <w:r>
              <w:rPr>
                <w:rFonts w:ascii="Times New Roman" w:eastAsia="宋体" w:hAnsi="Times New Roman"/>
                <w:color w:val="000000"/>
                <w:sz w:val="16"/>
                <w:szCs w:val="16"/>
              </w:rPr>
              <w:t>Total current assets</w:t>
            </w:r>
          </w:p>
        </w:tc>
        <w:tc>
          <w:tcPr>
            <w:tcW w:w="0" w:type="auto"/>
            <w:gridSpan w:val="3"/>
            <w:shd w:val="clear" w:color="auto" w:fill="CCEEFF"/>
            <w:tcMar>
              <w:top w:w="0" w:type="dxa"/>
              <w:left w:w="20" w:type="dxa"/>
              <w:bottom w:w="0" w:type="dxa"/>
              <w:right w:w="20" w:type="dxa"/>
            </w:tcMar>
            <w:vAlign w:val="bottom"/>
          </w:tcPr>
          <w:p w14:paraId="098A899C" w14:textId="77777777" w:rsidR="00141CDF" w:rsidRDefault="00141CD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98A899D" w14:textId="77777777" w:rsidR="00141CDF" w:rsidRDefault="00DF45E0">
            <w:pPr>
              <w:jc w:val="right"/>
              <w:textAlignment w:val="center"/>
            </w:pPr>
            <w:r>
              <w:rPr>
                <w:rFonts w:ascii="Times New Roman" w:eastAsia="宋体" w:hAnsi="Times New Roman"/>
                <w:color w:val="000000"/>
                <w:sz w:val="16"/>
                <w:szCs w:val="16"/>
              </w:rPr>
              <w:t>84,164 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899E"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99F" w14:textId="77777777" w:rsidR="00141CDF" w:rsidRDefault="00141CD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98A89A0" w14:textId="77777777" w:rsidR="00141CDF" w:rsidRDefault="00DF45E0">
            <w:pPr>
              <w:jc w:val="right"/>
              <w:textAlignment w:val="center"/>
            </w:pPr>
            <w:r>
              <w:rPr>
                <w:rFonts w:ascii="Times New Roman" w:eastAsia="宋体" w:hAnsi="Times New Roman"/>
                <w:color w:val="000000"/>
                <w:sz w:val="16"/>
                <w:szCs w:val="16"/>
              </w:rPr>
              <w:t>81,070 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89A1"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9A2" w14:textId="77777777" w:rsidR="00141CDF" w:rsidRDefault="00141CD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98A89A3" w14:textId="77777777" w:rsidR="00141CDF" w:rsidRDefault="00DF45E0">
            <w:pPr>
              <w:jc w:val="right"/>
              <w:textAlignment w:val="center"/>
            </w:pPr>
            <w:r>
              <w:rPr>
                <w:rFonts w:ascii="Times New Roman" w:eastAsia="宋体" w:hAnsi="Times New Roman"/>
                <w:color w:val="000000"/>
                <w:sz w:val="16"/>
                <w:szCs w:val="16"/>
              </w:rPr>
              <w:t>78,243 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89A4" w14:textId="77777777" w:rsidR="00141CDF" w:rsidRDefault="00141CDF">
            <w:pPr>
              <w:jc w:val="right"/>
              <w:rPr>
                <w:rFonts w:ascii="宋体"/>
              </w:rPr>
            </w:pPr>
          </w:p>
        </w:tc>
      </w:tr>
      <w:tr w:rsidR="00141CDF" w14:paraId="098A89AD" w14:textId="77777777">
        <w:trPr>
          <w:trHeight w:val="240"/>
          <w:jc w:val="center"/>
        </w:trPr>
        <w:tc>
          <w:tcPr>
            <w:tcW w:w="0" w:type="auto"/>
            <w:gridSpan w:val="3"/>
            <w:shd w:val="clear" w:color="auto" w:fill="FFFFFF"/>
            <w:tcMar>
              <w:top w:w="0" w:type="dxa"/>
              <w:left w:w="20" w:type="dxa"/>
              <w:bottom w:w="0" w:type="dxa"/>
              <w:right w:w="20" w:type="dxa"/>
            </w:tcMar>
            <w:vAlign w:val="bottom"/>
          </w:tcPr>
          <w:p w14:paraId="098A89A6"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9A7"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9A8"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9A9"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9AA"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9AB"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9AC" w14:textId="77777777" w:rsidR="00141CDF" w:rsidRDefault="00141CDF">
            <w:pPr>
              <w:rPr>
                <w:rFonts w:ascii="宋体"/>
              </w:rPr>
            </w:pPr>
          </w:p>
        </w:tc>
      </w:tr>
      <w:tr w:rsidR="00141CDF" w14:paraId="098A89B5" w14:textId="77777777">
        <w:trPr>
          <w:jc w:val="center"/>
          <w:hidden/>
        </w:trPr>
        <w:tc>
          <w:tcPr>
            <w:tcW w:w="0" w:type="auto"/>
            <w:gridSpan w:val="3"/>
            <w:shd w:val="clear" w:color="auto" w:fill="auto"/>
            <w:vAlign w:val="bottom"/>
          </w:tcPr>
          <w:p w14:paraId="098A89AE" w14:textId="77777777" w:rsidR="00141CDF" w:rsidRDefault="00141CDF">
            <w:pPr>
              <w:rPr>
                <w:rFonts w:ascii="宋体"/>
                <w:vanish/>
              </w:rPr>
            </w:pPr>
          </w:p>
        </w:tc>
        <w:tc>
          <w:tcPr>
            <w:tcW w:w="0" w:type="auto"/>
            <w:gridSpan w:val="3"/>
            <w:shd w:val="clear" w:color="auto" w:fill="auto"/>
            <w:vAlign w:val="bottom"/>
          </w:tcPr>
          <w:p w14:paraId="098A89AF" w14:textId="77777777" w:rsidR="00141CDF" w:rsidRDefault="00141CDF">
            <w:pPr>
              <w:rPr>
                <w:rFonts w:ascii="宋体"/>
                <w:vanish/>
              </w:rPr>
            </w:pPr>
          </w:p>
        </w:tc>
        <w:tc>
          <w:tcPr>
            <w:tcW w:w="0" w:type="auto"/>
            <w:gridSpan w:val="3"/>
            <w:shd w:val="clear" w:color="auto" w:fill="auto"/>
            <w:vAlign w:val="bottom"/>
          </w:tcPr>
          <w:p w14:paraId="098A89B0" w14:textId="77777777" w:rsidR="00141CDF" w:rsidRDefault="00141CDF">
            <w:pPr>
              <w:rPr>
                <w:rFonts w:ascii="宋体"/>
                <w:vanish/>
              </w:rPr>
            </w:pPr>
          </w:p>
        </w:tc>
        <w:tc>
          <w:tcPr>
            <w:tcW w:w="0" w:type="auto"/>
            <w:gridSpan w:val="3"/>
            <w:shd w:val="clear" w:color="auto" w:fill="auto"/>
            <w:vAlign w:val="bottom"/>
          </w:tcPr>
          <w:p w14:paraId="098A89B1" w14:textId="77777777" w:rsidR="00141CDF" w:rsidRDefault="00141CDF">
            <w:pPr>
              <w:rPr>
                <w:rFonts w:ascii="宋体"/>
                <w:vanish/>
              </w:rPr>
            </w:pPr>
          </w:p>
        </w:tc>
        <w:tc>
          <w:tcPr>
            <w:tcW w:w="0" w:type="auto"/>
            <w:gridSpan w:val="3"/>
            <w:shd w:val="clear" w:color="auto" w:fill="auto"/>
            <w:vAlign w:val="bottom"/>
          </w:tcPr>
          <w:p w14:paraId="098A89B2" w14:textId="77777777" w:rsidR="00141CDF" w:rsidRDefault="00141CDF">
            <w:pPr>
              <w:rPr>
                <w:rFonts w:ascii="宋体"/>
                <w:vanish/>
              </w:rPr>
            </w:pPr>
          </w:p>
        </w:tc>
        <w:tc>
          <w:tcPr>
            <w:tcW w:w="0" w:type="auto"/>
            <w:gridSpan w:val="3"/>
            <w:shd w:val="clear" w:color="auto" w:fill="auto"/>
            <w:vAlign w:val="bottom"/>
          </w:tcPr>
          <w:p w14:paraId="098A89B3" w14:textId="77777777" w:rsidR="00141CDF" w:rsidRDefault="00141CDF">
            <w:pPr>
              <w:rPr>
                <w:rFonts w:ascii="宋体"/>
                <w:vanish/>
              </w:rPr>
            </w:pPr>
          </w:p>
        </w:tc>
        <w:tc>
          <w:tcPr>
            <w:tcW w:w="0" w:type="auto"/>
            <w:gridSpan w:val="3"/>
            <w:shd w:val="clear" w:color="auto" w:fill="auto"/>
            <w:vAlign w:val="bottom"/>
          </w:tcPr>
          <w:p w14:paraId="098A89B4" w14:textId="77777777" w:rsidR="00141CDF" w:rsidRDefault="00141CDF">
            <w:pPr>
              <w:rPr>
                <w:rFonts w:ascii="宋体"/>
                <w:vanish/>
              </w:rPr>
            </w:pPr>
          </w:p>
        </w:tc>
      </w:tr>
      <w:tr w:rsidR="00141CDF" w14:paraId="098A89BD" w14:textId="77777777">
        <w:trPr>
          <w:jc w:val="center"/>
          <w:hidden/>
        </w:trPr>
        <w:tc>
          <w:tcPr>
            <w:tcW w:w="0" w:type="auto"/>
            <w:gridSpan w:val="3"/>
            <w:shd w:val="clear" w:color="auto" w:fill="auto"/>
            <w:vAlign w:val="bottom"/>
          </w:tcPr>
          <w:p w14:paraId="098A89B6" w14:textId="77777777" w:rsidR="00141CDF" w:rsidRDefault="00141CDF">
            <w:pPr>
              <w:rPr>
                <w:rFonts w:ascii="宋体"/>
                <w:vanish/>
              </w:rPr>
            </w:pPr>
          </w:p>
        </w:tc>
        <w:tc>
          <w:tcPr>
            <w:tcW w:w="0" w:type="auto"/>
            <w:gridSpan w:val="3"/>
            <w:shd w:val="clear" w:color="auto" w:fill="auto"/>
            <w:vAlign w:val="bottom"/>
          </w:tcPr>
          <w:p w14:paraId="098A89B7" w14:textId="77777777" w:rsidR="00141CDF" w:rsidRDefault="00141CDF">
            <w:pPr>
              <w:rPr>
                <w:rFonts w:ascii="宋体"/>
                <w:vanish/>
              </w:rPr>
            </w:pPr>
          </w:p>
        </w:tc>
        <w:tc>
          <w:tcPr>
            <w:tcW w:w="0" w:type="auto"/>
            <w:gridSpan w:val="3"/>
            <w:shd w:val="clear" w:color="auto" w:fill="auto"/>
            <w:vAlign w:val="bottom"/>
          </w:tcPr>
          <w:p w14:paraId="098A89B8" w14:textId="77777777" w:rsidR="00141CDF" w:rsidRDefault="00141CDF">
            <w:pPr>
              <w:rPr>
                <w:rFonts w:ascii="宋体"/>
                <w:vanish/>
              </w:rPr>
            </w:pPr>
          </w:p>
        </w:tc>
        <w:tc>
          <w:tcPr>
            <w:tcW w:w="0" w:type="auto"/>
            <w:gridSpan w:val="3"/>
            <w:shd w:val="clear" w:color="auto" w:fill="auto"/>
            <w:vAlign w:val="bottom"/>
          </w:tcPr>
          <w:p w14:paraId="098A89B9" w14:textId="77777777" w:rsidR="00141CDF" w:rsidRDefault="00141CDF">
            <w:pPr>
              <w:rPr>
                <w:rFonts w:ascii="宋体"/>
                <w:vanish/>
              </w:rPr>
            </w:pPr>
          </w:p>
        </w:tc>
        <w:tc>
          <w:tcPr>
            <w:tcW w:w="0" w:type="auto"/>
            <w:gridSpan w:val="3"/>
            <w:shd w:val="clear" w:color="auto" w:fill="auto"/>
            <w:vAlign w:val="bottom"/>
          </w:tcPr>
          <w:p w14:paraId="098A89BA" w14:textId="77777777" w:rsidR="00141CDF" w:rsidRDefault="00141CDF">
            <w:pPr>
              <w:rPr>
                <w:rFonts w:ascii="宋体"/>
                <w:vanish/>
              </w:rPr>
            </w:pPr>
          </w:p>
        </w:tc>
        <w:tc>
          <w:tcPr>
            <w:tcW w:w="0" w:type="auto"/>
            <w:gridSpan w:val="3"/>
            <w:shd w:val="clear" w:color="auto" w:fill="auto"/>
            <w:vAlign w:val="bottom"/>
          </w:tcPr>
          <w:p w14:paraId="098A89BB" w14:textId="77777777" w:rsidR="00141CDF" w:rsidRDefault="00141CDF">
            <w:pPr>
              <w:rPr>
                <w:rFonts w:ascii="宋体"/>
                <w:vanish/>
              </w:rPr>
            </w:pPr>
          </w:p>
        </w:tc>
        <w:tc>
          <w:tcPr>
            <w:tcW w:w="0" w:type="auto"/>
            <w:gridSpan w:val="3"/>
            <w:shd w:val="clear" w:color="auto" w:fill="auto"/>
            <w:vAlign w:val="bottom"/>
          </w:tcPr>
          <w:p w14:paraId="098A89BC" w14:textId="77777777" w:rsidR="00141CDF" w:rsidRDefault="00141CDF">
            <w:pPr>
              <w:rPr>
                <w:rFonts w:ascii="宋体"/>
                <w:vanish/>
              </w:rPr>
            </w:pPr>
          </w:p>
        </w:tc>
      </w:tr>
      <w:tr w:rsidR="00141CDF" w14:paraId="098A89C8" w14:textId="77777777">
        <w:trPr>
          <w:jc w:val="center"/>
        </w:trPr>
        <w:tc>
          <w:tcPr>
            <w:tcW w:w="0" w:type="auto"/>
            <w:gridSpan w:val="3"/>
            <w:shd w:val="clear" w:color="auto" w:fill="CCEEFF"/>
            <w:tcMar>
              <w:top w:w="40" w:type="dxa"/>
              <w:left w:w="20" w:type="dxa"/>
              <w:bottom w:w="40" w:type="dxa"/>
              <w:right w:w="20" w:type="dxa"/>
            </w:tcMar>
            <w:vAlign w:val="center"/>
          </w:tcPr>
          <w:p w14:paraId="098A89BE" w14:textId="77777777" w:rsidR="00141CDF" w:rsidRDefault="00DF45E0">
            <w:pPr>
              <w:textAlignment w:val="center"/>
            </w:pPr>
            <w:r>
              <w:rPr>
                <w:rFonts w:ascii="Times New Roman" w:eastAsia="宋体" w:hAnsi="Times New Roman"/>
                <w:color w:val="000000"/>
                <w:sz w:val="16"/>
                <w:szCs w:val="16"/>
              </w:rPr>
              <w:t>Property and equipment, net</w:t>
            </w:r>
          </w:p>
        </w:tc>
        <w:tc>
          <w:tcPr>
            <w:tcW w:w="0" w:type="auto"/>
            <w:gridSpan w:val="3"/>
            <w:shd w:val="clear" w:color="auto" w:fill="CCEEFF"/>
            <w:tcMar>
              <w:top w:w="0" w:type="dxa"/>
              <w:left w:w="20" w:type="dxa"/>
              <w:bottom w:w="0" w:type="dxa"/>
              <w:right w:w="20" w:type="dxa"/>
            </w:tcMar>
            <w:vAlign w:val="bottom"/>
          </w:tcPr>
          <w:p w14:paraId="098A89BF"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9C0" w14:textId="77777777" w:rsidR="00141CDF" w:rsidRDefault="00DF45E0">
            <w:pPr>
              <w:jc w:val="right"/>
              <w:textAlignment w:val="center"/>
            </w:pPr>
            <w:r>
              <w:rPr>
                <w:rFonts w:ascii="Times New Roman" w:eastAsia="宋体" w:hAnsi="Times New Roman"/>
                <w:color w:val="000000"/>
                <w:sz w:val="16"/>
                <w:szCs w:val="16"/>
              </w:rPr>
              <w:t>96,006 </w:t>
            </w:r>
          </w:p>
        </w:tc>
        <w:tc>
          <w:tcPr>
            <w:tcW w:w="0" w:type="auto"/>
            <w:shd w:val="clear" w:color="auto" w:fill="CCEEFF"/>
            <w:tcMar>
              <w:top w:w="40" w:type="dxa"/>
              <w:left w:w="0" w:type="dxa"/>
              <w:bottom w:w="40" w:type="dxa"/>
              <w:right w:w="20" w:type="dxa"/>
            </w:tcMar>
            <w:vAlign w:val="center"/>
          </w:tcPr>
          <w:p w14:paraId="098A89C1"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9C2"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9C3" w14:textId="77777777" w:rsidR="00141CDF" w:rsidRDefault="00DF45E0">
            <w:pPr>
              <w:jc w:val="right"/>
              <w:textAlignment w:val="center"/>
            </w:pPr>
            <w:r>
              <w:rPr>
                <w:rFonts w:ascii="Times New Roman" w:eastAsia="宋体" w:hAnsi="Times New Roman"/>
                <w:color w:val="000000"/>
                <w:sz w:val="16"/>
                <w:szCs w:val="16"/>
              </w:rPr>
              <w:t>94,515 </w:t>
            </w:r>
          </w:p>
        </w:tc>
        <w:tc>
          <w:tcPr>
            <w:tcW w:w="0" w:type="auto"/>
            <w:shd w:val="clear" w:color="auto" w:fill="CCEEFF"/>
            <w:tcMar>
              <w:top w:w="40" w:type="dxa"/>
              <w:left w:w="0" w:type="dxa"/>
              <w:bottom w:w="40" w:type="dxa"/>
              <w:right w:w="20" w:type="dxa"/>
            </w:tcMar>
            <w:vAlign w:val="center"/>
          </w:tcPr>
          <w:p w14:paraId="098A89C4"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9C5"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9C6" w14:textId="77777777" w:rsidR="00141CDF" w:rsidRDefault="00DF45E0">
            <w:pPr>
              <w:jc w:val="right"/>
              <w:textAlignment w:val="center"/>
            </w:pPr>
            <w:r>
              <w:rPr>
                <w:rFonts w:ascii="Times New Roman" w:eastAsia="宋体" w:hAnsi="Times New Roman"/>
                <w:color w:val="000000"/>
                <w:sz w:val="16"/>
                <w:szCs w:val="16"/>
              </w:rPr>
              <w:t>91,621 </w:t>
            </w:r>
          </w:p>
        </w:tc>
        <w:tc>
          <w:tcPr>
            <w:tcW w:w="0" w:type="auto"/>
            <w:shd w:val="clear" w:color="auto" w:fill="CCEEFF"/>
            <w:tcMar>
              <w:top w:w="40" w:type="dxa"/>
              <w:left w:w="0" w:type="dxa"/>
              <w:bottom w:w="40" w:type="dxa"/>
              <w:right w:w="20" w:type="dxa"/>
            </w:tcMar>
            <w:vAlign w:val="center"/>
          </w:tcPr>
          <w:p w14:paraId="098A89C7" w14:textId="77777777" w:rsidR="00141CDF" w:rsidRDefault="00141CDF">
            <w:pPr>
              <w:jc w:val="right"/>
              <w:rPr>
                <w:rFonts w:ascii="宋体"/>
              </w:rPr>
            </w:pPr>
          </w:p>
        </w:tc>
      </w:tr>
      <w:tr w:rsidR="00141CDF" w14:paraId="098A89D3" w14:textId="77777777">
        <w:trPr>
          <w:jc w:val="center"/>
        </w:trPr>
        <w:tc>
          <w:tcPr>
            <w:tcW w:w="0" w:type="auto"/>
            <w:gridSpan w:val="3"/>
            <w:shd w:val="clear" w:color="auto" w:fill="FFFFFF"/>
            <w:tcMar>
              <w:top w:w="40" w:type="dxa"/>
              <w:left w:w="20" w:type="dxa"/>
              <w:bottom w:w="40" w:type="dxa"/>
              <w:right w:w="20" w:type="dxa"/>
            </w:tcMar>
            <w:vAlign w:val="center"/>
          </w:tcPr>
          <w:p w14:paraId="098A89C9" w14:textId="77777777" w:rsidR="00141CDF" w:rsidRDefault="00DF45E0">
            <w:pPr>
              <w:textAlignment w:val="center"/>
            </w:pPr>
            <w:r>
              <w:rPr>
                <w:rFonts w:ascii="Times New Roman" w:eastAsia="宋体" w:hAnsi="Times New Roman"/>
                <w:color w:val="000000"/>
                <w:sz w:val="16"/>
                <w:szCs w:val="16"/>
              </w:rPr>
              <w:t>Op</w:t>
            </w:r>
            <w:r>
              <w:rPr>
                <w:rFonts w:ascii="Times New Roman" w:eastAsia="宋体" w:hAnsi="Times New Roman"/>
                <w:color w:val="000000"/>
                <w:sz w:val="16"/>
                <w:szCs w:val="16"/>
              </w:rPr>
              <w:t>erating lease right-of-use assets</w:t>
            </w:r>
          </w:p>
        </w:tc>
        <w:tc>
          <w:tcPr>
            <w:tcW w:w="0" w:type="auto"/>
            <w:gridSpan w:val="3"/>
            <w:shd w:val="clear" w:color="auto" w:fill="FFFFFF"/>
            <w:tcMar>
              <w:top w:w="0" w:type="dxa"/>
              <w:left w:w="20" w:type="dxa"/>
              <w:bottom w:w="0" w:type="dxa"/>
              <w:right w:w="20" w:type="dxa"/>
            </w:tcMar>
            <w:vAlign w:val="bottom"/>
          </w:tcPr>
          <w:p w14:paraId="098A89CA"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9CB" w14:textId="77777777" w:rsidR="00141CDF" w:rsidRDefault="00DF45E0">
            <w:pPr>
              <w:jc w:val="right"/>
              <w:textAlignment w:val="center"/>
            </w:pPr>
            <w:r>
              <w:rPr>
                <w:rFonts w:ascii="Times New Roman" w:eastAsia="宋体" w:hAnsi="Times New Roman"/>
                <w:color w:val="000000"/>
                <w:sz w:val="16"/>
                <w:szCs w:val="16"/>
              </w:rPr>
              <w:t>13,872 </w:t>
            </w:r>
          </w:p>
        </w:tc>
        <w:tc>
          <w:tcPr>
            <w:tcW w:w="0" w:type="auto"/>
            <w:shd w:val="clear" w:color="auto" w:fill="FFFFFF"/>
            <w:tcMar>
              <w:top w:w="40" w:type="dxa"/>
              <w:left w:w="0" w:type="dxa"/>
              <w:bottom w:w="40" w:type="dxa"/>
              <w:right w:w="20" w:type="dxa"/>
            </w:tcMar>
            <w:vAlign w:val="center"/>
          </w:tcPr>
          <w:p w14:paraId="098A89CC"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9CD"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9CE" w14:textId="77777777" w:rsidR="00141CDF" w:rsidRDefault="00DF45E0">
            <w:pPr>
              <w:jc w:val="right"/>
              <w:textAlignment w:val="center"/>
            </w:pPr>
            <w:r>
              <w:rPr>
                <w:rFonts w:ascii="Times New Roman" w:eastAsia="宋体" w:hAnsi="Times New Roman"/>
                <w:color w:val="000000"/>
                <w:sz w:val="16"/>
                <w:szCs w:val="16"/>
              </w:rPr>
              <w:t>13,758 </w:t>
            </w:r>
          </w:p>
        </w:tc>
        <w:tc>
          <w:tcPr>
            <w:tcW w:w="0" w:type="auto"/>
            <w:shd w:val="clear" w:color="auto" w:fill="FFFFFF"/>
            <w:tcMar>
              <w:top w:w="40" w:type="dxa"/>
              <w:left w:w="0" w:type="dxa"/>
              <w:bottom w:w="40" w:type="dxa"/>
              <w:right w:w="20" w:type="dxa"/>
            </w:tcMar>
            <w:vAlign w:val="center"/>
          </w:tcPr>
          <w:p w14:paraId="098A89CF"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9D0"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9D1" w14:textId="77777777" w:rsidR="00141CDF" w:rsidRDefault="00DF45E0">
            <w:pPr>
              <w:jc w:val="right"/>
              <w:textAlignment w:val="center"/>
            </w:pPr>
            <w:r>
              <w:rPr>
                <w:rFonts w:ascii="Times New Roman" w:eastAsia="宋体" w:hAnsi="Times New Roman"/>
                <w:color w:val="000000"/>
                <w:sz w:val="16"/>
                <w:szCs w:val="16"/>
              </w:rPr>
              <w:t>13,868 </w:t>
            </w:r>
          </w:p>
        </w:tc>
        <w:tc>
          <w:tcPr>
            <w:tcW w:w="0" w:type="auto"/>
            <w:shd w:val="clear" w:color="auto" w:fill="FFFFFF"/>
            <w:tcMar>
              <w:top w:w="40" w:type="dxa"/>
              <w:left w:w="0" w:type="dxa"/>
              <w:bottom w:w="40" w:type="dxa"/>
              <w:right w:w="20" w:type="dxa"/>
            </w:tcMar>
            <w:vAlign w:val="center"/>
          </w:tcPr>
          <w:p w14:paraId="098A89D2" w14:textId="77777777" w:rsidR="00141CDF" w:rsidRDefault="00141CDF">
            <w:pPr>
              <w:jc w:val="right"/>
              <w:rPr>
                <w:rFonts w:ascii="宋体"/>
              </w:rPr>
            </w:pPr>
          </w:p>
        </w:tc>
      </w:tr>
      <w:tr w:rsidR="00141CDF" w14:paraId="098A89DE" w14:textId="77777777">
        <w:trPr>
          <w:jc w:val="center"/>
        </w:trPr>
        <w:tc>
          <w:tcPr>
            <w:tcW w:w="0" w:type="auto"/>
            <w:gridSpan w:val="3"/>
            <w:shd w:val="clear" w:color="auto" w:fill="CCEEFF"/>
            <w:tcMar>
              <w:top w:w="40" w:type="dxa"/>
              <w:left w:w="20" w:type="dxa"/>
              <w:bottom w:w="40" w:type="dxa"/>
              <w:right w:w="20" w:type="dxa"/>
            </w:tcMar>
            <w:vAlign w:val="center"/>
          </w:tcPr>
          <w:p w14:paraId="098A89D4" w14:textId="77777777" w:rsidR="00141CDF" w:rsidRDefault="00DF45E0">
            <w:pPr>
              <w:textAlignment w:val="center"/>
            </w:pPr>
            <w:r>
              <w:rPr>
                <w:rFonts w:ascii="Times New Roman" w:eastAsia="宋体" w:hAnsi="Times New Roman"/>
                <w:color w:val="000000"/>
                <w:sz w:val="16"/>
                <w:szCs w:val="16"/>
              </w:rPr>
              <w:t>Finance lease right-of-use assets, net</w:t>
            </w:r>
          </w:p>
        </w:tc>
        <w:tc>
          <w:tcPr>
            <w:tcW w:w="0" w:type="auto"/>
            <w:gridSpan w:val="3"/>
            <w:shd w:val="clear" w:color="auto" w:fill="CCEEFF"/>
            <w:tcMar>
              <w:top w:w="0" w:type="dxa"/>
              <w:left w:w="20" w:type="dxa"/>
              <w:bottom w:w="0" w:type="dxa"/>
              <w:right w:w="20" w:type="dxa"/>
            </w:tcMar>
            <w:vAlign w:val="bottom"/>
          </w:tcPr>
          <w:p w14:paraId="098A89D5"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9D6" w14:textId="77777777" w:rsidR="00141CDF" w:rsidRDefault="00DF45E0">
            <w:pPr>
              <w:jc w:val="right"/>
              <w:textAlignment w:val="center"/>
            </w:pPr>
            <w:r>
              <w:rPr>
                <w:rFonts w:ascii="Times New Roman" w:eastAsia="宋体" w:hAnsi="Times New Roman"/>
                <w:color w:val="000000"/>
                <w:sz w:val="16"/>
                <w:szCs w:val="16"/>
              </w:rPr>
              <w:t>4,514 </w:t>
            </w:r>
          </w:p>
        </w:tc>
        <w:tc>
          <w:tcPr>
            <w:tcW w:w="0" w:type="auto"/>
            <w:shd w:val="clear" w:color="auto" w:fill="CCEEFF"/>
            <w:tcMar>
              <w:top w:w="40" w:type="dxa"/>
              <w:left w:w="0" w:type="dxa"/>
              <w:bottom w:w="40" w:type="dxa"/>
              <w:right w:w="20" w:type="dxa"/>
            </w:tcMar>
            <w:vAlign w:val="center"/>
          </w:tcPr>
          <w:p w14:paraId="098A89D7"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9D8"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9D9" w14:textId="77777777" w:rsidR="00141CDF" w:rsidRDefault="00DF45E0">
            <w:pPr>
              <w:jc w:val="right"/>
              <w:textAlignment w:val="center"/>
            </w:pPr>
            <w:r>
              <w:rPr>
                <w:rFonts w:ascii="Times New Roman" w:eastAsia="宋体" w:hAnsi="Times New Roman"/>
                <w:color w:val="000000"/>
                <w:sz w:val="16"/>
                <w:szCs w:val="16"/>
              </w:rPr>
              <w:t>4,351 </w:t>
            </w:r>
          </w:p>
        </w:tc>
        <w:tc>
          <w:tcPr>
            <w:tcW w:w="0" w:type="auto"/>
            <w:shd w:val="clear" w:color="auto" w:fill="CCEEFF"/>
            <w:tcMar>
              <w:top w:w="40" w:type="dxa"/>
              <w:left w:w="0" w:type="dxa"/>
              <w:bottom w:w="40" w:type="dxa"/>
              <w:right w:w="20" w:type="dxa"/>
            </w:tcMar>
            <w:vAlign w:val="center"/>
          </w:tcPr>
          <w:p w14:paraId="098A89DA"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9DB"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9DC" w14:textId="77777777" w:rsidR="00141CDF" w:rsidRDefault="00DF45E0">
            <w:pPr>
              <w:jc w:val="right"/>
              <w:textAlignment w:val="center"/>
            </w:pPr>
            <w:r>
              <w:rPr>
                <w:rFonts w:ascii="Times New Roman" w:eastAsia="宋体" w:hAnsi="Times New Roman"/>
                <w:color w:val="000000"/>
                <w:sz w:val="16"/>
                <w:szCs w:val="16"/>
              </w:rPr>
              <w:t>4,109 </w:t>
            </w:r>
          </w:p>
        </w:tc>
        <w:tc>
          <w:tcPr>
            <w:tcW w:w="0" w:type="auto"/>
            <w:shd w:val="clear" w:color="auto" w:fill="CCEEFF"/>
            <w:tcMar>
              <w:top w:w="40" w:type="dxa"/>
              <w:left w:w="0" w:type="dxa"/>
              <w:bottom w:w="40" w:type="dxa"/>
              <w:right w:w="20" w:type="dxa"/>
            </w:tcMar>
            <w:vAlign w:val="center"/>
          </w:tcPr>
          <w:p w14:paraId="098A89DD" w14:textId="77777777" w:rsidR="00141CDF" w:rsidRDefault="00141CDF">
            <w:pPr>
              <w:jc w:val="right"/>
              <w:rPr>
                <w:rFonts w:ascii="宋体"/>
              </w:rPr>
            </w:pPr>
          </w:p>
        </w:tc>
      </w:tr>
      <w:tr w:rsidR="00141CDF" w14:paraId="098A89E6" w14:textId="77777777">
        <w:trPr>
          <w:jc w:val="center"/>
          <w:hidden/>
        </w:trPr>
        <w:tc>
          <w:tcPr>
            <w:tcW w:w="0" w:type="auto"/>
            <w:gridSpan w:val="3"/>
            <w:shd w:val="clear" w:color="auto" w:fill="auto"/>
            <w:vAlign w:val="bottom"/>
          </w:tcPr>
          <w:p w14:paraId="098A89DF" w14:textId="77777777" w:rsidR="00141CDF" w:rsidRDefault="00141CDF">
            <w:pPr>
              <w:rPr>
                <w:rFonts w:ascii="宋体"/>
                <w:vanish/>
              </w:rPr>
            </w:pPr>
          </w:p>
        </w:tc>
        <w:tc>
          <w:tcPr>
            <w:tcW w:w="0" w:type="auto"/>
            <w:gridSpan w:val="3"/>
            <w:shd w:val="clear" w:color="auto" w:fill="auto"/>
            <w:vAlign w:val="bottom"/>
          </w:tcPr>
          <w:p w14:paraId="098A89E0" w14:textId="77777777" w:rsidR="00141CDF" w:rsidRDefault="00141CDF">
            <w:pPr>
              <w:rPr>
                <w:rFonts w:ascii="宋体"/>
                <w:vanish/>
              </w:rPr>
            </w:pPr>
          </w:p>
        </w:tc>
        <w:tc>
          <w:tcPr>
            <w:tcW w:w="0" w:type="auto"/>
            <w:gridSpan w:val="3"/>
            <w:shd w:val="clear" w:color="auto" w:fill="auto"/>
            <w:vAlign w:val="bottom"/>
          </w:tcPr>
          <w:p w14:paraId="098A89E1" w14:textId="77777777" w:rsidR="00141CDF" w:rsidRDefault="00141CDF">
            <w:pPr>
              <w:rPr>
                <w:rFonts w:ascii="宋体"/>
                <w:vanish/>
              </w:rPr>
            </w:pPr>
          </w:p>
        </w:tc>
        <w:tc>
          <w:tcPr>
            <w:tcW w:w="0" w:type="auto"/>
            <w:gridSpan w:val="3"/>
            <w:shd w:val="clear" w:color="auto" w:fill="auto"/>
            <w:vAlign w:val="bottom"/>
          </w:tcPr>
          <w:p w14:paraId="098A89E2" w14:textId="77777777" w:rsidR="00141CDF" w:rsidRDefault="00141CDF">
            <w:pPr>
              <w:rPr>
                <w:rFonts w:ascii="宋体"/>
                <w:vanish/>
              </w:rPr>
            </w:pPr>
          </w:p>
        </w:tc>
        <w:tc>
          <w:tcPr>
            <w:tcW w:w="0" w:type="auto"/>
            <w:gridSpan w:val="3"/>
            <w:shd w:val="clear" w:color="auto" w:fill="auto"/>
            <w:vAlign w:val="bottom"/>
          </w:tcPr>
          <w:p w14:paraId="098A89E3" w14:textId="77777777" w:rsidR="00141CDF" w:rsidRDefault="00141CDF">
            <w:pPr>
              <w:rPr>
                <w:rFonts w:ascii="宋体"/>
                <w:vanish/>
              </w:rPr>
            </w:pPr>
          </w:p>
        </w:tc>
        <w:tc>
          <w:tcPr>
            <w:tcW w:w="0" w:type="auto"/>
            <w:gridSpan w:val="3"/>
            <w:shd w:val="clear" w:color="auto" w:fill="auto"/>
            <w:vAlign w:val="bottom"/>
          </w:tcPr>
          <w:p w14:paraId="098A89E4" w14:textId="77777777" w:rsidR="00141CDF" w:rsidRDefault="00141CDF">
            <w:pPr>
              <w:rPr>
                <w:rFonts w:ascii="宋体"/>
                <w:vanish/>
              </w:rPr>
            </w:pPr>
          </w:p>
        </w:tc>
        <w:tc>
          <w:tcPr>
            <w:tcW w:w="0" w:type="auto"/>
            <w:gridSpan w:val="3"/>
            <w:shd w:val="clear" w:color="auto" w:fill="auto"/>
            <w:vAlign w:val="bottom"/>
          </w:tcPr>
          <w:p w14:paraId="098A89E5" w14:textId="77777777" w:rsidR="00141CDF" w:rsidRDefault="00141CDF">
            <w:pPr>
              <w:rPr>
                <w:rFonts w:ascii="宋体"/>
                <w:vanish/>
              </w:rPr>
            </w:pPr>
          </w:p>
        </w:tc>
      </w:tr>
      <w:tr w:rsidR="00141CDF" w14:paraId="098A89F1" w14:textId="77777777">
        <w:trPr>
          <w:jc w:val="center"/>
        </w:trPr>
        <w:tc>
          <w:tcPr>
            <w:tcW w:w="0" w:type="auto"/>
            <w:gridSpan w:val="3"/>
            <w:shd w:val="clear" w:color="auto" w:fill="FFFFFF"/>
            <w:tcMar>
              <w:top w:w="40" w:type="dxa"/>
              <w:left w:w="20" w:type="dxa"/>
              <w:bottom w:w="40" w:type="dxa"/>
              <w:right w:w="20" w:type="dxa"/>
            </w:tcMar>
            <w:vAlign w:val="center"/>
          </w:tcPr>
          <w:p w14:paraId="098A89E7" w14:textId="77777777" w:rsidR="00141CDF" w:rsidRDefault="00DF45E0">
            <w:pPr>
              <w:textAlignment w:val="center"/>
            </w:pPr>
            <w:r>
              <w:rPr>
                <w:rFonts w:ascii="Times New Roman" w:eastAsia="宋体" w:hAnsi="Times New Roman"/>
                <w:color w:val="000000"/>
                <w:sz w:val="16"/>
                <w:szCs w:val="16"/>
              </w:rPr>
              <w:t>Goodwill</w:t>
            </w:r>
          </w:p>
        </w:tc>
        <w:tc>
          <w:tcPr>
            <w:tcW w:w="0" w:type="auto"/>
            <w:gridSpan w:val="3"/>
            <w:shd w:val="clear" w:color="auto" w:fill="FFFFFF"/>
            <w:tcMar>
              <w:top w:w="0" w:type="dxa"/>
              <w:left w:w="20" w:type="dxa"/>
              <w:bottom w:w="0" w:type="dxa"/>
              <w:right w:w="20" w:type="dxa"/>
            </w:tcMar>
            <w:vAlign w:val="bottom"/>
          </w:tcPr>
          <w:p w14:paraId="098A89E8"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9E9" w14:textId="77777777" w:rsidR="00141CDF" w:rsidRDefault="00DF45E0">
            <w:pPr>
              <w:jc w:val="right"/>
              <w:textAlignment w:val="center"/>
            </w:pPr>
            <w:r>
              <w:rPr>
                <w:rFonts w:ascii="Times New Roman" w:eastAsia="宋体" w:hAnsi="Times New Roman"/>
                <w:color w:val="000000"/>
                <w:sz w:val="16"/>
                <w:szCs w:val="16"/>
              </w:rPr>
              <w:t>28,664 </w:t>
            </w:r>
          </w:p>
        </w:tc>
        <w:tc>
          <w:tcPr>
            <w:tcW w:w="0" w:type="auto"/>
            <w:shd w:val="clear" w:color="auto" w:fill="FFFFFF"/>
            <w:tcMar>
              <w:top w:w="40" w:type="dxa"/>
              <w:left w:w="0" w:type="dxa"/>
              <w:bottom w:w="40" w:type="dxa"/>
              <w:right w:w="20" w:type="dxa"/>
            </w:tcMar>
            <w:vAlign w:val="center"/>
          </w:tcPr>
          <w:p w14:paraId="098A89EA"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9EB"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9EC" w14:textId="77777777" w:rsidR="00141CDF" w:rsidRDefault="00DF45E0">
            <w:pPr>
              <w:jc w:val="right"/>
              <w:textAlignment w:val="center"/>
            </w:pPr>
            <w:r>
              <w:rPr>
                <w:rFonts w:ascii="Times New Roman" w:eastAsia="宋体" w:hAnsi="Times New Roman"/>
                <w:color w:val="000000"/>
                <w:sz w:val="16"/>
                <w:szCs w:val="16"/>
              </w:rPr>
              <w:t>29,014 </w:t>
            </w:r>
          </w:p>
        </w:tc>
        <w:tc>
          <w:tcPr>
            <w:tcW w:w="0" w:type="auto"/>
            <w:shd w:val="clear" w:color="auto" w:fill="FFFFFF"/>
            <w:tcMar>
              <w:top w:w="40" w:type="dxa"/>
              <w:left w:w="0" w:type="dxa"/>
              <w:bottom w:w="40" w:type="dxa"/>
              <w:right w:w="20" w:type="dxa"/>
            </w:tcMar>
            <w:vAlign w:val="center"/>
          </w:tcPr>
          <w:p w14:paraId="098A89ED"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9EE"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9EF" w14:textId="77777777" w:rsidR="00141CDF" w:rsidRDefault="00DF45E0">
            <w:pPr>
              <w:jc w:val="right"/>
              <w:textAlignment w:val="center"/>
            </w:pPr>
            <w:r>
              <w:rPr>
                <w:rFonts w:ascii="Times New Roman" w:eastAsia="宋体" w:hAnsi="Times New Roman"/>
                <w:color w:val="000000"/>
                <w:sz w:val="16"/>
                <w:szCs w:val="16"/>
              </w:rPr>
              <w:t>29,159 </w:t>
            </w:r>
          </w:p>
        </w:tc>
        <w:tc>
          <w:tcPr>
            <w:tcW w:w="0" w:type="auto"/>
            <w:shd w:val="clear" w:color="auto" w:fill="FFFFFF"/>
            <w:tcMar>
              <w:top w:w="40" w:type="dxa"/>
              <w:left w:w="0" w:type="dxa"/>
              <w:bottom w:w="40" w:type="dxa"/>
              <w:right w:w="20" w:type="dxa"/>
            </w:tcMar>
            <w:vAlign w:val="center"/>
          </w:tcPr>
          <w:p w14:paraId="098A89F0" w14:textId="77777777" w:rsidR="00141CDF" w:rsidRDefault="00141CDF">
            <w:pPr>
              <w:jc w:val="right"/>
              <w:rPr>
                <w:rFonts w:ascii="宋体"/>
              </w:rPr>
            </w:pPr>
          </w:p>
        </w:tc>
      </w:tr>
      <w:tr w:rsidR="00141CDF" w14:paraId="098A89FC" w14:textId="77777777">
        <w:trPr>
          <w:jc w:val="center"/>
        </w:trPr>
        <w:tc>
          <w:tcPr>
            <w:tcW w:w="0" w:type="auto"/>
            <w:gridSpan w:val="3"/>
            <w:shd w:val="clear" w:color="auto" w:fill="CCEEFF"/>
            <w:tcMar>
              <w:top w:w="40" w:type="dxa"/>
              <w:left w:w="20" w:type="dxa"/>
              <w:bottom w:w="40" w:type="dxa"/>
              <w:right w:w="20" w:type="dxa"/>
            </w:tcMar>
            <w:vAlign w:val="center"/>
          </w:tcPr>
          <w:p w14:paraId="098A89F2" w14:textId="77777777" w:rsidR="00141CDF" w:rsidRDefault="00DF45E0">
            <w:pPr>
              <w:textAlignment w:val="center"/>
            </w:pPr>
            <w:r>
              <w:rPr>
                <w:rFonts w:ascii="Times New Roman" w:eastAsia="宋体" w:hAnsi="Times New Roman"/>
                <w:color w:val="000000"/>
                <w:sz w:val="16"/>
                <w:szCs w:val="16"/>
              </w:rPr>
              <w:t>Other long-term assets</w:t>
            </w:r>
          </w:p>
        </w:tc>
        <w:tc>
          <w:tcPr>
            <w:tcW w:w="0" w:type="auto"/>
            <w:gridSpan w:val="3"/>
            <w:shd w:val="clear" w:color="auto" w:fill="CCEEFF"/>
            <w:tcMar>
              <w:top w:w="0" w:type="dxa"/>
              <w:left w:w="20" w:type="dxa"/>
              <w:bottom w:w="0" w:type="dxa"/>
              <w:right w:w="20" w:type="dxa"/>
            </w:tcMar>
            <w:vAlign w:val="bottom"/>
          </w:tcPr>
          <w:p w14:paraId="098A89F3"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9F4" w14:textId="77777777" w:rsidR="00141CDF" w:rsidRDefault="00DF45E0">
            <w:pPr>
              <w:jc w:val="right"/>
              <w:textAlignment w:val="center"/>
            </w:pPr>
            <w:r>
              <w:rPr>
                <w:rFonts w:ascii="Times New Roman" w:eastAsia="宋体" w:hAnsi="Times New Roman"/>
                <w:color w:val="000000"/>
                <w:sz w:val="16"/>
                <w:szCs w:val="16"/>
              </w:rPr>
              <w:t>19,979 </w:t>
            </w:r>
          </w:p>
        </w:tc>
        <w:tc>
          <w:tcPr>
            <w:tcW w:w="0" w:type="auto"/>
            <w:shd w:val="clear" w:color="auto" w:fill="CCEEFF"/>
            <w:tcMar>
              <w:top w:w="40" w:type="dxa"/>
              <w:left w:w="0" w:type="dxa"/>
              <w:bottom w:w="40" w:type="dxa"/>
              <w:right w:w="20" w:type="dxa"/>
            </w:tcMar>
            <w:vAlign w:val="center"/>
          </w:tcPr>
          <w:p w14:paraId="098A89F5"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9F6"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9F7" w14:textId="77777777" w:rsidR="00141CDF" w:rsidRDefault="00DF45E0">
            <w:pPr>
              <w:jc w:val="right"/>
              <w:textAlignment w:val="center"/>
            </w:pPr>
            <w:r>
              <w:rPr>
                <w:rFonts w:ascii="Times New Roman" w:eastAsia="宋体" w:hAnsi="Times New Roman"/>
                <w:color w:val="000000"/>
                <w:sz w:val="16"/>
                <w:szCs w:val="16"/>
              </w:rPr>
              <w:t>22,152 </w:t>
            </w:r>
          </w:p>
        </w:tc>
        <w:tc>
          <w:tcPr>
            <w:tcW w:w="0" w:type="auto"/>
            <w:shd w:val="clear" w:color="auto" w:fill="CCEEFF"/>
            <w:tcMar>
              <w:top w:w="40" w:type="dxa"/>
              <w:left w:w="0" w:type="dxa"/>
              <w:bottom w:w="40" w:type="dxa"/>
              <w:right w:w="20" w:type="dxa"/>
            </w:tcMar>
            <w:vAlign w:val="center"/>
          </w:tcPr>
          <w:p w14:paraId="098A89F8"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9F9"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9FA" w14:textId="77777777" w:rsidR="00141CDF" w:rsidRDefault="00DF45E0">
            <w:pPr>
              <w:jc w:val="right"/>
              <w:textAlignment w:val="center"/>
            </w:pPr>
            <w:r>
              <w:rPr>
                <w:rFonts w:ascii="Times New Roman" w:eastAsia="宋体" w:hAnsi="Times New Roman"/>
                <w:color w:val="000000"/>
                <w:sz w:val="16"/>
                <w:szCs w:val="16"/>
              </w:rPr>
              <w:t>21,552 </w:t>
            </w:r>
          </w:p>
        </w:tc>
        <w:tc>
          <w:tcPr>
            <w:tcW w:w="0" w:type="auto"/>
            <w:shd w:val="clear" w:color="auto" w:fill="CCEEFF"/>
            <w:tcMar>
              <w:top w:w="40" w:type="dxa"/>
              <w:left w:w="0" w:type="dxa"/>
              <w:bottom w:w="40" w:type="dxa"/>
              <w:right w:w="20" w:type="dxa"/>
            </w:tcMar>
            <w:vAlign w:val="center"/>
          </w:tcPr>
          <w:p w14:paraId="098A89FB" w14:textId="77777777" w:rsidR="00141CDF" w:rsidRDefault="00141CDF">
            <w:pPr>
              <w:jc w:val="right"/>
              <w:rPr>
                <w:rFonts w:ascii="宋体"/>
              </w:rPr>
            </w:pPr>
          </w:p>
        </w:tc>
      </w:tr>
      <w:tr w:rsidR="00141CDF" w14:paraId="098A8A0A" w14:textId="77777777">
        <w:trPr>
          <w:jc w:val="center"/>
        </w:trPr>
        <w:tc>
          <w:tcPr>
            <w:tcW w:w="0" w:type="auto"/>
            <w:gridSpan w:val="3"/>
            <w:shd w:val="clear" w:color="auto" w:fill="FFFFFF"/>
            <w:tcMar>
              <w:top w:w="40" w:type="dxa"/>
              <w:left w:w="20" w:type="dxa"/>
              <w:bottom w:w="40" w:type="dxa"/>
              <w:right w:w="20" w:type="dxa"/>
            </w:tcMar>
            <w:vAlign w:val="center"/>
          </w:tcPr>
          <w:p w14:paraId="098A89FD" w14:textId="77777777" w:rsidR="00141CDF" w:rsidRDefault="00DF45E0">
            <w:pPr>
              <w:textAlignment w:val="center"/>
            </w:pPr>
            <w:r>
              <w:rPr>
                <w:rFonts w:ascii="Times New Roman" w:eastAsia="宋体" w:hAnsi="Times New Roman"/>
                <w:b/>
                <w:bCs/>
                <w:color w:val="000000"/>
                <w:sz w:val="16"/>
                <w:szCs w:val="16"/>
              </w:rPr>
              <w:t>Total assets</w:t>
            </w:r>
          </w:p>
        </w:tc>
        <w:tc>
          <w:tcPr>
            <w:tcW w:w="0" w:type="auto"/>
            <w:gridSpan w:val="3"/>
            <w:shd w:val="clear" w:color="auto" w:fill="FFFFFF"/>
            <w:tcMar>
              <w:top w:w="0" w:type="dxa"/>
              <w:left w:w="20" w:type="dxa"/>
              <w:bottom w:w="0" w:type="dxa"/>
              <w:right w:w="20" w:type="dxa"/>
            </w:tcMar>
            <w:vAlign w:val="bottom"/>
          </w:tcPr>
          <w:p w14:paraId="098A89FE" w14:textId="77777777" w:rsidR="00141CDF" w:rsidRDefault="00141C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98A89FF"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98A8A00" w14:textId="77777777" w:rsidR="00141CDF" w:rsidRDefault="00DF45E0">
            <w:pPr>
              <w:jc w:val="right"/>
              <w:textAlignment w:val="center"/>
            </w:pPr>
            <w:r>
              <w:rPr>
                <w:rFonts w:ascii="Times New Roman" w:eastAsia="宋体" w:hAnsi="Times New Roman"/>
                <w:color w:val="000000"/>
                <w:sz w:val="16"/>
                <w:szCs w:val="16"/>
              </w:rPr>
              <w:t>247,199 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8A01"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A02" w14:textId="77777777" w:rsidR="00141CDF" w:rsidRDefault="00141C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98A8A03"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98A8A04" w14:textId="77777777" w:rsidR="00141CDF" w:rsidRDefault="00DF45E0">
            <w:pPr>
              <w:jc w:val="right"/>
              <w:textAlignment w:val="center"/>
            </w:pPr>
            <w:r>
              <w:rPr>
                <w:rFonts w:ascii="Times New Roman" w:eastAsia="宋体" w:hAnsi="Times New Roman"/>
                <w:color w:val="000000"/>
                <w:sz w:val="16"/>
                <w:szCs w:val="16"/>
              </w:rPr>
              <w:t>244,860 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8A05"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A06" w14:textId="77777777" w:rsidR="00141CDF" w:rsidRDefault="00141C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98A8A07"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98A8A08" w14:textId="77777777" w:rsidR="00141CDF" w:rsidRDefault="00DF45E0">
            <w:pPr>
              <w:jc w:val="right"/>
              <w:textAlignment w:val="center"/>
            </w:pPr>
            <w:r>
              <w:rPr>
                <w:rFonts w:ascii="Times New Roman" w:eastAsia="宋体" w:hAnsi="Times New Roman"/>
                <w:color w:val="000000"/>
                <w:sz w:val="16"/>
                <w:szCs w:val="16"/>
              </w:rPr>
              <w:t>238,552 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8A09" w14:textId="77777777" w:rsidR="00141CDF" w:rsidRDefault="00141CDF">
            <w:pPr>
              <w:jc w:val="right"/>
              <w:rPr>
                <w:rFonts w:ascii="宋体"/>
              </w:rPr>
            </w:pPr>
          </w:p>
        </w:tc>
      </w:tr>
      <w:tr w:rsidR="00141CDF" w14:paraId="098A8A12" w14:textId="77777777">
        <w:trPr>
          <w:trHeight w:val="240"/>
          <w:jc w:val="center"/>
        </w:trPr>
        <w:tc>
          <w:tcPr>
            <w:tcW w:w="0" w:type="auto"/>
            <w:gridSpan w:val="3"/>
            <w:shd w:val="clear" w:color="auto" w:fill="CCEEFF"/>
            <w:tcMar>
              <w:top w:w="0" w:type="dxa"/>
              <w:left w:w="20" w:type="dxa"/>
              <w:bottom w:w="0" w:type="dxa"/>
              <w:right w:w="20" w:type="dxa"/>
            </w:tcMar>
            <w:vAlign w:val="bottom"/>
          </w:tcPr>
          <w:p w14:paraId="098A8A0B"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A0C" w14:textId="77777777" w:rsidR="00141CDF" w:rsidRDefault="00141CD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98A8A0D"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A0E" w14:textId="77777777" w:rsidR="00141CDF" w:rsidRDefault="00141CD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98A8A0F"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A10" w14:textId="77777777" w:rsidR="00141CDF" w:rsidRDefault="00141CD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98A8A11" w14:textId="77777777" w:rsidR="00141CDF" w:rsidRDefault="00141CDF">
            <w:pPr>
              <w:rPr>
                <w:rFonts w:ascii="宋体"/>
              </w:rPr>
            </w:pPr>
          </w:p>
        </w:tc>
      </w:tr>
      <w:tr w:rsidR="00141CDF" w14:paraId="098A8A1A" w14:textId="77777777">
        <w:trPr>
          <w:jc w:val="center"/>
        </w:trPr>
        <w:tc>
          <w:tcPr>
            <w:tcW w:w="0" w:type="auto"/>
            <w:gridSpan w:val="3"/>
            <w:shd w:val="clear" w:color="auto" w:fill="FFFFFF"/>
            <w:tcMar>
              <w:top w:w="40" w:type="dxa"/>
              <w:left w:w="20" w:type="dxa"/>
              <w:bottom w:w="40" w:type="dxa"/>
              <w:right w:w="20" w:type="dxa"/>
            </w:tcMar>
            <w:vAlign w:val="center"/>
          </w:tcPr>
          <w:p w14:paraId="098A8A13" w14:textId="77777777" w:rsidR="00141CDF" w:rsidRDefault="00DF45E0">
            <w:pPr>
              <w:textAlignment w:val="center"/>
            </w:pPr>
            <w:r>
              <w:rPr>
                <w:rFonts w:ascii="Times New Roman" w:eastAsia="宋体" w:hAnsi="Times New Roman"/>
                <w:b/>
                <w:bCs/>
                <w:color w:val="000000"/>
                <w:sz w:val="16"/>
                <w:szCs w:val="16"/>
              </w:rPr>
              <w:t>LIABILITIES, REDEEMABLE NONCONTROLLING INTEREST, AND EQUITY</w:t>
            </w:r>
          </w:p>
        </w:tc>
        <w:tc>
          <w:tcPr>
            <w:tcW w:w="0" w:type="auto"/>
            <w:gridSpan w:val="3"/>
            <w:shd w:val="clear" w:color="auto" w:fill="FFFFFF"/>
            <w:tcMar>
              <w:top w:w="0" w:type="dxa"/>
              <w:left w:w="20" w:type="dxa"/>
              <w:bottom w:w="0" w:type="dxa"/>
              <w:right w:w="20" w:type="dxa"/>
            </w:tcMar>
            <w:vAlign w:val="bottom"/>
          </w:tcPr>
          <w:p w14:paraId="098A8A14"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A15"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A16"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A17"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A18"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A19" w14:textId="77777777" w:rsidR="00141CDF" w:rsidRDefault="00141CDF">
            <w:pPr>
              <w:rPr>
                <w:rFonts w:ascii="宋体"/>
              </w:rPr>
            </w:pPr>
          </w:p>
        </w:tc>
      </w:tr>
      <w:tr w:rsidR="00141CDF" w14:paraId="098A8A22" w14:textId="77777777">
        <w:trPr>
          <w:jc w:val="center"/>
        </w:trPr>
        <w:tc>
          <w:tcPr>
            <w:tcW w:w="0" w:type="auto"/>
            <w:gridSpan w:val="3"/>
            <w:shd w:val="clear" w:color="auto" w:fill="CCEEFF"/>
            <w:tcMar>
              <w:top w:w="40" w:type="dxa"/>
              <w:left w:w="20" w:type="dxa"/>
              <w:bottom w:w="40" w:type="dxa"/>
              <w:right w:w="20" w:type="dxa"/>
            </w:tcMar>
            <w:vAlign w:val="center"/>
          </w:tcPr>
          <w:p w14:paraId="098A8A1B" w14:textId="77777777" w:rsidR="00141CDF" w:rsidRDefault="00DF45E0">
            <w:pPr>
              <w:textAlignment w:val="center"/>
            </w:pPr>
            <w:r>
              <w:rPr>
                <w:rFonts w:ascii="Times New Roman" w:eastAsia="宋体" w:hAnsi="Times New Roman"/>
                <w:b/>
                <w:bCs/>
                <w:color w:val="000000"/>
                <w:sz w:val="16"/>
                <w:szCs w:val="16"/>
              </w:rPr>
              <w:t>Current liabilities:</w:t>
            </w:r>
          </w:p>
        </w:tc>
        <w:tc>
          <w:tcPr>
            <w:tcW w:w="0" w:type="auto"/>
            <w:gridSpan w:val="3"/>
            <w:shd w:val="clear" w:color="auto" w:fill="CCEEFF"/>
            <w:tcMar>
              <w:top w:w="0" w:type="dxa"/>
              <w:left w:w="20" w:type="dxa"/>
              <w:bottom w:w="0" w:type="dxa"/>
              <w:right w:w="20" w:type="dxa"/>
            </w:tcMar>
            <w:vAlign w:val="bottom"/>
          </w:tcPr>
          <w:p w14:paraId="098A8A1C"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A1D"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A1E"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A1F"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A20"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A21" w14:textId="77777777" w:rsidR="00141CDF" w:rsidRDefault="00141CDF">
            <w:pPr>
              <w:rPr>
                <w:rFonts w:ascii="宋体"/>
              </w:rPr>
            </w:pPr>
          </w:p>
        </w:tc>
      </w:tr>
      <w:tr w:rsidR="00141CDF" w14:paraId="098A8A30" w14:textId="77777777">
        <w:trPr>
          <w:jc w:val="center"/>
        </w:trPr>
        <w:tc>
          <w:tcPr>
            <w:tcW w:w="0" w:type="auto"/>
            <w:gridSpan w:val="3"/>
            <w:shd w:val="clear" w:color="auto" w:fill="FFFFFF"/>
            <w:tcMar>
              <w:top w:w="40" w:type="dxa"/>
              <w:left w:w="380" w:type="dxa"/>
              <w:bottom w:w="40" w:type="dxa"/>
              <w:right w:w="20" w:type="dxa"/>
            </w:tcMar>
            <w:vAlign w:val="center"/>
          </w:tcPr>
          <w:p w14:paraId="098A8A23" w14:textId="77777777" w:rsidR="00141CDF" w:rsidRDefault="00DF45E0">
            <w:pPr>
              <w:textAlignment w:val="center"/>
            </w:pPr>
            <w:r>
              <w:rPr>
                <w:rFonts w:ascii="Times New Roman" w:eastAsia="宋体" w:hAnsi="Times New Roman"/>
                <w:color w:val="000000"/>
                <w:sz w:val="16"/>
                <w:szCs w:val="16"/>
              </w:rPr>
              <w:t>Short-term borrowings</w:t>
            </w:r>
          </w:p>
        </w:tc>
        <w:tc>
          <w:tcPr>
            <w:tcW w:w="0" w:type="auto"/>
            <w:gridSpan w:val="3"/>
            <w:shd w:val="clear" w:color="auto" w:fill="FFFFFF"/>
            <w:tcMar>
              <w:top w:w="0" w:type="dxa"/>
              <w:left w:w="20" w:type="dxa"/>
              <w:bottom w:w="0" w:type="dxa"/>
              <w:right w:w="20" w:type="dxa"/>
            </w:tcMar>
            <w:vAlign w:val="bottom"/>
          </w:tcPr>
          <w:p w14:paraId="098A8A24" w14:textId="77777777" w:rsidR="00141CDF" w:rsidRDefault="00141CDF">
            <w:pPr>
              <w:rPr>
                <w:rFonts w:ascii="宋体"/>
              </w:rPr>
            </w:pPr>
          </w:p>
        </w:tc>
        <w:tc>
          <w:tcPr>
            <w:tcW w:w="0" w:type="auto"/>
            <w:shd w:val="clear" w:color="auto" w:fill="FFFFFF"/>
            <w:tcMar>
              <w:top w:w="40" w:type="dxa"/>
              <w:left w:w="20" w:type="dxa"/>
              <w:bottom w:w="40" w:type="dxa"/>
              <w:right w:w="0" w:type="dxa"/>
            </w:tcMar>
            <w:vAlign w:val="center"/>
          </w:tcPr>
          <w:p w14:paraId="098A8A25"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098A8A26" w14:textId="77777777" w:rsidR="00141CDF" w:rsidRDefault="00DF45E0">
            <w:pPr>
              <w:jc w:val="right"/>
              <w:textAlignment w:val="center"/>
            </w:pPr>
            <w:r>
              <w:rPr>
                <w:rFonts w:ascii="Times New Roman" w:eastAsia="宋体" w:hAnsi="Times New Roman"/>
                <w:color w:val="000000"/>
                <w:sz w:val="16"/>
                <w:szCs w:val="16"/>
              </w:rPr>
              <w:t>10,634 </w:t>
            </w:r>
          </w:p>
        </w:tc>
        <w:tc>
          <w:tcPr>
            <w:tcW w:w="0" w:type="auto"/>
            <w:shd w:val="clear" w:color="auto" w:fill="FFFFFF"/>
            <w:tcMar>
              <w:top w:w="40" w:type="dxa"/>
              <w:left w:w="0" w:type="dxa"/>
              <w:bottom w:w="40" w:type="dxa"/>
              <w:right w:w="20" w:type="dxa"/>
            </w:tcMar>
            <w:vAlign w:val="center"/>
          </w:tcPr>
          <w:p w14:paraId="098A8A27"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A28" w14:textId="77777777" w:rsidR="00141CDF" w:rsidRDefault="00141CDF">
            <w:pPr>
              <w:rPr>
                <w:rFonts w:ascii="宋体"/>
              </w:rPr>
            </w:pPr>
          </w:p>
        </w:tc>
        <w:tc>
          <w:tcPr>
            <w:tcW w:w="0" w:type="auto"/>
            <w:shd w:val="clear" w:color="auto" w:fill="FFFFFF"/>
            <w:tcMar>
              <w:top w:w="40" w:type="dxa"/>
              <w:left w:w="20" w:type="dxa"/>
              <w:bottom w:w="40" w:type="dxa"/>
              <w:right w:w="0" w:type="dxa"/>
            </w:tcMar>
            <w:vAlign w:val="center"/>
          </w:tcPr>
          <w:p w14:paraId="098A8A29"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098A8A2A" w14:textId="77777777" w:rsidR="00141CDF" w:rsidRDefault="00DF45E0">
            <w:pPr>
              <w:jc w:val="right"/>
              <w:textAlignment w:val="center"/>
            </w:pPr>
            <w:r>
              <w:rPr>
                <w:rFonts w:ascii="Times New Roman" w:eastAsia="宋体" w:hAnsi="Times New Roman"/>
                <w:color w:val="000000"/>
                <w:sz w:val="16"/>
                <w:szCs w:val="16"/>
              </w:rPr>
              <w:t>410 </w:t>
            </w:r>
          </w:p>
        </w:tc>
        <w:tc>
          <w:tcPr>
            <w:tcW w:w="0" w:type="auto"/>
            <w:shd w:val="clear" w:color="auto" w:fill="FFFFFF"/>
            <w:tcMar>
              <w:top w:w="40" w:type="dxa"/>
              <w:left w:w="0" w:type="dxa"/>
              <w:bottom w:w="40" w:type="dxa"/>
              <w:right w:w="20" w:type="dxa"/>
            </w:tcMar>
            <w:vAlign w:val="center"/>
          </w:tcPr>
          <w:p w14:paraId="098A8A2B"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A2C" w14:textId="77777777" w:rsidR="00141CDF" w:rsidRDefault="00141CDF">
            <w:pPr>
              <w:rPr>
                <w:rFonts w:ascii="宋体"/>
              </w:rPr>
            </w:pPr>
          </w:p>
        </w:tc>
        <w:tc>
          <w:tcPr>
            <w:tcW w:w="0" w:type="auto"/>
            <w:shd w:val="clear" w:color="auto" w:fill="FFFFFF"/>
            <w:tcMar>
              <w:top w:w="40" w:type="dxa"/>
              <w:left w:w="20" w:type="dxa"/>
              <w:bottom w:w="40" w:type="dxa"/>
              <w:right w:w="0" w:type="dxa"/>
            </w:tcMar>
            <w:vAlign w:val="center"/>
          </w:tcPr>
          <w:p w14:paraId="098A8A2D"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098A8A2E" w14:textId="77777777" w:rsidR="00141CDF" w:rsidRDefault="00DF45E0">
            <w:pPr>
              <w:jc w:val="right"/>
              <w:textAlignment w:val="center"/>
            </w:pPr>
            <w:r>
              <w:rPr>
                <w:rFonts w:ascii="Times New Roman" w:eastAsia="宋体" w:hAnsi="Times New Roman"/>
                <w:color w:val="000000"/>
                <w:sz w:val="16"/>
                <w:szCs w:val="16"/>
              </w:rPr>
              <w:t>671 </w:t>
            </w:r>
          </w:p>
        </w:tc>
        <w:tc>
          <w:tcPr>
            <w:tcW w:w="0" w:type="auto"/>
            <w:shd w:val="clear" w:color="auto" w:fill="FFFFFF"/>
            <w:tcMar>
              <w:top w:w="40" w:type="dxa"/>
              <w:left w:w="0" w:type="dxa"/>
              <w:bottom w:w="40" w:type="dxa"/>
              <w:right w:w="20" w:type="dxa"/>
            </w:tcMar>
            <w:vAlign w:val="center"/>
          </w:tcPr>
          <w:p w14:paraId="098A8A2F" w14:textId="77777777" w:rsidR="00141CDF" w:rsidRDefault="00141CDF">
            <w:pPr>
              <w:jc w:val="right"/>
              <w:rPr>
                <w:rFonts w:ascii="宋体"/>
              </w:rPr>
            </w:pPr>
          </w:p>
        </w:tc>
      </w:tr>
      <w:tr w:rsidR="00141CDF" w14:paraId="098A8A3B" w14:textId="77777777">
        <w:trPr>
          <w:jc w:val="center"/>
        </w:trPr>
        <w:tc>
          <w:tcPr>
            <w:tcW w:w="0" w:type="auto"/>
            <w:gridSpan w:val="3"/>
            <w:shd w:val="clear" w:color="auto" w:fill="CCEEFF"/>
            <w:tcMar>
              <w:top w:w="40" w:type="dxa"/>
              <w:left w:w="380" w:type="dxa"/>
              <w:bottom w:w="40" w:type="dxa"/>
              <w:right w:w="20" w:type="dxa"/>
            </w:tcMar>
            <w:vAlign w:val="center"/>
          </w:tcPr>
          <w:p w14:paraId="098A8A31" w14:textId="77777777" w:rsidR="00141CDF" w:rsidRDefault="00DF45E0">
            <w:pPr>
              <w:textAlignment w:val="center"/>
            </w:pPr>
            <w:r>
              <w:rPr>
                <w:rFonts w:ascii="Times New Roman" w:eastAsia="宋体" w:hAnsi="Times New Roman"/>
                <w:color w:val="000000"/>
                <w:sz w:val="16"/>
                <w:szCs w:val="16"/>
              </w:rPr>
              <w:t>Accounts payable</w:t>
            </w:r>
          </w:p>
        </w:tc>
        <w:tc>
          <w:tcPr>
            <w:tcW w:w="0" w:type="auto"/>
            <w:gridSpan w:val="3"/>
            <w:shd w:val="clear" w:color="auto" w:fill="CCEEFF"/>
            <w:tcMar>
              <w:top w:w="0" w:type="dxa"/>
              <w:left w:w="20" w:type="dxa"/>
              <w:bottom w:w="0" w:type="dxa"/>
              <w:right w:w="20" w:type="dxa"/>
            </w:tcMar>
            <w:vAlign w:val="bottom"/>
          </w:tcPr>
          <w:p w14:paraId="098A8A32"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A33" w14:textId="77777777" w:rsidR="00141CDF" w:rsidRDefault="00DF45E0">
            <w:pPr>
              <w:jc w:val="right"/>
              <w:textAlignment w:val="center"/>
            </w:pPr>
            <w:r>
              <w:rPr>
                <w:rFonts w:ascii="Times New Roman" w:eastAsia="宋体" w:hAnsi="Times New Roman"/>
                <w:color w:val="000000"/>
                <w:sz w:val="16"/>
                <w:szCs w:val="16"/>
              </w:rPr>
              <w:t>54,191 </w:t>
            </w:r>
          </w:p>
        </w:tc>
        <w:tc>
          <w:tcPr>
            <w:tcW w:w="0" w:type="auto"/>
            <w:shd w:val="clear" w:color="auto" w:fill="CCEEFF"/>
            <w:tcMar>
              <w:top w:w="40" w:type="dxa"/>
              <w:left w:w="0" w:type="dxa"/>
              <w:bottom w:w="40" w:type="dxa"/>
              <w:right w:w="20" w:type="dxa"/>
            </w:tcMar>
            <w:vAlign w:val="center"/>
          </w:tcPr>
          <w:p w14:paraId="098A8A34"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A35"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A36" w14:textId="77777777" w:rsidR="00141CDF" w:rsidRDefault="00DF45E0">
            <w:pPr>
              <w:jc w:val="right"/>
              <w:textAlignment w:val="center"/>
            </w:pPr>
            <w:r>
              <w:rPr>
                <w:rFonts w:ascii="Times New Roman" w:eastAsia="宋体" w:hAnsi="Times New Roman"/>
                <w:color w:val="000000"/>
                <w:sz w:val="16"/>
                <w:szCs w:val="16"/>
              </w:rPr>
              <w:t>55,261 </w:t>
            </w:r>
          </w:p>
        </w:tc>
        <w:tc>
          <w:tcPr>
            <w:tcW w:w="0" w:type="auto"/>
            <w:shd w:val="clear" w:color="auto" w:fill="CCEEFF"/>
            <w:tcMar>
              <w:top w:w="40" w:type="dxa"/>
              <w:left w:w="0" w:type="dxa"/>
              <w:bottom w:w="40" w:type="dxa"/>
              <w:right w:w="20" w:type="dxa"/>
            </w:tcMar>
            <w:vAlign w:val="center"/>
          </w:tcPr>
          <w:p w14:paraId="098A8A37"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A38"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A39" w14:textId="77777777" w:rsidR="00141CDF" w:rsidRDefault="00DF45E0">
            <w:pPr>
              <w:jc w:val="right"/>
              <w:textAlignment w:val="center"/>
            </w:pPr>
            <w:r>
              <w:rPr>
                <w:rFonts w:ascii="Times New Roman" w:eastAsia="宋体" w:hAnsi="Times New Roman"/>
                <w:color w:val="000000"/>
                <w:sz w:val="16"/>
                <w:szCs w:val="16"/>
              </w:rPr>
              <w:t>49,601 </w:t>
            </w:r>
          </w:p>
        </w:tc>
        <w:tc>
          <w:tcPr>
            <w:tcW w:w="0" w:type="auto"/>
            <w:shd w:val="clear" w:color="auto" w:fill="CCEEFF"/>
            <w:tcMar>
              <w:top w:w="40" w:type="dxa"/>
              <w:left w:w="0" w:type="dxa"/>
              <w:bottom w:w="40" w:type="dxa"/>
              <w:right w:w="20" w:type="dxa"/>
            </w:tcMar>
            <w:vAlign w:val="center"/>
          </w:tcPr>
          <w:p w14:paraId="098A8A3A" w14:textId="77777777" w:rsidR="00141CDF" w:rsidRDefault="00141CDF">
            <w:pPr>
              <w:jc w:val="right"/>
              <w:rPr>
                <w:rFonts w:ascii="宋体"/>
              </w:rPr>
            </w:pPr>
          </w:p>
        </w:tc>
      </w:tr>
      <w:tr w:rsidR="00141CDF" w14:paraId="098A8A46" w14:textId="77777777">
        <w:trPr>
          <w:jc w:val="center"/>
        </w:trPr>
        <w:tc>
          <w:tcPr>
            <w:tcW w:w="0" w:type="auto"/>
            <w:gridSpan w:val="3"/>
            <w:shd w:val="clear" w:color="auto" w:fill="FFFFFF"/>
            <w:tcMar>
              <w:top w:w="40" w:type="dxa"/>
              <w:left w:w="380" w:type="dxa"/>
              <w:bottom w:w="40" w:type="dxa"/>
              <w:right w:w="20" w:type="dxa"/>
            </w:tcMar>
            <w:vAlign w:val="center"/>
          </w:tcPr>
          <w:p w14:paraId="098A8A3C" w14:textId="77777777" w:rsidR="00141CDF" w:rsidRDefault="00DF45E0">
            <w:pPr>
              <w:textAlignment w:val="center"/>
            </w:pPr>
            <w:r>
              <w:rPr>
                <w:rFonts w:ascii="Times New Roman" w:eastAsia="宋体" w:hAnsi="Times New Roman"/>
                <w:color w:val="000000"/>
                <w:sz w:val="16"/>
                <w:szCs w:val="16"/>
              </w:rPr>
              <w:t>Dividends payable</w:t>
            </w:r>
          </w:p>
        </w:tc>
        <w:tc>
          <w:tcPr>
            <w:tcW w:w="0" w:type="auto"/>
            <w:gridSpan w:val="3"/>
            <w:shd w:val="clear" w:color="auto" w:fill="FFFFFF"/>
            <w:tcMar>
              <w:top w:w="0" w:type="dxa"/>
              <w:left w:w="20" w:type="dxa"/>
              <w:bottom w:w="0" w:type="dxa"/>
              <w:right w:w="20" w:type="dxa"/>
            </w:tcMar>
            <w:vAlign w:val="bottom"/>
          </w:tcPr>
          <w:p w14:paraId="098A8A3D"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A3E" w14:textId="77777777" w:rsidR="00141CDF" w:rsidRDefault="00DF45E0">
            <w:pPr>
              <w:jc w:val="right"/>
              <w:textAlignment w:val="center"/>
            </w:pPr>
            <w:r>
              <w:rPr>
                <w:rFonts w:ascii="Times New Roman" w:eastAsia="宋体" w:hAnsi="Times New Roman"/>
                <w:color w:val="000000"/>
                <w:sz w:val="16"/>
                <w:szCs w:val="16"/>
              </w:rPr>
              <w:t>3,049 </w:t>
            </w:r>
          </w:p>
        </w:tc>
        <w:tc>
          <w:tcPr>
            <w:tcW w:w="0" w:type="auto"/>
            <w:shd w:val="clear" w:color="auto" w:fill="FFFFFF"/>
            <w:tcMar>
              <w:top w:w="40" w:type="dxa"/>
              <w:left w:w="0" w:type="dxa"/>
              <w:bottom w:w="40" w:type="dxa"/>
              <w:right w:w="20" w:type="dxa"/>
            </w:tcMar>
            <w:vAlign w:val="center"/>
          </w:tcPr>
          <w:p w14:paraId="098A8A3F"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A40"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A41"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8A42"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A43"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A44" w14:textId="77777777" w:rsidR="00141CDF" w:rsidRDefault="00DF45E0">
            <w:pPr>
              <w:jc w:val="right"/>
              <w:textAlignment w:val="center"/>
            </w:pPr>
            <w:r>
              <w:rPr>
                <w:rFonts w:ascii="Times New Roman" w:eastAsia="宋体" w:hAnsi="Times New Roman"/>
                <w:color w:val="000000"/>
                <w:sz w:val="16"/>
                <w:szCs w:val="16"/>
              </w:rPr>
              <w:t>3,109 </w:t>
            </w:r>
          </w:p>
        </w:tc>
        <w:tc>
          <w:tcPr>
            <w:tcW w:w="0" w:type="auto"/>
            <w:shd w:val="clear" w:color="auto" w:fill="FFFFFF"/>
            <w:tcMar>
              <w:top w:w="40" w:type="dxa"/>
              <w:left w:w="0" w:type="dxa"/>
              <w:bottom w:w="40" w:type="dxa"/>
              <w:right w:w="20" w:type="dxa"/>
            </w:tcMar>
            <w:vAlign w:val="center"/>
          </w:tcPr>
          <w:p w14:paraId="098A8A45" w14:textId="77777777" w:rsidR="00141CDF" w:rsidRDefault="00141CDF">
            <w:pPr>
              <w:jc w:val="right"/>
              <w:rPr>
                <w:rFonts w:ascii="宋体"/>
              </w:rPr>
            </w:pPr>
          </w:p>
        </w:tc>
      </w:tr>
      <w:tr w:rsidR="00141CDF" w14:paraId="098A8A51" w14:textId="77777777">
        <w:trPr>
          <w:jc w:val="center"/>
        </w:trPr>
        <w:tc>
          <w:tcPr>
            <w:tcW w:w="0" w:type="auto"/>
            <w:gridSpan w:val="3"/>
            <w:shd w:val="clear" w:color="auto" w:fill="CCEEFF"/>
            <w:tcMar>
              <w:top w:w="40" w:type="dxa"/>
              <w:left w:w="380" w:type="dxa"/>
              <w:bottom w:w="40" w:type="dxa"/>
              <w:right w:w="20" w:type="dxa"/>
            </w:tcMar>
            <w:vAlign w:val="center"/>
          </w:tcPr>
          <w:p w14:paraId="098A8A47" w14:textId="77777777" w:rsidR="00141CDF" w:rsidRDefault="00DF45E0">
            <w:pPr>
              <w:textAlignment w:val="center"/>
            </w:pPr>
            <w:r>
              <w:rPr>
                <w:rFonts w:ascii="Times New Roman" w:eastAsia="宋体" w:hAnsi="Times New Roman"/>
                <w:color w:val="000000"/>
                <w:sz w:val="16"/>
                <w:szCs w:val="16"/>
              </w:rPr>
              <w:t>Accrued liabilities</w:t>
            </w:r>
          </w:p>
        </w:tc>
        <w:tc>
          <w:tcPr>
            <w:tcW w:w="0" w:type="auto"/>
            <w:gridSpan w:val="3"/>
            <w:shd w:val="clear" w:color="auto" w:fill="CCEEFF"/>
            <w:tcMar>
              <w:top w:w="0" w:type="dxa"/>
              <w:left w:w="20" w:type="dxa"/>
              <w:bottom w:w="0" w:type="dxa"/>
              <w:right w:w="20" w:type="dxa"/>
            </w:tcMar>
            <w:vAlign w:val="bottom"/>
          </w:tcPr>
          <w:p w14:paraId="098A8A48"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A49" w14:textId="77777777" w:rsidR="00141CDF" w:rsidRDefault="00DF45E0">
            <w:pPr>
              <w:jc w:val="right"/>
              <w:textAlignment w:val="center"/>
            </w:pPr>
            <w:r>
              <w:rPr>
                <w:rFonts w:ascii="Times New Roman" w:eastAsia="宋体" w:hAnsi="Times New Roman"/>
                <w:color w:val="000000"/>
                <w:sz w:val="16"/>
                <w:szCs w:val="16"/>
              </w:rPr>
              <w:t>23,843 </w:t>
            </w:r>
          </w:p>
        </w:tc>
        <w:tc>
          <w:tcPr>
            <w:tcW w:w="0" w:type="auto"/>
            <w:shd w:val="clear" w:color="auto" w:fill="CCEEFF"/>
            <w:tcMar>
              <w:top w:w="40" w:type="dxa"/>
              <w:left w:w="0" w:type="dxa"/>
              <w:bottom w:w="40" w:type="dxa"/>
              <w:right w:w="20" w:type="dxa"/>
            </w:tcMar>
            <w:vAlign w:val="center"/>
          </w:tcPr>
          <w:p w14:paraId="098A8A4A"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A4B"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A4C" w14:textId="77777777" w:rsidR="00141CDF" w:rsidRDefault="00DF45E0">
            <w:pPr>
              <w:jc w:val="right"/>
              <w:textAlignment w:val="center"/>
            </w:pPr>
            <w:r>
              <w:rPr>
                <w:rFonts w:ascii="Times New Roman" w:eastAsia="宋体" w:hAnsi="Times New Roman"/>
                <w:color w:val="000000"/>
                <w:sz w:val="16"/>
                <w:szCs w:val="16"/>
              </w:rPr>
              <w:t>26,060 </w:t>
            </w:r>
          </w:p>
        </w:tc>
        <w:tc>
          <w:tcPr>
            <w:tcW w:w="0" w:type="auto"/>
            <w:shd w:val="clear" w:color="auto" w:fill="CCEEFF"/>
            <w:tcMar>
              <w:top w:w="40" w:type="dxa"/>
              <w:left w:w="0" w:type="dxa"/>
              <w:bottom w:w="40" w:type="dxa"/>
              <w:right w:w="20" w:type="dxa"/>
            </w:tcMar>
            <w:vAlign w:val="center"/>
          </w:tcPr>
          <w:p w14:paraId="098A8A4D"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A4E"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A4F" w14:textId="77777777" w:rsidR="00141CDF" w:rsidRDefault="00DF45E0">
            <w:pPr>
              <w:jc w:val="right"/>
              <w:textAlignment w:val="center"/>
            </w:pPr>
            <w:r>
              <w:rPr>
                <w:rFonts w:ascii="Times New Roman" w:eastAsia="宋体" w:hAnsi="Times New Roman"/>
                <w:color w:val="000000"/>
                <w:sz w:val="16"/>
                <w:szCs w:val="16"/>
              </w:rPr>
              <w:t>23,915 </w:t>
            </w:r>
          </w:p>
        </w:tc>
        <w:tc>
          <w:tcPr>
            <w:tcW w:w="0" w:type="auto"/>
            <w:shd w:val="clear" w:color="auto" w:fill="CCEEFF"/>
            <w:tcMar>
              <w:top w:w="40" w:type="dxa"/>
              <w:left w:w="0" w:type="dxa"/>
              <w:bottom w:w="40" w:type="dxa"/>
              <w:right w:w="20" w:type="dxa"/>
            </w:tcMar>
            <w:vAlign w:val="center"/>
          </w:tcPr>
          <w:p w14:paraId="098A8A50" w14:textId="77777777" w:rsidR="00141CDF" w:rsidRDefault="00141CDF">
            <w:pPr>
              <w:jc w:val="right"/>
              <w:rPr>
                <w:rFonts w:ascii="宋体"/>
              </w:rPr>
            </w:pPr>
          </w:p>
        </w:tc>
      </w:tr>
      <w:tr w:rsidR="00141CDF" w14:paraId="098A8A5C" w14:textId="77777777">
        <w:trPr>
          <w:jc w:val="center"/>
        </w:trPr>
        <w:tc>
          <w:tcPr>
            <w:tcW w:w="0" w:type="auto"/>
            <w:gridSpan w:val="3"/>
            <w:shd w:val="clear" w:color="auto" w:fill="FFFFFF"/>
            <w:tcMar>
              <w:top w:w="40" w:type="dxa"/>
              <w:left w:w="380" w:type="dxa"/>
              <w:bottom w:w="40" w:type="dxa"/>
              <w:right w:w="20" w:type="dxa"/>
            </w:tcMar>
            <w:vAlign w:val="center"/>
          </w:tcPr>
          <w:p w14:paraId="098A8A52" w14:textId="77777777" w:rsidR="00141CDF" w:rsidRDefault="00DF45E0">
            <w:pPr>
              <w:textAlignment w:val="center"/>
            </w:pPr>
            <w:r>
              <w:rPr>
                <w:rFonts w:ascii="Times New Roman" w:eastAsia="宋体" w:hAnsi="Times New Roman"/>
                <w:color w:val="000000"/>
                <w:sz w:val="16"/>
                <w:szCs w:val="16"/>
              </w:rPr>
              <w:t>Accrued income taxes</w:t>
            </w:r>
          </w:p>
        </w:tc>
        <w:tc>
          <w:tcPr>
            <w:tcW w:w="0" w:type="auto"/>
            <w:gridSpan w:val="3"/>
            <w:shd w:val="clear" w:color="auto" w:fill="FFFFFF"/>
            <w:tcMar>
              <w:top w:w="0" w:type="dxa"/>
              <w:left w:w="20" w:type="dxa"/>
              <w:bottom w:w="0" w:type="dxa"/>
              <w:right w:w="20" w:type="dxa"/>
            </w:tcMar>
            <w:vAlign w:val="bottom"/>
          </w:tcPr>
          <w:p w14:paraId="098A8A53"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A54" w14:textId="77777777" w:rsidR="00141CDF" w:rsidRDefault="00DF45E0">
            <w:pPr>
              <w:jc w:val="right"/>
              <w:textAlignment w:val="center"/>
            </w:pPr>
            <w:r>
              <w:rPr>
                <w:rFonts w:ascii="Times New Roman" w:eastAsia="宋体" w:hAnsi="Times New Roman"/>
                <w:color w:val="000000"/>
                <w:sz w:val="16"/>
                <w:szCs w:val="16"/>
              </w:rPr>
              <w:t>868 </w:t>
            </w:r>
          </w:p>
        </w:tc>
        <w:tc>
          <w:tcPr>
            <w:tcW w:w="0" w:type="auto"/>
            <w:shd w:val="clear" w:color="auto" w:fill="FFFFFF"/>
            <w:tcMar>
              <w:top w:w="40" w:type="dxa"/>
              <w:left w:w="0" w:type="dxa"/>
              <w:bottom w:w="40" w:type="dxa"/>
              <w:right w:w="20" w:type="dxa"/>
            </w:tcMar>
            <w:vAlign w:val="center"/>
          </w:tcPr>
          <w:p w14:paraId="098A8A55"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A56"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A57" w14:textId="77777777" w:rsidR="00141CDF" w:rsidRDefault="00DF45E0">
            <w:pPr>
              <w:jc w:val="right"/>
              <w:textAlignment w:val="center"/>
            </w:pPr>
            <w:r>
              <w:rPr>
                <w:rFonts w:ascii="Times New Roman" w:eastAsia="宋体" w:hAnsi="Times New Roman"/>
                <w:color w:val="000000"/>
                <w:sz w:val="16"/>
                <w:szCs w:val="16"/>
              </w:rPr>
              <w:t>851 </w:t>
            </w:r>
          </w:p>
        </w:tc>
        <w:tc>
          <w:tcPr>
            <w:tcW w:w="0" w:type="auto"/>
            <w:shd w:val="clear" w:color="auto" w:fill="FFFFFF"/>
            <w:tcMar>
              <w:top w:w="40" w:type="dxa"/>
              <w:left w:w="0" w:type="dxa"/>
              <w:bottom w:w="40" w:type="dxa"/>
              <w:right w:w="20" w:type="dxa"/>
            </w:tcMar>
            <w:vAlign w:val="center"/>
          </w:tcPr>
          <w:p w14:paraId="098A8A58"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A59"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A5A" w14:textId="77777777" w:rsidR="00141CDF" w:rsidRDefault="00DF45E0">
            <w:pPr>
              <w:jc w:val="right"/>
              <w:textAlignment w:val="center"/>
            </w:pPr>
            <w:r>
              <w:rPr>
                <w:rFonts w:ascii="Times New Roman" w:eastAsia="宋体" w:hAnsi="Times New Roman"/>
                <w:color w:val="000000"/>
                <w:sz w:val="16"/>
                <w:szCs w:val="16"/>
              </w:rPr>
              <w:t>267 </w:t>
            </w:r>
          </w:p>
        </w:tc>
        <w:tc>
          <w:tcPr>
            <w:tcW w:w="0" w:type="auto"/>
            <w:shd w:val="clear" w:color="auto" w:fill="FFFFFF"/>
            <w:tcMar>
              <w:top w:w="40" w:type="dxa"/>
              <w:left w:w="0" w:type="dxa"/>
              <w:bottom w:w="40" w:type="dxa"/>
              <w:right w:w="20" w:type="dxa"/>
            </w:tcMar>
            <w:vAlign w:val="center"/>
          </w:tcPr>
          <w:p w14:paraId="098A8A5B" w14:textId="77777777" w:rsidR="00141CDF" w:rsidRDefault="00141CDF">
            <w:pPr>
              <w:jc w:val="right"/>
              <w:rPr>
                <w:rFonts w:ascii="宋体"/>
              </w:rPr>
            </w:pPr>
          </w:p>
        </w:tc>
      </w:tr>
      <w:tr w:rsidR="00141CDF" w14:paraId="098A8A67" w14:textId="77777777">
        <w:trPr>
          <w:jc w:val="center"/>
        </w:trPr>
        <w:tc>
          <w:tcPr>
            <w:tcW w:w="0" w:type="auto"/>
            <w:gridSpan w:val="3"/>
            <w:shd w:val="clear" w:color="auto" w:fill="CCEEFF"/>
            <w:tcMar>
              <w:top w:w="40" w:type="dxa"/>
              <w:left w:w="380" w:type="dxa"/>
              <w:bottom w:w="40" w:type="dxa"/>
              <w:right w:w="20" w:type="dxa"/>
            </w:tcMar>
            <w:vAlign w:val="center"/>
          </w:tcPr>
          <w:p w14:paraId="098A8A5D" w14:textId="77777777" w:rsidR="00141CDF" w:rsidRDefault="00DF45E0">
            <w:pPr>
              <w:textAlignment w:val="center"/>
            </w:pPr>
            <w:r>
              <w:rPr>
                <w:rFonts w:ascii="Times New Roman" w:eastAsia="宋体" w:hAnsi="Times New Roman"/>
                <w:color w:val="000000"/>
                <w:sz w:val="16"/>
                <w:szCs w:val="16"/>
              </w:rPr>
              <w:t>Long-term debt due within one year</w:t>
            </w:r>
          </w:p>
        </w:tc>
        <w:tc>
          <w:tcPr>
            <w:tcW w:w="0" w:type="auto"/>
            <w:gridSpan w:val="3"/>
            <w:shd w:val="clear" w:color="auto" w:fill="CCEEFF"/>
            <w:tcMar>
              <w:top w:w="0" w:type="dxa"/>
              <w:left w:w="20" w:type="dxa"/>
              <w:bottom w:w="0" w:type="dxa"/>
              <w:right w:w="20" w:type="dxa"/>
            </w:tcMar>
            <w:vAlign w:val="bottom"/>
          </w:tcPr>
          <w:p w14:paraId="098A8A5E"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A5F" w14:textId="77777777" w:rsidR="00141CDF" w:rsidRDefault="00DF45E0">
            <w:pPr>
              <w:jc w:val="right"/>
              <w:textAlignment w:val="center"/>
            </w:pPr>
            <w:r>
              <w:rPr>
                <w:rFonts w:ascii="Times New Roman" w:eastAsia="宋体" w:hAnsi="Times New Roman"/>
                <w:color w:val="000000"/>
                <w:sz w:val="16"/>
                <w:szCs w:val="16"/>
              </w:rPr>
              <w:t>5,316 </w:t>
            </w:r>
          </w:p>
        </w:tc>
        <w:tc>
          <w:tcPr>
            <w:tcW w:w="0" w:type="auto"/>
            <w:shd w:val="clear" w:color="auto" w:fill="CCEEFF"/>
            <w:tcMar>
              <w:top w:w="40" w:type="dxa"/>
              <w:left w:w="0" w:type="dxa"/>
              <w:bottom w:w="40" w:type="dxa"/>
              <w:right w:w="20" w:type="dxa"/>
            </w:tcMar>
            <w:vAlign w:val="center"/>
          </w:tcPr>
          <w:p w14:paraId="098A8A60"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A61"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A62" w14:textId="77777777" w:rsidR="00141CDF" w:rsidRDefault="00DF45E0">
            <w:pPr>
              <w:jc w:val="right"/>
              <w:textAlignment w:val="center"/>
            </w:pPr>
            <w:r>
              <w:rPr>
                <w:rFonts w:ascii="Times New Roman" w:eastAsia="宋体" w:hAnsi="Times New Roman"/>
                <w:color w:val="000000"/>
                <w:sz w:val="16"/>
                <w:szCs w:val="16"/>
              </w:rPr>
              <w:t>2,803 </w:t>
            </w:r>
          </w:p>
        </w:tc>
        <w:tc>
          <w:tcPr>
            <w:tcW w:w="0" w:type="auto"/>
            <w:shd w:val="clear" w:color="auto" w:fill="CCEEFF"/>
            <w:tcMar>
              <w:top w:w="40" w:type="dxa"/>
              <w:left w:w="0" w:type="dxa"/>
              <w:bottom w:w="40" w:type="dxa"/>
              <w:right w:w="20" w:type="dxa"/>
            </w:tcMar>
            <w:vAlign w:val="center"/>
          </w:tcPr>
          <w:p w14:paraId="098A8A63"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A64"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A65" w14:textId="77777777" w:rsidR="00141CDF" w:rsidRDefault="00DF45E0">
            <w:pPr>
              <w:jc w:val="right"/>
              <w:textAlignment w:val="center"/>
            </w:pPr>
            <w:r>
              <w:rPr>
                <w:rFonts w:ascii="Times New Roman" w:eastAsia="宋体" w:hAnsi="Times New Roman"/>
                <w:color w:val="000000"/>
                <w:sz w:val="16"/>
                <w:szCs w:val="16"/>
              </w:rPr>
              <w:t>1,617 </w:t>
            </w:r>
          </w:p>
        </w:tc>
        <w:tc>
          <w:tcPr>
            <w:tcW w:w="0" w:type="auto"/>
            <w:shd w:val="clear" w:color="auto" w:fill="CCEEFF"/>
            <w:tcMar>
              <w:top w:w="40" w:type="dxa"/>
              <w:left w:w="0" w:type="dxa"/>
              <w:bottom w:w="40" w:type="dxa"/>
              <w:right w:w="20" w:type="dxa"/>
            </w:tcMar>
            <w:vAlign w:val="center"/>
          </w:tcPr>
          <w:p w14:paraId="098A8A66" w14:textId="77777777" w:rsidR="00141CDF" w:rsidRDefault="00141CDF">
            <w:pPr>
              <w:jc w:val="right"/>
              <w:rPr>
                <w:rFonts w:ascii="宋体"/>
              </w:rPr>
            </w:pPr>
          </w:p>
        </w:tc>
      </w:tr>
      <w:tr w:rsidR="00141CDF" w14:paraId="098A8A72" w14:textId="77777777">
        <w:trPr>
          <w:jc w:val="center"/>
        </w:trPr>
        <w:tc>
          <w:tcPr>
            <w:tcW w:w="0" w:type="auto"/>
            <w:gridSpan w:val="3"/>
            <w:shd w:val="clear" w:color="auto" w:fill="FFFFFF"/>
            <w:tcMar>
              <w:top w:w="40" w:type="dxa"/>
              <w:left w:w="380" w:type="dxa"/>
              <w:bottom w:w="40" w:type="dxa"/>
              <w:right w:w="20" w:type="dxa"/>
            </w:tcMar>
            <w:vAlign w:val="center"/>
          </w:tcPr>
          <w:p w14:paraId="098A8A68" w14:textId="77777777" w:rsidR="00141CDF" w:rsidRDefault="00DF45E0">
            <w:pPr>
              <w:textAlignment w:val="center"/>
            </w:pPr>
            <w:r>
              <w:rPr>
                <w:rFonts w:ascii="Times New Roman" w:eastAsia="宋体" w:hAnsi="Times New Roman"/>
                <w:color w:val="000000"/>
                <w:sz w:val="16"/>
                <w:szCs w:val="16"/>
              </w:rPr>
              <w:t>Operating lease obligations due within one year</w:t>
            </w:r>
          </w:p>
        </w:tc>
        <w:tc>
          <w:tcPr>
            <w:tcW w:w="0" w:type="auto"/>
            <w:gridSpan w:val="3"/>
            <w:shd w:val="clear" w:color="auto" w:fill="FFFFFF"/>
            <w:tcMar>
              <w:top w:w="0" w:type="dxa"/>
              <w:left w:w="20" w:type="dxa"/>
              <w:bottom w:w="0" w:type="dxa"/>
              <w:right w:w="20" w:type="dxa"/>
            </w:tcMar>
            <w:vAlign w:val="bottom"/>
          </w:tcPr>
          <w:p w14:paraId="098A8A69"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A6A" w14:textId="77777777" w:rsidR="00141CDF" w:rsidRDefault="00DF45E0">
            <w:pPr>
              <w:jc w:val="right"/>
              <w:textAlignment w:val="center"/>
            </w:pPr>
            <w:r>
              <w:rPr>
                <w:rFonts w:ascii="Times New Roman" w:eastAsia="宋体" w:hAnsi="Times New Roman"/>
                <w:color w:val="000000"/>
                <w:sz w:val="16"/>
                <w:szCs w:val="16"/>
              </w:rPr>
              <w:t>1,464 </w:t>
            </w:r>
          </w:p>
        </w:tc>
        <w:tc>
          <w:tcPr>
            <w:tcW w:w="0" w:type="auto"/>
            <w:shd w:val="clear" w:color="auto" w:fill="FFFFFF"/>
            <w:tcMar>
              <w:top w:w="40" w:type="dxa"/>
              <w:left w:w="0" w:type="dxa"/>
              <w:bottom w:w="40" w:type="dxa"/>
              <w:right w:w="20" w:type="dxa"/>
            </w:tcMar>
            <w:vAlign w:val="center"/>
          </w:tcPr>
          <w:p w14:paraId="098A8A6B"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A6C"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A6D" w14:textId="77777777" w:rsidR="00141CDF" w:rsidRDefault="00DF45E0">
            <w:pPr>
              <w:jc w:val="right"/>
              <w:textAlignment w:val="center"/>
            </w:pPr>
            <w:r>
              <w:rPr>
                <w:rFonts w:ascii="Times New Roman" w:eastAsia="宋体" w:hAnsi="Times New Roman"/>
                <w:color w:val="000000"/>
                <w:sz w:val="16"/>
                <w:szCs w:val="16"/>
              </w:rPr>
              <w:t>1,483 </w:t>
            </w:r>
          </w:p>
        </w:tc>
        <w:tc>
          <w:tcPr>
            <w:tcW w:w="0" w:type="auto"/>
            <w:shd w:val="clear" w:color="auto" w:fill="FFFFFF"/>
            <w:tcMar>
              <w:top w:w="40" w:type="dxa"/>
              <w:left w:w="0" w:type="dxa"/>
              <w:bottom w:w="40" w:type="dxa"/>
              <w:right w:w="20" w:type="dxa"/>
            </w:tcMar>
            <w:vAlign w:val="center"/>
          </w:tcPr>
          <w:p w14:paraId="098A8A6E"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A6F"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A70" w14:textId="77777777" w:rsidR="00141CDF" w:rsidRDefault="00DF45E0">
            <w:pPr>
              <w:jc w:val="right"/>
              <w:textAlignment w:val="center"/>
            </w:pPr>
            <w:r>
              <w:rPr>
                <w:rFonts w:ascii="Times New Roman" w:eastAsia="宋体" w:hAnsi="Times New Roman"/>
                <w:color w:val="000000"/>
                <w:sz w:val="16"/>
                <w:szCs w:val="16"/>
              </w:rPr>
              <w:t>1,441 </w:t>
            </w:r>
          </w:p>
        </w:tc>
        <w:tc>
          <w:tcPr>
            <w:tcW w:w="0" w:type="auto"/>
            <w:shd w:val="clear" w:color="auto" w:fill="FFFFFF"/>
            <w:tcMar>
              <w:top w:w="40" w:type="dxa"/>
              <w:left w:w="0" w:type="dxa"/>
              <w:bottom w:w="40" w:type="dxa"/>
              <w:right w:w="20" w:type="dxa"/>
            </w:tcMar>
            <w:vAlign w:val="center"/>
          </w:tcPr>
          <w:p w14:paraId="098A8A71" w14:textId="77777777" w:rsidR="00141CDF" w:rsidRDefault="00141CDF">
            <w:pPr>
              <w:jc w:val="right"/>
              <w:rPr>
                <w:rFonts w:ascii="宋体"/>
              </w:rPr>
            </w:pPr>
          </w:p>
        </w:tc>
      </w:tr>
      <w:tr w:rsidR="00141CDF" w14:paraId="098A8A7D" w14:textId="77777777">
        <w:trPr>
          <w:jc w:val="center"/>
        </w:trPr>
        <w:tc>
          <w:tcPr>
            <w:tcW w:w="0" w:type="auto"/>
            <w:gridSpan w:val="3"/>
            <w:shd w:val="clear" w:color="auto" w:fill="CCEEFF"/>
            <w:tcMar>
              <w:top w:w="40" w:type="dxa"/>
              <w:left w:w="380" w:type="dxa"/>
              <w:bottom w:w="40" w:type="dxa"/>
              <w:right w:w="20" w:type="dxa"/>
            </w:tcMar>
            <w:vAlign w:val="center"/>
          </w:tcPr>
          <w:p w14:paraId="098A8A73" w14:textId="77777777" w:rsidR="00141CDF" w:rsidRDefault="00DF45E0">
            <w:pPr>
              <w:textAlignment w:val="center"/>
            </w:pPr>
            <w:r>
              <w:rPr>
                <w:rFonts w:ascii="Times New Roman" w:eastAsia="宋体" w:hAnsi="Times New Roman"/>
                <w:color w:val="000000"/>
                <w:sz w:val="16"/>
                <w:szCs w:val="16"/>
              </w:rPr>
              <w:t>Finance lease obligations due within one year</w:t>
            </w:r>
          </w:p>
        </w:tc>
        <w:tc>
          <w:tcPr>
            <w:tcW w:w="0" w:type="auto"/>
            <w:gridSpan w:val="3"/>
            <w:shd w:val="clear" w:color="auto" w:fill="CCEEFF"/>
            <w:tcMar>
              <w:top w:w="0" w:type="dxa"/>
              <w:left w:w="20" w:type="dxa"/>
              <w:bottom w:w="0" w:type="dxa"/>
              <w:right w:w="20" w:type="dxa"/>
            </w:tcMar>
            <w:vAlign w:val="bottom"/>
          </w:tcPr>
          <w:p w14:paraId="098A8A74"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A75" w14:textId="77777777" w:rsidR="00141CDF" w:rsidRDefault="00DF45E0">
            <w:pPr>
              <w:jc w:val="right"/>
              <w:textAlignment w:val="center"/>
            </w:pPr>
            <w:r>
              <w:rPr>
                <w:rFonts w:ascii="Times New Roman" w:eastAsia="宋体" w:hAnsi="Times New Roman"/>
                <w:color w:val="000000"/>
                <w:sz w:val="16"/>
                <w:szCs w:val="16"/>
              </w:rPr>
              <w:t>534 </w:t>
            </w:r>
          </w:p>
        </w:tc>
        <w:tc>
          <w:tcPr>
            <w:tcW w:w="0" w:type="auto"/>
            <w:shd w:val="clear" w:color="auto" w:fill="CCEEFF"/>
            <w:tcMar>
              <w:top w:w="40" w:type="dxa"/>
              <w:left w:w="0" w:type="dxa"/>
              <w:bottom w:w="40" w:type="dxa"/>
              <w:right w:w="20" w:type="dxa"/>
            </w:tcMar>
            <w:vAlign w:val="center"/>
          </w:tcPr>
          <w:p w14:paraId="098A8A76"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A77"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A78" w14:textId="77777777" w:rsidR="00141CDF" w:rsidRDefault="00DF45E0">
            <w:pPr>
              <w:jc w:val="right"/>
              <w:textAlignment w:val="center"/>
            </w:pPr>
            <w:r>
              <w:rPr>
                <w:rFonts w:ascii="Times New Roman" w:eastAsia="宋体" w:hAnsi="Times New Roman"/>
                <w:color w:val="000000"/>
                <w:sz w:val="16"/>
                <w:szCs w:val="16"/>
              </w:rPr>
              <w:t>511 </w:t>
            </w:r>
          </w:p>
        </w:tc>
        <w:tc>
          <w:tcPr>
            <w:tcW w:w="0" w:type="auto"/>
            <w:shd w:val="clear" w:color="auto" w:fill="CCEEFF"/>
            <w:tcMar>
              <w:top w:w="40" w:type="dxa"/>
              <w:left w:w="0" w:type="dxa"/>
              <w:bottom w:w="40" w:type="dxa"/>
              <w:right w:w="20" w:type="dxa"/>
            </w:tcMar>
            <w:vAlign w:val="center"/>
          </w:tcPr>
          <w:p w14:paraId="098A8A79"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A7A"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A7B" w14:textId="77777777" w:rsidR="00141CDF" w:rsidRDefault="00DF45E0">
            <w:pPr>
              <w:jc w:val="right"/>
              <w:textAlignment w:val="center"/>
            </w:pPr>
            <w:r>
              <w:rPr>
                <w:rFonts w:ascii="Times New Roman" w:eastAsia="宋体" w:hAnsi="Times New Roman"/>
                <w:color w:val="000000"/>
                <w:sz w:val="16"/>
                <w:szCs w:val="16"/>
              </w:rPr>
              <w:t>501 </w:t>
            </w:r>
          </w:p>
        </w:tc>
        <w:tc>
          <w:tcPr>
            <w:tcW w:w="0" w:type="auto"/>
            <w:shd w:val="clear" w:color="auto" w:fill="CCEEFF"/>
            <w:tcMar>
              <w:top w:w="40" w:type="dxa"/>
              <w:left w:w="0" w:type="dxa"/>
              <w:bottom w:w="40" w:type="dxa"/>
              <w:right w:w="20" w:type="dxa"/>
            </w:tcMar>
            <w:vAlign w:val="center"/>
          </w:tcPr>
          <w:p w14:paraId="098A8A7C" w14:textId="77777777" w:rsidR="00141CDF" w:rsidRDefault="00141CDF">
            <w:pPr>
              <w:jc w:val="right"/>
              <w:rPr>
                <w:rFonts w:ascii="宋体"/>
              </w:rPr>
            </w:pPr>
          </w:p>
        </w:tc>
      </w:tr>
      <w:tr w:rsidR="00141CDF" w14:paraId="098A8A85" w14:textId="77777777">
        <w:trPr>
          <w:jc w:val="center"/>
          <w:hidden/>
        </w:trPr>
        <w:tc>
          <w:tcPr>
            <w:tcW w:w="0" w:type="auto"/>
            <w:gridSpan w:val="3"/>
            <w:shd w:val="clear" w:color="auto" w:fill="auto"/>
            <w:vAlign w:val="bottom"/>
          </w:tcPr>
          <w:p w14:paraId="098A8A7E" w14:textId="77777777" w:rsidR="00141CDF" w:rsidRDefault="00141CDF">
            <w:pPr>
              <w:rPr>
                <w:rFonts w:ascii="宋体"/>
                <w:vanish/>
              </w:rPr>
            </w:pPr>
          </w:p>
        </w:tc>
        <w:tc>
          <w:tcPr>
            <w:tcW w:w="0" w:type="auto"/>
            <w:gridSpan w:val="3"/>
            <w:shd w:val="clear" w:color="auto" w:fill="auto"/>
            <w:vAlign w:val="bottom"/>
          </w:tcPr>
          <w:p w14:paraId="098A8A7F" w14:textId="77777777" w:rsidR="00141CDF" w:rsidRDefault="00141CDF">
            <w:pPr>
              <w:rPr>
                <w:rFonts w:ascii="宋体"/>
                <w:vanish/>
              </w:rPr>
            </w:pPr>
          </w:p>
        </w:tc>
        <w:tc>
          <w:tcPr>
            <w:tcW w:w="0" w:type="auto"/>
            <w:gridSpan w:val="3"/>
            <w:shd w:val="clear" w:color="auto" w:fill="auto"/>
            <w:vAlign w:val="bottom"/>
          </w:tcPr>
          <w:p w14:paraId="098A8A80" w14:textId="77777777" w:rsidR="00141CDF" w:rsidRDefault="00141CDF">
            <w:pPr>
              <w:rPr>
                <w:rFonts w:ascii="宋体"/>
                <w:vanish/>
              </w:rPr>
            </w:pPr>
          </w:p>
        </w:tc>
        <w:tc>
          <w:tcPr>
            <w:tcW w:w="0" w:type="auto"/>
            <w:gridSpan w:val="3"/>
            <w:shd w:val="clear" w:color="auto" w:fill="auto"/>
            <w:vAlign w:val="bottom"/>
          </w:tcPr>
          <w:p w14:paraId="098A8A81" w14:textId="77777777" w:rsidR="00141CDF" w:rsidRDefault="00141CDF">
            <w:pPr>
              <w:rPr>
                <w:rFonts w:ascii="宋体"/>
                <w:vanish/>
              </w:rPr>
            </w:pPr>
          </w:p>
        </w:tc>
        <w:tc>
          <w:tcPr>
            <w:tcW w:w="0" w:type="auto"/>
            <w:gridSpan w:val="3"/>
            <w:shd w:val="clear" w:color="auto" w:fill="auto"/>
            <w:vAlign w:val="bottom"/>
          </w:tcPr>
          <w:p w14:paraId="098A8A82" w14:textId="77777777" w:rsidR="00141CDF" w:rsidRDefault="00141CDF">
            <w:pPr>
              <w:rPr>
                <w:rFonts w:ascii="宋体"/>
                <w:vanish/>
              </w:rPr>
            </w:pPr>
          </w:p>
        </w:tc>
        <w:tc>
          <w:tcPr>
            <w:tcW w:w="0" w:type="auto"/>
            <w:gridSpan w:val="3"/>
            <w:shd w:val="clear" w:color="auto" w:fill="auto"/>
            <w:vAlign w:val="bottom"/>
          </w:tcPr>
          <w:p w14:paraId="098A8A83" w14:textId="77777777" w:rsidR="00141CDF" w:rsidRDefault="00141CDF">
            <w:pPr>
              <w:rPr>
                <w:rFonts w:ascii="宋体"/>
                <w:vanish/>
              </w:rPr>
            </w:pPr>
          </w:p>
        </w:tc>
        <w:tc>
          <w:tcPr>
            <w:tcW w:w="0" w:type="auto"/>
            <w:gridSpan w:val="3"/>
            <w:shd w:val="clear" w:color="auto" w:fill="auto"/>
            <w:vAlign w:val="bottom"/>
          </w:tcPr>
          <w:p w14:paraId="098A8A84" w14:textId="77777777" w:rsidR="00141CDF" w:rsidRDefault="00141CDF">
            <w:pPr>
              <w:rPr>
                <w:rFonts w:ascii="宋体"/>
                <w:vanish/>
              </w:rPr>
            </w:pPr>
          </w:p>
        </w:tc>
      </w:tr>
      <w:tr w:rsidR="00141CDF" w14:paraId="098A8A8D" w14:textId="77777777">
        <w:trPr>
          <w:jc w:val="center"/>
          <w:hidden/>
        </w:trPr>
        <w:tc>
          <w:tcPr>
            <w:tcW w:w="0" w:type="auto"/>
            <w:gridSpan w:val="3"/>
            <w:shd w:val="clear" w:color="auto" w:fill="auto"/>
            <w:vAlign w:val="bottom"/>
          </w:tcPr>
          <w:p w14:paraId="098A8A86" w14:textId="77777777" w:rsidR="00141CDF" w:rsidRDefault="00141CDF">
            <w:pPr>
              <w:rPr>
                <w:rFonts w:ascii="宋体"/>
                <w:vanish/>
              </w:rPr>
            </w:pPr>
          </w:p>
        </w:tc>
        <w:tc>
          <w:tcPr>
            <w:tcW w:w="0" w:type="auto"/>
            <w:gridSpan w:val="3"/>
            <w:shd w:val="clear" w:color="auto" w:fill="auto"/>
            <w:vAlign w:val="bottom"/>
          </w:tcPr>
          <w:p w14:paraId="098A8A87" w14:textId="77777777" w:rsidR="00141CDF" w:rsidRDefault="00141CDF">
            <w:pPr>
              <w:rPr>
                <w:rFonts w:ascii="宋体"/>
                <w:vanish/>
              </w:rPr>
            </w:pPr>
          </w:p>
        </w:tc>
        <w:tc>
          <w:tcPr>
            <w:tcW w:w="0" w:type="auto"/>
            <w:gridSpan w:val="3"/>
            <w:shd w:val="clear" w:color="auto" w:fill="auto"/>
            <w:vAlign w:val="bottom"/>
          </w:tcPr>
          <w:p w14:paraId="098A8A88" w14:textId="77777777" w:rsidR="00141CDF" w:rsidRDefault="00141CDF">
            <w:pPr>
              <w:rPr>
                <w:rFonts w:ascii="宋体"/>
                <w:vanish/>
              </w:rPr>
            </w:pPr>
          </w:p>
        </w:tc>
        <w:tc>
          <w:tcPr>
            <w:tcW w:w="0" w:type="auto"/>
            <w:gridSpan w:val="3"/>
            <w:shd w:val="clear" w:color="auto" w:fill="auto"/>
            <w:vAlign w:val="bottom"/>
          </w:tcPr>
          <w:p w14:paraId="098A8A89" w14:textId="77777777" w:rsidR="00141CDF" w:rsidRDefault="00141CDF">
            <w:pPr>
              <w:rPr>
                <w:rFonts w:ascii="宋体"/>
                <w:vanish/>
              </w:rPr>
            </w:pPr>
          </w:p>
        </w:tc>
        <w:tc>
          <w:tcPr>
            <w:tcW w:w="0" w:type="auto"/>
            <w:gridSpan w:val="3"/>
            <w:shd w:val="clear" w:color="auto" w:fill="auto"/>
            <w:vAlign w:val="bottom"/>
          </w:tcPr>
          <w:p w14:paraId="098A8A8A" w14:textId="77777777" w:rsidR="00141CDF" w:rsidRDefault="00141CDF">
            <w:pPr>
              <w:rPr>
                <w:rFonts w:ascii="宋体"/>
                <w:vanish/>
              </w:rPr>
            </w:pPr>
          </w:p>
        </w:tc>
        <w:tc>
          <w:tcPr>
            <w:tcW w:w="0" w:type="auto"/>
            <w:gridSpan w:val="3"/>
            <w:shd w:val="clear" w:color="auto" w:fill="auto"/>
            <w:vAlign w:val="bottom"/>
          </w:tcPr>
          <w:p w14:paraId="098A8A8B" w14:textId="77777777" w:rsidR="00141CDF" w:rsidRDefault="00141CDF">
            <w:pPr>
              <w:rPr>
                <w:rFonts w:ascii="宋体"/>
                <w:vanish/>
              </w:rPr>
            </w:pPr>
          </w:p>
        </w:tc>
        <w:tc>
          <w:tcPr>
            <w:tcW w:w="0" w:type="auto"/>
            <w:gridSpan w:val="3"/>
            <w:shd w:val="clear" w:color="auto" w:fill="auto"/>
            <w:vAlign w:val="bottom"/>
          </w:tcPr>
          <w:p w14:paraId="098A8A8C" w14:textId="77777777" w:rsidR="00141CDF" w:rsidRDefault="00141CDF">
            <w:pPr>
              <w:rPr>
                <w:rFonts w:ascii="宋体"/>
                <w:vanish/>
              </w:rPr>
            </w:pPr>
          </w:p>
        </w:tc>
      </w:tr>
      <w:tr w:rsidR="00141CDF" w14:paraId="098A8A98" w14:textId="77777777">
        <w:trPr>
          <w:jc w:val="center"/>
        </w:trPr>
        <w:tc>
          <w:tcPr>
            <w:tcW w:w="0" w:type="auto"/>
            <w:gridSpan w:val="3"/>
            <w:shd w:val="clear" w:color="auto" w:fill="FFFFFF"/>
            <w:tcMar>
              <w:top w:w="40" w:type="dxa"/>
              <w:left w:w="740" w:type="dxa"/>
              <w:bottom w:w="40" w:type="dxa"/>
              <w:right w:w="20" w:type="dxa"/>
            </w:tcMar>
            <w:vAlign w:val="center"/>
          </w:tcPr>
          <w:p w14:paraId="098A8A8E" w14:textId="77777777" w:rsidR="00141CDF" w:rsidRDefault="00DF45E0">
            <w:pPr>
              <w:textAlignment w:val="center"/>
            </w:pPr>
            <w:r>
              <w:rPr>
                <w:rFonts w:ascii="Times New Roman" w:eastAsia="宋体" w:hAnsi="Times New Roman"/>
                <w:color w:val="000000"/>
                <w:sz w:val="16"/>
                <w:szCs w:val="16"/>
              </w:rPr>
              <w:t>Total current liabilities</w:t>
            </w:r>
          </w:p>
        </w:tc>
        <w:tc>
          <w:tcPr>
            <w:tcW w:w="0" w:type="auto"/>
            <w:gridSpan w:val="3"/>
            <w:shd w:val="clear" w:color="auto" w:fill="FFFFFF"/>
            <w:tcMar>
              <w:top w:w="0" w:type="dxa"/>
              <w:left w:w="20" w:type="dxa"/>
              <w:bottom w:w="0" w:type="dxa"/>
              <w:right w:w="20" w:type="dxa"/>
            </w:tcMar>
            <w:vAlign w:val="bottom"/>
          </w:tcPr>
          <w:p w14:paraId="098A8A8F" w14:textId="77777777" w:rsidR="00141CDF" w:rsidRDefault="00141C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98A8A90" w14:textId="77777777" w:rsidR="00141CDF" w:rsidRDefault="00DF45E0">
            <w:pPr>
              <w:jc w:val="right"/>
              <w:textAlignment w:val="center"/>
            </w:pPr>
            <w:r>
              <w:rPr>
                <w:rFonts w:ascii="Times New Roman" w:eastAsia="宋体" w:hAnsi="Times New Roman"/>
                <w:color w:val="000000"/>
                <w:sz w:val="16"/>
                <w:szCs w:val="16"/>
              </w:rPr>
              <w:t>99,899 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8A91"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A92" w14:textId="77777777" w:rsidR="00141CDF" w:rsidRDefault="00141C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98A8A93" w14:textId="77777777" w:rsidR="00141CDF" w:rsidRDefault="00DF45E0">
            <w:pPr>
              <w:jc w:val="right"/>
              <w:textAlignment w:val="center"/>
            </w:pPr>
            <w:r>
              <w:rPr>
                <w:rFonts w:ascii="Times New Roman" w:eastAsia="宋体" w:hAnsi="Times New Roman"/>
                <w:color w:val="000000"/>
                <w:sz w:val="16"/>
                <w:szCs w:val="16"/>
              </w:rPr>
              <w:t>87,379 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8A94"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A95" w14:textId="77777777" w:rsidR="00141CDF" w:rsidRDefault="00141C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98A8A96" w14:textId="77777777" w:rsidR="00141CDF" w:rsidRDefault="00DF45E0">
            <w:pPr>
              <w:jc w:val="right"/>
              <w:textAlignment w:val="center"/>
            </w:pPr>
            <w:r>
              <w:rPr>
                <w:rFonts w:ascii="Times New Roman" w:eastAsia="宋体" w:hAnsi="Times New Roman"/>
                <w:color w:val="000000"/>
                <w:sz w:val="16"/>
                <w:szCs w:val="16"/>
              </w:rPr>
              <w:t>81,122 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8A97" w14:textId="77777777" w:rsidR="00141CDF" w:rsidRDefault="00141CDF">
            <w:pPr>
              <w:jc w:val="right"/>
              <w:rPr>
                <w:rFonts w:ascii="宋体"/>
              </w:rPr>
            </w:pPr>
          </w:p>
        </w:tc>
      </w:tr>
      <w:tr w:rsidR="00141CDF" w14:paraId="098A8AA0" w14:textId="77777777">
        <w:trPr>
          <w:trHeight w:val="240"/>
          <w:jc w:val="center"/>
        </w:trPr>
        <w:tc>
          <w:tcPr>
            <w:tcW w:w="0" w:type="auto"/>
            <w:gridSpan w:val="3"/>
            <w:shd w:val="clear" w:color="auto" w:fill="CCEEFF"/>
            <w:tcMar>
              <w:top w:w="0" w:type="dxa"/>
              <w:left w:w="20" w:type="dxa"/>
              <w:bottom w:w="0" w:type="dxa"/>
              <w:right w:w="20" w:type="dxa"/>
            </w:tcMar>
            <w:vAlign w:val="bottom"/>
          </w:tcPr>
          <w:p w14:paraId="098A8A99"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A9A"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A9B"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A9C"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A9D"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A9E"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A9F" w14:textId="77777777" w:rsidR="00141CDF" w:rsidRDefault="00141CDF">
            <w:pPr>
              <w:rPr>
                <w:rFonts w:ascii="宋体"/>
              </w:rPr>
            </w:pPr>
          </w:p>
        </w:tc>
      </w:tr>
      <w:tr w:rsidR="00141CDF" w14:paraId="098A8AAB" w14:textId="77777777">
        <w:trPr>
          <w:jc w:val="center"/>
        </w:trPr>
        <w:tc>
          <w:tcPr>
            <w:tcW w:w="0" w:type="auto"/>
            <w:gridSpan w:val="3"/>
            <w:shd w:val="clear" w:color="auto" w:fill="FFFFFF"/>
            <w:tcMar>
              <w:top w:w="40" w:type="dxa"/>
              <w:left w:w="20" w:type="dxa"/>
              <w:bottom w:w="40" w:type="dxa"/>
              <w:right w:w="20" w:type="dxa"/>
            </w:tcMar>
            <w:vAlign w:val="center"/>
          </w:tcPr>
          <w:p w14:paraId="098A8AA1" w14:textId="77777777" w:rsidR="00141CDF" w:rsidRDefault="00DF45E0">
            <w:pPr>
              <w:textAlignment w:val="center"/>
            </w:pPr>
            <w:r>
              <w:rPr>
                <w:rFonts w:ascii="Times New Roman" w:eastAsia="宋体" w:hAnsi="Times New Roman"/>
                <w:color w:val="000000"/>
                <w:sz w:val="16"/>
                <w:szCs w:val="16"/>
              </w:rPr>
              <w:t>Long-term debt</w:t>
            </w:r>
          </w:p>
        </w:tc>
        <w:tc>
          <w:tcPr>
            <w:tcW w:w="0" w:type="auto"/>
            <w:gridSpan w:val="3"/>
            <w:shd w:val="clear" w:color="auto" w:fill="FFFFFF"/>
            <w:tcMar>
              <w:top w:w="0" w:type="dxa"/>
              <w:left w:w="20" w:type="dxa"/>
              <w:bottom w:w="0" w:type="dxa"/>
              <w:right w:w="20" w:type="dxa"/>
            </w:tcMar>
            <w:vAlign w:val="bottom"/>
          </w:tcPr>
          <w:p w14:paraId="098A8AA2"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AA3" w14:textId="77777777" w:rsidR="00141CDF" w:rsidRDefault="00DF45E0">
            <w:pPr>
              <w:jc w:val="right"/>
              <w:textAlignment w:val="center"/>
            </w:pPr>
            <w:r>
              <w:rPr>
                <w:rFonts w:ascii="Times New Roman" w:eastAsia="宋体" w:hAnsi="Times New Roman"/>
                <w:color w:val="000000"/>
                <w:sz w:val="16"/>
                <w:szCs w:val="16"/>
              </w:rPr>
              <w:t>29,801 </w:t>
            </w:r>
          </w:p>
        </w:tc>
        <w:tc>
          <w:tcPr>
            <w:tcW w:w="0" w:type="auto"/>
            <w:shd w:val="clear" w:color="auto" w:fill="FFFFFF"/>
            <w:tcMar>
              <w:top w:w="40" w:type="dxa"/>
              <w:left w:w="0" w:type="dxa"/>
              <w:bottom w:w="40" w:type="dxa"/>
              <w:right w:w="20" w:type="dxa"/>
            </w:tcMar>
            <w:vAlign w:val="center"/>
          </w:tcPr>
          <w:p w14:paraId="098A8AA4"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AA5"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AA6" w14:textId="77777777" w:rsidR="00141CDF" w:rsidRDefault="00DF45E0">
            <w:pPr>
              <w:jc w:val="right"/>
              <w:textAlignment w:val="center"/>
            </w:pPr>
            <w:r>
              <w:rPr>
                <w:rFonts w:ascii="Times New Roman" w:eastAsia="宋体" w:hAnsi="Times New Roman"/>
                <w:color w:val="000000"/>
                <w:sz w:val="16"/>
                <w:szCs w:val="16"/>
              </w:rPr>
              <w:t>34,864 </w:t>
            </w:r>
          </w:p>
        </w:tc>
        <w:tc>
          <w:tcPr>
            <w:tcW w:w="0" w:type="auto"/>
            <w:shd w:val="clear" w:color="auto" w:fill="FFFFFF"/>
            <w:tcMar>
              <w:top w:w="40" w:type="dxa"/>
              <w:left w:w="0" w:type="dxa"/>
              <w:bottom w:w="40" w:type="dxa"/>
              <w:right w:w="20" w:type="dxa"/>
            </w:tcMar>
            <w:vAlign w:val="center"/>
          </w:tcPr>
          <w:p w14:paraId="098A8AA7"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AA8"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AA9" w14:textId="77777777" w:rsidR="00141CDF" w:rsidRDefault="00DF45E0">
            <w:pPr>
              <w:jc w:val="right"/>
              <w:textAlignment w:val="center"/>
            </w:pPr>
            <w:r>
              <w:rPr>
                <w:rFonts w:ascii="Times New Roman" w:eastAsia="宋体" w:hAnsi="Times New Roman"/>
                <w:color w:val="000000"/>
                <w:sz w:val="16"/>
                <w:szCs w:val="16"/>
              </w:rPr>
              <w:t>39,581 </w:t>
            </w:r>
          </w:p>
        </w:tc>
        <w:tc>
          <w:tcPr>
            <w:tcW w:w="0" w:type="auto"/>
            <w:shd w:val="clear" w:color="auto" w:fill="FFFFFF"/>
            <w:tcMar>
              <w:top w:w="40" w:type="dxa"/>
              <w:left w:w="0" w:type="dxa"/>
              <w:bottom w:w="40" w:type="dxa"/>
              <w:right w:w="20" w:type="dxa"/>
            </w:tcMar>
            <w:vAlign w:val="center"/>
          </w:tcPr>
          <w:p w14:paraId="098A8AAA" w14:textId="77777777" w:rsidR="00141CDF" w:rsidRDefault="00141CDF">
            <w:pPr>
              <w:jc w:val="right"/>
              <w:rPr>
                <w:rFonts w:ascii="宋体"/>
              </w:rPr>
            </w:pPr>
          </w:p>
        </w:tc>
      </w:tr>
      <w:tr w:rsidR="00141CDF" w14:paraId="098A8AB6" w14:textId="77777777">
        <w:trPr>
          <w:jc w:val="center"/>
        </w:trPr>
        <w:tc>
          <w:tcPr>
            <w:tcW w:w="0" w:type="auto"/>
            <w:gridSpan w:val="3"/>
            <w:shd w:val="clear" w:color="auto" w:fill="CCEEFF"/>
            <w:tcMar>
              <w:top w:w="40" w:type="dxa"/>
              <w:left w:w="20" w:type="dxa"/>
              <w:bottom w:w="40" w:type="dxa"/>
              <w:right w:w="20" w:type="dxa"/>
            </w:tcMar>
            <w:vAlign w:val="center"/>
          </w:tcPr>
          <w:p w14:paraId="098A8AAC" w14:textId="77777777" w:rsidR="00141CDF" w:rsidRDefault="00DF45E0">
            <w:pPr>
              <w:textAlignment w:val="center"/>
            </w:pPr>
            <w:r>
              <w:rPr>
                <w:rFonts w:ascii="Times New Roman" w:eastAsia="宋体" w:hAnsi="Times New Roman"/>
                <w:color w:val="000000"/>
                <w:sz w:val="16"/>
                <w:szCs w:val="16"/>
              </w:rPr>
              <w:t>Lo</w:t>
            </w:r>
            <w:r>
              <w:rPr>
                <w:rFonts w:ascii="Times New Roman" w:eastAsia="宋体" w:hAnsi="Times New Roman"/>
                <w:color w:val="000000"/>
                <w:sz w:val="16"/>
                <w:szCs w:val="16"/>
              </w:rPr>
              <w:t>ng-term operating lease obligations</w:t>
            </w:r>
          </w:p>
        </w:tc>
        <w:tc>
          <w:tcPr>
            <w:tcW w:w="0" w:type="auto"/>
            <w:gridSpan w:val="3"/>
            <w:shd w:val="clear" w:color="auto" w:fill="CCEEFF"/>
            <w:tcMar>
              <w:top w:w="0" w:type="dxa"/>
              <w:left w:w="20" w:type="dxa"/>
              <w:bottom w:w="0" w:type="dxa"/>
              <w:right w:w="20" w:type="dxa"/>
            </w:tcMar>
            <w:vAlign w:val="bottom"/>
          </w:tcPr>
          <w:p w14:paraId="098A8AAD"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AAE" w14:textId="77777777" w:rsidR="00141CDF" w:rsidRDefault="00DF45E0">
            <w:pPr>
              <w:jc w:val="right"/>
              <w:textAlignment w:val="center"/>
            </w:pPr>
            <w:r>
              <w:rPr>
                <w:rFonts w:ascii="Times New Roman" w:eastAsia="宋体" w:hAnsi="Times New Roman"/>
                <w:color w:val="000000"/>
                <w:sz w:val="16"/>
                <w:szCs w:val="16"/>
              </w:rPr>
              <w:t>13,140 </w:t>
            </w:r>
          </w:p>
        </w:tc>
        <w:tc>
          <w:tcPr>
            <w:tcW w:w="0" w:type="auto"/>
            <w:shd w:val="clear" w:color="auto" w:fill="CCEEFF"/>
            <w:tcMar>
              <w:top w:w="40" w:type="dxa"/>
              <w:left w:w="0" w:type="dxa"/>
              <w:bottom w:w="40" w:type="dxa"/>
              <w:right w:w="20" w:type="dxa"/>
            </w:tcMar>
            <w:vAlign w:val="center"/>
          </w:tcPr>
          <w:p w14:paraId="098A8AAF"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AB0"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AB1" w14:textId="77777777" w:rsidR="00141CDF" w:rsidRDefault="00DF45E0">
            <w:pPr>
              <w:jc w:val="right"/>
              <w:textAlignment w:val="center"/>
            </w:pPr>
            <w:r>
              <w:rPr>
                <w:rFonts w:ascii="Times New Roman" w:eastAsia="宋体" w:hAnsi="Times New Roman"/>
                <w:color w:val="000000"/>
                <w:sz w:val="16"/>
                <w:szCs w:val="16"/>
              </w:rPr>
              <w:t>13,009 </w:t>
            </w:r>
          </w:p>
        </w:tc>
        <w:tc>
          <w:tcPr>
            <w:tcW w:w="0" w:type="auto"/>
            <w:shd w:val="clear" w:color="auto" w:fill="CCEEFF"/>
            <w:tcMar>
              <w:top w:w="40" w:type="dxa"/>
              <w:left w:w="0" w:type="dxa"/>
              <w:bottom w:w="40" w:type="dxa"/>
              <w:right w:w="20" w:type="dxa"/>
            </w:tcMar>
            <w:vAlign w:val="center"/>
          </w:tcPr>
          <w:p w14:paraId="098A8AB2"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AB3"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AB4" w14:textId="77777777" w:rsidR="00141CDF" w:rsidRDefault="00DF45E0">
            <w:pPr>
              <w:jc w:val="right"/>
              <w:textAlignment w:val="center"/>
            </w:pPr>
            <w:r>
              <w:rPr>
                <w:rFonts w:ascii="Times New Roman" w:eastAsia="宋体" w:hAnsi="Times New Roman"/>
                <w:color w:val="000000"/>
                <w:sz w:val="16"/>
                <w:szCs w:val="16"/>
              </w:rPr>
              <w:t>13,116 </w:t>
            </w:r>
          </w:p>
        </w:tc>
        <w:tc>
          <w:tcPr>
            <w:tcW w:w="0" w:type="auto"/>
            <w:shd w:val="clear" w:color="auto" w:fill="CCEEFF"/>
            <w:tcMar>
              <w:top w:w="40" w:type="dxa"/>
              <w:left w:w="0" w:type="dxa"/>
              <w:bottom w:w="40" w:type="dxa"/>
              <w:right w:w="20" w:type="dxa"/>
            </w:tcMar>
            <w:vAlign w:val="center"/>
          </w:tcPr>
          <w:p w14:paraId="098A8AB5" w14:textId="77777777" w:rsidR="00141CDF" w:rsidRDefault="00141CDF">
            <w:pPr>
              <w:jc w:val="right"/>
              <w:rPr>
                <w:rFonts w:ascii="宋体"/>
              </w:rPr>
            </w:pPr>
          </w:p>
        </w:tc>
      </w:tr>
      <w:tr w:rsidR="00141CDF" w14:paraId="098A8AC1" w14:textId="77777777">
        <w:trPr>
          <w:jc w:val="center"/>
        </w:trPr>
        <w:tc>
          <w:tcPr>
            <w:tcW w:w="0" w:type="auto"/>
            <w:gridSpan w:val="3"/>
            <w:shd w:val="clear" w:color="auto" w:fill="FFFFFF"/>
            <w:tcMar>
              <w:top w:w="40" w:type="dxa"/>
              <w:left w:w="20" w:type="dxa"/>
              <w:bottom w:w="40" w:type="dxa"/>
              <w:right w:w="20" w:type="dxa"/>
            </w:tcMar>
            <w:vAlign w:val="center"/>
          </w:tcPr>
          <w:p w14:paraId="098A8AB7" w14:textId="77777777" w:rsidR="00141CDF" w:rsidRDefault="00DF45E0">
            <w:pPr>
              <w:textAlignment w:val="center"/>
            </w:pPr>
            <w:r>
              <w:rPr>
                <w:rFonts w:ascii="Times New Roman" w:eastAsia="宋体" w:hAnsi="Times New Roman"/>
                <w:color w:val="000000"/>
                <w:sz w:val="16"/>
                <w:szCs w:val="16"/>
              </w:rPr>
              <w:t>Long-term finance lease obligations</w:t>
            </w:r>
          </w:p>
        </w:tc>
        <w:tc>
          <w:tcPr>
            <w:tcW w:w="0" w:type="auto"/>
            <w:gridSpan w:val="3"/>
            <w:shd w:val="clear" w:color="auto" w:fill="FFFFFF"/>
            <w:tcMar>
              <w:top w:w="0" w:type="dxa"/>
              <w:left w:w="20" w:type="dxa"/>
              <w:bottom w:w="0" w:type="dxa"/>
              <w:right w:w="20" w:type="dxa"/>
            </w:tcMar>
            <w:vAlign w:val="bottom"/>
          </w:tcPr>
          <w:p w14:paraId="098A8AB8"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AB9" w14:textId="77777777" w:rsidR="00141CDF" w:rsidRDefault="00DF45E0">
            <w:pPr>
              <w:jc w:val="right"/>
              <w:textAlignment w:val="center"/>
            </w:pPr>
            <w:r>
              <w:rPr>
                <w:rFonts w:ascii="Times New Roman" w:eastAsia="宋体" w:hAnsi="Times New Roman"/>
                <w:color w:val="000000"/>
                <w:sz w:val="16"/>
                <w:szCs w:val="16"/>
              </w:rPr>
              <w:t>4,420 </w:t>
            </w:r>
          </w:p>
        </w:tc>
        <w:tc>
          <w:tcPr>
            <w:tcW w:w="0" w:type="auto"/>
            <w:shd w:val="clear" w:color="auto" w:fill="FFFFFF"/>
            <w:tcMar>
              <w:top w:w="40" w:type="dxa"/>
              <w:left w:w="0" w:type="dxa"/>
              <w:bottom w:w="40" w:type="dxa"/>
              <w:right w:w="20" w:type="dxa"/>
            </w:tcMar>
            <w:vAlign w:val="center"/>
          </w:tcPr>
          <w:p w14:paraId="098A8ABA"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ABB"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ABC" w14:textId="77777777" w:rsidR="00141CDF" w:rsidRDefault="00DF45E0">
            <w:pPr>
              <w:jc w:val="right"/>
              <w:textAlignment w:val="center"/>
            </w:pPr>
            <w:r>
              <w:rPr>
                <w:rFonts w:ascii="Times New Roman" w:eastAsia="宋体" w:hAnsi="Times New Roman"/>
                <w:color w:val="000000"/>
                <w:sz w:val="16"/>
                <w:szCs w:val="16"/>
              </w:rPr>
              <w:t>4,243 </w:t>
            </w:r>
          </w:p>
        </w:tc>
        <w:tc>
          <w:tcPr>
            <w:tcW w:w="0" w:type="auto"/>
            <w:shd w:val="clear" w:color="auto" w:fill="FFFFFF"/>
            <w:tcMar>
              <w:top w:w="40" w:type="dxa"/>
              <w:left w:w="0" w:type="dxa"/>
              <w:bottom w:w="40" w:type="dxa"/>
              <w:right w:w="20" w:type="dxa"/>
            </w:tcMar>
            <w:vAlign w:val="center"/>
          </w:tcPr>
          <w:p w14:paraId="098A8ABD"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ABE"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ABF" w14:textId="77777777" w:rsidR="00141CDF" w:rsidRDefault="00DF45E0">
            <w:pPr>
              <w:jc w:val="right"/>
              <w:textAlignment w:val="center"/>
            </w:pPr>
            <w:r>
              <w:rPr>
                <w:rFonts w:ascii="Times New Roman" w:eastAsia="宋体" w:hAnsi="Times New Roman"/>
                <w:color w:val="000000"/>
                <w:sz w:val="16"/>
                <w:szCs w:val="16"/>
              </w:rPr>
              <w:t>3,952 </w:t>
            </w:r>
          </w:p>
        </w:tc>
        <w:tc>
          <w:tcPr>
            <w:tcW w:w="0" w:type="auto"/>
            <w:shd w:val="clear" w:color="auto" w:fill="FFFFFF"/>
            <w:tcMar>
              <w:top w:w="40" w:type="dxa"/>
              <w:left w:w="0" w:type="dxa"/>
              <w:bottom w:w="40" w:type="dxa"/>
              <w:right w:w="20" w:type="dxa"/>
            </w:tcMar>
            <w:vAlign w:val="center"/>
          </w:tcPr>
          <w:p w14:paraId="098A8AC0" w14:textId="77777777" w:rsidR="00141CDF" w:rsidRDefault="00141CDF">
            <w:pPr>
              <w:jc w:val="right"/>
              <w:rPr>
                <w:rFonts w:ascii="宋体"/>
              </w:rPr>
            </w:pPr>
          </w:p>
        </w:tc>
      </w:tr>
      <w:tr w:rsidR="00141CDF" w14:paraId="098A8AC9" w14:textId="77777777">
        <w:trPr>
          <w:jc w:val="center"/>
          <w:hidden/>
        </w:trPr>
        <w:tc>
          <w:tcPr>
            <w:tcW w:w="0" w:type="auto"/>
            <w:gridSpan w:val="3"/>
            <w:shd w:val="clear" w:color="auto" w:fill="auto"/>
            <w:vAlign w:val="bottom"/>
          </w:tcPr>
          <w:p w14:paraId="098A8AC2" w14:textId="77777777" w:rsidR="00141CDF" w:rsidRDefault="00141CDF">
            <w:pPr>
              <w:rPr>
                <w:rFonts w:ascii="宋体"/>
                <w:vanish/>
              </w:rPr>
            </w:pPr>
          </w:p>
        </w:tc>
        <w:tc>
          <w:tcPr>
            <w:tcW w:w="0" w:type="auto"/>
            <w:gridSpan w:val="3"/>
            <w:shd w:val="clear" w:color="auto" w:fill="auto"/>
            <w:vAlign w:val="bottom"/>
          </w:tcPr>
          <w:p w14:paraId="098A8AC3" w14:textId="77777777" w:rsidR="00141CDF" w:rsidRDefault="00141CDF">
            <w:pPr>
              <w:rPr>
                <w:rFonts w:ascii="宋体"/>
                <w:vanish/>
              </w:rPr>
            </w:pPr>
          </w:p>
        </w:tc>
        <w:tc>
          <w:tcPr>
            <w:tcW w:w="0" w:type="auto"/>
            <w:gridSpan w:val="3"/>
            <w:shd w:val="clear" w:color="auto" w:fill="auto"/>
            <w:vAlign w:val="bottom"/>
          </w:tcPr>
          <w:p w14:paraId="098A8AC4" w14:textId="77777777" w:rsidR="00141CDF" w:rsidRDefault="00141CDF">
            <w:pPr>
              <w:rPr>
                <w:rFonts w:ascii="宋体"/>
                <w:vanish/>
              </w:rPr>
            </w:pPr>
          </w:p>
        </w:tc>
        <w:tc>
          <w:tcPr>
            <w:tcW w:w="0" w:type="auto"/>
            <w:gridSpan w:val="3"/>
            <w:shd w:val="clear" w:color="auto" w:fill="auto"/>
            <w:vAlign w:val="bottom"/>
          </w:tcPr>
          <w:p w14:paraId="098A8AC5" w14:textId="77777777" w:rsidR="00141CDF" w:rsidRDefault="00141CDF">
            <w:pPr>
              <w:rPr>
                <w:rFonts w:ascii="宋体"/>
                <w:vanish/>
              </w:rPr>
            </w:pPr>
          </w:p>
        </w:tc>
        <w:tc>
          <w:tcPr>
            <w:tcW w:w="0" w:type="auto"/>
            <w:gridSpan w:val="3"/>
            <w:shd w:val="clear" w:color="auto" w:fill="auto"/>
            <w:vAlign w:val="bottom"/>
          </w:tcPr>
          <w:p w14:paraId="098A8AC6" w14:textId="77777777" w:rsidR="00141CDF" w:rsidRDefault="00141CDF">
            <w:pPr>
              <w:rPr>
                <w:rFonts w:ascii="宋体"/>
                <w:vanish/>
              </w:rPr>
            </w:pPr>
          </w:p>
        </w:tc>
        <w:tc>
          <w:tcPr>
            <w:tcW w:w="0" w:type="auto"/>
            <w:gridSpan w:val="3"/>
            <w:shd w:val="clear" w:color="auto" w:fill="auto"/>
            <w:vAlign w:val="bottom"/>
          </w:tcPr>
          <w:p w14:paraId="098A8AC7" w14:textId="77777777" w:rsidR="00141CDF" w:rsidRDefault="00141CDF">
            <w:pPr>
              <w:rPr>
                <w:rFonts w:ascii="宋体"/>
                <w:vanish/>
              </w:rPr>
            </w:pPr>
          </w:p>
        </w:tc>
        <w:tc>
          <w:tcPr>
            <w:tcW w:w="0" w:type="auto"/>
            <w:gridSpan w:val="3"/>
            <w:shd w:val="clear" w:color="auto" w:fill="auto"/>
            <w:vAlign w:val="bottom"/>
          </w:tcPr>
          <w:p w14:paraId="098A8AC8" w14:textId="77777777" w:rsidR="00141CDF" w:rsidRDefault="00141CDF">
            <w:pPr>
              <w:rPr>
                <w:rFonts w:ascii="宋体"/>
                <w:vanish/>
              </w:rPr>
            </w:pPr>
          </w:p>
        </w:tc>
      </w:tr>
      <w:tr w:rsidR="00141CDF" w14:paraId="098A8AD4" w14:textId="77777777">
        <w:trPr>
          <w:jc w:val="center"/>
        </w:trPr>
        <w:tc>
          <w:tcPr>
            <w:tcW w:w="0" w:type="auto"/>
            <w:gridSpan w:val="3"/>
            <w:shd w:val="clear" w:color="auto" w:fill="CCEEFF"/>
            <w:tcMar>
              <w:top w:w="40" w:type="dxa"/>
              <w:left w:w="20" w:type="dxa"/>
              <w:bottom w:w="40" w:type="dxa"/>
              <w:right w:w="20" w:type="dxa"/>
            </w:tcMar>
            <w:vAlign w:val="center"/>
          </w:tcPr>
          <w:p w14:paraId="098A8ACA" w14:textId="77777777" w:rsidR="00141CDF" w:rsidRDefault="00DF45E0">
            <w:pPr>
              <w:textAlignment w:val="center"/>
            </w:pPr>
            <w:r>
              <w:rPr>
                <w:rFonts w:ascii="Times New Roman" w:eastAsia="宋体" w:hAnsi="Times New Roman"/>
                <w:color w:val="000000"/>
                <w:sz w:val="16"/>
                <w:szCs w:val="16"/>
              </w:rPr>
              <w:t>Deferred income taxes and other</w:t>
            </w:r>
          </w:p>
        </w:tc>
        <w:tc>
          <w:tcPr>
            <w:tcW w:w="0" w:type="auto"/>
            <w:gridSpan w:val="3"/>
            <w:shd w:val="clear" w:color="auto" w:fill="CCEEFF"/>
            <w:tcMar>
              <w:top w:w="0" w:type="dxa"/>
              <w:left w:w="20" w:type="dxa"/>
              <w:bottom w:w="0" w:type="dxa"/>
              <w:right w:w="20" w:type="dxa"/>
            </w:tcMar>
            <w:vAlign w:val="bottom"/>
          </w:tcPr>
          <w:p w14:paraId="098A8ACB"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ACC" w14:textId="77777777" w:rsidR="00141CDF" w:rsidRDefault="00DF45E0">
            <w:pPr>
              <w:jc w:val="right"/>
              <w:textAlignment w:val="center"/>
            </w:pPr>
            <w:r>
              <w:rPr>
                <w:rFonts w:ascii="Times New Roman" w:eastAsia="宋体" w:hAnsi="Times New Roman"/>
                <w:color w:val="000000"/>
                <w:sz w:val="16"/>
                <w:szCs w:val="16"/>
              </w:rPr>
              <w:t>14,092 </w:t>
            </w:r>
          </w:p>
        </w:tc>
        <w:tc>
          <w:tcPr>
            <w:tcW w:w="0" w:type="auto"/>
            <w:shd w:val="clear" w:color="auto" w:fill="CCEEFF"/>
            <w:tcMar>
              <w:top w:w="40" w:type="dxa"/>
              <w:left w:w="0" w:type="dxa"/>
              <w:bottom w:w="40" w:type="dxa"/>
              <w:right w:w="20" w:type="dxa"/>
            </w:tcMar>
            <w:vAlign w:val="center"/>
          </w:tcPr>
          <w:p w14:paraId="098A8ACD"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ACE"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ACF" w14:textId="77777777" w:rsidR="00141CDF" w:rsidRDefault="00DF45E0">
            <w:pPr>
              <w:jc w:val="right"/>
              <w:textAlignment w:val="center"/>
            </w:pPr>
            <w:r>
              <w:rPr>
                <w:rFonts w:ascii="Times New Roman" w:eastAsia="宋体" w:hAnsi="Times New Roman"/>
                <w:color w:val="000000"/>
                <w:sz w:val="16"/>
                <w:szCs w:val="16"/>
              </w:rPr>
              <w:t>13,474 </w:t>
            </w:r>
          </w:p>
        </w:tc>
        <w:tc>
          <w:tcPr>
            <w:tcW w:w="0" w:type="auto"/>
            <w:shd w:val="clear" w:color="auto" w:fill="CCEEFF"/>
            <w:tcMar>
              <w:top w:w="40" w:type="dxa"/>
              <w:left w:w="0" w:type="dxa"/>
              <w:bottom w:w="40" w:type="dxa"/>
              <w:right w:w="20" w:type="dxa"/>
            </w:tcMar>
            <w:vAlign w:val="center"/>
          </w:tcPr>
          <w:p w14:paraId="098A8AD0"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AD1"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AD2" w14:textId="77777777" w:rsidR="00141CDF" w:rsidRDefault="00DF45E0">
            <w:pPr>
              <w:jc w:val="right"/>
              <w:textAlignment w:val="center"/>
            </w:pPr>
            <w:r>
              <w:rPr>
                <w:rFonts w:ascii="Times New Roman" w:eastAsia="宋体" w:hAnsi="Times New Roman"/>
                <w:color w:val="000000"/>
                <w:sz w:val="16"/>
                <w:szCs w:val="16"/>
              </w:rPr>
              <w:t>13,654 </w:t>
            </w:r>
          </w:p>
        </w:tc>
        <w:tc>
          <w:tcPr>
            <w:tcW w:w="0" w:type="auto"/>
            <w:shd w:val="clear" w:color="auto" w:fill="CCEEFF"/>
            <w:tcMar>
              <w:top w:w="40" w:type="dxa"/>
              <w:left w:w="0" w:type="dxa"/>
              <w:bottom w:w="40" w:type="dxa"/>
              <w:right w:w="20" w:type="dxa"/>
            </w:tcMar>
            <w:vAlign w:val="center"/>
          </w:tcPr>
          <w:p w14:paraId="098A8AD3" w14:textId="77777777" w:rsidR="00141CDF" w:rsidRDefault="00141CDF">
            <w:pPr>
              <w:jc w:val="right"/>
              <w:rPr>
                <w:rFonts w:ascii="宋体"/>
              </w:rPr>
            </w:pPr>
          </w:p>
        </w:tc>
      </w:tr>
      <w:tr w:rsidR="00141CDF" w14:paraId="098A8ADC" w14:textId="77777777">
        <w:trPr>
          <w:trHeight w:val="240"/>
          <w:jc w:val="center"/>
        </w:trPr>
        <w:tc>
          <w:tcPr>
            <w:tcW w:w="0" w:type="auto"/>
            <w:gridSpan w:val="3"/>
            <w:shd w:val="clear" w:color="auto" w:fill="FFFFFF"/>
            <w:tcMar>
              <w:top w:w="0" w:type="dxa"/>
              <w:left w:w="20" w:type="dxa"/>
              <w:bottom w:w="0" w:type="dxa"/>
              <w:right w:w="20" w:type="dxa"/>
            </w:tcMar>
            <w:vAlign w:val="bottom"/>
          </w:tcPr>
          <w:p w14:paraId="098A8AD5"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AD6"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AD7"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AD8"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AD9"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ADA"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ADB" w14:textId="77777777" w:rsidR="00141CDF" w:rsidRDefault="00141CDF">
            <w:pPr>
              <w:rPr>
                <w:rFonts w:ascii="宋体"/>
              </w:rPr>
            </w:pPr>
          </w:p>
        </w:tc>
      </w:tr>
      <w:tr w:rsidR="00141CDF" w14:paraId="098A8AE4" w14:textId="77777777">
        <w:trPr>
          <w:jc w:val="center"/>
        </w:trPr>
        <w:tc>
          <w:tcPr>
            <w:tcW w:w="0" w:type="auto"/>
            <w:gridSpan w:val="3"/>
            <w:shd w:val="clear" w:color="auto" w:fill="CCEEFF"/>
            <w:tcMar>
              <w:top w:w="40" w:type="dxa"/>
              <w:left w:w="20" w:type="dxa"/>
              <w:bottom w:w="40" w:type="dxa"/>
              <w:right w:w="20" w:type="dxa"/>
            </w:tcMar>
            <w:vAlign w:val="center"/>
          </w:tcPr>
          <w:p w14:paraId="098A8ADD" w14:textId="77777777" w:rsidR="00141CDF" w:rsidRDefault="00DF45E0">
            <w:pPr>
              <w:textAlignment w:val="center"/>
            </w:pPr>
            <w:r>
              <w:rPr>
                <w:rFonts w:ascii="Times New Roman" w:eastAsia="宋体" w:hAnsi="Times New Roman"/>
                <w:color w:val="000000"/>
                <w:sz w:val="16"/>
                <w:szCs w:val="16"/>
              </w:rPr>
              <w:t>Commitments and contingencies</w:t>
            </w:r>
          </w:p>
        </w:tc>
        <w:tc>
          <w:tcPr>
            <w:tcW w:w="0" w:type="auto"/>
            <w:gridSpan w:val="3"/>
            <w:shd w:val="clear" w:color="auto" w:fill="CCEEFF"/>
            <w:tcMar>
              <w:top w:w="0" w:type="dxa"/>
              <w:left w:w="20" w:type="dxa"/>
              <w:bottom w:w="0" w:type="dxa"/>
              <w:right w:w="20" w:type="dxa"/>
            </w:tcMar>
            <w:vAlign w:val="bottom"/>
          </w:tcPr>
          <w:p w14:paraId="098A8ADE"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ADF"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AE0"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AE1"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AE2"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AE3" w14:textId="77777777" w:rsidR="00141CDF" w:rsidRDefault="00141CDF">
            <w:pPr>
              <w:rPr>
                <w:rFonts w:ascii="宋体"/>
              </w:rPr>
            </w:pPr>
          </w:p>
        </w:tc>
      </w:tr>
      <w:tr w:rsidR="00141CDF" w14:paraId="098A8AEC" w14:textId="77777777">
        <w:trPr>
          <w:trHeight w:val="240"/>
          <w:jc w:val="center"/>
        </w:trPr>
        <w:tc>
          <w:tcPr>
            <w:tcW w:w="0" w:type="auto"/>
            <w:gridSpan w:val="3"/>
            <w:shd w:val="clear" w:color="auto" w:fill="FFFFFF"/>
            <w:tcMar>
              <w:top w:w="0" w:type="dxa"/>
              <w:left w:w="20" w:type="dxa"/>
              <w:bottom w:w="0" w:type="dxa"/>
              <w:right w:w="20" w:type="dxa"/>
            </w:tcMar>
            <w:vAlign w:val="bottom"/>
          </w:tcPr>
          <w:p w14:paraId="098A8AE5"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AE6"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AE7"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AE8"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AE9"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AEA"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AEB" w14:textId="77777777" w:rsidR="00141CDF" w:rsidRDefault="00141CDF">
            <w:pPr>
              <w:rPr>
                <w:rFonts w:ascii="宋体"/>
              </w:rPr>
            </w:pPr>
          </w:p>
        </w:tc>
      </w:tr>
      <w:tr w:rsidR="00141CDF" w14:paraId="098A8AF7" w14:textId="77777777">
        <w:trPr>
          <w:jc w:val="center"/>
        </w:trPr>
        <w:tc>
          <w:tcPr>
            <w:tcW w:w="0" w:type="auto"/>
            <w:gridSpan w:val="3"/>
            <w:shd w:val="clear" w:color="auto" w:fill="CCEEFF"/>
            <w:tcMar>
              <w:top w:w="40" w:type="dxa"/>
              <w:left w:w="20" w:type="dxa"/>
              <w:bottom w:w="40" w:type="dxa"/>
              <w:right w:w="20" w:type="dxa"/>
            </w:tcMar>
            <w:vAlign w:val="center"/>
          </w:tcPr>
          <w:p w14:paraId="098A8AED" w14:textId="77777777" w:rsidR="00141CDF" w:rsidRDefault="00DF45E0">
            <w:pPr>
              <w:textAlignment w:val="center"/>
            </w:pPr>
            <w:r>
              <w:rPr>
                <w:rFonts w:ascii="Times New Roman" w:eastAsia="宋体" w:hAnsi="Times New Roman"/>
                <w:color w:val="000000"/>
                <w:sz w:val="16"/>
                <w:szCs w:val="16"/>
              </w:rPr>
              <w:t>Redeemable noncontrolling interest</w:t>
            </w:r>
          </w:p>
        </w:tc>
        <w:tc>
          <w:tcPr>
            <w:tcW w:w="0" w:type="auto"/>
            <w:gridSpan w:val="3"/>
            <w:shd w:val="clear" w:color="auto" w:fill="CCEEFF"/>
            <w:tcMar>
              <w:top w:w="0" w:type="dxa"/>
              <w:left w:w="20" w:type="dxa"/>
              <w:bottom w:w="0" w:type="dxa"/>
              <w:right w:w="20" w:type="dxa"/>
            </w:tcMar>
            <w:vAlign w:val="bottom"/>
          </w:tcPr>
          <w:p w14:paraId="098A8AEE"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AEF" w14:textId="77777777" w:rsidR="00141CDF" w:rsidRDefault="00DF45E0">
            <w:pPr>
              <w:jc w:val="right"/>
              <w:textAlignment w:val="center"/>
            </w:pPr>
            <w:r>
              <w:rPr>
                <w:rFonts w:ascii="Times New Roman" w:eastAsia="宋体" w:hAnsi="Times New Roman"/>
                <w:color w:val="000000"/>
                <w:sz w:val="16"/>
                <w:szCs w:val="16"/>
              </w:rPr>
              <w:t>260 </w:t>
            </w:r>
          </w:p>
        </w:tc>
        <w:tc>
          <w:tcPr>
            <w:tcW w:w="0" w:type="auto"/>
            <w:shd w:val="clear" w:color="auto" w:fill="CCEEFF"/>
            <w:tcMar>
              <w:top w:w="40" w:type="dxa"/>
              <w:left w:w="0" w:type="dxa"/>
              <w:bottom w:w="40" w:type="dxa"/>
              <w:right w:w="20" w:type="dxa"/>
            </w:tcMar>
            <w:vAlign w:val="center"/>
          </w:tcPr>
          <w:p w14:paraId="098A8AF0"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AF1"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AF2"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098A8AF3"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AF4"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AF5"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098A8AF6" w14:textId="77777777" w:rsidR="00141CDF" w:rsidRDefault="00141CDF">
            <w:pPr>
              <w:jc w:val="right"/>
              <w:rPr>
                <w:rFonts w:ascii="宋体"/>
              </w:rPr>
            </w:pPr>
          </w:p>
        </w:tc>
      </w:tr>
      <w:tr w:rsidR="00141CDF" w14:paraId="098A8AFF" w14:textId="77777777">
        <w:trPr>
          <w:trHeight w:val="240"/>
          <w:jc w:val="center"/>
        </w:trPr>
        <w:tc>
          <w:tcPr>
            <w:tcW w:w="0" w:type="auto"/>
            <w:gridSpan w:val="3"/>
            <w:shd w:val="clear" w:color="auto" w:fill="FFFFFF"/>
            <w:tcMar>
              <w:top w:w="0" w:type="dxa"/>
              <w:left w:w="20" w:type="dxa"/>
              <w:bottom w:w="0" w:type="dxa"/>
              <w:right w:w="20" w:type="dxa"/>
            </w:tcMar>
            <w:vAlign w:val="bottom"/>
          </w:tcPr>
          <w:p w14:paraId="098A8AF8"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AF9"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AFA"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AFB"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AFC"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AFD"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8AFE" w14:textId="77777777" w:rsidR="00141CDF" w:rsidRDefault="00141CDF">
            <w:pPr>
              <w:rPr>
                <w:rFonts w:ascii="宋体"/>
              </w:rPr>
            </w:pPr>
          </w:p>
        </w:tc>
      </w:tr>
      <w:tr w:rsidR="00141CDF" w14:paraId="098A8B07" w14:textId="77777777">
        <w:trPr>
          <w:jc w:val="center"/>
        </w:trPr>
        <w:tc>
          <w:tcPr>
            <w:tcW w:w="0" w:type="auto"/>
            <w:gridSpan w:val="3"/>
            <w:shd w:val="clear" w:color="auto" w:fill="CCEEFF"/>
            <w:tcMar>
              <w:top w:w="40" w:type="dxa"/>
              <w:left w:w="20" w:type="dxa"/>
              <w:bottom w:w="40" w:type="dxa"/>
              <w:right w:w="20" w:type="dxa"/>
            </w:tcMar>
            <w:vAlign w:val="center"/>
          </w:tcPr>
          <w:p w14:paraId="098A8B00" w14:textId="77777777" w:rsidR="00141CDF" w:rsidRDefault="00DF45E0">
            <w:pPr>
              <w:textAlignment w:val="center"/>
            </w:pPr>
            <w:r>
              <w:rPr>
                <w:rFonts w:ascii="Times New Roman" w:eastAsia="宋体" w:hAnsi="Times New Roman"/>
                <w:b/>
                <w:bCs/>
                <w:color w:val="000000"/>
                <w:sz w:val="16"/>
                <w:szCs w:val="16"/>
              </w:rPr>
              <w:t>Equity:</w:t>
            </w:r>
          </w:p>
        </w:tc>
        <w:tc>
          <w:tcPr>
            <w:tcW w:w="0" w:type="auto"/>
            <w:gridSpan w:val="3"/>
            <w:shd w:val="clear" w:color="auto" w:fill="CCEEFF"/>
            <w:tcMar>
              <w:top w:w="0" w:type="dxa"/>
              <w:left w:w="20" w:type="dxa"/>
              <w:bottom w:w="0" w:type="dxa"/>
              <w:right w:w="20" w:type="dxa"/>
            </w:tcMar>
            <w:vAlign w:val="bottom"/>
          </w:tcPr>
          <w:p w14:paraId="098A8B01"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B02"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B03"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B04"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B05"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8B06" w14:textId="77777777" w:rsidR="00141CDF" w:rsidRDefault="00141CDF">
            <w:pPr>
              <w:rPr>
                <w:rFonts w:ascii="宋体"/>
              </w:rPr>
            </w:pPr>
          </w:p>
        </w:tc>
      </w:tr>
      <w:tr w:rsidR="00141CDF" w14:paraId="098A8B12" w14:textId="77777777">
        <w:trPr>
          <w:jc w:val="center"/>
        </w:trPr>
        <w:tc>
          <w:tcPr>
            <w:tcW w:w="0" w:type="auto"/>
            <w:gridSpan w:val="3"/>
            <w:shd w:val="clear" w:color="auto" w:fill="FFFFFF"/>
            <w:tcMar>
              <w:top w:w="40" w:type="dxa"/>
              <w:left w:w="380" w:type="dxa"/>
              <w:bottom w:w="40" w:type="dxa"/>
              <w:right w:w="20" w:type="dxa"/>
            </w:tcMar>
            <w:vAlign w:val="center"/>
          </w:tcPr>
          <w:p w14:paraId="098A8B08" w14:textId="77777777" w:rsidR="00141CDF" w:rsidRDefault="00DF45E0">
            <w:pPr>
              <w:textAlignment w:val="center"/>
            </w:pPr>
            <w:r>
              <w:rPr>
                <w:rFonts w:ascii="Times New Roman" w:eastAsia="宋体" w:hAnsi="Times New Roman"/>
                <w:color w:val="000000"/>
                <w:sz w:val="16"/>
                <w:szCs w:val="16"/>
              </w:rPr>
              <w:t>Common stock</w:t>
            </w:r>
          </w:p>
        </w:tc>
        <w:tc>
          <w:tcPr>
            <w:tcW w:w="0" w:type="auto"/>
            <w:gridSpan w:val="3"/>
            <w:shd w:val="clear" w:color="auto" w:fill="FFFFFF"/>
            <w:tcMar>
              <w:top w:w="0" w:type="dxa"/>
              <w:left w:w="20" w:type="dxa"/>
              <w:bottom w:w="0" w:type="dxa"/>
              <w:right w:w="20" w:type="dxa"/>
            </w:tcMar>
            <w:vAlign w:val="bottom"/>
          </w:tcPr>
          <w:p w14:paraId="098A8B09"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B0A" w14:textId="77777777" w:rsidR="00141CDF" w:rsidRDefault="00DF45E0">
            <w:pPr>
              <w:jc w:val="right"/>
              <w:textAlignment w:val="center"/>
            </w:pPr>
            <w:r>
              <w:rPr>
                <w:rFonts w:ascii="Times New Roman" w:eastAsia="宋体" w:hAnsi="Times New Roman"/>
                <w:color w:val="000000"/>
                <w:sz w:val="16"/>
                <w:szCs w:val="16"/>
              </w:rPr>
              <w:t>272 </w:t>
            </w:r>
          </w:p>
        </w:tc>
        <w:tc>
          <w:tcPr>
            <w:tcW w:w="0" w:type="auto"/>
            <w:shd w:val="clear" w:color="auto" w:fill="FFFFFF"/>
            <w:tcMar>
              <w:top w:w="40" w:type="dxa"/>
              <w:left w:w="0" w:type="dxa"/>
              <w:bottom w:w="40" w:type="dxa"/>
              <w:right w:w="20" w:type="dxa"/>
            </w:tcMar>
            <w:vAlign w:val="center"/>
          </w:tcPr>
          <w:p w14:paraId="098A8B0B"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B0C"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B0D" w14:textId="77777777" w:rsidR="00141CDF" w:rsidRDefault="00DF45E0">
            <w:pPr>
              <w:jc w:val="right"/>
              <w:textAlignment w:val="center"/>
            </w:pPr>
            <w:r>
              <w:rPr>
                <w:rFonts w:ascii="Times New Roman" w:eastAsia="宋体" w:hAnsi="Times New Roman"/>
                <w:color w:val="000000"/>
                <w:sz w:val="16"/>
                <w:szCs w:val="16"/>
              </w:rPr>
              <w:t>276 </w:t>
            </w:r>
          </w:p>
        </w:tc>
        <w:tc>
          <w:tcPr>
            <w:tcW w:w="0" w:type="auto"/>
            <w:shd w:val="clear" w:color="auto" w:fill="FFFFFF"/>
            <w:tcMar>
              <w:top w:w="40" w:type="dxa"/>
              <w:left w:w="0" w:type="dxa"/>
              <w:bottom w:w="40" w:type="dxa"/>
              <w:right w:w="20" w:type="dxa"/>
            </w:tcMar>
            <w:vAlign w:val="center"/>
          </w:tcPr>
          <w:p w14:paraId="098A8B0E"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B0F"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B10" w14:textId="77777777" w:rsidR="00141CDF" w:rsidRDefault="00DF45E0">
            <w:pPr>
              <w:jc w:val="right"/>
              <w:textAlignment w:val="center"/>
            </w:pPr>
            <w:r>
              <w:rPr>
                <w:rFonts w:ascii="Times New Roman" w:eastAsia="宋体" w:hAnsi="Times New Roman"/>
                <w:color w:val="000000"/>
                <w:sz w:val="16"/>
                <w:szCs w:val="16"/>
              </w:rPr>
              <w:t>278 </w:t>
            </w:r>
          </w:p>
        </w:tc>
        <w:tc>
          <w:tcPr>
            <w:tcW w:w="0" w:type="auto"/>
            <w:shd w:val="clear" w:color="auto" w:fill="FFFFFF"/>
            <w:tcMar>
              <w:top w:w="40" w:type="dxa"/>
              <w:left w:w="0" w:type="dxa"/>
              <w:bottom w:w="40" w:type="dxa"/>
              <w:right w:w="20" w:type="dxa"/>
            </w:tcMar>
            <w:vAlign w:val="center"/>
          </w:tcPr>
          <w:p w14:paraId="098A8B11" w14:textId="77777777" w:rsidR="00141CDF" w:rsidRDefault="00141CDF">
            <w:pPr>
              <w:jc w:val="right"/>
              <w:rPr>
                <w:rFonts w:ascii="宋体"/>
              </w:rPr>
            </w:pPr>
          </w:p>
        </w:tc>
      </w:tr>
      <w:tr w:rsidR="00141CDF" w14:paraId="098A8B1D" w14:textId="77777777">
        <w:trPr>
          <w:jc w:val="center"/>
        </w:trPr>
        <w:tc>
          <w:tcPr>
            <w:tcW w:w="0" w:type="auto"/>
            <w:gridSpan w:val="3"/>
            <w:shd w:val="clear" w:color="auto" w:fill="CCEEFF"/>
            <w:tcMar>
              <w:top w:w="40" w:type="dxa"/>
              <w:left w:w="380" w:type="dxa"/>
              <w:bottom w:w="40" w:type="dxa"/>
              <w:right w:w="20" w:type="dxa"/>
            </w:tcMar>
            <w:vAlign w:val="center"/>
          </w:tcPr>
          <w:p w14:paraId="098A8B13" w14:textId="77777777" w:rsidR="00141CDF" w:rsidRDefault="00DF45E0">
            <w:pPr>
              <w:textAlignment w:val="center"/>
            </w:pPr>
            <w:r>
              <w:rPr>
                <w:rFonts w:ascii="Times New Roman" w:eastAsia="宋体" w:hAnsi="Times New Roman"/>
                <w:color w:val="000000"/>
                <w:sz w:val="16"/>
                <w:szCs w:val="16"/>
              </w:rPr>
              <w:t>Capital in excess of par value</w:t>
            </w:r>
          </w:p>
        </w:tc>
        <w:tc>
          <w:tcPr>
            <w:tcW w:w="0" w:type="auto"/>
            <w:gridSpan w:val="3"/>
            <w:shd w:val="clear" w:color="auto" w:fill="CCEEFF"/>
            <w:tcMar>
              <w:top w:w="0" w:type="dxa"/>
              <w:left w:w="20" w:type="dxa"/>
              <w:bottom w:w="0" w:type="dxa"/>
              <w:right w:w="20" w:type="dxa"/>
            </w:tcMar>
            <w:vAlign w:val="bottom"/>
          </w:tcPr>
          <w:p w14:paraId="098A8B14"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B15" w14:textId="77777777" w:rsidR="00141CDF" w:rsidRDefault="00DF45E0">
            <w:pPr>
              <w:jc w:val="right"/>
              <w:textAlignment w:val="center"/>
            </w:pPr>
            <w:r>
              <w:rPr>
                <w:rFonts w:ascii="Times New Roman" w:eastAsia="宋体" w:hAnsi="Times New Roman"/>
                <w:color w:val="000000"/>
                <w:sz w:val="16"/>
                <w:szCs w:val="16"/>
              </w:rPr>
              <w:t>4,672 </w:t>
            </w:r>
          </w:p>
        </w:tc>
        <w:tc>
          <w:tcPr>
            <w:tcW w:w="0" w:type="auto"/>
            <w:shd w:val="clear" w:color="auto" w:fill="CCEEFF"/>
            <w:tcMar>
              <w:top w:w="40" w:type="dxa"/>
              <w:left w:w="0" w:type="dxa"/>
              <w:bottom w:w="40" w:type="dxa"/>
              <w:right w:w="20" w:type="dxa"/>
            </w:tcMar>
            <w:vAlign w:val="center"/>
          </w:tcPr>
          <w:p w14:paraId="098A8B16"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B17"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B18" w14:textId="77777777" w:rsidR="00141CDF" w:rsidRDefault="00DF45E0">
            <w:pPr>
              <w:jc w:val="right"/>
              <w:textAlignment w:val="center"/>
            </w:pPr>
            <w:r>
              <w:rPr>
                <w:rFonts w:ascii="Times New Roman" w:eastAsia="宋体" w:hAnsi="Times New Roman"/>
                <w:color w:val="000000"/>
                <w:sz w:val="16"/>
                <w:szCs w:val="16"/>
              </w:rPr>
              <w:t>4,839 </w:t>
            </w:r>
          </w:p>
        </w:tc>
        <w:tc>
          <w:tcPr>
            <w:tcW w:w="0" w:type="auto"/>
            <w:shd w:val="clear" w:color="auto" w:fill="CCEEFF"/>
            <w:tcMar>
              <w:top w:w="40" w:type="dxa"/>
              <w:left w:w="0" w:type="dxa"/>
              <w:bottom w:w="40" w:type="dxa"/>
              <w:right w:w="20" w:type="dxa"/>
            </w:tcMar>
            <w:vAlign w:val="center"/>
          </w:tcPr>
          <w:p w14:paraId="098A8B19"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B1A"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B1B" w14:textId="77777777" w:rsidR="00141CDF" w:rsidRDefault="00DF45E0">
            <w:pPr>
              <w:jc w:val="right"/>
              <w:textAlignment w:val="center"/>
            </w:pPr>
            <w:r>
              <w:rPr>
                <w:rFonts w:ascii="Times New Roman" w:eastAsia="宋体" w:hAnsi="Times New Roman"/>
                <w:color w:val="000000"/>
                <w:sz w:val="16"/>
                <w:szCs w:val="16"/>
              </w:rPr>
              <w:t>3,655 </w:t>
            </w:r>
          </w:p>
        </w:tc>
        <w:tc>
          <w:tcPr>
            <w:tcW w:w="0" w:type="auto"/>
            <w:shd w:val="clear" w:color="auto" w:fill="CCEEFF"/>
            <w:tcMar>
              <w:top w:w="40" w:type="dxa"/>
              <w:left w:w="0" w:type="dxa"/>
              <w:bottom w:w="40" w:type="dxa"/>
              <w:right w:w="20" w:type="dxa"/>
            </w:tcMar>
            <w:vAlign w:val="center"/>
          </w:tcPr>
          <w:p w14:paraId="098A8B1C" w14:textId="77777777" w:rsidR="00141CDF" w:rsidRDefault="00141CDF">
            <w:pPr>
              <w:jc w:val="right"/>
              <w:rPr>
                <w:rFonts w:ascii="宋体"/>
              </w:rPr>
            </w:pPr>
          </w:p>
        </w:tc>
      </w:tr>
      <w:tr w:rsidR="00141CDF" w14:paraId="098A8B28" w14:textId="77777777">
        <w:trPr>
          <w:jc w:val="center"/>
        </w:trPr>
        <w:tc>
          <w:tcPr>
            <w:tcW w:w="0" w:type="auto"/>
            <w:gridSpan w:val="3"/>
            <w:shd w:val="clear" w:color="auto" w:fill="FFFFFF"/>
            <w:tcMar>
              <w:top w:w="40" w:type="dxa"/>
              <w:left w:w="380" w:type="dxa"/>
              <w:bottom w:w="40" w:type="dxa"/>
              <w:right w:w="20" w:type="dxa"/>
            </w:tcMar>
            <w:vAlign w:val="center"/>
          </w:tcPr>
          <w:p w14:paraId="098A8B1E" w14:textId="77777777" w:rsidR="00141CDF" w:rsidRDefault="00DF45E0">
            <w:pPr>
              <w:textAlignment w:val="center"/>
            </w:pPr>
            <w:r>
              <w:rPr>
                <w:rFonts w:ascii="Times New Roman" w:eastAsia="宋体" w:hAnsi="Times New Roman"/>
                <w:color w:val="000000"/>
                <w:sz w:val="16"/>
                <w:szCs w:val="16"/>
              </w:rPr>
              <w:t>Retained earnings</w:t>
            </w:r>
          </w:p>
        </w:tc>
        <w:tc>
          <w:tcPr>
            <w:tcW w:w="0" w:type="auto"/>
            <w:gridSpan w:val="3"/>
            <w:shd w:val="clear" w:color="auto" w:fill="FFFFFF"/>
            <w:tcMar>
              <w:top w:w="0" w:type="dxa"/>
              <w:left w:w="20" w:type="dxa"/>
              <w:bottom w:w="0" w:type="dxa"/>
              <w:right w:w="20" w:type="dxa"/>
            </w:tcMar>
            <w:vAlign w:val="bottom"/>
          </w:tcPr>
          <w:p w14:paraId="098A8B1F"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B20" w14:textId="77777777" w:rsidR="00141CDF" w:rsidRDefault="00DF45E0">
            <w:pPr>
              <w:jc w:val="right"/>
              <w:textAlignment w:val="center"/>
            </w:pPr>
            <w:r>
              <w:rPr>
                <w:rFonts w:ascii="Times New Roman" w:eastAsia="宋体" w:hAnsi="Times New Roman"/>
                <w:color w:val="000000"/>
                <w:sz w:val="16"/>
                <w:szCs w:val="16"/>
              </w:rPr>
              <w:t>82,519 </w:t>
            </w:r>
          </w:p>
        </w:tc>
        <w:tc>
          <w:tcPr>
            <w:tcW w:w="0" w:type="auto"/>
            <w:shd w:val="clear" w:color="auto" w:fill="FFFFFF"/>
            <w:tcMar>
              <w:top w:w="40" w:type="dxa"/>
              <w:left w:w="0" w:type="dxa"/>
              <w:bottom w:w="40" w:type="dxa"/>
              <w:right w:w="20" w:type="dxa"/>
            </w:tcMar>
            <w:vAlign w:val="center"/>
          </w:tcPr>
          <w:p w14:paraId="098A8B21"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B22"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B23" w14:textId="77777777" w:rsidR="00141CDF" w:rsidRDefault="00DF45E0">
            <w:pPr>
              <w:jc w:val="right"/>
              <w:textAlignment w:val="center"/>
            </w:pPr>
            <w:r>
              <w:rPr>
                <w:rFonts w:ascii="Times New Roman" w:eastAsia="宋体" w:hAnsi="Times New Roman"/>
                <w:color w:val="000000"/>
                <w:sz w:val="16"/>
                <w:szCs w:val="16"/>
              </w:rPr>
              <w:t>86,904 </w:t>
            </w:r>
          </w:p>
        </w:tc>
        <w:tc>
          <w:tcPr>
            <w:tcW w:w="0" w:type="auto"/>
            <w:shd w:val="clear" w:color="auto" w:fill="FFFFFF"/>
            <w:tcMar>
              <w:top w:w="40" w:type="dxa"/>
              <w:left w:w="0" w:type="dxa"/>
              <w:bottom w:w="40" w:type="dxa"/>
              <w:right w:w="20" w:type="dxa"/>
            </w:tcMar>
            <w:vAlign w:val="center"/>
          </w:tcPr>
          <w:p w14:paraId="098A8B24"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B25"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B26" w14:textId="77777777" w:rsidR="00141CDF" w:rsidRDefault="00DF45E0">
            <w:pPr>
              <w:jc w:val="right"/>
              <w:textAlignment w:val="center"/>
            </w:pPr>
            <w:r>
              <w:rPr>
                <w:rFonts w:ascii="Times New Roman" w:eastAsia="宋体" w:hAnsi="Times New Roman"/>
                <w:color w:val="000000"/>
                <w:sz w:val="16"/>
                <w:szCs w:val="16"/>
              </w:rPr>
              <w:t>84,572 </w:t>
            </w:r>
          </w:p>
        </w:tc>
        <w:tc>
          <w:tcPr>
            <w:tcW w:w="0" w:type="auto"/>
            <w:shd w:val="clear" w:color="auto" w:fill="FFFFFF"/>
            <w:tcMar>
              <w:top w:w="40" w:type="dxa"/>
              <w:left w:w="0" w:type="dxa"/>
              <w:bottom w:w="40" w:type="dxa"/>
              <w:right w:w="20" w:type="dxa"/>
            </w:tcMar>
            <w:vAlign w:val="center"/>
          </w:tcPr>
          <w:p w14:paraId="098A8B27" w14:textId="77777777" w:rsidR="00141CDF" w:rsidRDefault="00141CDF">
            <w:pPr>
              <w:jc w:val="right"/>
              <w:rPr>
                <w:rFonts w:ascii="宋体"/>
              </w:rPr>
            </w:pPr>
          </w:p>
        </w:tc>
      </w:tr>
      <w:tr w:rsidR="00141CDF" w14:paraId="098A8B33" w14:textId="77777777">
        <w:trPr>
          <w:jc w:val="center"/>
        </w:trPr>
        <w:tc>
          <w:tcPr>
            <w:tcW w:w="0" w:type="auto"/>
            <w:gridSpan w:val="3"/>
            <w:shd w:val="clear" w:color="auto" w:fill="CCEEFF"/>
            <w:tcMar>
              <w:top w:w="40" w:type="dxa"/>
              <w:left w:w="380" w:type="dxa"/>
              <w:bottom w:w="40" w:type="dxa"/>
              <w:right w:w="20" w:type="dxa"/>
            </w:tcMar>
            <w:vAlign w:val="center"/>
          </w:tcPr>
          <w:p w14:paraId="098A8B29" w14:textId="77777777" w:rsidR="00141CDF" w:rsidRDefault="00DF45E0">
            <w:pPr>
              <w:textAlignment w:val="center"/>
            </w:pPr>
            <w:r>
              <w:rPr>
                <w:rFonts w:ascii="Times New Roman" w:eastAsia="宋体" w:hAnsi="Times New Roman"/>
                <w:color w:val="000000"/>
                <w:sz w:val="16"/>
                <w:szCs w:val="16"/>
              </w:rPr>
              <w:t>Accumulated other comprehensive loss</w:t>
            </w:r>
          </w:p>
        </w:tc>
        <w:tc>
          <w:tcPr>
            <w:tcW w:w="0" w:type="auto"/>
            <w:gridSpan w:val="3"/>
            <w:shd w:val="clear" w:color="auto" w:fill="CCEEFF"/>
            <w:tcMar>
              <w:top w:w="0" w:type="dxa"/>
              <w:left w:w="20" w:type="dxa"/>
              <w:bottom w:w="0" w:type="dxa"/>
              <w:right w:w="20" w:type="dxa"/>
            </w:tcMar>
            <w:vAlign w:val="bottom"/>
          </w:tcPr>
          <w:p w14:paraId="098A8B2A"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B2B" w14:textId="77777777" w:rsidR="00141CDF" w:rsidRDefault="00DF45E0">
            <w:pPr>
              <w:jc w:val="right"/>
              <w:textAlignment w:val="center"/>
            </w:pPr>
            <w:r>
              <w:rPr>
                <w:rFonts w:ascii="Times New Roman" w:eastAsia="宋体" w:hAnsi="Times New Roman"/>
                <w:color w:val="000000"/>
                <w:sz w:val="16"/>
                <w:szCs w:val="16"/>
              </w:rPr>
              <w:t>(9,894)</w:t>
            </w:r>
          </w:p>
        </w:tc>
        <w:tc>
          <w:tcPr>
            <w:tcW w:w="0" w:type="auto"/>
            <w:shd w:val="clear" w:color="auto" w:fill="CCEEFF"/>
            <w:tcMar>
              <w:top w:w="40" w:type="dxa"/>
              <w:left w:w="0" w:type="dxa"/>
              <w:bottom w:w="40" w:type="dxa"/>
              <w:right w:w="20" w:type="dxa"/>
            </w:tcMar>
            <w:vAlign w:val="center"/>
          </w:tcPr>
          <w:p w14:paraId="098A8B2C"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B2D"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B2E" w14:textId="77777777" w:rsidR="00141CDF" w:rsidRDefault="00DF45E0">
            <w:pPr>
              <w:jc w:val="right"/>
              <w:textAlignment w:val="center"/>
            </w:pPr>
            <w:r>
              <w:rPr>
                <w:rFonts w:ascii="Times New Roman" w:eastAsia="宋体" w:hAnsi="Times New Roman"/>
                <w:color w:val="000000"/>
                <w:sz w:val="16"/>
                <w:szCs w:val="16"/>
              </w:rPr>
              <w:t>(8,766)</w:t>
            </w:r>
          </w:p>
        </w:tc>
        <w:tc>
          <w:tcPr>
            <w:tcW w:w="0" w:type="auto"/>
            <w:shd w:val="clear" w:color="auto" w:fill="CCEEFF"/>
            <w:tcMar>
              <w:top w:w="40" w:type="dxa"/>
              <w:left w:w="0" w:type="dxa"/>
              <w:bottom w:w="40" w:type="dxa"/>
              <w:right w:w="20" w:type="dxa"/>
            </w:tcMar>
            <w:vAlign w:val="center"/>
          </w:tcPr>
          <w:p w14:paraId="098A8B2F"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B30"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B31" w14:textId="77777777" w:rsidR="00141CDF" w:rsidRDefault="00DF45E0">
            <w:pPr>
              <w:jc w:val="right"/>
              <w:textAlignment w:val="center"/>
            </w:pPr>
            <w:r>
              <w:rPr>
                <w:rFonts w:ascii="Times New Roman" w:eastAsia="宋体" w:hAnsi="Times New Roman"/>
                <w:color w:val="000000"/>
                <w:sz w:val="16"/>
                <w:szCs w:val="16"/>
              </w:rPr>
              <w:t>(7,976)</w:t>
            </w:r>
          </w:p>
        </w:tc>
        <w:tc>
          <w:tcPr>
            <w:tcW w:w="0" w:type="auto"/>
            <w:shd w:val="clear" w:color="auto" w:fill="CCEEFF"/>
            <w:tcMar>
              <w:top w:w="40" w:type="dxa"/>
              <w:left w:w="0" w:type="dxa"/>
              <w:bottom w:w="40" w:type="dxa"/>
              <w:right w:w="20" w:type="dxa"/>
            </w:tcMar>
            <w:vAlign w:val="center"/>
          </w:tcPr>
          <w:p w14:paraId="098A8B32" w14:textId="77777777" w:rsidR="00141CDF" w:rsidRDefault="00141CDF">
            <w:pPr>
              <w:jc w:val="right"/>
              <w:rPr>
                <w:rFonts w:ascii="宋体"/>
              </w:rPr>
            </w:pPr>
          </w:p>
        </w:tc>
      </w:tr>
      <w:tr w:rsidR="00141CDF" w14:paraId="098A8B3E" w14:textId="77777777">
        <w:trPr>
          <w:jc w:val="center"/>
        </w:trPr>
        <w:tc>
          <w:tcPr>
            <w:tcW w:w="0" w:type="auto"/>
            <w:gridSpan w:val="3"/>
            <w:shd w:val="clear" w:color="auto" w:fill="FFFFFF"/>
            <w:tcMar>
              <w:top w:w="40" w:type="dxa"/>
              <w:left w:w="740" w:type="dxa"/>
              <w:bottom w:w="40" w:type="dxa"/>
              <w:right w:w="20" w:type="dxa"/>
            </w:tcMar>
            <w:vAlign w:val="center"/>
          </w:tcPr>
          <w:p w14:paraId="098A8B34" w14:textId="77777777" w:rsidR="00141CDF" w:rsidRDefault="00DF45E0">
            <w:pPr>
              <w:textAlignment w:val="center"/>
            </w:pPr>
            <w:r>
              <w:rPr>
                <w:rFonts w:ascii="Times New Roman" w:eastAsia="宋体" w:hAnsi="Times New Roman"/>
                <w:color w:val="000000"/>
                <w:sz w:val="16"/>
                <w:szCs w:val="16"/>
              </w:rPr>
              <w:t>Total Walmart shareholders' equity</w:t>
            </w:r>
          </w:p>
        </w:tc>
        <w:tc>
          <w:tcPr>
            <w:tcW w:w="0" w:type="auto"/>
            <w:gridSpan w:val="3"/>
            <w:shd w:val="clear" w:color="auto" w:fill="FFFFFF"/>
            <w:tcMar>
              <w:top w:w="0" w:type="dxa"/>
              <w:left w:w="20" w:type="dxa"/>
              <w:bottom w:w="0" w:type="dxa"/>
              <w:right w:w="20" w:type="dxa"/>
            </w:tcMar>
            <w:vAlign w:val="bottom"/>
          </w:tcPr>
          <w:p w14:paraId="098A8B35" w14:textId="77777777" w:rsidR="00141CDF" w:rsidRDefault="00141C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98A8B36" w14:textId="77777777" w:rsidR="00141CDF" w:rsidRDefault="00DF45E0">
            <w:pPr>
              <w:jc w:val="right"/>
              <w:textAlignment w:val="center"/>
            </w:pPr>
            <w:r>
              <w:rPr>
                <w:rFonts w:ascii="Times New Roman" w:eastAsia="宋体" w:hAnsi="Times New Roman"/>
                <w:color w:val="000000"/>
                <w:sz w:val="16"/>
                <w:szCs w:val="16"/>
              </w:rPr>
              <w:t>77,569 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8B37"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B38" w14:textId="77777777" w:rsidR="00141CDF" w:rsidRDefault="00141C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98A8B39" w14:textId="77777777" w:rsidR="00141CDF" w:rsidRDefault="00DF45E0">
            <w:pPr>
              <w:jc w:val="right"/>
              <w:textAlignment w:val="center"/>
            </w:pPr>
            <w:r>
              <w:rPr>
                <w:rFonts w:ascii="Times New Roman" w:eastAsia="宋体" w:hAnsi="Times New Roman"/>
                <w:color w:val="000000"/>
                <w:sz w:val="16"/>
                <w:szCs w:val="16"/>
              </w:rPr>
              <w:t>83,253 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8B3A"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B3B" w14:textId="77777777" w:rsidR="00141CDF" w:rsidRDefault="00141C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98A8B3C" w14:textId="77777777" w:rsidR="00141CDF" w:rsidRDefault="00DF45E0">
            <w:pPr>
              <w:jc w:val="right"/>
              <w:textAlignment w:val="center"/>
            </w:pPr>
            <w:r>
              <w:rPr>
                <w:rFonts w:ascii="Times New Roman" w:eastAsia="宋体" w:hAnsi="Times New Roman"/>
                <w:color w:val="000000"/>
                <w:sz w:val="16"/>
                <w:szCs w:val="16"/>
              </w:rPr>
              <w:t>80,529 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8B3D" w14:textId="77777777" w:rsidR="00141CDF" w:rsidRDefault="00141CDF">
            <w:pPr>
              <w:jc w:val="right"/>
              <w:rPr>
                <w:rFonts w:ascii="宋体"/>
              </w:rPr>
            </w:pPr>
          </w:p>
        </w:tc>
      </w:tr>
      <w:tr w:rsidR="00141CDF" w14:paraId="098A8B49" w14:textId="77777777">
        <w:trPr>
          <w:jc w:val="center"/>
        </w:trPr>
        <w:tc>
          <w:tcPr>
            <w:tcW w:w="0" w:type="auto"/>
            <w:gridSpan w:val="3"/>
            <w:shd w:val="clear" w:color="auto" w:fill="CCEEFF"/>
            <w:tcMar>
              <w:top w:w="40" w:type="dxa"/>
              <w:left w:w="380" w:type="dxa"/>
              <w:bottom w:w="40" w:type="dxa"/>
              <w:right w:w="20" w:type="dxa"/>
            </w:tcMar>
            <w:vAlign w:val="center"/>
          </w:tcPr>
          <w:p w14:paraId="098A8B3F" w14:textId="77777777" w:rsidR="00141CDF" w:rsidRDefault="00DF45E0">
            <w:pPr>
              <w:textAlignment w:val="center"/>
            </w:pPr>
            <w:r>
              <w:rPr>
                <w:rFonts w:ascii="Times New Roman" w:eastAsia="宋体" w:hAnsi="Times New Roman"/>
                <w:color w:val="000000"/>
                <w:sz w:val="16"/>
                <w:szCs w:val="16"/>
              </w:rPr>
              <w:t>Nonredeemable noncontrolling interest</w:t>
            </w:r>
          </w:p>
        </w:tc>
        <w:tc>
          <w:tcPr>
            <w:tcW w:w="0" w:type="auto"/>
            <w:gridSpan w:val="3"/>
            <w:shd w:val="clear" w:color="auto" w:fill="CCEEFF"/>
            <w:tcMar>
              <w:top w:w="0" w:type="dxa"/>
              <w:left w:w="20" w:type="dxa"/>
              <w:bottom w:w="0" w:type="dxa"/>
              <w:right w:w="20" w:type="dxa"/>
            </w:tcMar>
            <w:vAlign w:val="bottom"/>
          </w:tcPr>
          <w:p w14:paraId="098A8B40"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B41" w14:textId="77777777" w:rsidR="00141CDF" w:rsidRDefault="00DF45E0">
            <w:pPr>
              <w:jc w:val="right"/>
              <w:textAlignment w:val="center"/>
            </w:pPr>
            <w:r>
              <w:rPr>
                <w:rFonts w:ascii="Times New Roman" w:eastAsia="宋体" w:hAnsi="Times New Roman"/>
                <w:color w:val="000000"/>
                <w:sz w:val="16"/>
                <w:szCs w:val="16"/>
              </w:rPr>
              <w:t>8,018 </w:t>
            </w:r>
          </w:p>
        </w:tc>
        <w:tc>
          <w:tcPr>
            <w:tcW w:w="0" w:type="auto"/>
            <w:shd w:val="clear" w:color="auto" w:fill="CCEEFF"/>
            <w:tcMar>
              <w:top w:w="40" w:type="dxa"/>
              <w:left w:w="0" w:type="dxa"/>
              <w:bottom w:w="40" w:type="dxa"/>
              <w:right w:w="20" w:type="dxa"/>
            </w:tcMar>
            <w:vAlign w:val="center"/>
          </w:tcPr>
          <w:p w14:paraId="098A8B42"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B43"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B44" w14:textId="77777777" w:rsidR="00141CDF" w:rsidRDefault="00DF45E0">
            <w:pPr>
              <w:jc w:val="right"/>
              <w:textAlignment w:val="center"/>
            </w:pPr>
            <w:r>
              <w:rPr>
                <w:rFonts w:ascii="Times New Roman" w:eastAsia="宋体" w:hAnsi="Times New Roman"/>
                <w:color w:val="000000"/>
                <w:sz w:val="16"/>
                <w:szCs w:val="16"/>
              </w:rPr>
              <w:t>8,638 </w:t>
            </w:r>
          </w:p>
        </w:tc>
        <w:tc>
          <w:tcPr>
            <w:tcW w:w="0" w:type="auto"/>
            <w:shd w:val="clear" w:color="auto" w:fill="CCEEFF"/>
            <w:tcMar>
              <w:top w:w="40" w:type="dxa"/>
              <w:left w:w="0" w:type="dxa"/>
              <w:bottom w:w="40" w:type="dxa"/>
              <w:right w:w="20" w:type="dxa"/>
            </w:tcMar>
            <w:vAlign w:val="center"/>
          </w:tcPr>
          <w:p w14:paraId="098A8B45"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B46"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B47" w14:textId="77777777" w:rsidR="00141CDF" w:rsidRDefault="00DF45E0">
            <w:pPr>
              <w:jc w:val="right"/>
              <w:textAlignment w:val="center"/>
            </w:pPr>
            <w:r>
              <w:rPr>
                <w:rFonts w:ascii="Times New Roman" w:eastAsia="宋体" w:hAnsi="Times New Roman"/>
                <w:color w:val="000000"/>
                <w:sz w:val="16"/>
                <w:szCs w:val="16"/>
              </w:rPr>
              <w:t>6,598 </w:t>
            </w:r>
          </w:p>
        </w:tc>
        <w:tc>
          <w:tcPr>
            <w:tcW w:w="0" w:type="auto"/>
            <w:shd w:val="clear" w:color="auto" w:fill="CCEEFF"/>
            <w:tcMar>
              <w:top w:w="40" w:type="dxa"/>
              <w:left w:w="0" w:type="dxa"/>
              <w:bottom w:w="40" w:type="dxa"/>
              <w:right w:w="20" w:type="dxa"/>
            </w:tcMar>
            <w:vAlign w:val="center"/>
          </w:tcPr>
          <w:p w14:paraId="098A8B48" w14:textId="77777777" w:rsidR="00141CDF" w:rsidRDefault="00141CDF">
            <w:pPr>
              <w:jc w:val="right"/>
              <w:rPr>
                <w:rFonts w:ascii="宋体"/>
              </w:rPr>
            </w:pPr>
          </w:p>
        </w:tc>
      </w:tr>
      <w:tr w:rsidR="00141CDF" w14:paraId="098A8B54" w14:textId="77777777">
        <w:trPr>
          <w:jc w:val="center"/>
        </w:trPr>
        <w:tc>
          <w:tcPr>
            <w:tcW w:w="0" w:type="auto"/>
            <w:gridSpan w:val="3"/>
            <w:shd w:val="clear" w:color="auto" w:fill="FFFFFF"/>
            <w:tcMar>
              <w:top w:w="40" w:type="dxa"/>
              <w:left w:w="740" w:type="dxa"/>
              <w:bottom w:w="40" w:type="dxa"/>
              <w:right w:w="20" w:type="dxa"/>
            </w:tcMar>
            <w:vAlign w:val="center"/>
          </w:tcPr>
          <w:p w14:paraId="098A8B4A" w14:textId="77777777" w:rsidR="00141CDF" w:rsidRDefault="00DF45E0">
            <w:pPr>
              <w:textAlignment w:val="center"/>
            </w:pPr>
            <w:r>
              <w:rPr>
                <w:rFonts w:ascii="Times New Roman" w:eastAsia="宋体" w:hAnsi="Times New Roman"/>
                <w:color w:val="000000"/>
                <w:sz w:val="16"/>
                <w:szCs w:val="16"/>
              </w:rPr>
              <w:t>Total equity</w:t>
            </w:r>
          </w:p>
        </w:tc>
        <w:tc>
          <w:tcPr>
            <w:tcW w:w="0" w:type="auto"/>
            <w:gridSpan w:val="3"/>
            <w:shd w:val="clear" w:color="auto" w:fill="FFFFFF"/>
            <w:tcMar>
              <w:top w:w="0" w:type="dxa"/>
              <w:left w:w="20" w:type="dxa"/>
              <w:bottom w:w="0" w:type="dxa"/>
              <w:right w:w="20" w:type="dxa"/>
            </w:tcMar>
            <w:vAlign w:val="bottom"/>
          </w:tcPr>
          <w:p w14:paraId="098A8B4B" w14:textId="77777777" w:rsidR="00141CDF" w:rsidRDefault="00141C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98A8B4C" w14:textId="77777777" w:rsidR="00141CDF" w:rsidRDefault="00DF45E0">
            <w:pPr>
              <w:jc w:val="right"/>
              <w:textAlignment w:val="center"/>
            </w:pPr>
            <w:r>
              <w:rPr>
                <w:rFonts w:ascii="Times New Roman" w:eastAsia="宋体" w:hAnsi="Times New Roman"/>
                <w:color w:val="000000"/>
                <w:sz w:val="16"/>
                <w:szCs w:val="16"/>
              </w:rPr>
              <w:t>85,587 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8B4D"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B4E" w14:textId="77777777" w:rsidR="00141CDF" w:rsidRDefault="00141C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98A8B4F" w14:textId="77777777" w:rsidR="00141CDF" w:rsidRDefault="00DF45E0">
            <w:pPr>
              <w:jc w:val="right"/>
              <w:textAlignment w:val="center"/>
            </w:pPr>
            <w:r>
              <w:rPr>
                <w:rFonts w:ascii="Times New Roman" w:eastAsia="宋体" w:hAnsi="Times New Roman"/>
                <w:color w:val="000000"/>
                <w:sz w:val="16"/>
                <w:szCs w:val="16"/>
              </w:rPr>
              <w:t>91,891 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8B50"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B51" w14:textId="77777777" w:rsidR="00141CDF" w:rsidRDefault="00141C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98A8B52" w14:textId="77777777" w:rsidR="00141CDF" w:rsidRDefault="00DF45E0">
            <w:pPr>
              <w:jc w:val="right"/>
              <w:textAlignment w:val="center"/>
            </w:pPr>
            <w:r>
              <w:rPr>
                <w:rFonts w:ascii="Times New Roman" w:eastAsia="宋体" w:hAnsi="Times New Roman"/>
                <w:color w:val="000000"/>
                <w:sz w:val="16"/>
                <w:szCs w:val="16"/>
              </w:rPr>
              <w:t>87,127 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8B53" w14:textId="77777777" w:rsidR="00141CDF" w:rsidRDefault="00141CDF">
            <w:pPr>
              <w:jc w:val="right"/>
              <w:rPr>
                <w:rFonts w:ascii="宋体"/>
              </w:rPr>
            </w:pPr>
          </w:p>
        </w:tc>
      </w:tr>
      <w:tr w:rsidR="00141CDF" w14:paraId="098A8B62" w14:textId="77777777">
        <w:trPr>
          <w:jc w:val="center"/>
        </w:trPr>
        <w:tc>
          <w:tcPr>
            <w:tcW w:w="0" w:type="auto"/>
            <w:gridSpan w:val="3"/>
            <w:shd w:val="clear" w:color="auto" w:fill="CCEEFF"/>
            <w:tcMar>
              <w:top w:w="40" w:type="dxa"/>
              <w:left w:w="20" w:type="dxa"/>
              <w:bottom w:w="40" w:type="dxa"/>
              <w:right w:w="20" w:type="dxa"/>
            </w:tcMar>
            <w:vAlign w:val="center"/>
          </w:tcPr>
          <w:p w14:paraId="098A8B55" w14:textId="77777777" w:rsidR="00141CDF" w:rsidRDefault="00DF45E0">
            <w:pPr>
              <w:textAlignment w:val="center"/>
            </w:pPr>
            <w:r>
              <w:rPr>
                <w:rFonts w:ascii="Times New Roman" w:eastAsia="宋体" w:hAnsi="Times New Roman"/>
                <w:b/>
                <w:bCs/>
                <w:color w:val="000000"/>
                <w:sz w:val="16"/>
                <w:szCs w:val="16"/>
              </w:rPr>
              <w:t>Total liabilities, redeemable noncontrolling interest, and equity</w:t>
            </w:r>
          </w:p>
        </w:tc>
        <w:tc>
          <w:tcPr>
            <w:tcW w:w="0" w:type="auto"/>
            <w:gridSpan w:val="3"/>
            <w:shd w:val="clear" w:color="auto" w:fill="CCEEFF"/>
            <w:tcMar>
              <w:top w:w="0" w:type="dxa"/>
              <w:left w:w="20" w:type="dxa"/>
              <w:bottom w:w="0" w:type="dxa"/>
              <w:right w:w="20" w:type="dxa"/>
            </w:tcMar>
            <w:vAlign w:val="bottom"/>
          </w:tcPr>
          <w:p w14:paraId="098A8B56" w14:textId="77777777" w:rsidR="00141CDF" w:rsidRDefault="00141CD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98A8B57"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98A8B58" w14:textId="77777777" w:rsidR="00141CDF" w:rsidRDefault="00DF45E0">
            <w:pPr>
              <w:jc w:val="right"/>
              <w:textAlignment w:val="center"/>
            </w:pPr>
            <w:r>
              <w:rPr>
                <w:rFonts w:ascii="Times New Roman" w:eastAsia="宋体" w:hAnsi="Times New Roman"/>
                <w:color w:val="000000"/>
                <w:sz w:val="16"/>
                <w:szCs w:val="16"/>
              </w:rPr>
              <w:t>247,199 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98A8B59"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B5A" w14:textId="77777777" w:rsidR="00141CDF" w:rsidRDefault="00141CD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98A8B5B"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98A8B5C" w14:textId="77777777" w:rsidR="00141CDF" w:rsidRDefault="00DF45E0">
            <w:pPr>
              <w:jc w:val="right"/>
              <w:textAlignment w:val="center"/>
            </w:pPr>
            <w:r>
              <w:rPr>
                <w:rFonts w:ascii="Times New Roman" w:eastAsia="宋体" w:hAnsi="Times New Roman"/>
                <w:color w:val="000000"/>
                <w:sz w:val="16"/>
                <w:szCs w:val="16"/>
              </w:rPr>
              <w:t>244,860 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98A8B5D"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B5E" w14:textId="77777777" w:rsidR="00141CDF" w:rsidRDefault="00141CD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98A8B5F"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98A8B60" w14:textId="77777777" w:rsidR="00141CDF" w:rsidRDefault="00DF45E0">
            <w:pPr>
              <w:jc w:val="right"/>
              <w:textAlignment w:val="center"/>
            </w:pPr>
            <w:r>
              <w:rPr>
                <w:rFonts w:ascii="Times New Roman" w:eastAsia="宋体" w:hAnsi="Times New Roman"/>
                <w:color w:val="000000"/>
                <w:sz w:val="16"/>
                <w:szCs w:val="16"/>
              </w:rPr>
              <w:t>238,552 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98A8B61" w14:textId="77777777" w:rsidR="00141CDF" w:rsidRDefault="00141CDF">
            <w:pPr>
              <w:jc w:val="right"/>
              <w:rPr>
                <w:rFonts w:ascii="宋体"/>
              </w:rPr>
            </w:pPr>
          </w:p>
        </w:tc>
      </w:tr>
    </w:tbl>
    <w:p w14:paraId="098A8B63" w14:textId="77777777" w:rsidR="00141CDF" w:rsidRDefault="00DF45E0">
      <w:pPr>
        <w:spacing w:before="80"/>
      </w:pPr>
      <w:r>
        <w:rPr>
          <w:rFonts w:ascii="Times New Roman" w:eastAsia="宋体" w:hAnsi="Times New Roman"/>
          <w:i/>
          <w:iCs/>
          <w:color w:val="000000"/>
          <w:sz w:val="16"/>
          <w:szCs w:val="16"/>
        </w:rPr>
        <w:t xml:space="preserve">See accompanying notes. </w:t>
      </w:r>
    </w:p>
    <w:p w14:paraId="098A8B64" w14:textId="77777777" w:rsidR="00141CDF" w:rsidRDefault="00DF45E0">
      <w:pPr>
        <w:jc w:val="center"/>
      </w:pPr>
      <w:r>
        <w:rPr>
          <w:rFonts w:ascii="Times New Roman" w:eastAsia="宋体" w:hAnsi="Times New Roman"/>
          <w:color w:val="000000"/>
          <w:sz w:val="20"/>
          <w:szCs w:val="20"/>
        </w:rPr>
        <w:t>5</w:t>
      </w:r>
    </w:p>
    <w:p w14:paraId="098A8B65" w14:textId="77777777" w:rsidR="00141CDF" w:rsidRDefault="00DF45E0">
      <w:r>
        <w:pict w14:anchorId="098AA653">
          <v:rect id="_x0000_i1029" style="width:415.3pt;height:1.5pt" o:hralign="center" o:hrstd="t" o:hr="t" fillcolor="#a0a0a0" stroked="f"/>
        </w:pict>
      </w:r>
    </w:p>
    <w:p w14:paraId="098A8B66" w14:textId="77777777" w:rsidR="00141CDF" w:rsidRDefault="00DF45E0">
      <w:hyperlink r:id="rId47" w:anchor="i24a2f296795646fa8b5ba32fd1359591_7" w:history="1">
        <w:r>
          <w:rPr>
            <w:rStyle w:val="a5"/>
            <w:rFonts w:ascii="Times New Roman" w:eastAsia="宋体" w:hAnsi="Times New Roman"/>
            <w:sz w:val="20"/>
            <w:szCs w:val="20"/>
          </w:rPr>
          <w:t xml:space="preserve">Table of </w:t>
        </w:r>
      </w:hyperlink>
      <w:hyperlink r:id="rId48" w:anchor="i24a2f296795646fa8b5ba32fd1359591_7" w:history="1">
        <w:r>
          <w:rPr>
            <w:rStyle w:val="a5"/>
            <w:rFonts w:ascii="Times New Roman" w:eastAsia="宋体" w:hAnsi="Times New Roman"/>
            <w:sz w:val="20"/>
            <w:szCs w:val="20"/>
          </w:rPr>
          <w:t>Contents</w:t>
        </w:r>
      </w:hyperlink>
    </w:p>
    <w:p w14:paraId="098A8B67" w14:textId="77777777" w:rsidR="00141CDF" w:rsidRDefault="00DF45E0">
      <w:pPr>
        <w:jc w:val="center"/>
      </w:pPr>
      <w:r>
        <w:rPr>
          <w:rFonts w:ascii="Times New Roman" w:eastAsia="宋体" w:hAnsi="Times New Roman"/>
          <w:b/>
          <w:bCs/>
          <w:color w:val="000000"/>
          <w:sz w:val="20"/>
          <w:szCs w:val="20"/>
        </w:rPr>
        <w:t>Walmart Inc.</w:t>
      </w:r>
    </w:p>
    <w:p w14:paraId="098A8B68" w14:textId="77777777" w:rsidR="00141CDF" w:rsidRDefault="00DF45E0">
      <w:pPr>
        <w:spacing w:before="60"/>
        <w:jc w:val="center"/>
      </w:pPr>
      <w:r>
        <w:rPr>
          <w:rFonts w:ascii="Times New Roman" w:eastAsia="宋体" w:hAnsi="Times New Roman"/>
          <w:b/>
          <w:bCs/>
          <w:color w:val="000000"/>
          <w:sz w:val="20"/>
          <w:szCs w:val="20"/>
        </w:rPr>
        <w:t>Condensed Consolidated Statements of Shareholders' Equity</w:t>
      </w:r>
    </w:p>
    <w:p w14:paraId="098A8B69" w14:textId="77777777" w:rsidR="00141CDF" w:rsidRDefault="00DF45E0">
      <w:pPr>
        <w:spacing w:before="60"/>
        <w:jc w:val="center"/>
      </w:pPr>
      <w:r>
        <w:rPr>
          <w:rFonts w:ascii="Times New Roman" w:eastAsia="宋体" w:hAnsi="Times New Roman"/>
          <w:b/>
          <w:bCs/>
          <w:color w:val="000000"/>
          <w:sz w:val="20"/>
          <w:szCs w:val="20"/>
        </w:rPr>
        <w:t>(Unaudited)</w:t>
      </w:r>
    </w:p>
    <w:tbl>
      <w:tblPr>
        <w:tblW w:w="4980" w:type="pct"/>
        <w:tblCellMar>
          <w:top w:w="15" w:type="dxa"/>
          <w:left w:w="15" w:type="dxa"/>
          <w:bottom w:w="15" w:type="dxa"/>
          <w:right w:w="15" w:type="dxa"/>
        </w:tblCellMar>
        <w:tblLook w:val="04A0" w:firstRow="1" w:lastRow="0" w:firstColumn="1" w:lastColumn="0" w:noHBand="0" w:noVBand="1"/>
      </w:tblPr>
      <w:tblGrid>
        <w:gridCol w:w="39"/>
        <w:gridCol w:w="961"/>
        <w:gridCol w:w="37"/>
        <w:gridCol w:w="82"/>
        <w:gridCol w:w="404"/>
        <w:gridCol w:w="37"/>
        <w:gridCol w:w="37"/>
        <w:gridCol w:w="37"/>
        <w:gridCol w:w="36"/>
        <w:gridCol w:w="100"/>
        <w:gridCol w:w="486"/>
        <w:gridCol w:w="36"/>
        <w:gridCol w:w="36"/>
        <w:gridCol w:w="36"/>
        <w:gridCol w:w="36"/>
        <w:gridCol w:w="101"/>
        <w:gridCol w:w="619"/>
        <w:gridCol w:w="36"/>
        <w:gridCol w:w="36"/>
        <w:gridCol w:w="36"/>
        <w:gridCol w:w="36"/>
        <w:gridCol w:w="100"/>
        <w:gridCol w:w="555"/>
        <w:gridCol w:w="36"/>
        <w:gridCol w:w="36"/>
        <w:gridCol w:w="36"/>
        <w:gridCol w:w="36"/>
        <w:gridCol w:w="136"/>
        <w:gridCol w:w="940"/>
        <w:gridCol w:w="36"/>
        <w:gridCol w:w="36"/>
        <w:gridCol w:w="36"/>
        <w:gridCol w:w="36"/>
        <w:gridCol w:w="123"/>
        <w:gridCol w:w="842"/>
        <w:gridCol w:w="36"/>
        <w:gridCol w:w="36"/>
        <w:gridCol w:w="36"/>
        <w:gridCol w:w="36"/>
        <w:gridCol w:w="137"/>
        <w:gridCol w:w="948"/>
        <w:gridCol w:w="36"/>
        <w:gridCol w:w="36"/>
        <w:gridCol w:w="36"/>
        <w:gridCol w:w="36"/>
        <w:gridCol w:w="99"/>
        <w:gridCol w:w="472"/>
        <w:gridCol w:w="36"/>
        <w:gridCol w:w="36"/>
        <w:gridCol w:w="36"/>
        <w:gridCol w:w="36"/>
      </w:tblGrid>
      <w:tr w:rsidR="00141CDF" w14:paraId="098A8B9D" w14:textId="77777777">
        <w:tc>
          <w:tcPr>
            <w:tcW w:w="50" w:type="pct"/>
            <w:shd w:val="clear" w:color="auto" w:fill="auto"/>
            <w:vAlign w:val="bottom"/>
          </w:tcPr>
          <w:p w14:paraId="098A8B6A" w14:textId="77777777" w:rsidR="00141CDF" w:rsidRDefault="00141CDF">
            <w:pPr>
              <w:rPr>
                <w:rFonts w:ascii="宋体"/>
              </w:rPr>
            </w:pPr>
          </w:p>
        </w:tc>
        <w:tc>
          <w:tcPr>
            <w:tcW w:w="1739" w:type="pct"/>
            <w:shd w:val="clear" w:color="auto" w:fill="auto"/>
            <w:vAlign w:val="bottom"/>
          </w:tcPr>
          <w:p w14:paraId="098A8B6B" w14:textId="77777777" w:rsidR="00141CDF" w:rsidRDefault="00141CDF">
            <w:pPr>
              <w:rPr>
                <w:rFonts w:ascii="宋体"/>
              </w:rPr>
            </w:pPr>
          </w:p>
        </w:tc>
        <w:tc>
          <w:tcPr>
            <w:tcW w:w="5" w:type="pct"/>
            <w:shd w:val="clear" w:color="auto" w:fill="auto"/>
            <w:vAlign w:val="bottom"/>
          </w:tcPr>
          <w:p w14:paraId="098A8B6C" w14:textId="77777777" w:rsidR="00141CDF" w:rsidRDefault="00141CDF">
            <w:pPr>
              <w:rPr>
                <w:rFonts w:ascii="宋体"/>
              </w:rPr>
            </w:pPr>
          </w:p>
        </w:tc>
        <w:tc>
          <w:tcPr>
            <w:tcW w:w="50" w:type="pct"/>
            <w:shd w:val="clear" w:color="auto" w:fill="auto"/>
            <w:vAlign w:val="bottom"/>
          </w:tcPr>
          <w:p w14:paraId="098A8B6D" w14:textId="77777777" w:rsidR="00141CDF" w:rsidRDefault="00141CDF">
            <w:pPr>
              <w:rPr>
                <w:rFonts w:ascii="宋体"/>
              </w:rPr>
            </w:pPr>
          </w:p>
        </w:tc>
        <w:tc>
          <w:tcPr>
            <w:tcW w:w="247" w:type="pct"/>
            <w:shd w:val="clear" w:color="auto" w:fill="auto"/>
            <w:vAlign w:val="bottom"/>
          </w:tcPr>
          <w:p w14:paraId="098A8B6E" w14:textId="77777777" w:rsidR="00141CDF" w:rsidRDefault="00141CDF">
            <w:pPr>
              <w:rPr>
                <w:rFonts w:ascii="宋体"/>
              </w:rPr>
            </w:pPr>
          </w:p>
        </w:tc>
        <w:tc>
          <w:tcPr>
            <w:tcW w:w="5" w:type="pct"/>
            <w:shd w:val="clear" w:color="auto" w:fill="auto"/>
            <w:vAlign w:val="bottom"/>
          </w:tcPr>
          <w:p w14:paraId="098A8B6F" w14:textId="77777777" w:rsidR="00141CDF" w:rsidRDefault="00141CDF">
            <w:pPr>
              <w:rPr>
                <w:rFonts w:ascii="宋体"/>
              </w:rPr>
            </w:pPr>
          </w:p>
        </w:tc>
        <w:tc>
          <w:tcPr>
            <w:tcW w:w="5" w:type="pct"/>
            <w:shd w:val="clear" w:color="auto" w:fill="auto"/>
            <w:vAlign w:val="bottom"/>
          </w:tcPr>
          <w:p w14:paraId="098A8B70" w14:textId="77777777" w:rsidR="00141CDF" w:rsidRDefault="00141CDF">
            <w:pPr>
              <w:rPr>
                <w:rFonts w:ascii="宋体"/>
              </w:rPr>
            </w:pPr>
          </w:p>
        </w:tc>
        <w:tc>
          <w:tcPr>
            <w:tcW w:w="15" w:type="pct"/>
            <w:shd w:val="clear" w:color="auto" w:fill="auto"/>
            <w:vAlign w:val="bottom"/>
          </w:tcPr>
          <w:p w14:paraId="098A8B71" w14:textId="77777777" w:rsidR="00141CDF" w:rsidRDefault="00141CDF">
            <w:pPr>
              <w:rPr>
                <w:rFonts w:ascii="宋体"/>
              </w:rPr>
            </w:pPr>
          </w:p>
        </w:tc>
        <w:tc>
          <w:tcPr>
            <w:tcW w:w="5" w:type="pct"/>
            <w:shd w:val="clear" w:color="auto" w:fill="auto"/>
            <w:vAlign w:val="bottom"/>
          </w:tcPr>
          <w:p w14:paraId="098A8B72" w14:textId="77777777" w:rsidR="00141CDF" w:rsidRDefault="00141CDF">
            <w:pPr>
              <w:rPr>
                <w:rFonts w:ascii="宋体"/>
              </w:rPr>
            </w:pPr>
          </w:p>
        </w:tc>
        <w:tc>
          <w:tcPr>
            <w:tcW w:w="50" w:type="pct"/>
            <w:shd w:val="clear" w:color="auto" w:fill="auto"/>
            <w:vAlign w:val="bottom"/>
          </w:tcPr>
          <w:p w14:paraId="098A8B73" w14:textId="77777777" w:rsidR="00141CDF" w:rsidRDefault="00141CDF">
            <w:pPr>
              <w:rPr>
                <w:rFonts w:ascii="宋体"/>
              </w:rPr>
            </w:pPr>
          </w:p>
        </w:tc>
        <w:tc>
          <w:tcPr>
            <w:tcW w:w="252" w:type="pct"/>
            <w:shd w:val="clear" w:color="auto" w:fill="auto"/>
            <w:vAlign w:val="bottom"/>
          </w:tcPr>
          <w:p w14:paraId="098A8B74" w14:textId="77777777" w:rsidR="00141CDF" w:rsidRDefault="00141CDF">
            <w:pPr>
              <w:rPr>
                <w:rFonts w:ascii="宋体"/>
              </w:rPr>
            </w:pPr>
          </w:p>
        </w:tc>
        <w:tc>
          <w:tcPr>
            <w:tcW w:w="5" w:type="pct"/>
            <w:shd w:val="clear" w:color="auto" w:fill="auto"/>
            <w:vAlign w:val="bottom"/>
          </w:tcPr>
          <w:p w14:paraId="098A8B75" w14:textId="77777777" w:rsidR="00141CDF" w:rsidRDefault="00141CDF">
            <w:pPr>
              <w:rPr>
                <w:rFonts w:ascii="宋体"/>
              </w:rPr>
            </w:pPr>
          </w:p>
        </w:tc>
        <w:tc>
          <w:tcPr>
            <w:tcW w:w="5" w:type="pct"/>
            <w:shd w:val="clear" w:color="auto" w:fill="auto"/>
            <w:vAlign w:val="bottom"/>
          </w:tcPr>
          <w:p w14:paraId="098A8B76" w14:textId="77777777" w:rsidR="00141CDF" w:rsidRDefault="00141CDF">
            <w:pPr>
              <w:rPr>
                <w:rFonts w:ascii="宋体"/>
              </w:rPr>
            </w:pPr>
          </w:p>
        </w:tc>
        <w:tc>
          <w:tcPr>
            <w:tcW w:w="15" w:type="pct"/>
            <w:shd w:val="clear" w:color="auto" w:fill="auto"/>
            <w:vAlign w:val="bottom"/>
          </w:tcPr>
          <w:p w14:paraId="098A8B77" w14:textId="77777777" w:rsidR="00141CDF" w:rsidRDefault="00141CDF">
            <w:pPr>
              <w:rPr>
                <w:rFonts w:ascii="宋体"/>
              </w:rPr>
            </w:pPr>
          </w:p>
        </w:tc>
        <w:tc>
          <w:tcPr>
            <w:tcW w:w="5" w:type="pct"/>
            <w:shd w:val="clear" w:color="auto" w:fill="auto"/>
            <w:vAlign w:val="bottom"/>
          </w:tcPr>
          <w:p w14:paraId="098A8B78" w14:textId="77777777" w:rsidR="00141CDF" w:rsidRDefault="00141CDF">
            <w:pPr>
              <w:rPr>
                <w:rFonts w:ascii="宋体"/>
              </w:rPr>
            </w:pPr>
          </w:p>
        </w:tc>
        <w:tc>
          <w:tcPr>
            <w:tcW w:w="50" w:type="pct"/>
            <w:shd w:val="clear" w:color="auto" w:fill="auto"/>
            <w:vAlign w:val="bottom"/>
          </w:tcPr>
          <w:p w14:paraId="098A8B79" w14:textId="77777777" w:rsidR="00141CDF" w:rsidRDefault="00141CDF">
            <w:pPr>
              <w:rPr>
                <w:rFonts w:ascii="宋体"/>
              </w:rPr>
            </w:pPr>
          </w:p>
        </w:tc>
        <w:tc>
          <w:tcPr>
            <w:tcW w:w="348" w:type="pct"/>
            <w:shd w:val="clear" w:color="auto" w:fill="auto"/>
            <w:vAlign w:val="bottom"/>
          </w:tcPr>
          <w:p w14:paraId="098A8B7A" w14:textId="77777777" w:rsidR="00141CDF" w:rsidRDefault="00141CDF">
            <w:pPr>
              <w:rPr>
                <w:rFonts w:ascii="宋体"/>
              </w:rPr>
            </w:pPr>
          </w:p>
        </w:tc>
        <w:tc>
          <w:tcPr>
            <w:tcW w:w="5" w:type="pct"/>
            <w:shd w:val="clear" w:color="auto" w:fill="auto"/>
            <w:vAlign w:val="bottom"/>
          </w:tcPr>
          <w:p w14:paraId="098A8B7B" w14:textId="77777777" w:rsidR="00141CDF" w:rsidRDefault="00141CDF">
            <w:pPr>
              <w:rPr>
                <w:rFonts w:ascii="宋体"/>
              </w:rPr>
            </w:pPr>
          </w:p>
        </w:tc>
        <w:tc>
          <w:tcPr>
            <w:tcW w:w="5" w:type="pct"/>
            <w:shd w:val="clear" w:color="auto" w:fill="auto"/>
            <w:vAlign w:val="bottom"/>
          </w:tcPr>
          <w:p w14:paraId="098A8B7C" w14:textId="77777777" w:rsidR="00141CDF" w:rsidRDefault="00141CDF">
            <w:pPr>
              <w:rPr>
                <w:rFonts w:ascii="宋体"/>
              </w:rPr>
            </w:pPr>
          </w:p>
        </w:tc>
        <w:tc>
          <w:tcPr>
            <w:tcW w:w="15" w:type="pct"/>
            <w:shd w:val="clear" w:color="auto" w:fill="auto"/>
            <w:vAlign w:val="bottom"/>
          </w:tcPr>
          <w:p w14:paraId="098A8B7D" w14:textId="77777777" w:rsidR="00141CDF" w:rsidRDefault="00141CDF">
            <w:pPr>
              <w:rPr>
                <w:rFonts w:ascii="宋体"/>
              </w:rPr>
            </w:pPr>
          </w:p>
        </w:tc>
        <w:tc>
          <w:tcPr>
            <w:tcW w:w="5" w:type="pct"/>
            <w:shd w:val="clear" w:color="auto" w:fill="auto"/>
            <w:vAlign w:val="bottom"/>
          </w:tcPr>
          <w:p w14:paraId="098A8B7E" w14:textId="77777777" w:rsidR="00141CDF" w:rsidRDefault="00141CDF">
            <w:pPr>
              <w:rPr>
                <w:rFonts w:ascii="宋体"/>
              </w:rPr>
            </w:pPr>
          </w:p>
        </w:tc>
        <w:tc>
          <w:tcPr>
            <w:tcW w:w="50" w:type="pct"/>
            <w:shd w:val="clear" w:color="auto" w:fill="auto"/>
            <w:vAlign w:val="bottom"/>
          </w:tcPr>
          <w:p w14:paraId="098A8B7F" w14:textId="77777777" w:rsidR="00141CDF" w:rsidRDefault="00141CDF">
            <w:pPr>
              <w:rPr>
                <w:rFonts w:ascii="宋体"/>
              </w:rPr>
            </w:pPr>
          </w:p>
        </w:tc>
        <w:tc>
          <w:tcPr>
            <w:tcW w:w="348" w:type="pct"/>
            <w:shd w:val="clear" w:color="auto" w:fill="auto"/>
            <w:vAlign w:val="bottom"/>
          </w:tcPr>
          <w:p w14:paraId="098A8B80" w14:textId="77777777" w:rsidR="00141CDF" w:rsidRDefault="00141CDF">
            <w:pPr>
              <w:rPr>
                <w:rFonts w:ascii="宋体"/>
              </w:rPr>
            </w:pPr>
          </w:p>
        </w:tc>
        <w:tc>
          <w:tcPr>
            <w:tcW w:w="5" w:type="pct"/>
            <w:shd w:val="clear" w:color="auto" w:fill="auto"/>
            <w:vAlign w:val="bottom"/>
          </w:tcPr>
          <w:p w14:paraId="098A8B81" w14:textId="77777777" w:rsidR="00141CDF" w:rsidRDefault="00141CDF">
            <w:pPr>
              <w:rPr>
                <w:rFonts w:ascii="宋体"/>
              </w:rPr>
            </w:pPr>
          </w:p>
        </w:tc>
        <w:tc>
          <w:tcPr>
            <w:tcW w:w="5" w:type="pct"/>
            <w:shd w:val="clear" w:color="auto" w:fill="auto"/>
            <w:vAlign w:val="bottom"/>
          </w:tcPr>
          <w:p w14:paraId="098A8B82" w14:textId="77777777" w:rsidR="00141CDF" w:rsidRDefault="00141CDF">
            <w:pPr>
              <w:rPr>
                <w:rFonts w:ascii="宋体"/>
              </w:rPr>
            </w:pPr>
          </w:p>
        </w:tc>
        <w:tc>
          <w:tcPr>
            <w:tcW w:w="15" w:type="pct"/>
            <w:shd w:val="clear" w:color="auto" w:fill="auto"/>
            <w:vAlign w:val="bottom"/>
          </w:tcPr>
          <w:p w14:paraId="098A8B83" w14:textId="77777777" w:rsidR="00141CDF" w:rsidRDefault="00141CDF">
            <w:pPr>
              <w:rPr>
                <w:rFonts w:ascii="宋体"/>
              </w:rPr>
            </w:pPr>
          </w:p>
        </w:tc>
        <w:tc>
          <w:tcPr>
            <w:tcW w:w="5" w:type="pct"/>
            <w:shd w:val="clear" w:color="auto" w:fill="auto"/>
            <w:vAlign w:val="bottom"/>
          </w:tcPr>
          <w:p w14:paraId="098A8B84" w14:textId="77777777" w:rsidR="00141CDF" w:rsidRDefault="00141CDF">
            <w:pPr>
              <w:rPr>
                <w:rFonts w:ascii="宋体"/>
              </w:rPr>
            </w:pPr>
          </w:p>
        </w:tc>
        <w:tc>
          <w:tcPr>
            <w:tcW w:w="50" w:type="pct"/>
            <w:shd w:val="clear" w:color="auto" w:fill="auto"/>
            <w:vAlign w:val="bottom"/>
          </w:tcPr>
          <w:p w14:paraId="098A8B85" w14:textId="77777777" w:rsidR="00141CDF" w:rsidRDefault="00141CDF">
            <w:pPr>
              <w:rPr>
                <w:rFonts w:ascii="宋体"/>
              </w:rPr>
            </w:pPr>
          </w:p>
        </w:tc>
        <w:tc>
          <w:tcPr>
            <w:tcW w:w="348" w:type="pct"/>
            <w:shd w:val="clear" w:color="auto" w:fill="auto"/>
            <w:vAlign w:val="bottom"/>
          </w:tcPr>
          <w:p w14:paraId="098A8B86" w14:textId="77777777" w:rsidR="00141CDF" w:rsidRDefault="00141CDF">
            <w:pPr>
              <w:rPr>
                <w:rFonts w:ascii="宋体"/>
              </w:rPr>
            </w:pPr>
          </w:p>
        </w:tc>
        <w:tc>
          <w:tcPr>
            <w:tcW w:w="5" w:type="pct"/>
            <w:shd w:val="clear" w:color="auto" w:fill="auto"/>
            <w:vAlign w:val="bottom"/>
          </w:tcPr>
          <w:p w14:paraId="098A8B87" w14:textId="77777777" w:rsidR="00141CDF" w:rsidRDefault="00141CDF">
            <w:pPr>
              <w:rPr>
                <w:rFonts w:ascii="宋体"/>
              </w:rPr>
            </w:pPr>
          </w:p>
        </w:tc>
        <w:tc>
          <w:tcPr>
            <w:tcW w:w="5" w:type="pct"/>
            <w:shd w:val="clear" w:color="auto" w:fill="auto"/>
            <w:vAlign w:val="bottom"/>
          </w:tcPr>
          <w:p w14:paraId="098A8B88" w14:textId="77777777" w:rsidR="00141CDF" w:rsidRDefault="00141CDF">
            <w:pPr>
              <w:rPr>
                <w:rFonts w:ascii="宋体"/>
              </w:rPr>
            </w:pPr>
          </w:p>
        </w:tc>
        <w:tc>
          <w:tcPr>
            <w:tcW w:w="15" w:type="pct"/>
            <w:shd w:val="clear" w:color="auto" w:fill="auto"/>
            <w:vAlign w:val="bottom"/>
          </w:tcPr>
          <w:p w14:paraId="098A8B89" w14:textId="77777777" w:rsidR="00141CDF" w:rsidRDefault="00141CDF">
            <w:pPr>
              <w:rPr>
                <w:rFonts w:ascii="宋体"/>
              </w:rPr>
            </w:pPr>
          </w:p>
        </w:tc>
        <w:tc>
          <w:tcPr>
            <w:tcW w:w="5" w:type="pct"/>
            <w:shd w:val="clear" w:color="auto" w:fill="auto"/>
            <w:vAlign w:val="bottom"/>
          </w:tcPr>
          <w:p w14:paraId="098A8B8A" w14:textId="77777777" w:rsidR="00141CDF" w:rsidRDefault="00141CDF">
            <w:pPr>
              <w:rPr>
                <w:rFonts w:ascii="宋体"/>
              </w:rPr>
            </w:pPr>
          </w:p>
        </w:tc>
        <w:tc>
          <w:tcPr>
            <w:tcW w:w="50" w:type="pct"/>
            <w:shd w:val="clear" w:color="auto" w:fill="auto"/>
            <w:vAlign w:val="bottom"/>
          </w:tcPr>
          <w:p w14:paraId="098A8B8B" w14:textId="77777777" w:rsidR="00141CDF" w:rsidRDefault="00141CDF">
            <w:pPr>
              <w:rPr>
                <w:rFonts w:ascii="宋体"/>
              </w:rPr>
            </w:pPr>
          </w:p>
        </w:tc>
        <w:tc>
          <w:tcPr>
            <w:tcW w:w="348" w:type="pct"/>
            <w:shd w:val="clear" w:color="auto" w:fill="auto"/>
            <w:vAlign w:val="bottom"/>
          </w:tcPr>
          <w:p w14:paraId="098A8B8C" w14:textId="77777777" w:rsidR="00141CDF" w:rsidRDefault="00141CDF">
            <w:pPr>
              <w:rPr>
                <w:rFonts w:ascii="宋体"/>
              </w:rPr>
            </w:pPr>
          </w:p>
        </w:tc>
        <w:tc>
          <w:tcPr>
            <w:tcW w:w="5" w:type="pct"/>
            <w:shd w:val="clear" w:color="auto" w:fill="auto"/>
            <w:vAlign w:val="bottom"/>
          </w:tcPr>
          <w:p w14:paraId="098A8B8D" w14:textId="77777777" w:rsidR="00141CDF" w:rsidRDefault="00141CDF">
            <w:pPr>
              <w:rPr>
                <w:rFonts w:ascii="宋体"/>
              </w:rPr>
            </w:pPr>
          </w:p>
        </w:tc>
        <w:tc>
          <w:tcPr>
            <w:tcW w:w="5" w:type="pct"/>
            <w:shd w:val="clear" w:color="auto" w:fill="auto"/>
            <w:vAlign w:val="bottom"/>
          </w:tcPr>
          <w:p w14:paraId="098A8B8E" w14:textId="77777777" w:rsidR="00141CDF" w:rsidRDefault="00141CDF">
            <w:pPr>
              <w:rPr>
                <w:rFonts w:ascii="宋体"/>
              </w:rPr>
            </w:pPr>
          </w:p>
        </w:tc>
        <w:tc>
          <w:tcPr>
            <w:tcW w:w="15" w:type="pct"/>
            <w:shd w:val="clear" w:color="auto" w:fill="auto"/>
            <w:vAlign w:val="bottom"/>
          </w:tcPr>
          <w:p w14:paraId="098A8B8F" w14:textId="77777777" w:rsidR="00141CDF" w:rsidRDefault="00141CDF">
            <w:pPr>
              <w:rPr>
                <w:rFonts w:ascii="宋体"/>
              </w:rPr>
            </w:pPr>
          </w:p>
        </w:tc>
        <w:tc>
          <w:tcPr>
            <w:tcW w:w="5" w:type="pct"/>
            <w:shd w:val="clear" w:color="auto" w:fill="auto"/>
            <w:vAlign w:val="bottom"/>
          </w:tcPr>
          <w:p w14:paraId="098A8B90" w14:textId="77777777" w:rsidR="00141CDF" w:rsidRDefault="00141CDF">
            <w:pPr>
              <w:rPr>
                <w:rFonts w:ascii="宋体"/>
              </w:rPr>
            </w:pPr>
          </w:p>
        </w:tc>
        <w:tc>
          <w:tcPr>
            <w:tcW w:w="50" w:type="pct"/>
            <w:shd w:val="clear" w:color="auto" w:fill="auto"/>
            <w:vAlign w:val="bottom"/>
          </w:tcPr>
          <w:p w14:paraId="098A8B91" w14:textId="77777777" w:rsidR="00141CDF" w:rsidRDefault="00141CDF">
            <w:pPr>
              <w:rPr>
                <w:rFonts w:ascii="宋体"/>
              </w:rPr>
            </w:pPr>
          </w:p>
        </w:tc>
        <w:tc>
          <w:tcPr>
            <w:tcW w:w="348" w:type="pct"/>
            <w:shd w:val="clear" w:color="auto" w:fill="auto"/>
            <w:vAlign w:val="bottom"/>
          </w:tcPr>
          <w:p w14:paraId="098A8B92" w14:textId="77777777" w:rsidR="00141CDF" w:rsidRDefault="00141CDF">
            <w:pPr>
              <w:rPr>
                <w:rFonts w:ascii="宋体"/>
              </w:rPr>
            </w:pPr>
          </w:p>
        </w:tc>
        <w:tc>
          <w:tcPr>
            <w:tcW w:w="5" w:type="pct"/>
            <w:shd w:val="clear" w:color="auto" w:fill="auto"/>
            <w:vAlign w:val="bottom"/>
          </w:tcPr>
          <w:p w14:paraId="098A8B93" w14:textId="77777777" w:rsidR="00141CDF" w:rsidRDefault="00141CDF">
            <w:pPr>
              <w:rPr>
                <w:rFonts w:ascii="宋体"/>
              </w:rPr>
            </w:pPr>
          </w:p>
        </w:tc>
        <w:tc>
          <w:tcPr>
            <w:tcW w:w="5" w:type="pct"/>
            <w:shd w:val="clear" w:color="auto" w:fill="auto"/>
            <w:vAlign w:val="bottom"/>
          </w:tcPr>
          <w:p w14:paraId="098A8B94" w14:textId="77777777" w:rsidR="00141CDF" w:rsidRDefault="00141CDF">
            <w:pPr>
              <w:rPr>
                <w:rFonts w:ascii="宋体"/>
              </w:rPr>
            </w:pPr>
          </w:p>
        </w:tc>
        <w:tc>
          <w:tcPr>
            <w:tcW w:w="15" w:type="pct"/>
            <w:shd w:val="clear" w:color="auto" w:fill="auto"/>
            <w:vAlign w:val="bottom"/>
          </w:tcPr>
          <w:p w14:paraId="098A8B95" w14:textId="77777777" w:rsidR="00141CDF" w:rsidRDefault="00141CDF">
            <w:pPr>
              <w:rPr>
                <w:rFonts w:ascii="宋体"/>
              </w:rPr>
            </w:pPr>
          </w:p>
        </w:tc>
        <w:tc>
          <w:tcPr>
            <w:tcW w:w="5" w:type="pct"/>
            <w:shd w:val="clear" w:color="auto" w:fill="auto"/>
            <w:vAlign w:val="bottom"/>
          </w:tcPr>
          <w:p w14:paraId="098A8B96" w14:textId="77777777" w:rsidR="00141CDF" w:rsidRDefault="00141CDF">
            <w:pPr>
              <w:rPr>
                <w:rFonts w:ascii="宋体"/>
              </w:rPr>
            </w:pPr>
          </w:p>
        </w:tc>
        <w:tc>
          <w:tcPr>
            <w:tcW w:w="50" w:type="pct"/>
            <w:shd w:val="clear" w:color="auto" w:fill="auto"/>
            <w:vAlign w:val="bottom"/>
          </w:tcPr>
          <w:p w14:paraId="098A8B97" w14:textId="77777777" w:rsidR="00141CDF" w:rsidRDefault="00141CDF">
            <w:pPr>
              <w:rPr>
                <w:rFonts w:ascii="宋体"/>
              </w:rPr>
            </w:pPr>
          </w:p>
        </w:tc>
        <w:tc>
          <w:tcPr>
            <w:tcW w:w="348" w:type="pct"/>
            <w:shd w:val="clear" w:color="auto" w:fill="auto"/>
            <w:vAlign w:val="bottom"/>
          </w:tcPr>
          <w:p w14:paraId="098A8B98" w14:textId="77777777" w:rsidR="00141CDF" w:rsidRDefault="00141CDF">
            <w:pPr>
              <w:rPr>
                <w:rFonts w:ascii="宋体"/>
              </w:rPr>
            </w:pPr>
          </w:p>
        </w:tc>
        <w:tc>
          <w:tcPr>
            <w:tcW w:w="5" w:type="pct"/>
            <w:shd w:val="clear" w:color="auto" w:fill="auto"/>
            <w:vAlign w:val="bottom"/>
          </w:tcPr>
          <w:p w14:paraId="098A8B99" w14:textId="77777777" w:rsidR="00141CDF" w:rsidRDefault="00141CDF">
            <w:pPr>
              <w:rPr>
                <w:rFonts w:ascii="宋体"/>
              </w:rPr>
            </w:pPr>
          </w:p>
        </w:tc>
        <w:tc>
          <w:tcPr>
            <w:tcW w:w="0" w:type="auto"/>
            <w:shd w:val="clear" w:color="auto" w:fill="auto"/>
            <w:vAlign w:val="bottom"/>
          </w:tcPr>
          <w:p w14:paraId="098A8B9A" w14:textId="77777777" w:rsidR="00141CDF" w:rsidRDefault="00141CDF">
            <w:pPr>
              <w:rPr>
                <w:rFonts w:ascii="宋体"/>
                <w:vanish/>
              </w:rPr>
            </w:pPr>
          </w:p>
        </w:tc>
        <w:tc>
          <w:tcPr>
            <w:tcW w:w="0" w:type="auto"/>
            <w:shd w:val="clear" w:color="auto" w:fill="auto"/>
            <w:vAlign w:val="bottom"/>
          </w:tcPr>
          <w:p w14:paraId="098A8B9B" w14:textId="77777777" w:rsidR="00141CDF" w:rsidRDefault="00141CDF">
            <w:pPr>
              <w:rPr>
                <w:rFonts w:ascii="宋体"/>
                <w:vanish/>
              </w:rPr>
            </w:pPr>
          </w:p>
        </w:tc>
        <w:tc>
          <w:tcPr>
            <w:tcW w:w="0" w:type="auto"/>
            <w:shd w:val="clear" w:color="auto" w:fill="auto"/>
            <w:vAlign w:val="bottom"/>
          </w:tcPr>
          <w:p w14:paraId="098A8B9C" w14:textId="77777777" w:rsidR="00141CDF" w:rsidRDefault="00141CDF">
            <w:pPr>
              <w:rPr>
                <w:rFonts w:ascii="宋体"/>
                <w:vanish/>
              </w:rPr>
            </w:pPr>
          </w:p>
        </w:tc>
      </w:tr>
      <w:tr w:rsidR="00141CDF" w14:paraId="098A8BB1" w14:textId="77777777">
        <w:tc>
          <w:tcPr>
            <w:tcW w:w="0" w:type="auto"/>
            <w:gridSpan w:val="3"/>
            <w:shd w:val="clear" w:color="auto" w:fill="auto"/>
            <w:tcMar>
              <w:top w:w="0" w:type="dxa"/>
              <w:left w:w="20" w:type="dxa"/>
              <w:bottom w:w="0" w:type="dxa"/>
              <w:right w:w="20" w:type="dxa"/>
            </w:tcMar>
            <w:vAlign w:val="bottom"/>
          </w:tcPr>
          <w:p w14:paraId="098A8B9E"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B9F"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BA0"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BA1"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BA2"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BA3"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BA4"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BA5"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BA6"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BA7" w14:textId="77777777" w:rsidR="00141CDF" w:rsidRDefault="00DF45E0">
            <w:pPr>
              <w:jc w:val="center"/>
              <w:textAlignment w:val="bottom"/>
            </w:pPr>
            <w:r>
              <w:rPr>
                <w:rFonts w:ascii="Times New Roman" w:eastAsia="宋体" w:hAnsi="Times New Roman"/>
                <w:b/>
                <w:bCs/>
                <w:color w:val="000000"/>
                <w:sz w:val="16"/>
                <w:szCs w:val="16"/>
              </w:rPr>
              <w:t>Accumulated</w:t>
            </w:r>
          </w:p>
        </w:tc>
        <w:tc>
          <w:tcPr>
            <w:tcW w:w="0" w:type="auto"/>
            <w:gridSpan w:val="3"/>
            <w:shd w:val="clear" w:color="auto" w:fill="auto"/>
            <w:tcMar>
              <w:top w:w="0" w:type="dxa"/>
              <w:left w:w="20" w:type="dxa"/>
              <w:bottom w:w="0" w:type="dxa"/>
              <w:right w:w="20" w:type="dxa"/>
            </w:tcMar>
            <w:vAlign w:val="bottom"/>
          </w:tcPr>
          <w:p w14:paraId="098A8BA8"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BA9" w14:textId="77777777" w:rsidR="00141CDF" w:rsidRDefault="00DF45E0">
            <w:pPr>
              <w:jc w:val="center"/>
              <w:textAlignment w:val="bottom"/>
            </w:pPr>
            <w:r>
              <w:rPr>
                <w:rFonts w:ascii="Times New Roman" w:eastAsia="宋体" w:hAnsi="Times New Roman"/>
                <w:b/>
                <w:bCs/>
                <w:color w:val="000000"/>
                <w:sz w:val="16"/>
                <w:szCs w:val="16"/>
              </w:rPr>
              <w:t>Total</w:t>
            </w:r>
          </w:p>
        </w:tc>
        <w:tc>
          <w:tcPr>
            <w:tcW w:w="0" w:type="auto"/>
            <w:gridSpan w:val="3"/>
            <w:shd w:val="clear" w:color="auto" w:fill="auto"/>
            <w:tcMar>
              <w:top w:w="0" w:type="dxa"/>
              <w:left w:w="20" w:type="dxa"/>
              <w:bottom w:w="0" w:type="dxa"/>
              <w:right w:w="20" w:type="dxa"/>
            </w:tcMar>
            <w:vAlign w:val="bottom"/>
          </w:tcPr>
          <w:p w14:paraId="098A8BAA"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BAB"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BAC"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BAD" w14:textId="77777777" w:rsidR="00141CDF" w:rsidRDefault="00141CDF">
            <w:pPr>
              <w:rPr>
                <w:rFonts w:ascii="宋体"/>
              </w:rPr>
            </w:pPr>
          </w:p>
        </w:tc>
        <w:tc>
          <w:tcPr>
            <w:tcW w:w="0" w:type="auto"/>
            <w:shd w:val="clear" w:color="auto" w:fill="auto"/>
            <w:vAlign w:val="bottom"/>
          </w:tcPr>
          <w:p w14:paraId="098A8BAE" w14:textId="77777777" w:rsidR="00141CDF" w:rsidRDefault="00141CDF">
            <w:pPr>
              <w:rPr>
                <w:rFonts w:ascii="宋体"/>
                <w:vanish/>
              </w:rPr>
            </w:pPr>
          </w:p>
        </w:tc>
        <w:tc>
          <w:tcPr>
            <w:tcW w:w="0" w:type="auto"/>
            <w:shd w:val="clear" w:color="auto" w:fill="auto"/>
            <w:vAlign w:val="bottom"/>
          </w:tcPr>
          <w:p w14:paraId="098A8BAF" w14:textId="77777777" w:rsidR="00141CDF" w:rsidRDefault="00141CDF">
            <w:pPr>
              <w:rPr>
                <w:rFonts w:ascii="宋体"/>
                <w:vanish/>
              </w:rPr>
            </w:pPr>
          </w:p>
        </w:tc>
        <w:tc>
          <w:tcPr>
            <w:tcW w:w="0" w:type="auto"/>
            <w:shd w:val="clear" w:color="auto" w:fill="auto"/>
            <w:vAlign w:val="bottom"/>
          </w:tcPr>
          <w:p w14:paraId="098A8BB0" w14:textId="77777777" w:rsidR="00141CDF" w:rsidRDefault="00141CDF">
            <w:pPr>
              <w:rPr>
                <w:rFonts w:ascii="宋体"/>
                <w:vanish/>
              </w:rPr>
            </w:pPr>
          </w:p>
        </w:tc>
      </w:tr>
      <w:tr w:rsidR="00141CDF" w14:paraId="098A8BC5" w14:textId="77777777">
        <w:tc>
          <w:tcPr>
            <w:tcW w:w="0" w:type="auto"/>
            <w:gridSpan w:val="3"/>
            <w:shd w:val="clear" w:color="auto" w:fill="auto"/>
            <w:tcMar>
              <w:top w:w="0" w:type="dxa"/>
              <w:left w:w="20" w:type="dxa"/>
              <w:bottom w:w="0" w:type="dxa"/>
              <w:right w:w="20" w:type="dxa"/>
            </w:tcMar>
            <w:vAlign w:val="bottom"/>
          </w:tcPr>
          <w:p w14:paraId="098A8BB2"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BB3"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BB4"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BB5"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BB6"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BB7" w14:textId="77777777" w:rsidR="00141CDF" w:rsidRDefault="00DF45E0">
            <w:pPr>
              <w:jc w:val="center"/>
              <w:textAlignment w:val="bottom"/>
            </w:pPr>
            <w:r>
              <w:rPr>
                <w:rFonts w:ascii="Times New Roman" w:eastAsia="宋体" w:hAnsi="Times New Roman"/>
                <w:b/>
                <w:bCs/>
                <w:color w:val="000000"/>
                <w:sz w:val="16"/>
                <w:szCs w:val="16"/>
              </w:rPr>
              <w:t>Capital in</w:t>
            </w:r>
          </w:p>
        </w:tc>
        <w:tc>
          <w:tcPr>
            <w:tcW w:w="0" w:type="auto"/>
            <w:gridSpan w:val="3"/>
            <w:shd w:val="clear" w:color="auto" w:fill="auto"/>
            <w:tcMar>
              <w:top w:w="0" w:type="dxa"/>
              <w:left w:w="20" w:type="dxa"/>
              <w:bottom w:w="0" w:type="dxa"/>
              <w:right w:w="20" w:type="dxa"/>
            </w:tcMar>
            <w:vAlign w:val="bottom"/>
          </w:tcPr>
          <w:p w14:paraId="098A8BB8"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BB9"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BBA"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BBB" w14:textId="77777777" w:rsidR="00141CDF" w:rsidRDefault="00DF45E0">
            <w:pPr>
              <w:jc w:val="center"/>
              <w:textAlignment w:val="bottom"/>
            </w:pPr>
            <w:r>
              <w:rPr>
                <w:rFonts w:ascii="Times New Roman" w:eastAsia="宋体" w:hAnsi="Times New Roman"/>
                <w:b/>
                <w:bCs/>
                <w:color w:val="000000"/>
                <w:sz w:val="16"/>
                <w:szCs w:val="16"/>
              </w:rPr>
              <w:t>Other</w:t>
            </w:r>
          </w:p>
        </w:tc>
        <w:tc>
          <w:tcPr>
            <w:tcW w:w="0" w:type="auto"/>
            <w:gridSpan w:val="3"/>
            <w:shd w:val="clear" w:color="auto" w:fill="auto"/>
            <w:tcMar>
              <w:top w:w="0" w:type="dxa"/>
              <w:left w:w="20" w:type="dxa"/>
              <w:bottom w:w="0" w:type="dxa"/>
              <w:right w:w="20" w:type="dxa"/>
            </w:tcMar>
            <w:vAlign w:val="bottom"/>
          </w:tcPr>
          <w:p w14:paraId="098A8BBC"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BBD" w14:textId="77777777" w:rsidR="00141CDF" w:rsidRDefault="00DF45E0">
            <w:pPr>
              <w:jc w:val="center"/>
              <w:textAlignment w:val="bottom"/>
            </w:pPr>
            <w:r>
              <w:rPr>
                <w:rFonts w:ascii="Times New Roman" w:eastAsia="宋体" w:hAnsi="Times New Roman"/>
                <w:b/>
                <w:bCs/>
                <w:color w:val="000000"/>
                <w:sz w:val="16"/>
                <w:szCs w:val="16"/>
              </w:rPr>
              <w:t>Walmart</w:t>
            </w:r>
          </w:p>
        </w:tc>
        <w:tc>
          <w:tcPr>
            <w:tcW w:w="0" w:type="auto"/>
            <w:gridSpan w:val="3"/>
            <w:shd w:val="clear" w:color="auto" w:fill="auto"/>
            <w:tcMar>
              <w:top w:w="0" w:type="dxa"/>
              <w:left w:w="20" w:type="dxa"/>
              <w:bottom w:w="0" w:type="dxa"/>
              <w:right w:w="20" w:type="dxa"/>
            </w:tcMar>
            <w:vAlign w:val="bottom"/>
          </w:tcPr>
          <w:p w14:paraId="098A8BBE"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BBF" w14:textId="77777777" w:rsidR="00141CDF" w:rsidRDefault="00DF45E0">
            <w:pPr>
              <w:jc w:val="center"/>
              <w:textAlignment w:val="bottom"/>
            </w:pPr>
            <w:r>
              <w:rPr>
                <w:rFonts w:ascii="Times New Roman" w:eastAsia="宋体" w:hAnsi="Times New Roman"/>
                <w:b/>
                <w:bCs/>
                <w:color w:val="000000"/>
                <w:sz w:val="16"/>
                <w:szCs w:val="16"/>
              </w:rPr>
              <w:t>Nonredeemable</w:t>
            </w:r>
          </w:p>
        </w:tc>
        <w:tc>
          <w:tcPr>
            <w:tcW w:w="0" w:type="auto"/>
            <w:gridSpan w:val="3"/>
            <w:shd w:val="clear" w:color="auto" w:fill="auto"/>
            <w:tcMar>
              <w:top w:w="0" w:type="dxa"/>
              <w:left w:w="20" w:type="dxa"/>
              <w:bottom w:w="0" w:type="dxa"/>
              <w:right w:w="20" w:type="dxa"/>
            </w:tcMar>
            <w:vAlign w:val="bottom"/>
          </w:tcPr>
          <w:p w14:paraId="098A8BC0"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BC1" w14:textId="77777777" w:rsidR="00141CDF" w:rsidRDefault="00141CDF">
            <w:pPr>
              <w:rPr>
                <w:rFonts w:ascii="宋体"/>
              </w:rPr>
            </w:pPr>
          </w:p>
        </w:tc>
        <w:tc>
          <w:tcPr>
            <w:tcW w:w="0" w:type="auto"/>
            <w:shd w:val="clear" w:color="auto" w:fill="auto"/>
            <w:vAlign w:val="bottom"/>
          </w:tcPr>
          <w:p w14:paraId="098A8BC2" w14:textId="77777777" w:rsidR="00141CDF" w:rsidRDefault="00141CDF">
            <w:pPr>
              <w:rPr>
                <w:rFonts w:ascii="宋体"/>
                <w:vanish/>
              </w:rPr>
            </w:pPr>
          </w:p>
        </w:tc>
        <w:tc>
          <w:tcPr>
            <w:tcW w:w="0" w:type="auto"/>
            <w:shd w:val="clear" w:color="auto" w:fill="auto"/>
            <w:vAlign w:val="bottom"/>
          </w:tcPr>
          <w:p w14:paraId="098A8BC3" w14:textId="77777777" w:rsidR="00141CDF" w:rsidRDefault="00141CDF">
            <w:pPr>
              <w:rPr>
                <w:rFonts w:ascii="宋体"/>
                <w:vanish/>
              </w:rPr>
            </w:pPr>
          </w:p>
        </w:tc>
        <w:tc>
          <w:tcPr>
            <w:tcW w:w="0" w:type="auto"/>
            <w:shd w:val="clear" w:color="auto" w:fill="auto"/>
            <w:vAlign w:val="bottom"/>
          </w:tcPr>
          <w:p w14:paraId="098A8BC4" w14:textId="77777777" w:rsidR="00141CDF" w:rsidRDefault="00141CDF">
            <w:pPr>
              <w:rPr>
                <w:rFonts w:ascii="宋体"/>
                <w:vanish/>
              </w:rPr>
            </w:pPr>
          </w:p>
        </w:tc>
      </w:tr>
      <w:tr w:rsidR="00141CDF" w14:paraId="098A8BD7" w14:textId="77777777">
        <w:trPr>
          <w:trHeight w:val="180"/>
        </w:trPr>
        <w:tc>
          <w:tcPr>
            <w:tcW w:w="0" w:type="auto"/>
            <w:gridSpan w:val="3"/>
            <w:vMerge w:val="restart"/>
            <w:shd w:val="clear" w:color="auto" w:fill="auto"/>
            <w:tcMar>
              <w:top w:w="40" w:type="dxa"/>
              <w:left w:w="20" w:type="dxa"/>
              <w:bottom w:w="40" w:type="dxa"/>
              <w:right w:w="20" w:type="dxa"/>
            </w:tcMar>
            <w:vAlign w:val="bottom"/>
          </w:tcPr>
          <w:p w14:paraId="098A8BC6" w14:textId="77777777" w:rsidR="00141CDF" w:rsidRDefault="00DF45E0">
            <w:pPr>
              <w:textAlignment w:val="bottom"/>
            </w:pPr>
            <w:r>
              <w:rPr>
                <w:rFonts w:ascii="Times New Roman" w:eastAsia="宋体" w:hAnsi="Times New Roman"/>
                <w:i/>
                <w:iCs/>
                <w:color w:val="000000"/>
                <w:sz w:val="16"/>
                <w:szCs w:val="16"/>
              </w:rPr>
              <w:t>(Amounts in millions)</w:t>
            </w:r>
          </w:p>
        </w:tc>
        <w:tc>
          <w:tcPr>
            <w:tcW w:w="0" w:type="auto"/>
            <w:gridSpan w:val="9"/>
            <w:shd w:val="clear" w:color="auto" w:fill="auto"/>
            <w:tcMar>
              <w:top w:w="40" w:type="dxa"/>
              <w:left w:w="20" w:type="dxa"/>
              <w:bottom w:w="40" w:type="dxa"/>
              <w:right w:w="20" w:type="dxa"/>
            </w:tcMar>
            <w:vAlign w:val="bottom"/>
          </w:tcPr>
          <w:p w14:paraId="098A8BC7" w14:textId="77777777" w:rsidR="00141CDF" w:rsidRDefault="00DF45E0">
            <w:pPr>
              <w:jc w:val="center"/>
              <w:textAlignment w:val="bottom"/>
            </w:pPr>
            <w:r>
              <w:rPr>
                <w:rFonts w:ascii="Times New Roman" w:eastAsia="宋体" w:hAnsi="Times New Roman"/>
                <w:b/>
                <w:bCs/>
                <w:color w:val="000000"/>
                <w:sz w:val="16"/>
                <w:szCs w:val="16"/>
              </w:rPr>
              <w:t>Common Stock</w:t>
            </w:r>
          </w:p>
        </w:tc>
        <w:tc>
          <w:tcPr>
            <w:tcW w:w="0" w:type="auto"/>
            <w:gridSpan w:val="3"/>
            <w:shd w:val="clear" w:color="auto" w:fill="auto"/>
            <w:tcMar>
              <w:top w:w="0" w:type="dxa"/>
              <w:left w:w="20" w:type="dxa"/>
              <w:bottom w:w="0" w:type="dxa"/>
              <w:right w:w="20" w:type="dxa"/>
            </w:tcMar>
            <w:vAlign w:val="bottom"/>
          </w:tcPr>
          <w:p w14:paraId="098A8BC8"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BC9" w14:textId="77777777" w:rsidR="00141CDF" w:rsidRDefault="00DF45E0">
            <w:pPr>
              <w:jc w:val="center"/>
              <w:textAlignment w:val="bottom"/>
            </w:pPr>
            <w:r>
              <w:rPr>
                <w:rFonts w:ascii="Times New Roman" w:eastAsia="宋体" w:hAnsi="Times New Roman"/>
                <w:b/>
                <w:bCs/>
                <w:color w:val="000000"/>
                <w:sz w:val="16"/>
                <w:szCs w:val="16"/>
              </w:rPr>
              <w:t>Excess of</w:t>
            </w:r>
          </w:p>
        </w:tc>
        <w:tc>
          <w:tcPr>
            <w:tcW w:w="0" w:type="auto"/>
            <w:gridSpan w:val="3"/>
            <w:shd w:val="clear" w:color="auto" w:fill="auto"/>
            <w:tcMar>
              <w:top w:w="0" w:type="dxa"/>
              <w:left w:w="20" w:type="dxa"/>
              <w:bottom w:w="0" w:type="dxa"/>
              <w:right w:w="20" w:type="dxa"/>
            </w:tcMar>
            <w:vAlign w:val="bottom"/>
          </w:tcPr>
          <w:p w14:paraId="098A8BCA"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BCB" w14:textId="77777777" w:rsidR="00141CDF" w:rsidRDefault="00DF45E0">
            <w:pPr>
              <w:jc w:val="center"/>
              <w:textAlignment w:val="bottom"/>
            </w:pPr>
            <w:r>
              <w:rPr>
                <w:rFonts w:ascii="Times New Roman" w:eastAsia="宋体" w:hAnsi="Times New Roman"/>
                <w:b/>
                <w:bCs/>
                <w:color w:val="000000"/>
                <w:sz w:val="16"/>
                <w:szCs w:val="16"/>
              </w:rPr>
              <w:t>Retained</w:t>
            </w:r>
          </w:p>
        </w:tc>
        <w:tc>
          <w:tcPr>
            <w:tcW w:w="0" w:type="auto"/>
            <w:gridSpan w:val="3"/>
            <w:shd w:val="clear" w:color="auto" w:fill="auto"/>
            <w:tcMar>
              <w:top w:w="0" w:type="dxa"/>
              <w:left w:w="20" w:type="dxa"/>
              <w:bottom w:w="0" w:type="dxa"/>
              <w:right w:w="20" w:type="dxa"/>
            </w:tcMar>
            <w:vAlign w:val="bottom"/>
          </w:tcPr>
          <w:p w14:paraId="098A8BCC"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BCD" w14:textId="77777777" w:rsidR="00141CDF" w:rsidRDefault="00DF45E0">
            <w:pPr>
              <w:jc w:val="center"/>
              <w:textAlignment w:val="bottom"/>
            </w:pPr>
            <w:r>
              <w:rPr>
                <w:rFonts w:ascii="Times New Roman" w:eastAsia="宋体" w:hAnsi="Times New Roman"/>
                <w:b/>
                <w:bCs/>
                <w:color w:val="000000"/>
                <w:sz w:val="16"/>
                <w:szCs w:val="16"/>
              </w:rPr>
              <w:t>Comprehensive</w:t>
            </w:r>
          </w:p>
        </w:tc>
        <w:tc>
          <w:tcPr>
            <w:tcW w:w="0" w:type="auto"/>
            <w:gridSpan w:val="3"/>
            <w:shd w:val="clear" w:color="auto" w:fill="auto"/>
            <w:tcMar>
              <w:top w:w="0" w:type="dxa"/>
              <w:left w:w="20" w:type="dxa"/>
              <w:bottom w:w="0" w:type="dxa"/>
              <w:right w:w="20" w:type="dxa"/>
            </w:tcMar>
            <w:vAlign w:val="bottom"/>
          </w:tcPr>
          <w:p w14:paraId="098A8BCE"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BCF" w14:textId="77777777" w:rsidR="00141CDF" w:rsidRDefault="00DF45E0">
            <w:pPr>
              <w:jc w:val="center"/>
              <w:textAlignment w:val="bottom"/>
            </w:pPr>
            <w:r>
              <w:rPr>
                <w:rFonts w:ascii="Times New Roman" w:eastAsia="宋体" w:hAnsi="Times New Roman"/>
                <w:b/>
                <w:bCs/>
                <w:color w:val="000000"/>
                <w:sz w:val="16"/>
                <w:szCs w:val="16"/>
              </w:rPr>
              <w:t>Shareholders'</w:t>
            </w:r>
          </w:p>
        </w:tc>
        <w:tc>
          <w:tcPr>
            <w:tcW w:w="0" w:type="auto"/>
            <w:gridSpan w:val="3"/>
            <w:shd w:val="clear" w:color="auto" w:fill="auto"/>
            <w:tcMar>
              <w:top w:w="0" w:type="dxa"/>
              <w:left w:w="20" w:type="dxa"/>
              <w:bottom w:w="0" w:type="dxa"/>
              <w:right w:w="20" w:type="dxa"/>
            </w:tcMar>
            <w:vAlign w:val="bottom"/>
          </w:tcPr>
          <w:p w14:paraId="098A8BD0"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BD1" w14:textId="77777777" w:rsidR="00141CDF" w:rsidRDefault="00DF45E0">
            <w:pPr>
              <w:jc w:val="center"/>
              <w:textAlignment w:val="bottom"/>
            </w:pPr>
            <w:r>
              <w:rPr>
                <w:rFonts w:ascii="Times New Roman" w:eastAsia="宋体" w:hAnsi="Times New Roman"/>
                <w:b/>
                <w:bCs/>
                <w:color w:val="000000"/>
                <w:sz w:val="16"/>
                <w:szCs w:val="16"/>
              </w:rPr>
              <w:t>Noncontrolling</w:t>
            </w:r>
          </w:p>
        </w:tc>
        <w:tc>
          <w:tcPr>
            <w:tcW w:w="0" w:type="auto"/>
            <w:gridSpan w:val="3"/>
            <w:shd w:val="clear" w:color="auto" w:fill="auto"/>
            <w:tcMar>
              <w:top w:w="0" w:type="dxa"/>
              <w:left w:w="20" w:type="dxa"/>
              <w:bottom w:w="0" w:type="dxa"/>
              <w:right w:w="20" w:type="dxa"/>
            </w:tcMar>
            <w:vAlign w:val="bottom"/>
          </w:tcPr>
          <w:p w14:paraId="098A8BD2"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BD3" w14:textId="77777777" w:rsidR="00141CDF" w:rsidRDefault="00DF45E0">
            <w:pPr>
              <w:jc w:val="center"/>
              <w:textAlignment w:val="bottom"/>
            </w:pPr>
            <w:r>
              <w:rPr>
                <w:rFonts w:ascii="Times New Roman" w:eastAsia="宋体" w:hAnsi="Times New Roman"/>
                <w:b/>
                <w:bCs/>
                <w:color w:val="000000"/>
                <w:sz w:val="16"/>
                <w:szCs w:val="16"/>
              </w:rPr>
              <w:t>Total</w:t>
            </w:r>
          </w:p>
        </w:tc>
        <w:tc>
          <w:tcPr>
            <w:tcW w:w="0" w:type="auto"/>
            <w:shd w:val="clear" w:color="auto" w:fill="auto"/>
            <w:vAlign w:val="bottom"/>
          </w:tcPr>
          <w:p w14:paraId="098A8BD4" w14:textId="77777777" w:rsidR="00141CDF" w:rsidRDefault="00141CDF">
            <w:pPr>
              <w:rPr>
                <w:rFonts w:ascii="宋体"/>
                <w:vanish/>
              </w:rPr>
            </w:pPr>
          </w:p>
        </w:tc>
        <w:tc>
          <w:tcPr>
            <w:tcW w:w="0" w:type="auto"/>
            <w:shd w:val="clear" w:color="auto" w:fill="auto"/>
            <w:vAlign w:val="bottom"/>
          </w:tcPr>
          <w:p w14:paraId="098A8BD5" w14:textId="77777777" w:rsidR="00141CDF" w:rsidRDefault="00141CDF">
            <w:pPr>
              <w:rPr>
                <w:rFonts w:ascii="宋体"/>
                <w:vanish/>
              </w:rPr>
            </w:pPr>
          </w:p>
        </w:tc>
        <w:tc>
          <w:tcPr>
            <w:tcW w:w="0" w:type="auto"/>
            <w:shd w:val="clear" w:color="auto" w:fill="auto"/>
            <w:vAlign w:val="bottom"/>
          </w:tcPr>
          <w:p w14:paraId="098A8BD6" w14:textId="77777777" w:rsidR="00141CDF" w:rsidRDefault="00141CDF">
            <w:pPr>
              <w:rPr>
                <w:rFonts w:ascii="宋体"/>
                <w:vanish/>
              </w:rPr>
            </w:pPr>
          </w:p>
        </w:tc>
      </w:tr>
      <w:tr w:rsidR="00141CDF" w14:paraId="098A8BEB" w14:textId="77777777">
        <w:trPr>
          <w:trHeight w:val="180"/>
        </w:trPr>
        <w:tc>
          <w:tcPr>
            <w:tcW w:w="0" w:type="auto"/>
            <w:gridSpan w:val="3"/>
            <w:vMerge/>
            <w:shd w:val="clear" w:color="auto" w:fill="auto"/>
            <w:tcMar>
              <w:top w:w="40" w:type="dxa"/>
              <w:left w:w="20" w:type="dxa"/>
              <w:bottom w:w="40" w:type="dxa"/>
              <w:right w:w="20" w:type="dxa"/>
            </w:tcMar>
            <w:vAlign w:val="bottom"/>
          </w:tcPr>
          <w:p w14:paraId="098A8BD8"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98A8BD9" w14:textId="77777777" w:rsidR="00141CDF" w:rsidRDefault="00DF45E0">
            <w:pPr>
              <w:jc w:val="center"/>
              <w:textAlignment w:val="bottom"/>
            </w:pPr>
            <w:r>
              <w:rPr>
                <w:rFonts w:ascii="Times New Roman" w:eastAsia="宋体" w:hAnsi="Times New Roman"/>
                <w:b/>
                <w:bCs/>
                <w:color w:val="000000"/>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8BDA"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98A8BDB" w14:textId="77777777" w:rsidR="00141CDF" w:rsidRDefault="00DF45E0">
            <w:pPr>
              <w:jc w:val="center"/>
              <w:textAlignment w:val="bottom"/>
            </w:pPr>
            <w:r>
              <w:rPr>
                <w:rFonts w:ascii="Times New Roman" w:eastAsia="宋体" w:hAnsi="Times New Roman"/>
                <w:b/>
                <w:bCs/>
                <w:color w:val="000000"/>
                <w:sz w:val="16"/>
                <w:szCs w:val="16"/>
              </w:rPr>
              <w:t>Amount</w:t>
            </w:r>
          </w:p>
        </w:tc>
        <w:tc>
          <w:tcPr>
            <w:tcW w:w="0" w:type="auto"/>
            <w:gridSpan w:val="3"/>
            <w:shd w:val="clear" w:color="auto" w:fill="auto"/>
            <w:tcMar>
              <w:top w:w="0" w:type="dxa"/>
              <w:left w:w="20" w:type="dxa"/>
              <w:bottom w:w="0" w:type="dxa"/>
              <w:right w:w="20" w:type="dxa"/>
            </w:tcMar>
            <w:vAlign w:val="bottom"/>
          </w:tcPr>
          <w:p w14:paraId="098A8BDC"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BDD" w14:textId="77777777" w:rsidR="00141CDF" w:rsidRDefault="00DF45E0">
            <w:pPr>
              <w:jc w:val="center"/>
              <w:textAlignment w:val="bottom"/>
            </w:pPr>
            <w:r>
              <w:rPr>
                <w:rFonts w:ascii="Times New Roman" w:eastAsia="宋体" w:hAnsi="Times New Roman"/>
                <w:b/>
                <w:bCs/>
                <w:color w:val="000000"/>
                <w:sz w:val="16"/>
                <w:szCs w:val="16"/>
              </w:rPr>
              <w:t>Par Value</w:t>
            </w:r>
          </w:p>
        </w:tc>
        <w:tc>
          <w:tcPr>
            <w:tcW w:w="0" w:type="auto"/>
            <w:gridSpan w:val="3"/>
            <w:shd w:val="clear" w:color="auto" w:fill="auto"/>
            <w:tcMar>
              <w:top w:w="0" w:type="dxa"/>
              <w:left w:w="20" w:type="dxa"/>
              <w:bottom w:w="0" w:type="dxa"/>
              <w:right w:w="20" w:type="dxa"/>
            </w:tcMar>
            <w:vAlign w:val="bottom"/>
          </w:tcPr>
          <w:p w14:paraId="098A8BDE"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BDF" w14:textId="77777777" w:rsidR="00141CDF" w:rsidRDefault="00DF45E0">
            <w:pPr>
              <w:jc w:val="center"/>
              <w:textAlignment w:val="bottom"/>
            </w:pPr>
            <w:r>
              <w:rPr>
                <w:rFonts w:ascii="Times New Roman" w:eastAsia="宋体" w:hAnsi="Times New Roman"/>
                <w:b/>
                <w:bCs/>
                <w:color w:val="000000"/>
                <w:sz w:val="16"/>
                <w:szCs w:val="16"/>
              </w:rPr>
              <w:t>Earnings</w:t>
            </w:r>
          </w:p>
        </w:tc>
        <w:tc>
          <w:tcPr>
            <w:tcW w:w="0" w:type="auto"/>
            <w:gridSpan w:val="3"/>
            <w:shd w:val="clear" w:color="auto" w:fill="auto"/>
            <w:tcMar>
              <w:top w:w="0" w:type="dxa"/>
              <w:left w:w="20" w:type="dxa"/>
              <w:bottom w:w="0" w:type="dxa"/>
              <w:right w:w="20" w:type="dxa"/>
            </w:tcMar>
            <w:vAlign w:val="bottom"/>
          </w:tcPr>
          <w:p w14:paraId="098A8BE0"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BE1" w14:textId="77777777" w:rsidR="00141CDF" w:rsidRDefault="00DF45E0">
            <w:pPr>
              <w:jc w:val="center"/>
              <w:textAlignment w:val="bottom"/>
            </w:pPr>
            <w:r>
              <w:rPr>
                <w:rFonts w:ascii="Times New Roman" w:eastAsia="宋体" w:hAnsi="Times New Roman"/>
                <w:b/>
                <w:bCs/>
                <w:color w:val="000000"/>
                <w:sz w:val="16"/>
                <w:szCs w:val="16"/>
              </w:rPr>
              <w:t>Loss</w:t>
            </w:r>
          </w:p>
        </w:tc>
        <w:tc>
          <w:tcPr>
            <w:tcW w:w="0" w:type="auto"/>
            <w:gridSpan w:val="3"/>
            <w:shd w:val="clear" w:color="auto" w:fill="auto"/>
            <w:tcMar>
              <w:top w:w="0" w:type="dxa"/>
              <w:left w:w="20" w:type="dxa"/>
              <w:bottom w:w="0" w:type="dxa"/>
              <w:right w:w="20" w:type="dxa"/>
            </w:tcMar>
            <w:vAlign w:val="bottom"/>
          </w:tcPr>
          <w:p w14:paraId="098A8BE2"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BE3" w14:textId="77777777" w:rsidR="00141CDF" w:rsidRDefault="00DF45E0">
            <w:pPr>
              <w:jc w:val="center"/>
              <w:textAlignment w:val="bottom"/>
            </w:pPr>
            <w:r>
              <w:rPr>
                <w:rFonts w:ascii="Times New Roman" w:eastAsia="宋体" w:hAnsi="Times New Roman"/>
                <w:b/>
                <w:bCs/>
                <w:color w:val="000000"/>
                <w:sz w:val="16"/>
                <w:szCs w:val="16"/>
              </w:rPr>
              <w:t>Equity</w:t>
            </w:r>
          </w:p>
        </w:tc>
        <w:tc>
          <w:tcPr>
            <w:tcW w:w="0" w:type="auto"/>
            <w:gridSpan w:val="3"/>
            <w:shd w:val="clear" w:color="auto" w:fill="auto"/>
            <w:tcMar>
              <w:top w:w="0" w:type="dxa"/>
              <w:left w:w="20" w:type="dxa"/>
              <w:bottom w:w="0" w:type="dxa"/>
              <w:right w:w="20" w:type="dxa"/>
            </w:tcMar>
            <w:vAlign w:val="bottom"/>
          </w:tcPr>
          <w:p w14:paraId="098A8BE4"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BE5" w14:textId="77777777" w:rsidR="00141CDF" w:rsidRDefault="00DF45E0">
            <w:pPr>
              <w:jc w:val="center"/>
              <w:textAlignment w:val="bottom"/>
            </w:pPr>
            <w:r>
              <w:rPr>
                <w:rFonts w:ascii="Times New Roman" w:eastAsia="宋体" w:hAnsi="Times New Roman"/>
                <w:b/>
                <w:bCs/>
                <w:color w:val="000000"/>
                <w:sz w:val="16"/>
                <w:szCs w:val="16"/>
              </w:rPr>
              <w:t>Interest</w:t>
            </w:r>
          </w:p>
        </w:tc>
        <w:tc>
          <w:tcPr>
            <w:tcW w:w="0" w:type="auto"/>
            <w:gridSpan w:val="3"/>
            <w:shd w:val="clear" w:color="auto" w:fill="auto"/>
            <w:tcMar>
              <w:top w:w="0" w:type="dxa"/>
              <w:left w:w="20" w:type="dxa"/>
              <w:bottom w:w="0" w:type="dxa"/>
              <w:right w:w="20" w:type="dxa"/>
            </w:tcMar>
            <w:vAlign w:val="bottom"/>
          </w:tcPr>
          <w:p w14:paraId="098A8BE6"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BE7" w14:textId="77777777" w:rsidR="00141CDF" w:rsidRDefault="00DF45E0">
            <w:pPr>
              <w:jc w:val="center"/>
              <w:textAlignment w:val="bottom"/>
            </w:pPr>
            <w:r>
              <w:rPr>
                <w:rFonts w:ascii="Times New Roman" w:eastAsia="宋体" w:hAnsi="Times New Roman"/>
                <w:b/>
                <w:bCs/>
                <w:color w:val="000000"/>
                <w:sz w:val="16"/>
                <w:szCs w:val="16"/>
              </w:rPr>
              <w:t>Equity</w:t>
            </w:r>
          </w:p>
        </w:tc>
        <w:tc>
          <w:tcPr>
            <w:tcW w:w="0" w:type="auto"/>
            <w:shd w:val="clear" w:color="auto" w:fill="auto"/>
            <w:vAlign w:val="bottom"/>
          </w:tcPr>
          <w:p w14:paraId="098A8BE8" w14:textId="77777777" w:rsidR="00141CDF" w:rsidRDefault="00141CDF">
            <w:pPr>
              <w:rPr>
                <w:rFonts w:ascii="宋体"/>
                <w:vanish/>
              </w:rPr>
            </w:pPr>
          </w:p>
        </w:tc>
        <w:tc>
          <w:tcPr>
            <w:tcW w:w="0" w:type="auto"/>
            <w:shd w:val="clear" w:color="auto" w:fill="auto"/>
            <w:vAlign w:val="bottom"/>
          </w:tcPr>
          <w:p w14:paraId="098A8BE9" w14:textId="77777777" w:rsidR="00141CDF" w:rsidRDefault="00141CDF">
            <w:pPr>
              <w:rPr>
                <w:rFonts w:ascii="宋体"/>
                <w:vanish/>
              </w:rPr>
            </w:pPr>
          </w:p>
        </w:tc>
        <w:tc>
          <w:tcPr>
            <w:tcW w:w="0" w:type="auto"/>
            <w:shd w:val="clear" w:color="auto" w:fill="auto"/>
            <w:vAlign w:val="bottom"/>
          </w:tcPr>
          <w:p w14:paraId="098A8BEA" w14:textId="77777777" w:rsidR="00141CDF" w:rsidRDefault="00141CDF">
            <w:pPr>
              <w:rPr>
                <w:rFonts w:ascii="宋体"/>
                <w:vanish/>
              </w:rPr>
            </w:pPr>
          </w:p>
        </w:tc>
      </w:tr>
      <w:tr w:rsidR="00DF45E0" w14:paraId="098A8C0E" w14:textId="77777777">
        <w:tc>
          <w:tcPr>
            <w:tcW w:w="0" w:type="auto"/>
            <w:gridSpan w:val="3"/>
            <w:shd w:val="clear" w:color="auto" w:fill="CCEEFF"/>
            <w:tcMar>
              <w:top w:w="40" w:type="dxa"/>
              <w:left w:w="20" w:type="dxa"/>
              <w:bottom w:w="40" w:type="dxa"/>
              <w:right w:w="20" w:type="dxa"/>
            </w:tcMar>
            <w:vAlign w:val="center"/>
          </w:tcPr>
          <w:p w14:paraId="098A8BEC" w14:textId="77777777" w:rsidR="00141CDF" w:rsidRDefault="00DF45E0">
            <w:pPr>
              <w:textAlignment w:val="center"/>
            </w:pPr>
            <w:r>
              <w:rPr>
                <w:rFonts w:ascii="Times New Roman" w:eastAsia="宋体" w:hAnsi="Times New Roman"/>
                <w:b/>
                <w:bCs/>
                <w:color w:val="000000"/>
                <w:sz w:val="16"/>
                <w:szCs w:val="16"/>
              </w:rPr>
              <w:t>Balances as of February 1, 2022</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98A8BED" w14:textId="77777777" w:rsidR="00141CDF" w:rsidRDefault="00DF45E0">
            <w:pPr>
              <w:jc w:val="right"/>
              <w:textAlignment w:val="center"/>
            </w:pPr>
            <w:r>
              <w:rPr>
                <w:rFonts w:ascii="Times New Roman" w:eastAsia="宋体" w:hAnsi="Times New Roman"/>
                <w:color w:val="000000"/>
                <w:sz w:val="16"/>
                <w:szCs w:val="16"/>
              </w:rPr>
              <w:t>2,761 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8BEE"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BEF"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8BF0"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8BF1" w14:textId="77777777" w:rsidR="00141CDF" w:rsidRDefault="00DF45E0">
            <w:pPr>
              <w:jc w:val="right"/>
              <w:textAlignment w:val="center"/>
            </w:pPr>
            <w:r>
              <w:rPr>
                <w:rFonts w:ascii="Times New Roman" w:eastAsia="宋体" w:hAnsi="Times New Roman"/>
                <w:color w:val="000000"/>
                <w:sz w:val="16"/>
                <w:szCs w:val="16"/>
              </w:rPr>
              <w:t>276 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8BF2"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BF3"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8BF4"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8BF5" w14:textId="77777777" w:rsidR="00141CDF" w:rsidRDefault="00DF45E0">
            <w:pPr>
              <w:jc w:val="right"/>
              <w:textAlignment w:val="center"/>
            </w:pPr>
            <w:r>
              <w:rPr>
                <w:rFonts w:ascii="Times New Roman" w:eastAsia="宋体" w:hAnsi="Times New Roman"/>
                <w:color w:val="000000"/>
                <w:sz w:val="16"/>
                <w:szCs w:val="16"/>
              </w:rPr>
              <w:t>4,839 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8BF6"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BF7"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8BF8"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8BF9" w14:textId="77777777" w:rsidR="00141CDF" w:rsidRDefault="00DF45E0">
            <w:pPr>
              <w:jc w:val="right"/>
              <w:textAlignment w:val="center"/>
            </w:pPr>
            <w:r>
              <w:rPr>
                <w:rFonts w:ascii="Times New Roman" w:eastAsia="宋体" w:hAnsi="Times New Roman"/>
                <w:color w:val="000000"/>
                <w:sz w:val="16"/>
                <w:szCs w:val="16"/>
              </w:rPr>
              <w:t>86,904 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8BFA"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BFB"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8BFC"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8BFD" w14:textId="77777777" w:rsidR="00141CDF" w:rsidRDefault="00DF45E0">
            <w:pPr>
              <w:jc w:val="right"/>
              <w:textAlignment w:val="center"/>
            </w:pPr>
            <w:r>
              <w:rPr>
                <w:rFonts w:ascii="Times New Roman" w:eastAsia="宋体" w:hAnsi="Times New Roman"/>
                <w:color w:val="000000"/>
                <w:sz w:val="16"/>
                <w:szCs w:val="16"/>
              </w:rPr>
              <w:t>(8,766)</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8BFE"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BFF"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8C00"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8C01" w14:textId="77777777" w:rsidR="00141CDF" w:rsidRDefault="00DF45E0">
            <w:pPr>
              <w:jc w:val="right"/>
              <w:textAlignment w:val="center"/>
            </w:pPr>
            <w:r>
              <w:rPr>
                <w:rFonts w:ascii="Times New Roman" w:eastAsia="宋体" w:hAnsi="Times New Roman"/>
                <w:color w:val="000000"/>
                <w:sz w:val="16"/>
                <w:szCs w:val="16"/>
              </w:rPr>
              <w:t>83,253 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8C02"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C03"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8C04"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8C05" w14:textId="77777777" w:rsidR="00141CDF" w:rsidRDefault="00DF45E0">
            <w:pPr>
              <w:jc w:val="right"/>
              <w:textAlignment w:val="center"/>
            </w:pPr>
            <w:r>
              <w:rPr>
                <w:rFonts w:ascii="Times New Roman" w:eastAsia="宋体" w:hAnsi="Times New Roman"/>
                <w:color w:val="000000"/>
                <w:sz w:val="16"/>
                <w:szCs w:val="16"/>
              </w:rPr>
              <w:t>8,638 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8C06"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C07"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8C08"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8C09" w14:textId="77777777" w:rsidR="00141CDF" w:rsidRDefault="00DF45E0">
            <w:pPr>
              <w:jc w:val="right"/>
              <w:textAlignment w:val="center"/>
            </w:pPr>
            <w:r>
              <w:rPr>
                <w:rFonts w:ascii="Times New Roman" w:eastAsia="宋体" w:hAnsi="Times New Roman"/>
                <w:color w:val="000000"/>
                <w:sz w:val="16"/>
                <w:szCs w:val="16"/>
              </w:rPr>
              <w:t>91,891 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8C0A" w14:textId="77777777" w:rsidR="00141CDF" w:rsidRDefault="00141CDF">
            <w:pPr>
              <w:jc w:val="right"/>
              <w:rPr>
                <w:rFonts w:ascii="宋体"/>
              </w:rPr>
            </w:pPr>
          </w:p>
        </w:tc>
        <w:tc>
          <w:tcPr>
            <w:tcW w:w="0" w:type="auto"/>
            <w:shd w:val="clear" w:color="auto" w:fill="auto"/>
            <w:vAlign w:val="bottom"/>
          </w:tcPr>
          <w:p w14:paraId="098A8C0B" w14:textId="77777777" w:rsidR="00141CDF" w:rsidRDefault="00141CDF">
            <w:pPr>
              <w:rPr>
                <w:rFonts w:ascii="宋体"/>
                <w:vanish/>
              </w:rPr>
            </w:pPr>
          </w:p>
        </w:tc>
        <w:tc>
          <w:tcPr>
            <w:tcW w:w="0" w:type="auto"/>
            <w:shd w:val="clear" w:color="auto" w:fill="auto"/>
            <w:vAlign w:val="bottom"/>
          </w:tcPr>
          <w:p w14:paraId="098A8C0C" w14:textId="77777777" w:rsidR="00141CDF" w:rsidRDefault="00141CDF">
            <w:pPr>
              <w:rPr>
                <w:rFonts w:ascii="宋体"/>
                <w:vanish/>
              </w:rPr>
            </w:pPr>
          </w:p>
        </w:tc>
        <w:tc>
          <w:tcPr>
            <w:tcW w:w="0" w:type="auto"/>
            <w:shd w:val="clear" w:color="auto" w:fill="auto"/>
            <w:vAlign w:val="bottom"/>
          </w:tcPr>
          <w:p w14:paraId="098A8C0D" w14:textId="77777777" w:rsidR="00141CDF" w:rsidRDefault="00141CDF">
            <w:pPr>
              <w:rPr>
                <w:rFonts w:ascii="宋体"/>
                <w:vanish/>
              </w:rPr>
            </w:pPr>
          </w:p>
        </w:tc>
      </w:tr>
      <w:tr w:rsidR="00141CDF" w14:paraId="098A8C2A" w14:textId="77777777">
        <w:tc>
          <w:tcPr>
            <w:tcW w:w="0" w:type="auto"/>
            <w:gridSpan w:val="3"/>
            <w:shd w:val="clear" w:color="auto" w:fill="FFFFFF"/>
            <w:tcMar>
              <w:top w:w="40" w:type="dxa"/>
              <w:left w:w="20" w:type="dxa"/>
              <w:bottom w:w="40" w:type="dxa"/>
              <w:right w:w="20" w:type="dxa"/>
            </w:tcMar>
            <w:vAlign w:val="center"/>
          </w:tcPr>
          <w:p w14:paraId="098A8C0F" w14:textId="77777777" w:rsidR="00141CDF" w:rsidRDefault="00DF45E0">
            <w:pPr>
              <w:textAlignment w:val="center"/>
            </w:pPr>
            <w:r>
              <w:rPr>
                <w:rFonts w:ascii="Times New Roman" w:eastAsia="宋体" w:hAnsi="Times New Roman"/>
                <w:color w:val="000000"/>
                <w:sz w:val="16"/>
                <w:szCs w:val="16"/>
              </w:rPr>
              <w:t>Consolidated net income</w:t>
            </w:r>
          </w:p>
        </w:tc>
        <w:tc>
          <w:tcPr>
            <w:tcW w:w="0" w:type="auto"/>
            <w:gridSpan w:val="2"/>
            <w:shd w:val="clear" w:color="auto" w:fill="FFFFFF"/>
            <w:tcMar>
              <w:top w:w="40" w:type="dxa"/>
              <w:left w:w="20" w:type="dxa"/>
              <w:bottom w:w="40" w:type="dxa"/>
              <w:right w:w="0" w:type="dxa"/>
            </w:tcMar>
            <w:vAlign w:val="center"/>
          </w:tcPr>
          <w:p w14:paraId="098A8C10"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8C11"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C12"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C13"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8C14"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C15"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C16"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8C17"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C18"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C19" w14:textId="77777777" w:rsidR="00141CDF" w:rsidRDefault="00DF45E0">
            <w:pPr>
              <w:jc w:val="right"/>
              <w:textAlignment w:val="center"/>
            </w:pPr>
            <w:r>
              <w:rPr>
                <w:rFonts w:ascii="Times New Roman" w:eastAsia="宋体" w:hAnsi="Times New Roman"/>
                <w:color w:val="000000"/>
                <w:sz w:val="16"/>
                <w:szCs w:val="16"/>
              </w:rPr>
              <w:t>2,054 </w:t>
            </w:r>
          </w:p>
        </w:tc>
        <w:tc>
          <w:tcPr>
            <w:tcW w:w="0" w:type="auto"/>
            <w:shd w:val="clear" w:color="auto" w:fill="FFFFFF"/>
            <w:tcMar>
              <w:top w:w="40" w:type="dxa"/>
              <w:left w:w="0" w:type="dxa"/>
              <w:bottom w:w="40" w:type="dxa"/>
              <w:right w:w="20" w:type="dxa"/>
            </w:tcMar>
            <w:vAlign w:val="center"/>
          </w:tcPr>
          <w:p w14:paraId="098A8C1A"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C1B"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C1C"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8C1D"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C1E"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C1F" w14:textId="77777777" w:rsidR="00141CDF" w:rsidRDefault="00DF45E0">
            <w:pPr>
              <w:jc w:val="right"/>
              <w:textAlignment w:val="center"/>
            </w:pPr>
            <w:r>
              <w:rPr>
                <w:rFonts w:ascii="Times New Roman" w:eastAsia="宋体" w:hAnsi="Times New Roman"/>
                <w:color w:val="000000"/>
                <w:sz w:val="16"/>
                <w:szCs w:val="16"/>
              </w:rPr>
              <w:t>2,054 </w:t>
            </w:r>
          </w:p>
        </w:tc>
        <w:tc>
          <w:tcPr>
            <w:tcW w:w="0" w:type="auto"/>
            <w:shd w:val="clear" w:color="auto" w:fill="FFFFFF"/>
            <w:tcMar>
              <w:top w:w="40" w:type="dxa"/>
              <w:left w:w="0" w:type="dxa"/>
              <w:bottom w:w="40" w:type="dxa"/>
              <w:right w:w="20" w:type="dxa"/>
            </w:tcMar>
            <w:vAlign w:val="center"/>
          </w:tcPr>
          <w:p w14:paraId="098A8C20"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C21"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C22" w14:textId="77777777" w:rsidR="00141CDF" w:rsidRDefault="00DF45E0">
            <w:pPr>
              <w:jc w:val="right"/>
              <w:textAlignment w:val="center"/>
            </w:pPr>
            <w:r>
              <w:rPr>
                <w:rFonts w:ascii="Times New Roman" w:eastAsia="宋体" w:hAnsi="Times New Roman"/>
                <w:color w:val="000000"/>
                <w:sz w:val="16"/>
                <w:szCs w:val="16"/>
              </w:rPr>
              <w:t>49 </w:t>
            </w:r>
          </w:p>
        </w:tc>
        <w:tc>
          <w:tcPr>
            <w:tcW w:w="0" w:type="auto"/>
            <w:shd w:val="clear" w:color="auto" w:fill="FFFFFF"/>
            <w:tcMar>
              <w:top w:w="40" w:type="dxa"/>
              <w:left w:w="0" w:type="dxa"/>
              <w:bottom w:w="40" w:type="dxa"/>
              <w:right w:w="20" w:type="dxa"/>
            </w:tcMar>
            <w:vAlign w:val="center"/>
          </w:tcPr>
          <w:p w14:paraId="098A8C23"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C24"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C25" w14:textId="77777777" w:rsidR="00141CDF" w:rsidRDefault="00DF45E0">
            <w:pPr>
              <w:jc w:val="right"/>
              <w:textAlignment w:val="center"/>
            </w:pPr>
            <w:r>
              <w:rPr>
                <w:rFonts w:ascii="Times New Roman" w:eastAsia="宋体" w:hAnsi="Times New Roman"/>
                <w:color w:val="000000"/>
                <w:sz w:val="16"/>
                <w:szCs w:val="16"/>
              </w:rPr>
              <w:t>2,103 </w:t>
            </w:r>
          </w:p>
        </w:tc>
        <w:tc>
          <w:tcPr>
            <w:tcW w:w="0" w:type="auto"/>
            <w:shd w:val="clear" w:color="auto" w:fill="FFFFFF"/>
            <w:tcMar>
              <w:top w:w="40" w:type="dxa"/>
              <w:left w:w="0" w:type="dxa"/>
              <w:bottom w:w="40" w:type="dxa"/>
              <w:right w:w="20" w:type="dxa"/>
            </w:tcMar>
            <w:vAlign w:val="center"/>
          </w:tcPr>
          <w:p w14:paraId="098A8C26" w14:textId="77777777" w:rsidR="00141CDF" w:rsidRDefault="00141CDF">
            <w:pPr>
              <w:jc w:val="right"/>
              <w:rPr>
                <w:rFonts w:ascii="宋体"/>
              </w:rPr>
            </w:pPr>
          </w:p>
        </w:tc>
        <w:tc>
          <w:tcPr>
            <w:tcW w:w="0" w:type="auto"/>
            <w:shd w:val="clear" w:color="auto" w:fill="auto"/>
            <w:vAlign w:val="bottom"/>
          </w:tcPr>
          <w:p w14:paraId="098A8C27" w14:textId="77777777" w:rsidR="00141CDF" w:rsidRDefault="00141CDF">
            <w:pPr>
              <w:rPr>
                <w:rFonts w:ascii="宋体"/>
                <w:vanish/>
              </w:rPr>
            </w:pPr>
          </w:p>
        </w:tc>
        <w:tc>
          <w:tcPr>
            <w:tcW w:w="0" w:type="auto"/>
            <w:shd w:val="clear" w:color="auto" w:fill="auto"/>
            <w:vAlign w:val="bottom"/>
          </w:tcPr>
          <w:p w14:paraId="098A8C28" w14:textId="77777777" w:rsidR="00141CDF" w:rsidRDefault="00141CDF">
            <w:pPr>
              <w:rPr>
                <w:rFonts w:ascii="宋体"/>
                <w:vanish/>
              </w:rPr>
            </w:pPr>
          </w:p>
        </w:tc>
        <w:tc>
          <w:tcPr>
            <w:tcW w:w="0" w:type="auto"/>
            <w:shd w:val="clear" w:color="auto" w:fill="auto"/>
            <w:vAlign w:val="bottom"/>
          </w:tcPr>
          <w:p w14:paraId="098A8C29" w14:textId="77777777" w:rsidR="00141CDF" w:rsidRDefault="00141CDF">
            <w:pPr>
              <w:rPr>
                <w:rFonts w:ascii="宋体"/>
                <w:vanish/>
              </w:rPr>
            </w:pPr>
          </w:p>
        </w:tc>
      </w:tr>
      <w:tr w:rsidR="00141CDF" w14:paraId="098A8C46" w14:textId="77777777">
        <w:tc>
          <w:tcPr>
            <w:tcW w:w="0" w:type="auto"/>
            <w:gridSpan w:val="3"/>
            <w:shd w:val="clear" w:color="auto" w:fill="CCEEFF"/>
            <w:tcMar>
              <w:top w:w="40" w:type="dxa"/>
              <w:left w:w="20" w:type="dxa"/>
              <w:bottom w:w="40" w:type="dxa"/>
              <w:right w:w="20" w:type="dxa"/>
            </w:tcMar>
            <w:vAlign w:val="center"/>
          </w:tcPr>
          <w:p w14:paraId="098A8C2B" w14:textId="77777777" w:rsidR="00141CDF" w:rsidRDefault="00DF45E0">
            <w:pPr>
              <w:textAlignment w:val="center"/>
            </w:pPr>
            <w:r>
              <w:rPr>
                <w:rFonts w:ascii="Times New Roman" w:eastAsia="宋体" w:hAnsi="Times New Roman"/>
                <w:color w:val="000000"/>
                <w:sz w:val="16"/>
                <w:szCs w:val="16"/>
              </w:rPr>
              <w:t>Other comprehensive income, net of income taxes</w:t>
            </w:r>
          </w:p>
        </w:tc>
        <w:tc>
          <w:tcPr>
            <w:tcW w:w="0" w:type="auto"/>
            <w:gridSpan w:val="2"/>
            <w:shd w:val="clear" w:color="auto" w:fill="CCEEFF"/>
            <w:tcMar>
              <w:top w:w="40" w:type="dxa"/>
              <w:left w:w="20" w:type="dxa"/>
              <w:bottom w:w="40" w:type="dxa"/>
              <w:right w:w="0" w:type="dxa"/>
            </w:tcMar>
            <w:vAlign w:val="center"/>
          </w:tcPr>
          <w:p w14:paraId="098A8C2C"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098A8C2D"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C2E"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C2F"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098A8C30"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C31"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C32"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098A8C33"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C34"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C35"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098A8C36"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C37"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C38" w14:textId="77777777" w:rsidR="00141CDF" w:rsidRDefault="00DF45E0">
            <w:pPr>
              <w:jc w:val="right"/>
              <w:textAlignment w:val="center"/>
            </w:pPr>
            <w:r>
              <w:rPr>
                <w:rFonts w:ascii="Times New Roman" w:eastAsia="宋体" w:hAnsi="Times New Roman"/>
                <w:color w:val="000000"/>
                <w:sz w:val="16"/>
                <w:szCs w:val="16"/>
              </w:rPr>
              <w:t>268 </w:t>
            </w:r>
          </w:p>
        </w:tc>
        <w:tc>
          <w:tcPr>
            <w:tcW w:w="0" w:type="auto"/>
            <w:shd w:val="clear" w:color="auto" w:fill="CCEEFF"/>
            <w:tcMar>
              <w:top w:w="40" w:type="dxa"/>
              <w:left w:w="0" w:type="dxa"/>
              <w:bottom w:w="40" w:type="dxa"/>
              <w:right w:w="20" w:type="dxa"/>
            </w:tcMar>
            <w:vAlign w:val="center"/>
          </w:tcPr>
          <w:p w14:paraId="098A8C39"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C3A"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C3B" w14:textId="77777777" w:rsidR="00141CDF" w:rsidRDefault="00DF45E0">
            <w:pPr>
              <w:jc w:val="right"/>
              <w:textAlignment w:val="center"/>
            </w:pPr>
            <w:r>
              <w:rPr>
                <w:rFonts w:ascii="Times New Roman" w:eastAsia="宋体" w:hAnsi="Times New Roman"/>
                <w:color w:val="000000"/>
                <w:sz w:val="16"/>
                <w:szCs w:val="16"/>
              </w:rPr>
              <w:t>268 </w:t>
            </w:r>
          </w:p>
        </w:tc>
        <w:tc>
          <w:tcPr>
            <w:tcW w:w="0" w:type="auto"/>
            <w:shd w:val="clear" w:color="auto" w:fill="CCEEFF"/>
            <w:tcMar>
              <w:top w:w="40" w:type="dxa"/>
              <w:left w:w="0" w:type="dxa"/>
              <w:bottom w:w="40" w:type="dxa"/>
              <w:right w:w="20" w:type="dxa"/>
            </w:tcMar>
            <w:vAlign w:val="center"/>
          </w:tcPr>
          <w:p w14:paraId="098A8C3C"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C3D"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C3E" w14:textId="77777777" w:rsidR="00141CDF" w:rsidRDefault="00DF45E0">
            <w:pPr>
              <w:jc w:val="right"/>
              <w:textAlignment w:val="center"/>
            </w:pPr>
            <w:r>
              <w:rPr>
                <w:rFonts w:ascii="Times New Roman" w:eastAsia="宋体" w:hAnsi="Times New Roman"/>
                <w:color w:val="000000"/>
                <w:sz w:val="16"/>
                <w:szCs w:val="16"/>
              </w:rPr>
              <w:t>7 </w:t>
            </w:r>
          </w:p>
        </w:tc>
        <w:tc>
          <w:tcPr>
            <w:tcW w:w="0" w:type="auto"/>
            <w:shd w:val="clear" w:color="auto" w:fill="CCEEFF"/>
            <w:tcMar>
              <w:top w:w="40" w:type="dxa"/>
              <w:left w:w="0" w:type="dxa"/>
              <w:bottom w:w="40" w:type="dxa"/>
              <w:right w:w="20" w:type="dxa"/>
            </w:tcMar>
            <w:vAlign w:val="center"/>
          </w:tcPr>
          <w:p w14:paraId="098A8C3F"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C40"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C41" w14:textId="77777777" w:rsidR="00141CDF" w:rsidRDefault="00DF45E0">
            <w:pPr>
              <w:jc w:val="right"/>
              <w:textAlignment w:val="center"/>
            </w:pPr>
            <w:r>
              <w:rPr>
                <w:rFonts w:ascii="Times New Roman" w:eastAsia="宋体" w:hAnsi="Times New Roman"/>
                <w:color w:val="000000"/>
                <w:sz w:val="16"/>
                <w:szCs w:val="16"/>
              </w:rPr>
              <w:t>275 </w:t>
            </w:r>
          </w:p>
        </w:tc>
        <w:tc>
          <w:tcPr>
            <w:tcW w:w="0" w:type="auto"/>
            <w:shd w:val="clear" w:color="auto" w:fill="CCEEFF"/>
            <w:tcMar>
              <w:top w:w="40" w:type="dxa"/>
              <w:left w:w="0" w:type="dxa"/>
              <w:bottom w:w="40" w:type="dxa"/>
              <w:right w:w="20" w:type="dxa"/>
            </w:tcMar>
            <w:vAlign w:val="center"/>
          </w:tcPr>
          <w:p w14:paraId="098A8C42" w14:textId="77777777" w:rsidR="00141CDF" w:rsidRDefault="00141CDF">
            <w:pPr>
              <w:jc w:val="right"/>
              <w:rPr>
                <w:rFonts w:ascii="宋体"/>
              </w:rPr>
            </w:pPr>
          </w:p>
        </w:tc>
        <w:tc>
          <w:tcPr>
            <w:tcW w:w="0" w:type="auto"/>
            <w:shd w:val="clear" w:color="auto" w:fill="auto"/>
            <w:vAlign w:val="bottom"/>
          </w:tcPr>
          <w:p w14:paraId="098A8C43" w14:textId="77777777" w:rsidR="00141CDF" w:rsidRDefault="00141CDF">
            <w:pPr>
              <w:rPr>
                <w:rFonts w:ascii="宋体"/>
                <w:vanish/>
              </w:rPr>
            </w:pPr>
          </w:p>
        </w:tc>
        <w:tc>
          <w:tcPr>
            <w:tcW w:w="0" w:type="auto"/>
            <w:shd w:val="clear" w:color="auto" w:fill="auto"/>
            <w:vAlign w:val="bottom"/>
          </w:tcPr>
          <w:p w14:paraId="098A8C44" w14:textId="77777777" w:rsidR="00141CDF" w:rsidRDefault="00141CDF">
            <w:pPr>
              <w:rPr>
                <w:rFonts w:ascii="宋体"/>
                <w:vanish/>
              </w:rPr>
            </w:pPr>
          </w:p>
        </w:tc>
        <w:tc>
          <w:tcPr>
            <w:tcW w:w="0" w:type="auto"/>
            <w:shd w:val="clear" w:color="auto" w:fill="auto"/>
            <w:vAlign w:val="bottom"/>
          </w:tcPr>
          <w:p w14:paraId="098A8C45" w14:textId="77777777" w:rsidR="00141CDF" w:rsidRDefault="00141CDF">
            <w:pPr>
              <w:rPr>
                <w:rFonts w:ascii="宋体"/>
                <w:vanish/>
              </w:rPr>
            </w:pPr>
          </w:p>
        </w:tc>
      </w:tr>
      <w:tr w:rsidR="00141CDF" w14:paraId="098A8C62" w14:textId="77777777">
        <w:tc>
          <w:tcPr>
            <w:tcW w:w="0" w:type="auto"/>
            <w:gridSpan w:val="3"/>
            <w:shd w:val="clear" w:color="auto" w:fill="FFFFFF"/>
            <w:tcMar>
              <w:top w:w="40" w:type="dxa"/>
              <w:left w:w="20" w:type="dxa"/>
              <w:bottom w:w="40" w:type="dxa"/>
              <w:right w:w="20" w:type="dxa"/>
            </w:tcMar>
            <w:vAlign w:val="center"/>
          </w:tcPr>
          <w:p w14:paraId="098A8C47" w14:textId="77777777" w:rsidR="00141CDF" w:rsidRDefault="00DF45E0">
            <w:pPr>
              <w:textAlignment w:val="center"/>
            </w:pPr>
            <w:r>
              <w:rPr>
                <w:rFonts w:ascii="Times New Roman" w:eastAsia="宋体" w:hAnsi="Times New Roman"/>
                <w:color w:val="000000"/>
                <w:sz w:val="16"/>
                <w:szCs w:val="16"/>
              </w:rPr>
              <w:t>Dividends declared ($2.24 per share)</w:t>
            </w:r>
          </w:p>
        </w:tc>
        <w:tc>
          <w:tcPr>
            <w:tcW w:w="0" w:type="auto"/>
            <w:gridSpan w:val="2"/>
            <w:shd w:val="clear" w:color="auto" w:fill="FFFFFF"/>
            <w:tcMar>
              <w:top w:w="40" w:type="dxa"/>
              <w:left w:w="20" w:type="dxa"/>
              <w:bottom w:w="40" w:type="dxa"/>
              <w:right w:w="0" w:type="dxa"/>
            </w:tcMar>
            <w:vAlign w:val="center"/>
          </w:tcPr>
          <w:p w14:paraId="098A8C48"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8C49"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C4A"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C4B"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8C4C"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C4D"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C4E"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8C4F"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C50"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C51" w14:textId="77777777" w:rsidR="00141CDF" w:rsidRDefault="00DF45E0">
            <w:pPr>
              <w:jc w:val="right"/>
              <w:textAlignment w:val="center"/>
            </w:pPr>
            <w:r>
              <w:rPr>
                <w:rFonts w:ascii="Times New Roman" w:eastAsia="宋体" w:hAnsi="Times New Roman"/>
                <w:color w:val="000000"/>
                <w:sz w:val="16"/>
                <w:szCs w:val="16"/>
              </w:rPr>
              <w:t>(6,173)</w:t>
            </w:r>
          </w:p>
        </w:tc>
        <w:tc>
          <w:tcPr>
            <w:tcW w:w="0" w:type="auto"/>
            <w:shd w:val="clear" w:color="auto" w:fill="FFFFFF"/>
            <w:tcMar>
              <w:top w:w="40" w:type="dxa"/>
              <w:left w:w="0" w:type="dxa"/>
              <w:bottom w:w="40" w:type="dxa"/>
              <w:right w:w="20" w:type="dxa"/>
            </w:tcMar>
            <w:vAlign w:val="center"/>
          </w:tcPr>
          <w:p w14:paraId="098A8C52"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C53"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C54"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8C55"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C56"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C57" w14:textId="77777777" w:rsidR="00141CDF" w:rsidRDefault="00DF45E0">
            <w:pPr>
              <w:jc w:val="right"/>
              <w:textAlignment w:val="center"/>
            </w:pPr>
            <w:r>
              <w:rPr>
                <w:rFonts w:ascii="Times New Roman" w:eastAsia="宋体" w:hAnsi="Times New Roman"/>
                <w:color w:val="000000"/>
                <w:sz w:val="16"/>
                <w:szCs w:val="16"/>
              </w:rPr>
              <w:t>(6,173)</w:t>
            </w:r>
          </w:p>
        </w:tc>
        <w:tc>
          <w:tcPr>
            <w:tcW w:w="0" w:type="auto"/>
            <w:shd w:val="clear" w:color="auto" w:fill="FFFFFF"/>
            <w:tcMar>
              <w:top w:w="40" w:type="dxa"/>
              <w:left w:w="0" w:type="dxa"/>
              <w:bottom w:w="40" w:type="dxa"/>
              <w:right w:w="20" w:type="dxa"/>
            </w:tcMar>
            <w:vAlign w:val="center"/>
          </w:tcPr>
          <w:p w14:paraId="098A8C58"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C59"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C5A"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8C5B"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C5C"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C5D" w14:textId="77777777" w:rsidR="00141CDF" w:rsidRDefault="00DF45E0">
            <w:pPr>
              <w:jc w:val="right"/>
              <w:textAlignment w:val="center"/>
            </w:pPr>
            <w:r>
              <w:rPr>
                <w:rFonts w:ascii="Times New Roman" w:eastAsia="宋体" w:hAnsi="Times New Roman"/>
                <w:color w:val="000000"/>
                <w:sz w:val="16"/>
                <w:szCs w:val="16"/>
              </w:rPr>
              <w:t>(6,173)</w:t>
            </w:r>
          </w:p>
        </w:tc>
        <w:tc>
          <w:tcPr>
            <w:tcW w:w="0" w:type="auto"/>
            <w:shd w:val="clear" w:color="auto" w:fill="FFFFFF"/>
            <w:tcMar>
              <w:top w:w="40" w:type="dxa"/>
              <w:left w:w="0" w:type="dxa"/>
              <w:bottom w:w="40" w:type="dxa"/>
              <w:right w:w="20" w:type="dxa"/>
            </w:tcMar>
            <w:vAlign w:val="center"/>
          </w:tcPr>
          <w:p w14:paraId="098A8C5E" w14:textId="77777777" w:rsidR="00141CDF" w:rsidRDefault="00141CDF">
            <w:pPr>
              <w:jc w:val="right"/>
              <w:rPr>
                <w:rFonts w:ascii="宋体"/>
              </w:rPr>
            </w:pPr>
          </w:p>
        </w:tc>
        <w:tc>
          <w:tcPr>
            <w:tcW w:w="0" w:type="auto"/>
            <w:shd w:val="clear" w:color="auto" w:fill="auto"/>
            <w:vAlign w:val="bottom"/>
          </w:tcPr>
          <w:p w14:paraId="098A8C5F" w14:textId="77777777" w:rsidR="00141CDF" w:rsidRDefault="00141CDF">
            <w:pPr>
              <w:rPr>
                <w:rFonts w:ascii="宋体"/>
                <w:vanish/>
              </w:rPr>
            </w:pPr>
          </w:p>
        </w:tc>
        <w:tc>
          <w:tcPr>
            <w:tcW w:w="0" w:type="auto"/>
            <w:shd w:val="clear" w:color="auto" w:fill="auto"/>
            <w:vAlign w:val="bottom"/>
          </w:tcPr>
          <w:p w14:paraId="098A8C60" w14:textId="77777777" w:rsidR="00141CDF" w:rsidRDefault="00141CDF">
            <w:pPr>
              <w:rPr>
                <w:rFonts w:ascii="宋体"/>
                <w:vanish/>
              </w:rPr>
            </w:pPr>
          </w:p>
        </w:tc>
        <w:tc>
          <w:tcPr>
            <w:tcW w:w="0" w:type="auto"/>
            <w:shd w:val="clear" w:color="auto" w:fill="auto"/>
            <w:vAlign w:val="bottom"/>
          </w:tcPr>
          <w:p w14:paraId="098A8C61" w14:textId="77777777" w:rsidR="00141CDF" w:rsidRDefault="00141CDF">
            <w:pPr>
              <w:rPr>
                <w:rFonts w:ascii="宋体"/>
                <w:vanish/>
              </w:rPr>
            </w:pPr>
          </w:p>
        </w:tc>
      </w:tr>
      <w:tr w:rsidR="00141CDF" w14:paraId="098A8C7E" w14:textId="77777777">
        <w:tc>
          <w:tcPr>
            <w:tcW w:w="0" w:type="auto"/>
            <w:gridSpan w:val="3"/>
            <w:shd w:val="clear" w:color="auto" w:fill="CCEEFF"/>
            <w:tcMar>
              <w:top w:w="40" w:type="dxa"/>
              <w:left w:w="20" w:type="dxa"/>
              <w:bottom w:w="40" w:type="dxa"/>
              <w:right w:w="20" w:type="dxa"/>
            </w:tcMar>
            <w:vAlign w:val="center"/>
          </w:tcPr>
          <w:p w14:paraId="098A8C63" w14:textId="77777777" w:rsidR="00141CDF" w:rsidRDefault="00DF45E0">
            <w:pPr>
              <w:textAlignment w:val="center"/>
            </w:pPr>
            <w:r>
              <w:rPr>
                <w:rFonts w:ascii="Times New Roman" w:eastAsia="宋体" w:hAnsi="Times New Roman"/>
                <w:color w:val="000000"/>
                <w:sz w:val="16"/>
                <w:szCs w:val="16"/>
              </w:rPr>
              <w:t>Purchase of Company stock</w:t>
            </w:r>
          </w:p>
        </w:tc>
        <w:tc>
          <w:tcPr>
            <w:tcW w:w="0" w:type="auto"/>
            <w:gridSpan w:val="2"/>
            <w:shd w:val="clear" w:color="auto" w:fill="CCEEFF"/>
            <w:tcMar>
              <w:top w:w="40" w:type="dxa"/>
              <w:left w:w="20" w:type="dxa"/>
              <w:bottom w:w="40" w:type="dxa"/>
              <w:right w:w="0" w:type="dxa"/>
            </w:tcMar>
            <w:vAlign w:val="center"/>
          </w:tcPr>
          <w:p w14:paraId="098A8C64" w14:textId="77777777" w:rsidR="00141CDF" w:rsidRDefault="00DF45E0">
            <w:pPr>
              <w:jc w:val="right"/>
              <w:textAlignment w:val="center"/>
            </w:pPr>
            <w:r>
              <w:rPr>
                <w:rFonts w:ascii="Times New Roman" w:eastAsia="宋体" w:hAnsi="Times New Roman"/>
                <w:color w:val="000000"/>
                <w:sz w:val="16"/>
                <w:szCs w:val="16"/>
              </w:rPr>
              <w:t>(17)</w:t>
            </w:r>
          </w:p>
        </w:tc>
        <w:tc>
          <w:tcPr>
            <w:tcW w:w="0" w:type="auto"/>
            <w:shd w:val="clear" w:color="auto" w:fill="CCEEFF"/>
            <w:tcMar>
              <w:top w:w="40" w:type="dxa"/>
              <w:left w:w="0" w:type="dxa"/>
              <w:bottom w:w="40" w:type="dxa"/>
              <w:right w:w="20" w:type="dxa"/>
            </w:tcMar>
            <w:vAlign w:val="center"/>
          </w:tcPr>
          <w:p w14:paraId="098A8C65"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C66"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C67" w14:textId="77777777" w:rsidR="00141CDF" w:rsidRDefault="00DF45E0">
            <w:pPr>
              <w:jc w:val="right"/>
              <w:textAlignment w:val="center"/>
            </w:pPr>
            <w:r>
              <w:rPr>
                <w:rFonts w:ascii="Times New Roman" w:eastAsia="宋体" w:hAnsi="Times New Roman"/>
                <w:color w:val="000000"/>
                <w:sz w:val="16"/>
                <w:szCs w:val="16"/>
              </w:rPr>
              <w:t>(2)</w:t>
            </w:r>
          </w:p>
        </w:tc>
        <w:tc>
          <w:tcPr>
            <w:tcW w:w="0" w:type="auto"/>
            <w:shd w:val="clear" w:color="auto" w:fill="CCEEFF"/>
            <w:tcMar>
              <w:top w:w="40" w:type="dxa"/>
              <w:left w:w="0" w:type="dxa"/>
              <w:bottom w:w="40" w:type="dxa"/>
              <w:right w:w="20" w:type="dxa"/>
            </w:tcMar>
            <w:vAlign w:val="center"/>
          </w:tcPr>
          <w:p w14:paraId="098A8C68"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C69"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C6A" w14:textId="77777777" w:rsidR="00141CDF" w:rsidRDefault="00DF45E0">
            <w:pPr>
              <w:jc w:val="right"/>
              <w:textAlignment w:val="center"/>
            </w:pPr>
            <w:r>
              <w:rPr>
                <w:rFonts w:ascii="Times New Roman" w:eastAsia="宋体" w:hAnsi="Times New Roman"/>
                <w:color w:val="000000"/>
                <w:sz w:val="16"/>
                <w:szCs w:val="16"/>
              </w:rPr>
              <w:t>(125)</w:t>
            </w:r>
          </w:p>
        </w:tc>
        <w:tc>
          <w:tcPr>
            <w:tcW w:w="0" w:type="auto"/>
            <w:shd w:val="clear" w:color="auto" w:fill="CCEEFF"/>
            <w:tcMar>
              <w:top w:w="40" w:type="dxa"/>
              <w:left w:w="0" w:type="dxa"/>
              <w:bottom w:w="40" w:type="dxa"/>
              <w:right w:w="20" w:type="dxa"/>
            </w:tcMar>
            <w:vAlign w:val="center"/>
          </w:tcPr>
          <w:p w14:paraId="098A8C6B"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C6C"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C6D" w14:textId="77777777" w:rsidR="00141CDF" w:rsidRDefault="00DF45E0">
            <w:pPr>
              <w:jc w:val="right"/>
              <w:textAlignment w:val="center"/>
            </w:pPr>
            <w:r>
              <w:rPr>
                <w:rFonts w:ascii="Times New Roman" w:eastAsia="宋体" w:hAnsi="Times New Roman"/>
                <w:color w:val="000000"/>
                <w:sz w:val="16"/>
                <w:szCs w:val="16"/>
              </w:rPr>
              <w:t>(2,249)</w:t>
            </w:r>
          </w:p>
        </w:tc>
        <w:tc>
          <w:tcPr>
            <w:tcW w:w="0" w:type="auto"/>
            <w:shd w:val="clear" w:color="auto" w:fill="CCEEFF"/>
            <w:tcMar>
              <w:top w:w="40" w:type="dxa"/>
              <w:left w:w="0" w:type="dxa"/>
              <w:bottom w:w="40" w:type="dxa"/>
              <w:right w:w="20" w:type="dxa"/>
            </w:tcMar>
            <w:vAlign w:val="center"/>
          </w:tcPr>
          <w:p w14:paraId="098A8C6E"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C6F"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C70"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098A8C71"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C72"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C73" w14:textId="77777777" w:rsidR="00141CDF" w:rsidRDefault="00DF45E0">
            <w:pPr>
              <w:jc w:val="right"/>
              <w:textAlignment w:val="center"/>
            </w:pPr>
            <w:r>
              <w:rPr>
                <w:rFonts w:ascii="Times New Roman" w:eastAsia="宋体" w:hAnsi="Times New Roman"/>
                <w:color w:val="000000"/>
                <w:sz w:val="16"/>
                <w:szCs w:val="16"/>
              </w:rPr>
              <w:t>(2,376)</w:t>
            </w:r>
          </w:p>
        </w:tc>
        <w:tc>
          <w:tcPr>
            <w:tcW w:w="0" w:type="auto"/>
            <w:shd w:val="clear" w:color="auto" w:fill="CCEEFF"/>
            <w:tcMar>
              <w:top w:w="40" w:type="dxa"/>
              <w:left w:w="0" w:type="dxa"/>
              <w:bottom w:w="40" w:type="dxa"/>
              <w:right w:w="20" w:type="dxa"/>
            </w:tcMar>
            <w:vAlign w:val="center"/>
          </w:tcPr>
          <w:p w14:paraId="098A8C74"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C75"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C76"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098A8C77"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C78"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C79" w14:textId="77777777" w:rsidR="00141CDF" w:rsidRDefault="00DF45E0">
            <w:pPr>
              <w:jc w:val="right"/>
              <w:textAlignment w:val="center"/>
            </w:pPr>
            <w:r>
              <w:rPr>
                <w:rFonts w:ascii="Times New Roman" w:eastAsia="宋体" w:hAnsi="Times New Roman"/>
                <w:color w:val="000000"/>
                <w:sz w:val="16"/>
                <w:szCs w:val="16"/>
              </w:rPr>
              <w:t>(2,376)</w:t>
            </w:r>
          </w:p>
        </w:tc>
        <w:tc>
          <w:tcPr>
            <w:tcW w:w="0" w:type="auto"/>
            <w:shd w:val="clear" w:color="auto" w:fill="CCEEFF"/>
            <w:tcMar>
              <w:top w:w="40" w:type="dxa"/>
              <w:left w:w="0" w:type="dxa"/>
              <w:bottom w:w="40" w:type="dxa"/>
              <w:right w:w="20" w:type="dxa"/>
            </w:tcMar>
            <w:vAlign w:val="center"/>
          </w:tcPr>
          <w:p w14:paraId="098A8C7A" w14:textId="77777777" w:rsidR="00141CDF" w:rsidRDefault="00141CDF">
            <w:pPr>
              <w:jc w:val="right"/>
              <w:rPr>
                <w:rFonts w:ascii="宋体"/>
              </w:rPr>
            </w:pPr>
          </w:p>
        </w:tc>
        <w:tc>
          <w:tcPr>
            <w:tcW w:w="0" w:type="auto"/>
            <w:shd w:val="clear" w:color="auto" w:fill="auto"/>
            <w:vAlign w:val="bottom"/>
          </w:tcPr>
          <w:p w14:paraId="098A8C7B" w14:textId="77777777" w:rsidR="00141CDF" w:rsidRDefault="00141CDF">
            <w:pPr>
              <w:rPr>
                <w:rFonts w:ascii="宋体"/>
                <w:vanish/>
              </w:rPr>
            </w:pPr>
          </w:p>
        </w:tc>
        <w:tc>
          <w:tcPr>
            <w:tcW w:w="0" w:type="auto"/>
            <w:shd w:val="clear" w:color="auto" w:fill="auto"/>
            <w:vAlign w:val="bottom"/>
          </w:tcPr>
          <w:p w14:paraId="098A8C7C" w14:textId="77777777" w:rsidR="00141CDF" w:rsidRDefault="00141CDF">
            <w:pPr>
              <w:rPr>
                <w:rFonts w:ascii="宋体"/>
                <w:vanish/>
              </w:rPr>
            </w:pPr>
          </w:p>
        </w:tc>
        <w:tc>
          <w:tcPr>
            <w:tcW w:w="0" w:type="auto"/>
            <w:shd w:val="clear" w:color="auto" w:fill="auto"/>
            <w:vAlign w:val="bottom"/>
          </w:tcPr>
          <w:p w14:paraId="098A8C7D" w14:textId="77777777" w:rsidR="00141CDF" w:rsidRDefault="00141CDF">
            <w:pPr>
              <w:rPr>
                <w:rFonts w:ascii="宋体"/>
                <w:vanish/>
              </w:rPr>
            </w:pPr>
          </w:p>
        </w:tc>
      </w:tr>
      <w:tr w:rsidR="00141CDF" w14:paraId="098A8C92" w14:textId="77777777">
        <w:trPr>
          <w:hidden/>
        </w:trPr>
        <w:tc>
          <w:tcPr>
            <w:tcW w:w="0" w:type="auto"/>
            <w:gridSpan w:val="3"/>
            <w:shd w:val="clear" w:color="auto" w:fill="auto"/>
            <w:vAlign w:val="bottom"/>
          </w:tcPr>
          <w:p w14:paraId="098A8C7F" w14:textId="77777777" w:rsidR="00141CDF" w:rsidRDefault="00141CDF">
            <w:pPr>
              <w:rPr>
                <w:rFonts w:ascii="宋体"/>
                <w:vanish/>
              </w:rPr>
            </w:pPr>
          </w:p>
        </w:tc>
        <w:tc>
          <w:tcPr>
            <w:tcW w:w="0" w:type="auto"/>
            <w:gridSpan w:val="3"/>
            <w:shd w:val="clear" w:color="auto" w:fill="auto"/>
            <w:vAlign w:val="bottom"/>
          </w:tcPr>
          <w:p w14:paraId="098A8C80" w14:textId="77777777" w:rsidR="00141CDF" w:rsidRDefault="00141CDF">
            <w:pPr>
              <w:rPr>
                <w:rFonts w:ascii="宋体"/>
                <w:vanish/>
              </w:rPr>
            </w:pPr>
          </w:p>
        </w:tc>
        <w:tc>
          <w:tcPr>
            <w:tcW w:w="0" w:type="auto"/>
            <w:gridSpan w:val="3"/>
            <w:shd w:val="clear" w:color="auto" w:fill="auto"/>
            <w:vAlign w:val="bottom"/>
          </w:tcPr>
          <w:p w14:paraId="098A8C81" w14:textId="77777777" w:rsidR="00141CDF" w:rsidRDefault="00141CDF">
            <w:pPr>
              <w:rPr>
                <w:rFonts w:ascii="宋体"/>
                <w:vanish/>
              </w:rPr>
            </w:pPr>
          </w:p>
        </w:tc>
        <w:tc>
          <w:tcPr>
            <w:tcW w:w="0" w:type="auto"/>
            <w:gridSpan w:val="3"/>
            <w:shd w:val="clear" w:color="auto" w:fill="auto"/>
            <w:vAlign w:val="bottom"/>
          </w:tcPr>
          <w:p w14:paraId="098A8C82" w14:textId="77777777" w:rsidR="00141CDF" w:rsidRDefault="00141CDF">
            <w:pPr>
              <w:rPr>
                <w:rFonts w:ascii="宋体"/>
                <w:vanish/>
              </w:rPr>
            </w:pPr>
          </w:p>
        </w:tc>
        <w:tc>
          <w:tcPr>
            <w:tcW w:w="0" w:type="auto"/>
            <w:gridSpan w:val="3"/>
            <w:shd w:val="clear" w:color="auto" w:fill="auto"/>
            <w:vAlign w:val="bottom"/>
          </w:tcPr>
          <w:p w14:paraId="098A8C83" w14:textId="77777777" w:rsidR="00141CDF" w:rsidRDefault="00141CDF">
            <w:pPr>
              <w:rPr>
                <w:rFonts w:ascii="宋体"/>
                <w:vanish/>
              </w:rPr>
            </w:pPr>
          </w:p>
        </w:tc>
        <w:tc>
          <w:tcPr>
            <w:tcW w:w="0" w:type="auto"/>
            <w:gridSpan w:val="3"/>
            <w:shd w:val="clear" w:color="auto" w:fill="auto"/>
            <w:vAlign w:val="bottom"/>
          </w:tcPr>
          <w:p w14:paraId="098A8C84" w14:textId="77777777" w:rsidR="00141CDF" w:rsidRDefault="00141CDF">
            <w:pPr>
              <w:rPr>
                <w:rFonts w:ascii="宋体"/>
                <w:vanish/>
              </w:rPr>
            </w:pPr>
          </w:p>
        </w:tc>
        <w:tc>
          <w:tcPr>
            <w:tcW w:w="0" w:type="auto"/>
            <w:gridSpan w:val="3"/>
            <w:shd w:val="clear" w:color="auto" w:fill="auto"/>
            <w:vAlign w:val="bottom"/>
          </w:tcPr>
          <w:p w14:paraId="098A8C85" w14:textId="77777777" w:rsidR="00141CDF" w:rsidRDefault="00141CDF">
            <w:pPr>
              <w:rPr>
                <w:rFonts w:ascii="宋体"/>
                <w:vanish/>
              </w:rPr>
            </w:pPr>
          </w:p>
        </w:tc>
        <w:tc>
          <w:tcPr>
            <w:tcW w:w="0" w:type="auto"/>
            <w:gridSpan w:val="3"/>
            <w:shd w:val="clear" w:color="auto" w:fill="auto"/>
            <w:vAlign w:val="bottom"/>
          </w:tcPr>
          <w:p w14:paraId="098A8C86" w14:textId="77777777" w:rsidR="00141CDF" w:rsidRDefault="00141CDF">
            <w:pPr>
              <w:rPr>
                <w:rFonts w:ascii="宋体"/>
                <w:vanish/>
              </w:rPr>
            </w:pPr>
          </w:p>
        </w:tc>
        <w:tc>
          <w:tcPr>
            <w:tcW w:w="0" w:type="auto"/>
            <w:gridSpan w:val="3"/>
            <w:shd w:val="clear" w:color="auto" w:fill="auto"/>
            <w:vAlign w:val="bottom"/>
          </w:tcPr>
          <w:p w14:paraId="098A8C87" w14:textId="77777777" w:rsidR="00141CDF" w:rsidRDefault="00141CDF">
            <w:pPr>
              <w:rPr>
                <w:rFonts w:ascii="宋体"/>
                <w:vanish/>
              </w:rPr>
            </w:pPr>
          </w:p>
        </w:tc>
        <w:tc>
          <w:tcPr>
            <w:tcW w:w="0" w:type="auto"/>
            <w:gridSpan w:val="3"/>
            <w:shd w:val="clear" w:color="auto" w:fill="auto"/>
            <w:vAlign w:val="bottom"/>
          </w:tcPr>
          <w:p w14:paraId="098A8C88" w14:textId="77777777" w:rsidR="00141CDF" w:rsidRDefault="00141CDF">
            <w:pPr>
              <w:rPr>
                <w:rFonts w:ascii="宋体"/>
                <w:vanish/>
              </w:rPr>
            </w:pPr>
          </w:p>
        </w:tc>
        <w:tc>
          <w:tcPr>
            <w:tcW w:w="0" w:type="auto"/>
            <w:gridSpan w:val="3"/>
            <w:shd w:val="clear" w:color="auto" w:fill="auto"/>
            <w:vAlign w:val="bottom"/>
          </w:tcPr>
          <w:p w14:paraId="098A8C89" w14:textId="77777777" w:rsidR="00141CDF" w:rsidRDefault="00141CDF">
            <w:pPr>
              <w:rPr>
                <w:rFonts w:ascii="宋体"/>
                <w:vanish/>
              </w:rPr>
            </w:pPr>
          </w:p>
        </w:tc>
        <w:tc>
          <w:tcPr>
            <w:tcW w:w="0" w:type="auto"/>
            <w:gridSpan w:val="3"/>
            <w:shd w:val="clear" w:color="auto" w:fill="auto"/>
            <w:vAlign w:val="bottom"/>
          </w:tcPr>
          <w:p w14:paraId="098A8C8A" w14:textId="77777777" w:rsidR="00141CDF" w:rsidRDefault="00141CDF">
            <w:pPr>
              <w:rPr>
                <w:rFonts w:ascii="宋体"/>
                <w:vanish/>
              </w:rPr>
            </w:pPr>
          </w:p>
        </w:tc>
        <w:tc>
          <w:tcPr>
            <w:tcW w:w="0" w:type="auto"/>
            <w:gridSpan w:val="3"/>
            <w:shd w:val="clear" w:color="auto" w:fill="auto"/>
            <w:vAlign w:val="bottom"/>
          </w:tcPr>
          <w:p w14:paraId="098A8C8B" w14:textId="77777777" w:rsidR="00141CDF" w:rsidRDefault="00141CDF">
            <w:pPr>
              <w:rPr>
                <w:rFonts w:ascii="宋体"/>
                <w:vanish/>
              </w:rPr>
            </w:pPr>
          </w:p>
        </w:tc>
        <w:tc>
          <w:tcPr>
            <w:tcW w:w="0" w:type="auto"/>
            <w:gridSpan w:val="3"/>
            <w:shd w:val="clear" w:color="auto" w:fill="auto"/>
            <w:vAlign w:val="bottom"/>
          </w:tcPr>
          <w:p w14:paraId="098A8C8C" w14:textId="77777777" w:rsidR="00141CDF" w:rsidRDefault="00141CDF">
            <w:pPr>
              <w:rPr>
                <w:rFonts w:ascii="宋体"/>
                <w:vanish/>
              </w:rPr>
            </w:pPr>
          </w:p>
        </w:tc>
        <w:tc>
          <w:tcPr>
            <w:tcW w:w="0" w:type="auto"/>
            <w:gridSpan w:val="3"/>
            <w:shd w:val="clear" w:color="auto" w:fill="auto"/>
            <w:vAlign w:val="bottom"/>
          </w:tcPr>
          <w:p w14:paraId="098A8C8D" w14:textId="77777777" w:rsidR="00141CDF" w:rsidRDefault="00141CDF">
            <w:pPr>
              <w:rPr>
                <w:rFonts w:ascii="宋体"/>
                <w:vanish/>
              </w:rPr>
            </w:pPr>
          </w:p>
        </w:tc>
        <w:tc>
          <w:tcPr>
            <w:tcW w:w="0" w:type="auto"/>
            <w:gridSpan w:val="3"/>
            <w:shd w:val="clear" w:color="auto" w:fill="auto"/>
            <w:vAlign w:val="bottom"/>
          </w:tcPr>
          <w:p w14:paraId="098A8C8E" w14:textId="77777777" w:rsidR="00141CDF" w:rsidRDefault="00141CDF">
            <w:pPr>
              <w:rPr>
                <w:rFonts w:ascii="宋体"/>
                <w:vanish/>
              </w:rPr>
            </w:pPr>
          </w:p>
        </w:tc>
        <w:tc>
          <w:tcPr>
            <w:tcW w:w="0" w:type="auto"/>
            <w:shd w:val="clear" w:color="auto" w:fill="auto"/>
            <w:vAlign w:val="bottom"/>
          </w:tcPr>
          <w:p w14:paraId="098A8C8F" w14:textId="77777777" w:rsidR="00141CDF" w:rsidRDefault="00141CDF">
            <w:pPr>
              <w:rPr>
                <w:rFonts w:ascii="宋体"/>
                <w:vanish/>
              </w:rPr>
            </w:pPr>
          </w:p>
        </w:tc>
        <w:tc>
          <w:tcPr>
            <w:tcW w:w="0" w:type="auto"/>
            <w:shd w:val="clear" w:color="auto" w:fill="auto"/>
            <w:vAlign w:val="bottom"/>
          </w:tcPr>
          <w:p w14:paraId="098A8C90" w14:textId="77777777" w:rsidR="00141CDF" w:rsidRDefault="00141CDF">
            <w:pPr>
              <w:rPr>
                <w:rFonts w:ascii="宋体"/>
                <w:vanish/>
              </w:rPr>
            </w:pPr>
          </w:p>
        </w:tc>
        <w:tc>
          <w:tcPr>
            <w:tcW w:w="0" w:type="auto"/>
            <w:shd w:val="clear" w:color="auto" w:fill="auto"/>
            <w:vAlign w:val="bottom"/>
          </w:tcPr>
          <w:p w14:paraId="098A8C91" w14:textId="77777777" w:rsidR="00141CDF" w:rsidRDefault="00141CDF">
            <w:pPr>
              <w:rPr>
                <w:rFonts w:ascii="宋体"/>
                <w:vanish/>
              </w:rPr>
            </w:pPr>
          </w:p>
        </w:tc>
      </w:tr>
      <w:tr w:rsidR="00141CDF" w14:paraId="098A8CAE" w14:textId="77777777">
        <w:tc>
          <w:tcPr>
            <w:tcW w:w="0" w:type="auto"/>
            <w:gridSpan w:val="3"/>
            <w:shd w:val="clear" w:color="auto" w:fill="FFFFFF"/>
            <w:tcMar>
              <w:top w:w="40" w:type="dxa"/>
              <w:left w:w="20" w:type="dxa"/>
              <w:bottom w:w="40" w:type="dxa"/>
              <w:right w:w="20" w:type="dxa"/>
            </w:tcMar>
            <w:vAlign w:val="center"/>
          </w:tcPr>
          <w:p w14:paraId="098A8C93" w14:textId="77777777" w:rsidR="00141CDF" w:rsidRDefault="00DF45E0">
            <w:pPr>
              <w:textAlignment w:val="center"/>
            </w:pPr>
            <w:r>
              <w:rPr>
                <w:rFonts w:ascii="Times New Roman" w:eastAsia="宋体" w:hAnsi="Times New Roman"/>
                <w:color w:val="000000"/>
                <w:sz w:val="16"/>
                <w:szCs w:val="16"/>
              </w:rPr>
              <w:t>Sale of subsidiary stock</w:t>
            </w:r>
          </w:p>
        </w:tc>
        <w:tc>
          <w:tcPr>
            <w:tcW w:w="0" w:type="auto"/>
            <w:gridSpan w:val="2"/>
            <w:shd w:val="clear" w:color="auto" w:fill="FFFFFF"/>
            <w:tcMar>
              <w:top w:w="40" w:type="dxa"/>
              <w:left w:w="20" w:type="dxa"/>
              <w:bottom w:w="40" w:type="dxa"/>
              <w:right w:w="0" w:type="dxa"/>
            </w:tcMar>
            <w:vAlign w:val="center"/>
          </w:tcPr>
          <w:p w14:paraId="098A8C94"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8C95"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C96"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C97"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8C98"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C99"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C9A" w14:textId="77777777" w:rsidR="00141CDF" w:rsidRDefault="00DF45E0">
            <w:pPr>
              <w:jc w:val="right"/>
              <w:textAlignment w:val="center"/>
            </w:pPr>
            <w:r>
              <w:rPr>
                <w:rFonts w:ascii="Times New Roman" w:eastAsia="宋体" w:hAnsi="Times New Roman"/>
                <w:color w:val="000000"/>
                <w:sz w:val="16"/>
                <w:szCs w:val="16"/>
              </w:rPr>
              <w:t>24 </w:t>
            </w:r>
          </w:p>
        </w:tc>
        <w:tc>
          <w:tcPr>
            <w:tcW w:w="0" w:type="auto"/>
            <w:shd w:val="clear" w:color="auto" w:fill="FFFFFF"/>
            <w:tcMar>
              <w:top w:w="40" w:type="dxa"/>
              <w:left w:w="0" w:type="dxa"/>
              <w:bottom w:w="40" w:type="dxa"/>
              <w:right w:w="20" w:type="dxa"/>
            </w:tcMar>
            <w:vAlign w:val="center"/>
          </w:tcPr>
          <w:p w14:paraId="098A8C9B"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C9C"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C9D"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8C9E"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C9F"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CA0"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8CA1"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CA2"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CA3" w14:textId="77777777" w:rsidR="00141CDF" w:rsidRDefault="00DF45E0">
            <w:pPr>
              <w:jc w:val="right"/>
              <w:textAlignment w:val="center"/>
            </w:pPr>
            <w:r>
              <w:rPr>
                <w:rFonts w:ascii="Times New Roman" w:eastAsia="宋体" w:hAnsi="Times New Roman"/>
                <w:color w:val="000000"/>
                <w:sz w:val="16"/>
                <w:szCs w:val="16"/>
              </w:rPr>
              <w:t>24 </w:t>
            </w:r>
          </w:p>
        </w:tc>
        <w:tc>
          <w:tcPr>
            <w:tcW w:w="0" w:type="auto"/>
            <w:shd w:val="clear" w:color="auto" w:fill="FFFFFF"/>
            <w:tcMar>
              <w:top w:w="40" w:type="dxa"/>
              <w:left w:w="0" w:type="dxa"/>
              <w:bottom w:w="40" w:type="dxa"/>
              <w:right w:w="20" w:type="dxa"/>
            </w:tcMar>
            <w:vAlign w:val="center"/>
          </w:tcPr>
          <w:p w14:paraId="098A8CA4"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CA5"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CA6" w14:textId="77777777" w:rsidR="00141CDF" w:rsidRDefault="00DF45E0">
            <w:pPr>
              <w:jc w:val="right"/>
              <w:textAlignment w:val="center"/>
            </w:pPr>
            <w:r>
              <w:rPr>
                <w:rFonts w:ascii="Times New Roman" w:eastAsia="宋体" w:hAnsi="Times New Roman"/>
                <w:color w:val="000000"/>
                <w:sz w:val="16"/>
                <w:szCs w:val="16"/>
              </w:rPr>
              <w:t>11 </w:t>
            </w:r>
          </w:p>
        </w:tc>
        <w:tc>
          <w:tcPr>
            <w:tcW w:w="0" w:type="auto"/>
            <w:shd w:val="clear" w:color="auto" w:fill="FFFFFF"/>
            <w:tcMar>
              <w:top w:w="40" w:type="dxa"/>
              <w:left w:w="0" w:type="dxa"/>
              <w:bottom w:w="40" w:type="dxa"/>
              <w:right w:w="20" w:type="dxa"/>
            </w:tcMar>
            <w:vAlign w:val="center"/>
          </w:tcPr>
          <w:p w14:paraId="098A8CA7"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CA8"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CA9" w14:textId="77777777" w:rsidR="00141CDF" w:rsidRDefault="00DF45E0">
            <w:pPr>
              <w:jc w:val="right"/>
              <w:textAlignment w:val="center"/>
            </w:pPr>
            <w:r>
              <w:rPr>
                <w:rFonts w:ascii="Times New Roman" w:eastAsia="宋体" w:hAnsi="Times New Roman"/>
                <w:color w:val="000000"/>
                <w:sz w:val="16"/>
                <w:szCs w:val="16"/>
              </w:rPr>
              <w:t>35 </w:t>
            </w:r>
          </w:p>
        </w:tc>
        <w:tc>
          <w:tcPr>
            <w:tcW w:w="0" w:type="auto"/>
            <w:shd w:val="clear" w:color="auto" w:fill="FFFFFF"/>
            <w:tcMar>
              <w:top w:w="40" w:type="dxa"/>
              <w:left w:w="0" w:type="dxa"/>
              <w:bottom w:w="40" w:type="dxa"/>
              <w:right w:w="20" w:type="dxa"/>
            </w:tcMar>
            <w:vAlign w:val="center"/>
          </w:tcPr>
          <w:p w14:paraId="098A8CAA" w14:textId="77777777" w:rsidR="00141CDF" w:rsidRDefault="00141CDF">
            <w:pPr>
              <w:jc w:val="right"/>
              <w:rPr>
                <w:rFonts w:ascii="宋体"/>
              </w:rPr>
            </w:pPr>
          </w:p>
        </w:tc>
        <w:tc>
          <w:tcPr>
            <w:tcW w:w="0" w:type="auto"/>
            <w:shd w:val="clear" w:color="auto" w:fill="auto"/>
            <w:vAlign w:val="bottom"/>
          </w:tcPr>
          <w:p w14:paraId="098A8CAB" w14:textId="77777777" w:rsidR="00141CDF" w:rsidRDefault="00141CDF">
            <w:pPr>
              <w:rPr>
                <w:rFonts w:ascii="宋体"/>
                <w:vanish/>
              </w:rPr>
            </w:pPr>
          </w:p>
        </w:tc>
        <w:tc>
          <w:tcPr>
            <w:tcW w:w="0" w:type="auto"/>
            <w:shd w:val="clear" w:color="auto" w:fill="auto"/>
            <w:vAlign w:val="bottom"/>
          </w:tcPr>
          <w:p w14:paraId="098A8CAC" w14:textId="77777777" w:rsidR="00141CDF" w:rsidRDefault="00141CDF">
            <w:pPr>
              <w:rPr>
                <w:rFonts w:ascii="宋体"/>
                <w:vanish/>
              </w:rPr>
            </w:pPr>
          </w:p>
        </w:tc>
        <w:tc>
          <w:tcPr>
            <w:tcW w:w="0" w:type="auto"/>
            <w:shd w:val="clear" w:color="auto" w:fill="auto"/>
            <w:vAlign w:val="bottom"/>
          </w:tcPr>
          <w:p w14:paraId="098A8CAD" w14:textId="77777777" w:rsidR="00141CDF" w:rsidRDefault="00141CDF">
            <w:pPr>
              <w:rPr>
                <w:rFonts w:ascii="宋体"/>
                <w:vanish/>
              </w:rPr>
            </w:pPr>
          </w:p>
        </w:tc>
      </w:tr>
      <w:tr w:rsidR="00141CDF" w14:paraId="098A8CCA" w14:textId="77777777">
        <w:tc>
          <w:tcPr>
            <w:tcW w:w="0" w:type="auto"/>
            <w:gridSpan w:val="3"/>
            <w:shd w:val="clear" w:color="auto" w:fill="CCEEFF"/>
            <w:tcMar>
              <w:top w:w="40" w:type="dxa"/>
              <w:left w:w="20" w:type="dxa"/>
              <w:bottom w:w="40" w:type="dxa"/>
              <w:right w:w="20" w:type="dxa"/>
            </w:tcMar>
            <w:vAlign w:val="center"/>
          </w:tcPr>
          <w:p w14:paraId="098A8CAF" w14:textId="77777777" w:rsidR="00141CDF" w:rsidRDefault="00DF45E0">
            <w:pPr>
              <w:textAlignment w:val="center"/>
            </w:pPr>
            <w:r>
              <w:rPr>
                <w:rFonts w:ascii="Times New Roman" w:eastAsia="宋体" w:hAnsi="Times New Roman"/>
                <w:color w:val="000000"/>
                <w:sz w:val="16"/>
                <w:szCs w:val="16"/>
              </w:rPr>
              <w:t>Other</w:t>
            </w:r>
          </w:p>
        </w:tc>
        <w:tc>
          <w:tcPr>
            <w:tcW w:w="0" w:type="auto"/>
            <w:gridSpan w:val="2"/>
            <w:shd w:val="clear" w:color="auto" w:fill="CCEEFF"/>
            <w:tcMar>
              <w:top w:w="40" w:type="dxa"/>
              <w:left w:w="20" w:type="dxa"/>
              <w:bottom w:w="40" w:type="dxa"/>
              <w:right w:w="0" w:type="dxa"/>
            </w:tcMar>
            <w:vAlign w:val="center"/>
          </w:tcPr>
          <w:p w14:paraId="098A8CB0" w14:textId="77777777" w:rsidR="00141CDF" w:rsidRDefault="00DF45E0">
            <w:pPr>
              <w:jc w:val="right"/>
              <w:textAlignment w:val="center"/>
            </w:pPr>
            <w:r>
              <w:rPr>
                <w:rFonts w:ascii="Times New Roman" w:eastAsia="宋体" w:hAnsi="Times New Roman"/>
                <w:color w:val="000000"/>
                <w:sz w:val="16"/>
                <w:szCs w:val="16"/>
              </w:rPr>
              <w:t>4 </w:t>
            </w:r>
          </w:p>
        </w:tc>
        <w:tc>
          <w:tcPr>
            <w:tcW w:w="0" w:type="auto"/>
            <w:shd w:val="clear" w:color="auto" w:fill="CCEEFF"/>
            <w:tcMar>
              <w:top w:w="40" w:type="dxa"/>
              <w:left w:w="0" w:type="dxa"/>
              <w:bottom w:w="40" w:type="dxa"/>
              <w:right w:w="20" w:type="dxa"/>
            </w:tcMar>
            <w:vAlign w:val="center"/>
          </w:tcPr>
          <w:p w14:paraId="098A8CB1"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CB2"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CB3" w14:textId="77777777" w:rsidR="00141CDF" w:rsidRDefault="00DF45E0">
            <w:pPr>
              <w:jc w:val="right"/>
              <w:textAlignment w:val="center"/>
            </w:pPr>
            <w:r>
              <w:rPr>
                <w:rFonts w:ascii="Times New Roman" w:eastAsia="宋体" w:hAnsi="Times New Roman"/>
                <w:color w:val="000000"/>
                <w:sz w:val="16"/>
                <w:szCs w:val="16"/>
              </w:rPr>
              <w:t>1 </w:t>
            </w:r>
          </w:p>
        </w:tc>
        <w:tc>
          <w:tcPr>
            <w:tcW w:w="0" w:type="auto"/>
            <w:shd w:val="clear" w:color="auto" w:fill="CCEEFF"/>
            <w:tcMar>
              <w:top w:w="40" w:type="dxa"/>
              <w:left w:w="0" w:type="dxa"/>
              <w:bottom w:w="40" w:type="dxa"/>
              <w:right w:w="20" w:type="dxa"/>
            </w:tcMar>
            <w:vAlign w:val="center"/>
          </w:tcPr>
          <w:p w14:paraId="098A8CB4"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CB5"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CB6" w14:textId="77777777" w:rsidR="00141CDF" w:rsidRDefault="00DF45E0">
            <w:pPr>
              <w:jc w:val="right"/>
              <w:textAlignment w:val="center"/>
            </w:pPr>
            <w:r>
              <w:rPr>
                <w:rFonts w:ascii="Times New Roman" w:eastAsia="宋体" w:hAnsi="Times New Roman"/>
                <w:color w:val="000000"/>
                <w:sz w:val="16"/>
                <w:szCs w:val="16"/>
              </w:rPr>
              <w:t>(151)</w:t>
            </w:r>
          </w:p>
        </w:tc>
        <w:tc>
          <w:tcPr>
            <w:tcW w:w="0" w:type="auto"/>
            <w:shd w:val="clear" w:color="auto" w:fill="CCEEFF"/>
            <w:tcMar>
              <w:top w:w="40" w:type="dxa"/>
              <w:left w:w="0" w:type="dxa"/>
              <w:bottom w:w="40" w:type="dxa"/>
              <w:right w:w="20" w:type="dxa"/>
            </w:tcMar>
            <w:vAlign w:val="center"/>
          </w:tcPr>
          <w:p w14:paraId="098A8CB7"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CB8"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CB9" w14:textId="77777777" w:rsidR="00141CDF" w:rsidRDefault="00DF45E0">
            <w:pPr>
              <w:jc w:val="right"/>
              <w:textAlignment w:val="center"/>
            </w:pPr>
            <w:r>
              <w:rPr>
                <w:rFonts w:ascii="Times New Roman" w:eastAsia="宋体" w:hAnsi="Times New Roman"/>
                <w:color w:val="000000"/>
                <w:sz w:val="16"/>
                <w:szCs w:val="16"/>
              </w:rPr>
              <w:t>(4)</w:t>
            </w:r>
          </w:p>
        </w:tc>
        <w:tc>
          <w:tcPr>
            <w:tcW w:w="0" w:type="auto"/>
            <w:shd w:val="clear" w:color="auto" w:fill="CCEEFF"/>
            <w:tcMar>
              <w:top w:w="40" w:type="dxa"/>
              <w:left w:w="0" w:type="dxa"/>
              <w:bottom w:w="40" w:type="dxa"/>
              <w:right w:w="20" w:type="dxa"/>
            </w:tcMar>
            <w:vAlign w:val="center"/>
          </w:tcPr>
          <w:p w14:paraId="098A8CBA"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CBB"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CBC"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098A8CBD"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CBE"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CBF" w14:textId="77777777" w:rsidR="00141CDF" w:rsidRDefault="00DF45E0">
            <w:pPr>
              <w:jc w:val="right"/>
              <w:textAlignment w:val="center"/>
            </w:pPr>
            <w:r>
              <w:rPr>
                <w:rFonts w:ascii="Times New Roman" w:eastAsia="宋体" w:hAnsi="Times New Roman"/>
                <w:color w:val="000000"/>
                <w:sz w:val="16"/>
                <w:szCs w:val="16"/>
              </w:rPr>
              <w:t>(154)</w:t>
            </w:r>
          </w:p>
        </w:tc>
        <w:tc>
          <w:tcPr>
            <w:tcW w:w="0" w:type="auto"/>
            <w:shd w:val="clear" w:color="auto" w:fill="CCEEFF"/>
            <w:tcMar>
              <w:top w:w="40" w:type="dxa"/>
              <w:left w:w="0" w:type="dxa"/>
              <w:bottom w:w="40" w:type="dxa"/>
              <w:right w:w="20" w:type="dxa"/>
            </w:tcMar>
            <w:vAlign w:val="center"/>
          </w:tcPr>
          <w:p w14:paraId="098A8CC0"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CC1"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CC2" w14:textId="77777777" w:rsidR="00141CDF" w:rsidRDefault="00DF45E0">
            <w:pPr>
              <w:jc w:val="right"/>
              <w:textAlignment w:val="center"/>
            </w:pPr>
            <w:r>
              <w:rPr>
                <w:rFonts w:ascii="Times New Roman" w:eastAsia="宋体" w:hAnsi="Times New Roman"/>
                <w:color w:val="000000"/>
                <w:sz w:val="16"/>
                <w:szCs w:val="16"/>
              </w:rPr>
              <w:t>(1)</w:t>
            </w:r>
          </w:p>
        </w:tc>
        <w:tc>
          <w:tcPr>
            <w:tcW w:w="0" w:type="auto"/>
            <w:shd w:val="clear" w:color="auto" w:fill="CCEEFF"/>
            <w:tcMar>
              <w:top w:w="40" w:type="dxa"/>
              <w:left w:w="0" w:type="dxa"/>
              <w:bottom w:w="40" w:type="dxa"/>
              <w:right w:w="20" w:type="dxa"/>
            </w:tcMar>
            <w:vAlign w:val="center"/>
          </w:tcPr>
          <w:p w14:paraId="098A8CC3"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CC4"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CC5" w14:textId="77777777" w:rsidR="00141CDF" w:rsidRDefault="00DF45E0">
            <w:pPr>
              <w:jc w:val="right"/>
              <w:textAlignment w:val="center"/>
            </w:pPr>
            <w:r>
              <w:rPr>
                <w:rFonts w:ascii="Times New Roman" w:eastAsia="宋体" w:hAnsi="Times New Roman"/>
                <w:color w:val="000000"/>
                <w:sz w:val="16"/>
                <w:szCs w:val="16"/>
              </w:rPr>
              <w:t>(155)</w:t>
            </w:r>
          </w:p>
        </w:tc>
        <w:tc>
          <w:tcPr>
            <w:tcW w:w="0" w:type="auto"/>
            <w:shd w:val="clear" w:color="auto" w:fill="CCEEFF"/>
            <w:tcMar>
              <w:top w:w="40" w:type="dxa"/>
              <w:left w:w="0" w:type="dxa"/>
              <w:bottom w:w="40" w:type="dxa"/>
              <w:right w:w="20" w:type="dxa"/>
            </w:tcMar>
            <w:vAlign w:val="center"/>
          </w:tcPr>
          <w:p w14:paraId="098A8CC6" w14:textId="77777777" w:rsidR="00141CDF" w:rsidRDefault="00141CDF">
            <w:pPr>
              <w:jc w:val="right"/>
              <w:rPr>
                <w:rFonts w:ascii="宋体"/>
              </w:rPr>
            </w:pPr>
          </w:p>
        </w:tc>
        <w:tc>
          <w:tcPr>
            <w:tcW w:w="0" w:type="auto"/>
            <w:shd w:val="clear" w:color="auto" w:fill="auto"/>
            <w:vAlign w:val="bottom"/>
          </w:tcPr>
          <w:p w14:paraId="098A8CC7" w14:textId="77777777" w:rsidR="00141CDF" w:rsidRDefault="00141CDF">
            <w:pPr>
              <w:rPr>
                <w:rFonts w:ascii="宋体"/>
                <w:vanish/>
              </w:rPr>
            </w:pPr>
          </w:p>
        </w:tc>
        <w:tc>
          <w:tcPr>
            <w:tcW w:w="0" w:type="auto"/>
            <w:shd w:val="clear" w:color="auto" w:fill="auto"/>
            <w:vAlign w:val="bottom"/>
          </w:tcPr>
          <w:p w14:paraId="098A8CC8" w14:textId="77777777" w:rsidR="00141CDF" w:rsidRDefault="00141CDF">
            <w:pPr>
              <w:rPr>
                <w:rFonts w:ascii="宋体"/>
                <w:vanish/>
              </w:rPr>
            </w:pPr>
          </w:p>
        </w:tc>
        <w:tc>
          <w:tcPr>
            <w:tcW w:w="0" w:type="auto"/>
            <w:shd w:val="clear" w:color="auto" w:fill="auto"/>
            <w:vAlign w:val="bottom"/>
          </w:tcPr>
          <w:p w14:paraId="098A8CC9" w14:textId="77777777" w:rsidR="00141CDF" w:rsidRDefault="00141CDF">
            <w:pPr>
              <w:rPr>
                <w:rFonts w:ascii="宋体"/>
                <w:vanish/>
              </w:rPr>
            </w:pPr>
          </w:p>
        </w:tc>
      </w:tr>
      <w:tr w:rsidR="00DF45E0" w14:paraId="098A8CED" w14:textId="77777777">
        <w:tc>
          <w:tcPr>
            <w:tcW w:w="0" w:type="auto"/>
            <w:gridSpan w:val="3"/>
            <w:shd w:val="clear" w:color="auto" w:fill="FFFFFF"/>
            <w:tcMar>
              <w:top w:w="40" w:type="dxa"/>
              <w:left w:w="20" w:type="dxa"/>
              <w:bottom w:w="40" w:type="dxa"/>
              <w:right w:w="20" w:type="dxa"/>
            </w:tcMar>
            <w:vAlign w:val="center"/>
          </w:tcPr>
          <w:p w14:paraId="098A8CCB" w14:textId="77777777" w:rsidR="00141CDF" w:rsidRDefault="00DF45E0">
            <w:pPr>
              <w:textAlignment w:val="center"/>
            </w:pPr>
            <w:r>
              <w:rPr>
                <w:rFonts w:ascii="Times New Roman" w:eastAsia="宋体" w:hAnsi="Times New Roman"/>
                <w:b/>
                <w:bCs/>
                <w:color w:val="000000"/>
                <w:sz w:val="16"/>
                <w:szCs w:val="16"/>
              </w:rPr>
              <w:t>Balances as of April 30, 2022</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98A8CCC" w14:textId="77777777" w:rsidR="00141CDF" w:rsidRDefault="00DF45E0">
            <w:pPr>
              <w:jc w:val="right"/>
              <w:textAlignment w:val="center"/>
            </w:pPr>
            <w:r>
              <w:rPr>
                <w:rFonts w:ascii="Times New Roman" w:eastAsia="宋体" w:hAnsi="Times New Roman"/>
                <w:color w:val="000000"/>
                <w:sz w:val="16"/>
                <w:szCs w:val="16"/>
              </w:rPr>
              <w:t>2,748 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8CCD"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CCE" w14:textId="77777777" w:rsidR="00141CDF" w:rsidRDefault="00141C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98A8CCF"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98A8CD0" w14:textId="77777777" w:rsidR="00141CDF" w:rsidRDefault="00DF45E0">
            <w:pPr>
              <w:jc w:val="right"/>
              <w:textAlignment w:val="center"/>
            </w:pPr>
            <w:r>
              <w:rPr>
                <w:rFonts w:ascii="Times New Roman" w:eastAsia="宋体" w:hAnsi="Times New Roman"/>
                <w:color w:val="000000"/>
                <w:sz w:val="16"/>
                <w:szCs w:val="16"/>
              </w:rPr>
              <w:t>275 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8CD1"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CD2" w14:textId="77777777" w:rsidR="00141CDF" w:rsidRDefault="00141C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98A8CD3"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98A8CD4" w14:textId="77777777" w:rsidR="00141CDF" w:rsidRDefault="00DF45E0">
            <w:pPr>
              <w:jc w:val="right"/>
              <w:textAlignment w:val="center"/>
            </w:pPr>
            <w:r>
              <w:rPr>
                <w:rFonts w:ascii="Times New Roman" w:eastAsia="宋体" w:hAnsi="Times New Roman"/>
                <w:color w:val="000000"/>
                <w:sz w:val="16"/>
                <w:szCs w:val="16"/>
              </w:rPr>
              <w:t>4,587 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8CD5"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CD6" w14:textId="77777777" w:rsidR="00141CDF" w:rsidRDefault="00141C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98A8CD7"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98A8CD8" w14:textId="77777777" w:rsidR="00141CDF" w:rsidRDefault="00DF45E0">
            <w:pPr>
              <w:jc w:val="right"/>
              <w:textAlignment w:val="center"/>
            </w:pPr>
            <w:r>
              <w:rPr>
                <w:rFonts w:ascii="Times New Roman" w:eastAsia="宋体" w:hAnsi="Times New Roman"/>
                <w:color w:val="000000"/>
                <w:sz w:val="16"/>
                <w:szCs w:val="16"/>
              </w:rPr>
              <w:t>80,532 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8CD9"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CDA" w14:textId="77777777" w:rsidR="00141CDF" w:rsidRDefault="00141C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98A8CDB"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98A8CDC" w14:textId="77777777" w:rsidR="00141CDF" w:rsidRDefault="00DF45E0">
            <w:pPr>
              <w:jc w:val="right"/>
              <w:textAlignment w:val="center"/>
            </w:pPr>
            <w:r>
              <w:rPr>
                <w:rFonts w:ascii="Times New Roman" w:eastAsia="宋体" w:hAnsi="Times New Roman"/>
                <w:color w:val="000000"/>
                <w:sz w:val="16"/>
                <w:szCs w:val="16"/>
              </w:rPr>
              <w:t>(8,498)</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8CDD"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CDE" w14:textId="77777777" w:rsidR="00141CDF" w:rsidRDefault="00141C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98A8CDF"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98A8CE0" w14:textId="77777777" w:rsidR="00141CDF" w:rsidRDefault="00DF45E0">
            <w:pPr>
              <w:jc w:val="right"/>
              <w:textAlignment w:val="center"/>
            </w:pPr>
            <w:r>
              <w:rPr>
                <w:rFonts w:ascii="Times New Roman" w:eastAsia="宋体" w:hAnsi="Times New Roman"/>
                <w:color w:val="000000"/>
                <w:sz w:val="16"/>
                <w:szCs w:val="16"/>
              </w:rPr>
              <w:t>76,896 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8CE1"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CE2" w14:textId="77777777" w:rsidR="00141CDF" w:rsidRDefault="00141C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98A8CE3"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98A8CE4" w14:textId="77777777" w:rsidR="00141CDF" w:rsidRDefault="00DF45E0">
            <w:pPr>
              <w:jc w:val="right"/>
              <w:textAlignment w:val="center"/>
            </w:pPr>
            <w:r>
              <w:rPr>
                <w:rFonts w:ascii="Times New Roman" w:eastAsia="宋体" w:hAnsi="Times New Roman"/>
                <w:color w:val="000000"/>
                <w:sz w:val="16"/>
                <w:szCs w:val="16"/>
              </w:rPr>
              <w:t>8,704 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8CE5"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CE6" w14:textId="77777777" w:rsidR="00141CDF" w:rsidRDefault="00141C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98A8CE7"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98A8CE8" w14:textId="77777777" w:rsidR="00141CDF" w:rsidRDefault="00DF45E0">
            <w:pPr>
              <w:jc w:val="right"/>
              <w:textAlignment w:val="center"/>
            </w:pPr>
            <w:r>
              <w:rPr>
                <w:rFonts w:ascii="Times New Roman" w:eastAsia="宋体" w:hAnsi="Times New Roman"/>
                <w:color w:val="000000"/>
                <w:sz w:val="16"/>
                <w:szCs w:val="16"/>
              </w:rPr>
              <w:t>85,600 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8CE9" w14:textId="77777777" w:rsidR="00141CDF" w:rsidRDefault="00141CDF">
            <w:pPr>
              <w:jc w:val="right"/>
              <w:rPr>
                <w:rFonts w:ascii="宋体"/>
              </w:rPr>
            </w:pPr>
          </w:p>
        </w:tc>
        <w:tc>
          <w:tcPr>
            <w:tcW w:w="0" w:type="auto"/>
            <w:shd w:val="clear" w:color="auto" w:fill="auto"/>
            <w:vAlign w:val="bottom"/>
          </w:tcPr>
          <w:p w14:paraId="098A8CEA" w14:textId="77777777" w:rsidR="00141CDF" w:rsidRDefault="00141CDF">
            <w:pPr>
              <w:rPr>
                <w:rFonts w:ascii="宋体"/>
                <w:vanish/>
              </w:rPr>
            </w:pPr>
          </w:p>
        </w:tc>
        <w:tc>
          <w:tcPr>
            <w:tcW w:w="0" w:type="auto"/>
            <w:shd w:val="clear" w:color="auto" w:fill="auto"/>
            <w:vAlign w:val="bottom"/>
          </w:tcPr>
          <w:p w14:paraId="098A8CEB" w14:textId="77777777" w:rsidR="00141CDF" w:rsidRDefault="00141CDF">
            <w:pPr>
              <w:rPr>
                <w:rFonts w:ascii="宋体"/>
                <w:vanish/>
              </w:rPr>
            </w:pPr>
          </w:p>
        </w:tc>
        <w:tc>
          <w:tcPr>
            <w:tcW w:w="0" w:type="auto"/>
            <w:shd w:val="clear" w:color="auto" w:fill="auto"/>
            <w:vAlign w:val="bottom"/>
          </w:tcPr>
          <w:p w14:paraId="098A8CEC" w14:textId="77777777" w:rsidR="00141CDF" w:rsidRDefault="00141CDF">
            <w:pPr>
              <w:rPr>
                <w:rFonts w:ascii="宋体"/>
                <w:vanish/>
              </w:rPr>
            </w:pPr>
          </w:p>
        </w:tc>
      </w:tr>
      <w:tr w:rsidR="00141CDF" w14:paraId="098A8D09" w14:textId="77777777">
        <w:tc>
          <w:tcPr>
            <w:tcW w:w="0" w:type="auto"/>
            <w:gridSpan w:val="3"/>
            <w:shd w:val="clear" w:color="auto" w:fill="CCEEFF"/>
            <w:tcMar>
              <w:top w:w="40" w:type="dxa"/>
              <w:left w:w="20" w:type="dxa"/>
              <w:bottom w:w="40" w:type="dxa"/>
              <w:right w:w="20" w:type="dxa"/>
            </w:tcMar>
            <w:vAlign w:val="center"/>
          </w:tcPr>
          <w:p w14:paraId="098A8CEE" w14:textId="77777777" w:rsidR="00141CDF" w:rsidRDefault="00DF45E0">
            <w:pPr>
              <w:textAlignment w:val="center"/>
            </w:pPr>
            <w:r>
              <w:rPr>
                <w:rFonts w:ascii="Times New Roman" w:eastAsia="宋体" w:hAnsi="Times New Roman"/>
                <w:color w:val="000000"/>
                <w:sz w:val="16"/>
                <w:szCs w:val="16"/>
              </w:rPr>
              <w:t xml:space="preserve">Consolidated </w:t>
            </w:r>
            <w:r>
              <w:rPr>
                <w:rFonts w:ascii="Times New Roman" w:eastAsia="宋体" w:hAnsi="Times New Roman"/>
                <w:color w:val="000000"/>
                <w:sz w:val="16"/>
                <w:szCs w:val="16"/>
              </w:rPr>
              <w:t>net income</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98A8CEF" w14:textId="77777777" w:rsidR="00141CDF" w:rsidRDefault="00DF45E0">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8CF0"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CF1" w14:textId="77777777" w:rsidR="00141CDF" w:rsidRDefault="00141CD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98A8CF2" w14:textId="77777777" w:rsidR="00141CDF" w:rsidRDefault="00DF45E0">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8CF3"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CF4" w14:textId="77777777" w:rsidR="00141CDF" w:rsidRDefault="00141CD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98A8CF5" w14:textId="77777777" w:rsidR="00141CDF" w:rsidRDefault="00DF45E0">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8CF6"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CF7" w14:textId="77777777" w:rsidR="00141CDF" w:rsidRDefault="00141CD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98A8CF8" w14:textId="77777777" w:rsidR="00141CDF" w:rsidRDefault="00DF45E0">
            <w:pPr>
              <w:jc w:val="right"/>
              <w:textAlignment w:val="center"/>
            </w:pPr>
            <w:r>
              <w:rPr>
                <w:rFonts w:ascii="Times New Roman" w:eastAsia="宋体" w:hAnsi="Times New Roman"/>
                <w:color w:val="000000"/>
                <w:sz w:val="16"/>
                <w:szCs w:val="16"/>
              </w:rPr>
              <w:t>5,149 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8CF9"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CFA" w14:textId="77777777" w:rsidR="00141CDF" w:rsidRDefault="00141CD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98A8CFB" w14:textId="77777777" w:rsidR="00141CDF" w:rsidRDefault="00DF45E0">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8CFC"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CFD" w14:textId="77777777" w:rsidR="00141CDF" w:rsidRDefault="00141CD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98A8CFE" w14:textId="77777777" w:rsidR="00141CDF" w:rsidRDefault="00DF45E0">
            <w:pPr>
              <w:jc w:val="right"/>
              <w:textAlignment w:val="center"/>
            </w:pPr>
            <w:r>
              <w:rPr>
                <w:rFonts w:ascii="Times New Roman" w:eastAsia="宋体" w:hAnsi="Times New Roman"/>
                <w:color w:val="000000"/>
                <w:sz w:val="16"/>
                <w:szCs w:val="16"/>
              </w:rPr>
              <w:t>5,149 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8CFF"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D00" w14:textId="77777777" w:rsidR="00141CDF" w:rsidRDefault="00141CD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98A8D01" w14:textId="77777777" w:rsidR="00141CDF" w:rsidRDefault="00DF45E0">
            <w:pPr>
              <w:jc w:val="right"/>
              <w:textAlignment w:val="center"/>
            </w:pPr>
            <w:r>
              <w:rPr>
                <w:rFonts w:ascii="Times New Roman" w:eastAsia="宋体" w:hAnsi="Times New Roman"/>
                <w:color w:val="000000"/>
                <w:sz w:val="16"/>
                <w:szCs w:val="16"/>
              </w:rPr>
              <w:t>(2)</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8D02"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D03" w14:textId="77777777" w:rsidR="00141CDF" w:rsidRDefault="00141CD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98A8D04" w14:textId="77777777" w:rsidR="00141CDF" w:rsidRDefault="00DF45E0">
            <w:pPr>
              <w:jc w:val="right"/>
              <w:textAlignment w:val="center"/>
            </w:pPr>
            <w:r>
              <w:rPr>
                <w:rFonts w:ascii="Times New Roman" w:eastAsia="宋体" w:hAnsi="Times New Roman"/>
                <w:color w:val="000000"/>
                <w:sz w:val="16"/>
                <w:szCs w:val="16"/>
              </w:rPr>
              <w:t>5,147 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8D05" w14:textId="77777777" w:rsidR="00141CDF" w:rsidRDefault="00141CDF">
            <w:pPr>
              <w:jc w:val="right"/>
              <w:rPr>
                <w:rFonts w:ascii="宋体"/>
              </w:rPr>
            </w:pPr>
          </w:p>
        </w:tc>
        <w:tc>
          <w:tcPr>
            <w:tcW w:w="0" w:type="auto"/>
            <w:shd w:val="clear" w:color="auto" w:fill="auto"/>
            <w:vAlign w:val="bottom"/>
          </w:tcPr>
          <w:p w14:paraId="098A8D06" w14:textId="77777777" w:rsidR="00141CDF" w:rsidRDefault="00141CDF">
            <w:pPr>
              <w:rPr>
                <w:rFonts w:ascii="宋体"/>
                <w:vanish/>
              </w:rPr>
            </w:pPr>
          </w:p>
        </w:tc>
        <w:tc>
          <w:tcPr>
            <w:tcW w:w="0" w:type="auto"/>
            <w:shd w:val="clear" w:color="auto" w:fill="auto"/>
            <w:vAlign w:val="bottom"/>
          </w:tcPr>
          <w:p w14:paraId="098A8D07" w14:textId="77777777" w:rsidR="00141CDF" w:rsidRDefault="00141CDF">
            <w:pPr>
              <w:rPr>
                <w:rFonts w:ascii="宋体"/>
                <w:vanish/>
              </w:rPr>
            </w:pPr>
          </w:p>
        </w:tc>
        <w:tc>
          <w:tcPr>
            <w:tcW w:w="0" w:type="auto"/>
            <w:shd w:val="clear" w:color="auto" w:fill="auto"/>
            <w:vAlign w:val="bottom"/>
          </w:tcPr>
          <w:p w14:paraId="098A8D08" w14:textId="77777777" w:rsidR="00141CDF" w:rsidRDefault="00141CDF">
            <w:pPr>
              <w:rPr>
                <w:rFonts w:ascii="宋体"/>
                <w:vanish/>
              </w:rPr>
            </w:pPr>
          </w:p>
        </w:tc>
      </w:tr>
      <w:tr w:rsidR="00141CDF" w14:paraId="098A8D25" w14:textId="77777777">
        <w:tc>
          <w:tcPr>
            <w:tcW w:w="0" w:type="auto"/>
            <w:gridSpan w:val="3"/>
            <w:shd w:val="clear" w:color="auto" w:fill="FFFFFF"/>
            <w:tcMar>
              <w:top w:w="40" w:type="dxa"/>
              <w:left w:w="20" w:type="dxa"/>
              <w:bottom w:w="40" w:type="dxa"/>
              <w:right w:w="20" w:type="dxa"/>
            </w:tcMar>
            <w:vAlign w:val="center"/>
          </w:tcPr>
          <w:p w14:paraId="098A8D0A" w14:textId="77777777" w:rsidR="00141CDF" w:rsidRDefault="00DF45E0">
            <w:pPr>
              <w:textAlignment w:val="center"/>
            </w:pPr>
            <w:r>
              <w:rPr>
                <w:rFonts w:ascii="Times New Roman" w:eastAsia="宋体" w:hAnsi="Times New Roman"/>
                <w:color w:val="000000"/>
                <w:sz w:val="16"/>
                <w:szCs w:val="16"/>
              </w:rPr>
              <w:t>Other comprehensive (loss), net of income taxes</w:t>
            </w:r>
          </w:p>
        </w:tc>
        <w:tc>
          <w:tcPr>
            <w:tcW w:w="0" w:type="auto"/>
            <w:gridSpan w:val="2"/>
            <w:shd w:val="clear" w:color="auto" w:fill="FFFFFF"/>
            <w:tcMar>
              <w:top w:w="40" w:type="dxa"/>
              <w:left w:w="20" w:type="dxa"/>
              <w:bottom w:w="40" w:type="dxa"/>
              <w:right w:w="0" w:type="dxa"/>
            </w:tcMar>
            <w:vAlign w:val="center"/>
          </w:tcPr>
          <w:p w14:paraId="098A8D0B"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8D0C"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D0D"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D0E"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8D0F"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D10"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D11"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8D12"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D13"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D14"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8D15"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D16"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D17" w14:textId="77777777" w:rsidR="00141CDF" w:rsidRDefault="00DF45E0">
            <w:pPr>
              <w:jc w:val="right"/>
              <w:textAlignment w:val="center"/>
            </w:pPr>
            <w:r>
              <w:rPr>
                <w:rFonts w:ascii="Times New Roman" w:eastAsia="宋体" w:hAnsi="Times New Roman"/>
                <w:color w:val="000000"/>
                <w:sz w:val="16"/>
                <w:szCs w:val="16"/>
              </w:rPr>
              <w:t>(1,396)</w:t>
            </w:r>
          </w:p>
        </w:tc>
        <w:tc>
          <w:tcPr>
            <w:tcW w:w="0" w:type="auto"/>
            <w:shd w:val="clear" w:color="auto" w:fill="FFFFFF"/>
            <w:tcMar>
              <w:top w:w="40" w:type="dxa"/>
              <w:left w:w="0" w:type="dxa"/>
              <w:bottom w:w="40" w:type="dxa"/>
              <w:right w:w="20" w:type="dxa"/>
            </w:tcMar>
            <w:vAlign w:val="center"/>
          </w:tcPr>
          <w:p w14:paraId="098A8D18"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D19"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D1A" w14:textId="77777777" w:rsidR="00141CDF" w:rsidRDefault="00DF45E0">
            <w:pPr>
              <w:jc w:val="right"/>
              <w:textAlignment w:val="center"/>
            </w:pPr>
            <w:r>
              <w:rPr>
                <w:rFonts w:ascii="Times New Roman" w:eastAsia="宋体" w:hAnsi="Times New Roman"/>
                <w:color w:val="000000"/>
                <w:sz w:val="16"/>
                <w:szCs w:val="16"/>
              </w:rPr>
              <w:t>(1,396)</w:t>
            </w:r>
          </w:p>
        </w:tc>
        <w:tc>
          <w:tcPr>
            <w:tcW w:w="0" w:type="auto"/>
            <w:shd w:val="clear" w:color="auto" w:fill="FFFFFF"/>
            <w:tcMar>
              <w:top w:w="40" w:type="dxa"/>
              <w:left w:w="0" w:type="dxa"/>
              <w:bottom w:w="40" w:type="dxa"/>
              <w:right w:w="20" w:type="dxa"/>
            </w:tcMar>
            <w:vAlign w:val="center"/>
          </w:tcPr>
          <w:p w14:paraId="098A8D1B"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D1C"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D1D" w14:textId="77777777" w:rsidR="00141CDF" w:rsidRDefault="00DF45E0">
            <w:pPr>
              <w:jc w:val="right"/>
              <w:textAlignment w:val="center"/>
            </w:pPr>
            <w:r>
              <w:rPr>
                <w:rFonts w:ascii="Times New Roman" w:eastAsia="宋体" w:hAnsi="Times New Roman"/>
                <w:color w:val="000000"/>
                <w:sz w:val="16"/>
                <w:szCs w:val="16"/>
              </w:rPr>
              <w:t>(275)</w:t>
            </w:r>
          </w:p>
        </w:tc>
        <w:tc>
          <w:tcPr>
            <w:tcW w:w="0" w:type="auto"/>
            <w:shd w:val="clear" w:color="auto" w:fill="FFFFFF"/>
            <w:tcMar>
              <w:top w:w="40" w:type="dxa"/>
              <w:left w:w="0" w:type="dxa"/>
              <w:bottom w:w="40" w:type="dxa"/>
              <w:right w:w="20" w:type="dxa"/>
            </w:tcMar>
            <w:vAlign w:val="center"/>
          </w:tcPr>
          <w:p w14:paraId="098A8D1E"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D1F"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D20" w14:textId="77777777" w:rsidR="00141CDF" w:rsidRDefault="00DF45E0">
            <w:pPr>
              <w:jc w:val="right"/>
              <w:textAlignment w:val="center"/>
            </w:pPr>
            <w:r>
              <w:rPr>
                <w:rFonts w:ascii="Times New Roman" w:eastAsia="宋体" w:hAnsi="Times New Roman"/>
                <w:color w:val="000000"/>
                <w:sz w:val="16"/>
                <w:szCs w:val="16"/>
              </w:rPr>
              <w:t>(1,671)</w:t>
            </w:r>
          </w:p>
        </w:tc>
        <w:tc>
          <w:tcPr>
            <w:tcW w:w="0" w:type="auto"/>
            <w:shd w:val="clear" w:color="auto" w:fill="FFFFFF"/>
            <w:tcMar>
              <w:top w:w="40" w:type="dxa"/>
              <w:left w:w="0" w:type="dxa"/>
              <w:bottom w:w="40" w:type="dxa"/>
              <w:right w:w="20" w:type="dxa"/>
            </w:tcMar>
            <w:vAlign w:val="center"/>
          </w:tcPr>
          <w:p w14:paraId="098A8D21" w14:textId="77777777" w:rsidR="00141CDF" w:rsidRDefault="00141CDF">
            <w:pPr>
              <w:jc w:val="right"/>
              <w:rPr>
                <w:rFonts w:ascii="宋体"/>
              </w:rPr>
            </w:pPr>
          </w:p>
        </w:tc>
        <w:tc>
          <w:tcPr>
            <w:tcW w:w="0" w:type="auto"/>
            <w:shd w:val="clear" w:color="auto" w:fill="auto"/>
            <w:vAlign w:val="bottom"/>
          </w:tcPr>
          <w:p w14:paraId="098A8D22" w14:textId="77777777" w:rsidR="00141CDF" w:rsidRDefault="00141CDF">
            <w:pPr>
              <w:rPr>
                <w:rFonts w:ascii="宋体"/>
                <w:vanish/>
              </w:rPr>
            </w:pPr>
          </w:p>
        </w:tc>
        <w:tc>
          <w:tcPr>
            <w:tcW w:w="0" w:type="auto"/>
            <w:shd w:val="clear" w:color="auto" w:fill="auto"/>
            <w:vAlign w:val="bottom"/>
          </w:tcPr>
          <w:p w14:paraId="098A8D23" w14:textId="77777777" w:rsidR="00141CDF" w:rsidRDefault="00141CDF">
            <w:pPr>
              <w:rPr>
                <w:rFonts w:ascii="宋体"/>
                <w:vanish/>
              </w:rPr>
            </w:pPr>
          </w:p>
        </w:tc>
        <w:tc>
          <w:tcPr>
            <w:tcW w:w="0" w:type="auto"/>
            <w:shd w:val="clear" w:color="auto" w:fill="auto"/>
            <w:vAlign w:val="bottom"/>
          </w:tcPr>
          <w:p w14:paraId="098A8D24" w14:textId="77777777" w:rsidR="00141CDF" w:rsidRDefault="00141CDF">
            <w:pPr>
              <w:rPr>
                <w:rFonts w:ascii="宋体"/>
                <w:vanish/>
              </w:rPr>
            </w:pPr>
          </w:p>
        </w:tc>
      </w:tr>
      <w:tr w:rsidR="00141CDF" w14:paraId="098A8D39" w14:textId="77777777">
        <w:trPr>
          <w:hidden/>
        </w:trPr>
        <w:tc>
          <w:tcPr>
            <w:tcW w:w="0" w:type="auto"/>
            <w:gridSpan w:val="3"/>
            <w:shd w:val="clear" w:color="auto" w:fill="auto"/>
            <w:vAlign w:val="bottom"/>
          </w:tcPr>
          <w:p w14:paraId="098A8D26" w14:textId="77777777" w:rsidR="00141CDF" w:rsidRDefault="00141CDF">
            <w:pPr>
              <w:rPr>
                <w:rFonts w:ascii="宋体"/>
                <w:vanish/>
              </w:rPr>
            </w:pPr>
          </w:p>
        </w:tc>
        <w:tc>
          <w:tcPr>
            <w:tcW w:w="0" w:type="auto"/>
            <w:gridSpan w:val="3"/>
            <w:shd w:val="clear" w:color="auto" w:fill="auto"/>
            <w:vAlign w:val="bottom"/>
          </w:tcPr>
          <w:p w14:paraId="098A8D27" w14:textId="77777777" w:rsidR="00141CDF" w:rsidRDefault="00141CDF">
            <w:pPr>
              <w:rPr>
                <w:rFonts w:ascii="宋体"/>
                <w:vanish/>
              </w:rPr>
            </w:pPr>
          </w:p>
        </w:tc>
        <w:tc>
          <w:tcPr>
            <w:tcW w:w="0" w:type="auto"/>
            <w:gridSpan w:val="3"/>
            <w:shd w:val="clear" w:color="auto" w:fill="auto"/>
            <w:vAlign w:val="bottom"/>
          </w:tcPr>
          <w:p w14:paraId="098A8D28" w14:textId="77777777" w:rsidR="00141CDF" w:rsidRDefault="00141CDF">
            <w:pPr>
              <w:rPr>
                <w:rFonts w:ascii="宋体"/>
                <w:vanish/>
              </w:rPr>
            </w:pPr>
          </w:p>
        </w:tc>
        <w:tc>
          <w:tcPr>
            <w:tcW w:w="0" w:type="auto"/>
            <w:gridSpan w:val="3"/>
            <w:shd w:val="clear" w:color="auto" w:fill="auto"/>
            <w:vAlign w:val="bottom"/>
          </w:tcPr>
          <w:p w14:paraId="098A8D29" w14:textId="77777777" w:rsidR="00141CDF" w:rsidRDefault="00141CDF">
            <w:pPr>
              <w:rPr>
                <w:rFonts w:ascii="宋体"/>
                <w:vanish/>
              </w:rPr>
            </w:pPr>
          </w:p>
        </w:tc>
        <w:tc>
          <w:tcPr>
            <w:tcW w:w="0" w:type="auto"/>
            <w:gridSpan w:val="3"/>
            <w:shd w:val="clear" w:color="auto" w:fill="auto"/>
            <w:vAlign w:val="bottom"/>
          </w:tcPr>
          <w:p w14:paraId="098A8D2A" w14:textId="77777777" w:rsidR="00141CDF" w:rsidRDefault="00141CDF">
            <w:pPr>
              <w:rPr>
                <w:rFonts w:ascii="宋体"/>
                <w:vanish/>
              </w:rPr>
            </w:pPr>
          </w:p>
        </w:tc>
        <w:tc>
          <w:tcPr>
            <w:tcW w:w="0" w:type="auto"/>
            <w:gridSpan w:val="3"/>
            <w:shd w:val="clear" w:color="auto" w:fill="auto"/>
            <w:vAlign w:val="bottom"/>
          </w:tcPr>
          <w:p w14:paraId="098A8D2B" w14:textId="77777777" w:rsidR="00141CDF" w:rsidRDefault="00141CDF">
            <w:pPr>
              <w:rPr>
                <w:rFonts w:ascii="宋体"/>
                <w:vanish/>
              </w:rPr>
            </w:pPr>
          </w:p>
        </w:tc>
        <w:tc>
          <w:tcPr>
            <w:tcW w:w="0" w:type="auto"/>
            <w:gridSpan w:val="3"/>
            <w:shd w:val="clear" w:color="auto" w:fill="auto"/>
            <w:vAlign w:val="bottom"/>
          </w:tcPr>
          <w:p w14:paraId="098A8D2C" w14:textId="77777777" w:rsidR="00141CDF" w:rsidRDefault="00141CDF">
            <w:pPr>
              <w:rPr>
                <w:rFonts w:ascii="宋体"/>
                <w:vanish/>
              </w:rPr>
            </w:pPr>
          </w:p>
        </w:tc>
        <w:tc>
          <w:tcPr>
            <w:tcW w:w="0" w:type="auto"/>
            <w:gridSpan w:val="3"/>
            <w:shd w:val="clear" w:color="auto" w:fill="auto"/>
            <w:vAlign w:val="bottom"/>
          </w:tcPr>
          <w:p w14:paraId="098A8D2D" w14:textId="77777777" w:rsidR="00141CDF" w:rsidRDefault="00141CDF">
            <w:pPr>
              <w:rPr>
                <w:rFonts w:ascii="宋体"/>
                <w:vanish/>
              </w:rPr>
            </w:pPr>
          </w:p>
        </w:tc>
        <w:tc>
          <w:tcPr>
            <w:tcW w:w="0" w:type="auto"/>
            <w:gridSpan w:val="3"/>
            <w:shd w:val="clear" w:color="auto" w:fill="auto"/>
            <w:vAlign w:val="bottom"/>
          </w:tcPr>
          <w:p w14:paraId="098A8D2E" w14:textId="77777777" w:rsidR="00141CDF" w:rsidRDefault="00141CDF">
            <w:pPr>
              <w:rPr>
                <w:rFonts w:ascii="宋体"/>
                <w:vanish/>
              </w:rPr>
            </w:pPr>
          </w:p>
        </w:tc>
        <w:tc>
          <w:tcPr>
            <w:tcW w:w="0" w:type="auto"/>
            <w:gridSpan w:val="3"/>
            <w:shd w:val="clear" w:color="auto" w:fill="auto"/>
            <w:vAlign w:val="bottom"/>
          </w:tcPr>
          <w:p w14:paraId="098A8D2F" w14:textId="77777777" w:rsidR="00141CDF" w:rsidRDefault="00141CDF">
            <w:pPr>
              <w:rPr>
                <w:rFonts w:ascii="宋体"/>
                <w:vanish/>
              </w:rPr>
            </w:pPr>
          </w:p>
        </w:tc>
        <w:tc>
          <w:tcPr>
            <w:tcW w:w="0" w:type="auto"/>
            <w:gridSpan w:val="3"/>
            <w:shd w:val="clear" w:color="auto" w:fill="auto"/>
            <w:vAlign w:val="bottom"/>
          </w:tcPr>
          <w:p w14:paraId="098A8D30" w14:textId="77777777" w:rsidR="00141CDF" w:rsidRDefault="00141CDF">
            <w:pPr>
              <w:rPr>
                <w:rFonts w:ascii="宋体"/>
                <w:vanish/>
              </w:rPr>
            </w:pPr>
          </w:p>
        </w:tc>
        <w:tc>
          <w:tcPr>
            <w:tcW w:w="0" w:type="auto"/>
            <w:gridSpan w:val="3"/>
            <w:shd w:val="clear" w:color="auto" w:fill="auto"/>
            <w:vAlign w:val="bottom"/>
          </w:tcPr>
          <w:p w14:paraId="098A8D31" w14:textId="77777777" w:rsidR="00141CDF" w:rsidRDefault="00141CDF">
            <w:pPr>
              <w:rPr>
                <w:rFonts w:ascii="宋体"/>
                <w:vanish/>
              </w:rPr>
            </w:pPr>
          </w:p>
        </w:tc>
        <w:tc>
          <w:tcPr>
            <w:tcW w:w="0" w:type="auto"/>
            <w:gridSpan w:val="3"/>
            <w:shd w:val="clear" w:color="auto" w:fill="auto"/>
            <w:vAlign w:val="bottom"/>
          </w:tcPr>
          <w:p w14:paraId="098A8D32" w14:textId="77777777" w:rsidR="00141CDF" w:rsidRDefault="00141CDF">
            <w:pPr>
              <w:rPr>
                <w:rFonts w:ascii="宋体"/>
                <w:vanish/>
              </w:rPr>
            </w:pPr>
          </w:p>
        </w:tc>
        <w:tc>
          <w:tcPr>
            <w:tcW w:w="0" w:type="auto"/>
            <w:gridSpan w:val="3"/>
            <w:shd w:val="clear" w:color="auto" w:fill="auto"/>
            <w:vAlign w:val="bottom"/>
          </w:tcPr>
          <w:p w14:paraId="098A8D33" w14:textId="77777777" w:rsidR="00141CDF" w:rsidRDefault="00141CDF">
            <w:pPr>
              <w:rPr>
                <w:rFonts w:ascii="宋体"/>
                <w:vanish/>
              </w:rPr>
            </w:pPr>
          </w:p>
        </w:tc>
        <w:tc>
          <w:tcPr>
            <w:tcW w:w="0" w:type="auto"/>
            <w:gridSpan w:val="3"/>
            <w:shd w:val="clear" w:color="auto" w:fill="auto"/>
            <w:vAlign w:val="bottom"/>
          </w:tcPr>
          <w:p w14:paraId="098A8D34" w14:textId="77777777" w:rsidR="00141CDF" w:rsidRDefault="00141CDF">
            <w:pPr>
              <w:rPr>
                <w:rFonts w:ascii="宋体"/>
                <w:vanish/>
              </w:rPr>
            </w:pPr>
          </w:p>
        </w:tc>
        <w:tc>
          <w:tcPr>
            <w:tcW w:w="0" w:type="auto"/>
            <w:gridSpan w:val="3"/>
            <w:shd w:val="clear" w:color="auto" w:fill="auto"/>
            <w:vAlign w:val="bottom"/>
          </w:tcPr>
          <w:p w14:paraId="098A8D35" w14:textId="77777777" w:rsidR="00141CDF" w:rsidRDefault="00141CDF">
            <w:pPr>
              <w:rPr>
                <w:rFonts w:ascii="宋体"/>
                <w:vanish/>
              </w:rPr>
            </w:pPr>
          </w:p>
        </w:tc>
        <w:tc>
          <w:tcPr>
            <w:tcW w:w="0" w:type="auto"/>
            <w:shd w:val="clear" w:color="auto" w:fill="auto"/>
            <w:vAlign w:val="bottom"/>
          </w:tcPr>
          <w:p w14:paraId="098A8D36" w14:textId="77777777" w:rsidR="00141CDF" w:rsidRDefault="00141CDF">
            <w:pPr>
              <w:rPr>
                <w:rFonts w:ascii="宋体"/>
                <w:vanish/>
              </w:rPr>
            </w:pPr>
          </w:p>
        </w:tc>
        <w:tc>
          <w:tcPr>
            <w:tcW w:w="0" w:type="auto"/>
            <w:shd w:val="clear" w:color="auto" w:fill="auto"/>
            <w:vAlign w:val="bottom"/>
          </w:tcPr>
          <w:p w14:paraId="098A8D37" w14:textId="77777777" w:rsidR="00141CDF" w:rsidRDefault="00141CDF">
            <w:pPr>
              <w:rPr>
                <w:rFonts w:ascii="宋体"/>
                <w:vanish/>
              </w:rPr>
            </w:pPr>
          </w:p>
        </w:tc>
        <w:tc>
          <w:tcPr>
            <w:tcW w:w="0" w:type="auto"/>
            <w:shd w:val="clear" w:color="auto" w:fill="auto"/>
            <w:vAlign w:val="bottom"/>
          </w:tcPr>
          <w:p w14:paraId="098A8D38" w14:textId="77777777" w:rsidR="00141CDF" w:rsidRDefault="00141CDF">
            <w:pPr>
              <w:rPr>
                <w:rFonts w:ascii="宋体"/>
                <w:vanish/>
              </w:rPr>
            </w:pPr>
          </w:p>
        </w:tc>
      </w:tr>
      <w:tr w:rsidR="00141CDF" w14:paraId="098A8D55" w14:textId="77777777">
        <w:tc>
          <w:tcPr>
            <w:tcW w:w="0" w:type="auto"/>
            <w:gridSpan w:val="3"/>
            <w:shd w:val="clear" w:color="auto" w:fill="CCEEFF"/>
            <w:tcMar>
              <w:top w:w="40" w:type="dxa"/>
              <w:left w:w="20" w:type="dxa"/>
              <w:bottom w:w="40" w:type="dxa"/>
              <w:right w:w="20" w:type="dxa"/>
            </w:tcMar>
            <w:vAlign w:val="center"/>
          </w:tcPr>
          <w:p w14:paraId="098A8D3A" w14:textId="77777777" w:rsidR="00141CDF" w:rsidRDefault="00DF45E0">
            <w:pPr>
              <w:textAlignment w:val="center"/>
            </w:pPr>
            <w:r>
              <w:rPr>
                <w:rFonts w:ascii="Times New Roman" w:eastAsia="宋体" w:hAnsi="Times New Roman"/>
                <w:color w:val="000000"/>
                <w:sz w:val="16"/>
                <w:szCs w:val="16"/>
              </w:rPr>
              <w:t>Purchase of Company stock</w:t>
            </w:r>
          </w:p>
        </w:tc>
        <w:tc>
          <w:tcPr>
            <w:tcW w:w="0" w:type="auto"/>
            <w:gridSpan w:val="2"/>
            <w:shd w:val="clear" w:color="auto" w:fill="CCEEFF"/>
            <w:tcMar>
              <w:top w:w="40" w:type="dxa"/>
              <w:left w:w="20" w:type="dxa"/>
              <w:bottom w:w="40" w:type="dxa"/>
              <w:right w:w="0" w:type="dxa"/>
            </w:tcMar>
            <w:vAlign w:val="center"/>
          </w:tcPr>
          <w:p w14:paraId="098A8D3B" w14:textId="77777777" w:rsidR="00141CDF" w:rsidRDefault="00DF45E0">
            <w:pPr>
              <w:jc w:val="right"/>
              <w:textAlignment w:val="center"/>
            </w:pPr>
            <w:r>
              <w:rPr>
                <w:rFonts w:ascii="Times New Roman" w:eastAsia="宋体" w:hAnsi="Times New Roman"/>
                <w:color w:val="000000"/>
                <w:sz w:val="16"/>
                <w:szCs w:val="16"/>
              </w:rPr>
              <w:t>(26)</w:t>
            </w:r>
          </w:p>
        </w:tc>
        <w:tc>
          <w:tcPr>
            <w:tcW w:w="0" w:type="auto"/>
            <w:shd w:val="clear" w:color="auto" w:fill="CCEEFF"/>
            <w:tcMar>
              <w:top w:w="40" w:type="dxa"/>
              <w:left w:w="0" w:type="dxa"/>
              <w:bottom w:w="40" w:type="dxa"/>
              <w:right w:w="20" w:type="dxa"/>
            </w:tcMar>
            <w:vAlign w:val="center"/>
          </w:tcPr>
          <w:p w14:paraId="098A8D3C"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D3D"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D3E" w14:textId="77777777" w:rsidR="00141CDF" w:rsidRDefault="00DF45E0">
            <w:pPr>
              <w:jc w:val="right"/>
              <w:textAlignment w:val="center"/>
            </w:pPr>
            <w:r>
              <w:rPr>
                <w:rFonts w:ascii="Times New Roman" w:eastAsia="宋体" w:hAnsi="Times New Roman"/>
                <w:color w:val="000000"/>
                <w:sz w:val="16"/>
                <w:szCs w:val="16"/>
              </w:rPr>
              <w:t>(3)</w:t>
            </w:r>
          </w:p>
        </w:tc>
        <w:tc>
          <w:tcPr>
            <w:tcW w:w="0" w:type="auto"/>
            <w:shd w:val="clear" w:color="auto" w:fill="CCEEFF"/>
            <w:tcMar>
              <w:top w:w="40" w:type="dxa"/>
              <w:left w:w="0" w:type="dxa"/>
              <w:bottom w:w="40" w:type="dxa"/>
              <w:right w:w="20" w:type="dxa"/>
            </w:tcMar>
            <w:vAlign w:val="center"/>
          </w:tcPr>
          <w:p w14:paraId="098A8D3F"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D40"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D41" w14:textId="77777777" w:rsidR="00141CDF" w:rsidRDefault="00DF45E0">
            <w:pPr>
              <w:jc w:val="right"/>
              <w:textAlignment w:val="center"/>
            </w:pPr>
            <w:r>
              <w:rPr>
                <w:rFonts w:ascii="Times New Roman" w:eastAsia="宋体" w:hAnsi="Times New Roman"/>
                <w:color w:val="000000"/>
                <w:sz w:val="16"/>
                <w:szCs w:val="16"/>
              </w:rPr>
              <w:t>(182)</w:t>
            </w:r>
          </w:p>
        </w:tc>
        <w:tc>
          <w:tcPr>
            <w:tcW w:w="0" w:type="auto"/>
            <w:shd w:val="clear" w:color="auto" w:fill="CCEEFF"/>
            <w:tcMar>
              <w:top w:w="40" w:type="dxa"/>
              <w:left w:w="0" w:type="dxa"/>
              <w:bottom w:w="40" w:type="dxa"/>
              <w:right w:w="20" w:type="dxa"/>
            </w:tcMar>
            <w:vAlign w:val="center"/>
          </w:tcPr>
          <w:p w14:paraId="098A8D42"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D43"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D44" w14:textId="77777777" w:rsidR="00141CDF" w:rsidRDefault="00DF45E0">
            <w:pPr>
              <w:jc w:val="right"/>
              <w:textAlignment w:val="center"/>
            </w:pPr>
            <w:r>
              <w:rPr>
                <w:rFonts w:ascii="Times New Roman" w:eastAsia="宋体" w:hAnsi="Times New Roman"/>
                <w:color w:val="000000"/>
                <w:sz w:val="16"/>
                <w:szCs w:val="16"/>
              </w:rPr>
              <w:t>(3,201)</w:t>
            </w:r>
          </w:p>
        </w:tc>
        <w:tc>
          <w:tcPr>
            <w:tcW w:w="0" w:type="auto"/>
            <w:shd w:val="clear" w:color="auto" w:fill="CCEEFF"/>
            <w:tcMar>
              <w:top w:w="40" w:type="dxa"/>
              <w:left w:w="0" w:type="dxa"/>
              <w:bottom w:w="40" w:type="dxa"/>
              <w:right w:w="20" w:type="dxa"/>
            </w:tcMar>
            <w:vAlign w:val="center"/>
          </w:tcPr>
          <w:p w14:paraId="098A8D45"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D46"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D47"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098A8D48"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D49"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D4A" w14:textId="77777777" w:rsidR="00141CDF" w:rsidRDefault="00DF45E0">
            <w:pPr>
              <w:jc w:val="right"/>
              <w:textAlignment w:val="center"/>
            </w:pPr>
            <w:r>
              <w:rPr>
                <w:rFonts w:ascii="Times New Roman" w:eastAsia="宋体" w:hAnsi="Times New Roman"/>
                <w:color w:val="000000"/>
                <w:sz w:val="16"/>
                <w:szCs w:val="16"/>
              </w:rPr>
              <w:t>(3,386)</w:t>
            </w:r>
          </w:p>
        </w:tc>
        <w:tc>
          <w:tcPr>
            <w:tcW w:w="0" w:type="auto"/>
            <w:shd w:val="clear" w:color="auto" w:fill="CCEEFF"/>
            <w:tcMar>
              <w:top w:w="40" w:type="dxa"/>
              <w:left w:w="0" w:type="dxa"/>
              <w:bottom w:w="40" w:type="dxa"/>
              <w:right w:w="20" w:type="dxa"/>
            </w:tcMar>
            <w:vAlign w:val="center"/>
          </w:tcPr>
          <w:p w14:paraId="098A8D4B"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D4C"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D4D"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098A8D4E"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D4F"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D50" w14:textId="77777777" w:rsidR="00141CDF" w:rsidRDefault="00DF45E0">
            <w:pPr>
              <w:jc w:val="right"/>
              <w:textAlignment w:val="center"/>
            </w:pPr>
            <w:r>
              <w:rPr>
                <w:rFonts w:ascii="Times New Roman" w:eastAsia="宋体" w:hAnsi="Times New Roman"/>
                <w:color w:val="000000"/>
                <w:sz w:val="16"/>
                <w:szCs w:val="16"/>
              </w:rPr>
              <w:t>(3,386)</w:t>
            </w:r>
          </w:p>
        </w:tc>
        <w:tc>
          <w:tcPr>
            <w:tcW w:w="0" w:type="auto"/>
            <w:shd w:val="clear" w:color="auto" w:fill="CCEEFF"/>
            <w:tcMar>
              <w:top w:w="40" w:type="dxa"/>
              <w:left w:w="0" w:type="dxa"/>
              <w:bottom w:w="40" w:type="dxa"/>
              <w:right w:w="20" w:type="dxa"/>
            </w:tcMar>
            <w:vAlign w:val="center"/>
          </w:tcPr>
          <w:p w14:paraId="098A8D51" w14:textId="77777777" w:rsidR="00141CDF" w:rsidRDefault="00141CDF">
            <w:pPr>
              <w:jc w:val="right"/>
              <w:rPr>
                <w:rFonts w:ascii="宋体"/>
              </w:rPr>
            </w:pPr>
          </w:p>
        </w:tc>
        <w:tc>
          <w:tcPr>
            <w:tcW w:w="0" w:type="auto"/>
            <w:shd w:val="clear" w:color="auto" w:fill="auto"/>
            <w:vAlign w:val="bottom"/>
          </w:tcPr>
          <w:p w14:paraId="098A8D52" w14:textId="77777777" w:rsidR="00141CDF" w:rsidRDefault="00141CDF">
            <w:pPr>
              <w:rPr>
                <w:rFonts w:ascii="宋体"/>
                <w:vanish/>
              </w:rPr>
            </w:pPr>
          </w:p>
        </w:tc>
        <w:tc>
          <w:tcPr>
            <w:tcW w:w="0" w:type="auto"/>
            <w:shd w:val="clear" w:color="auto" w:fill="auto"/>
            <w:vAlign w:val="bottom"/>
          </w:tcPr>
          <w:p w14:paraId="098A8D53" w14:textId="77777777" w:rsidR="00141CDF" w:rsidRDefault="00141CDF">
            <w:pPr>
              <w:rPr>
                <w:rFonts w:ascii="宋体"/>
                <w:vanish/>
              </w:rPr>
            </w:pPr>
          </w:p>
        </w:tc>
        <w:tc>
          <w:tcPr>
            <w:tcW w:w="0" w:type="auto"/>
            <w:shd w:val="clear" w:color="auto" w:fill="auto"/>
            <w:vAlign w:val="bottom"/>
          </w:tcPr>
          <w:p w14:paraId="098A8D54" w14:textId="77777777" w:rsidR="00141CDF" w:rsidRDefault="00141CDF">
            <w:pPr>
              <w:rPr>
                <w:rFonts w:ascii="宋体"/>
                <w:vanish/>
              </w:rPr>
            </w:pPr>
          </w:p>
        </w:tc>
      </w:tr>
      <w:tr w:rsidR="00141CDF" w14:paraId="098A8D71" w14:textId="77777777">
        <w:tc>
          <w:tcPr>
            <w:tcW w:w="0" w:type="auto"/>
            <w:gridSpan w:val="3"/>
            <w:shd w:val="clear" w:color="auto" w:fill="FFFFFF"/>
            <w:tcMar>
              <w:top w:w="40" w:type="dxa"/>
              <w:left w:w="20" w:type="dxa"/>
              <w:bottom w:w="40" w:type="dxa"/>
              <w:right w:w="20" w:type="dxa"/>
            </w:tcMar>
            <w:vAlign w:val="center"/>
          </w:tcPr>
          <w:p w14:paraId="098A8D56" w14:textId="77777777" w:rsidR="00141CDF" w:rsidRDefault="00DF45E0">
            <w:pPr>
              <w:textAlignment w:val="center"/>
            </w:pPr>
            <w:r>
              <w:rPr>
                <w:rFonts w:ascii="Times New Roman" w:eastAsia="宋体" w:hAnsi="Times New Roman"/>
                <w:color w:val="000000"/>
                <w:sz w:val="16"/>
                <w:szCs w:val="16"/>
              </w:rPr>
              <w:t>Dividends to noncontrolling interest</w:t>
            </w:r>
          </w:p>
        </w:tc>
        <w:tc>
          <w:tcPr>
            <w:tcW w:w="0" w:type="auto"/>
            <w:gridSpan w:val="2"/>
            <w:shd w:val="clear" w:color="auto" w:fill="FFFFFF"/>
            <w:tcMar>
              <w:top w:w="40" w:type="dxa"/>
              <w:left w:w="20" w:type="dxa"/>
              <w:bottom w:w="40" w:type="dxa"/>
              <w:right w:w="0" w:type="dxa"/>
            </w:tcMar>
            <w:vAlign w:val="center"/>
          </w:tcPr>
          <w:p w14:paraId="098A8D57"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8D58"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D59"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D5A"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8D5B"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D5C"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D5D"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8D5E"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D5F"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D60"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8D61"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D62"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D63"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8D64"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D65"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D66"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8D67"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D68"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D69" w14:textId="77777777" w:rsidR="00141CDF" w:rsidRDefault="00DF45E0">
            <w:pPr>
              <w:jc w:val="right"/>
              <w:textAlignment w:val="center"/>
            </w:pPr>
            <w:r>
              <w:rPr>
                <w:rFonts w:ascii="Times New Roman" w:eastAsia="宋体" w:hAnsi="Times New Roman"/>
                <w:color w:val="000000"/>
                <w:sz w:val="16"/>
                <w:szCs w:val="16"/>
              </w:rPr>
              <w:t>(434)</w:t>
            </w:r>
          </w:p>
        </w:tc>
        <w:tc>
          <w:tcPr>
            <w:tcW w:w="0" w:type="auto"/>
            <w:shd w:val="clear" w:color="auto" w:fill="FFFFFF"/>
            <w:tcMar>
              <w:top w:w="40" w:type="dxa"/>
              <w:left w:w="0" w:type="dxa"/>
              <w:bottom w:w="40" w:type="dxa"/>
              <w:right w:w="20" w:type="dxa"/>
            </w:tcMar>
            <w:vAlign w:val="center"/>
          </w:tcPr>
          <w:p w14:paraId="098A8D6A"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D6B"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D6C" w14:textId="77777777" w:rsidR="00141CDF" w:rsidRDefault="00DF45E0">
            <w:pPr>
              <w:jc w:val="right"/>
              <w:textAlignment w:val="center"/>
            </w:pPr>
            <w:r>
              <w:rPr>
                <w:rFonts w:ascii="Times New Roman" w:eastAsia="宋体" w:hAnsi="Times New Roman"/>
                <w:color w:val="000000"/>
                <w:sz w:val="16"/>
                <w:szCs w:val="16"/>
              </w:rPr>
              <w:t>(434)</w:t>
            </w:r>
          </w:p>
        </w:tc>
        <w:tc>
          <w:tcPr>
            <w:tcW w:w="0" w:type="auto"/>
            <w:shd w:val="clear" w:color="auto" w:fill="FFFFFF"/>
            <w:tcMar>
              <w:top w:w="40" w:type="dxa"/>
              <w:left w:w="0" w:type="dxa"/>
              <w:bottom w:w="40" w:type="dxa"/>
              <w:right w:w="20" w:type="dxa"/>
            </w:tcMar>
            <w:vAlign w:val="center"/>
          </w:tcPr>
          <w:p w14:paraId="098A8D6D" w14:textId="77777777" w:rsidR="00141CDF" w:rsidRDefault="00141CDF">
            <w:pPr>
              <w:jc w:val="right"/>
              <w:rPr>
                <w:rFonts w:ascii="宋体"/>
              </w:rPr>
            </w:pPr>
          </w:p>
        </w:tc>
        <w:tc>
          <w:tcPr>
            <w:tcW w:w="0" w:type="auto"/>
            <w:shd w:val="clear" w:color="auto" w:fill="auto"/>
            <w:vAlign w:val="bottom"/>
          </w:tcPr>
          <w:p w14:paraId="098A8D6E" w14:textId="77777777" w:rsidR="00141CDF" w:rsidRDefault="00141CDF">
            <w:pPr>
              <w:rPr>
                <w:rFonts w:ascii="宋体"/>
                <w:vanish/>
              </w:rPr>
            </w:pPr>
          </w:p>
        </w:tc>
        <w:tc>
          <w:tcPr>
            <w:tcW w:w="0" w:type="auto"/>
            <w:shd w:val="clear" w:color="auto" w:fill="auto"/>
            <w:vAlign w:val="bottom"/>
          </w:tcPr>
          <w:p w14:paraId="098A8D6F" w14:textId="77777777" w:rsidR="00141CDF" w:rsidRDefault="00141CDF">
            <w:pPr>
              <w:rPr>
                <w:rFonts w:ascii="宋体"/>
                <w:vanish/>
              </w:rPr>
            </w:pPr>
          </w:p>
        </w:tc>
        <w:tc>
          <w:tcPr>
            <w:tcW w:w="0" w:type="auto"/>
            <w:shd w:val="clear" w:color="auto" w:fill="auto"/>
            <w:vAlign w:val="bottom"/>
          </w:tcPr>
          <w:p w14:paraId="098A8D70" w14:textId="77777777" w:rsidR="00141CDF" w:rsidRDefault="00141CDF">
            <w:pPr>
              <w:rPr>
                <w:rFonts w:ascii="宋体"/>
                <w:vanish/>
              </w:rPr>
            </w:pPr>
          </w:p>
        </w:tc>
      </w:tr>
      <w:tr w:rsidR="00141CDF" w14:paraId="098A8D8D" w14:textId="77777777">
        <w:tc>
          <w:tcPr>
            <w:tcW w:w="0" w:type="auto"/>
            <w:gridSpan w:val="3"/>
            <w:shd w:val="clear" w:color="auto" w:fill="CCEEFF"/>
            <w:tcMar>
              <w:top w:w="40" w:type="dxa"/>
              <w:left w:w="20" w:type="dxa"/>
              <w:bottom w:w="40" w:type="dxa"/>
              <w:right w:w="20" w:type="dxa"/>
            </w:tcMar>
            <w:vAlign w:val="center"/>
          </w:tcPr>
          <w:p w14:paraId="098A8D72" w14:textId="77777777" w:rsidR="00141CDF" w:rsidRDefault="00DF45E0">
            <w:pPr>
              <w:textAlignment w:val="center"/>
            </w:pPr>
            <w:r>
              <w:rPr>
                <w:rFonts w:ascii="Times New Roman" w:eastAsia="宋体" w:hAnsi="Times New Roman"/>
                <w:color w:val="000000"/>
                <w:sz w:val="16"/>
                <w:szCs w:val="16"/>
              </w:rPr>
              <w:t>Sale of subsidiary stock</w:t>
            </w:r>
          </w:p>
        </w:tc>
        <w:tc>
          <w:tcPr>
            <w:tcW w:w="0" w:type="auto"/>
            <w:gridSpan w:val="2"/>
            <w:shd w:val="clear" w:color="auto" w:fill="CCEEFF"/>
            <w:tcMar>
              <w:top w:w="40" w:type="dxa"/>
              <w:left w:w="20" w:type="dxa"/>
              <w:bottom w:w="40" w:type="dxa"/>
              <w:right w:w="0" w:type="dxa"/>
            </w:tcMar>
            <w:vAlign w:val="center"/>
          </w:tcPr>
          <w:p w14:paraId="098A8D73"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098A8D74"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D75"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D76"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098A8D77"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D78"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D79" w14:textId="77777777" w:rsidR="00141CDF" w:rsidRDefault="00DF45E0">
            <w:pPr>
              <w:jc w:val="right"/>
              <w:textAlignment w:val="center"/>
            </w:pPr>
            <w:r>
              <w:rPr>
                <w:rFonts w:ascii="Times New Roman" w:eastAsia="宋体" w:hAnsi="Times New Roman"/>
                <w:color w:val="000000"/>
                <w:sz w:val="16"/>
                <w:szCs w:val="16"/>
              </w:rPr>
              <w:t>8 </w:t>
            </w:r>
          </w:p>
        </w:tc>
        <w:tc>
          <w:tcPr>
            <w:tcW w:w="0" w:type="auto"/>
            <w:shd w:val="clear" w:color="auto" w:fill="CCEEFF"/>
            <w:tcMar>
              <w:top w:w="40" w:type="dxa"/>
              <w:left w:w="0" w:type="dxa"/>
              <w:bottom w:w="40" w:type="dxa"/>
              <w:right w:w="20" w:type="dxa"/>
            </w:tcMar>
            <w:vAlign w:val="center"/>
          </w:tcPr>
          <w:p w14:paraId="098A8D7A"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D7B"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D7C"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098A8D7D"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D7E"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D7F"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098A8D80"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D81"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D82" w14:textId="77777777" w:rsidR="00141CDF" w:rsidRDefault="00DF45E0">
            <w:pPr>
              <w:jc w:val="right"/>
              <w:textAlignment w:val="center"/>
            </w:pPr>
            <w:r>
              <w:rPr>
                <w:rFonts w:ascii="Times New Roman" w:eastAsia="宋体" w:hAnsi="Times New Roman"/>
                <w:color w:val="000000"/>
                <w:sz w:val="16"/>
                <w:szCs w:val="16"/>
              </w:rPr>
              <w:t>8 </w:t>
            </w:r>
          </w:p>
        </w:tc>
        <w:tc>
          <w:tcPr>
            <w:tcW w:w="0" w:type="auto"/>
            <w:shd w:val="clear" w:color="auto" w:fill="CCEEFF"/>
            <w:tcMar>
              <w:top w:w="40" w:type="dxa"/>
              <w:left w:w="0" w:type="dxa"/>
              <w:bottom w:w="40" w:type="dxa"/>
              <w:right w:w="20" w:type="dxa"/>
            </w:tcMar>
            <w:vAlign w:val="center"/>
          </w:tcPr>
          <w:p w14:paraId="098A8D83"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D84"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D85" w14:textId="77777777" w:rsidR="00141CDF" w:rsidRDefault="00DF45E0">
            <w:pPr>
              <w:jc w:val="right"/>
              <w:textAlignment w:val="center"/>
            </w:pPr>
            <w:r>
              <w:rPr>
                <w:rFonts w:ascii="Times New Roman" w:eastAsia="宋体" w:hAnsi="Times New Roman"/>
                <w:color w:val="000000"/>
                <w:sz w:val="16"/>
                <w:szCs w:val="16"/>
              </w:rPr>
              <w:t>2 </w:t>
            </w:r>
          </w:p>
        </w:tc>
        <w:tc>
          <w:tcPr>
            <w:tcW w:w="0" w:type="auto"/>
            <w:shd w:val="clear" w:color="auto" w:fill="CCEEFF"/>
            <w:tcMar>
              <w:top w:w="40" w:type="dxa"/>
              <w:left w:w="0" w:type="dxa"/>
              <w:bottom w:w="40" w:type="dxa"/>
              <w:right w:w="20" w:type="dxa"/>
            </w:tcMar>
            <w:vAlign w:val="center"/>
          </w:tcPr>
          <w:p w14:paraId="098A8D86"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D87"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D88" w14:textId="77777777" w:rsidR="00141CDF" w:rsidRDefault="00DF45E0">
            <w:pPr>
              <w:jc w:val="right"/>
              <w:textAlignment w:val="center"/>
            </w:pPr>
            <w:r>
              <w:rPr>
                <w:rFonts w:ascii="Times New Roman" w:eastAsia="宋体" w:hAnsi="Times New Roman"/>
                <w:color w:val="000000"/>
                <w:sz w:val="16"/>
                <w:szCs w:val="16"/>
              </w:rPr>
              <w:t>10 </w:t>
            </w:r>
          </w:p>
        </w:tc>
        <w:tc>
          <w:tcPr>
            <w:tcW w:w="0" w:type="auto"/>
            <w:shd w:val="clear" w:color="auto" w:fill="CCEEFF"/>
            <w:tcMar>
              <w:top w:w="40" w:type="dxa"/>
              <w:left w:w="0" w:type="dxa"/>
              <w:bottom w:w="40" w:type="dxa"/>
              <w:right w:w="20" w:type="dxa"/>
            </w:tcMar>
            <w:vAlign w:val="center"/>
          </w:tcPr>
          <w:p w14:paraId="098A8D89" w14:textId="77777777" w:rsidR="00141CDF" w:rsidRDefault="00141CDF">
            <w:pPr>
              <w:jc w:val="right"/>
              <w:rPr>
                <w:rFonts w:ascii="宋体"/>
              </w:rPr>
            </w:pPr>
          </w:p>
        </w:tc>
        <w:tc>
          <w:tcPr>
            <w:tcW w:w="0" w:type="auto"/>
            <w:shd w:val="clear" w:color="auto" w:fill="auto"/>
            <w:vAlign w:val="bottom"/>
          </w:tcPr>
          <w:p w14:paraId="098A8D8A" w14:textId="77777777" w:rsidR="00141CDF" w:rsidRDefault="00141CDF">
            <w:pPr>
              <w:rPr>
                <w:rFonts w:ascii="宋体"/>
                <w:vanish/>
              </w:rPr>
            </w:pPr>
          </w:p>
        </w:tc>
        <w:tc>
          <w:tcPr>
            <w:tcW w:w="0" w:type="auto"/>
            <w:shd w:val="clear" w:color="auto" w:fill="auto"/>
            <w:vAlign w:val="bottom"/>
          </w:tcPr>
          <w:p w14:paraId="098A8D8B" w14:textId="77777777" w:rsidR="00141CDF" w:rsidRDefault="00141CDF">
            <w:pPr>
              <w:rPr>
                <w:rFonts w:ascii="宋体"/>
                <w:vanish/>
              </w:rPr>
            </w:pPr>
          </w:p>
        </w:tc>
        <w:tc>
          <w:tcPr>
            <w:tcW w:w="0" w:type="auto"/>
            <w:shd w:val="clear" w:color="auto" w:fill="auto"/>
            <w:vAlign w:val="bottom"/>
          </w:tcPr>
          <w:p w14:paraId="098A8D8C" w14:textId="77777777" w:rsidR="00141CDF" w:rsidRDefault="00141CDF">
            <w:pPr>
              <w:rPr>
                <w:rFonts w:ascii="宋体"/>
                <w:vanish/>
              </w:rPr>
            </w:pPr>
          </w:p>
        </w:tc>
      </w:tr>
      <w:tr w:rsidR="00141CDF" w14:paraId="098A8DA9" w14:textId="77777777">
        <w:tc>
          <w:tcPr>
            <w:tcW w:w="0" w:type="auto"/>
            <w:gridSpan w:val="3"/>
            <w:shd w:val="clear" w:color="auto" w:fill="FFFFFF"/>
            <w:tcMar>
              <w:top w:w="40" w:type="dxa"/>
              <w:left w:w="20" w:type="dxa"/>
              <w:bottom w:w="40" w:type="dxa"/>
              <w:right w:w="20" w:type="dxa"/>
            </w:tcMar>
            <w:vAlign w:val="center"/>
          </w:tcPr>
          <w:p w14:paraId="098A8D8E" w14:textId="77777777" w:rsidR="00141CDF" w:rsidRDefault="00DF45E0">
            <w:pPr>
              <w:textAlignment w:val="center"/>
            </w:pPr>
            <w:r>
              <w:rPr>
                <w:rFonts w:ascii="Times New Roman" w:eastAsia="宋体" w:hAnsi="Times New Roman"/>
                <w:color w:val="000000"/>
                <w:sz w:val="16"/>
                <w:szCs w:val="16"/>
              </w:rPr>
              <w:t>Other</w:t>
            </w:r>
          </w:p>
        </w:tc>
        <w:tc>
          <w:tcPr>
            <w:tcW w:w="0" w:type="auto"/>
            <w:gridSpan w:val="2"/>
            <w:shd w:val="clear" w:color="auto" w:fill="FFFFFF"/>
            <w:tcMar>
              <w:top w:w="40" w:type="dxa"/>
              <w:left w:w="20" w:type="dxa"/>
              <w:bottom w:w="40" w:type="dxa"/>
              <w:right w:w="0" w:type="dxa"/>
            </w:tcMar>
            <w:vAlign w:val="center"/>
          </w:tcPr>
          <w:p w14:paraId="098A8D8F"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8D90"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D91"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D92"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8D93"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D94"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D95" w14:textId="77777777" w:rsidR="00141CDF" w:rsidRDefault="00DF45E0">
            <w:pPr>
              <w:jc w:val="right"/>
              <w:textAlignment w:val="center"/>
            </w:pPr>
            <w:r>
              <w:rPr>
                <w:rFonts w:ascii="Times New Roman" w:eastAsia="宋体" w:hAnsi="Times New Roman"/>
                <w:color w:val="000000"/>
                <w:sz w:val="16"/>
                <w:szCs w:val="16"/>
              </w:rPr>
              <w:t>259 </w:t>
            </w:r>
          </w:p>
        </w:tc>
        <w:tc>
          <w:tcPr>
            <w:tcW w:w="0" w:type="auto"/>
            <w:shd w:val="clear" w:color="auto" w:fill="FFFFFF"/>
            <w:tcMar>
              <w:top w:w="40" w:type="dxa"/>
              <w:left w:w="0" w:type="dxa"/>
              <w:bottom w:w="40" w:type="dxa"/>
              <w:right w:w="20" w:type="dxa"/>
            </w:tcMar>
            <w:vAlign w:val="center"/>
          </w:tcPr>
          <w:p w14:paraId="098A8D96"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D97"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D98" w14:textId="77777777" w:rsidR="00141CDF" w:rsidRDefault="00DF45E0">
            <w:pPr>
              <w:jc w:val="right"/>
              <w:textAlignment w:val="center"/>
            </w:pPr>
            <w:r>
              <w:rPr>
                <w:rFonts w:ascii="Times New Roman" w:eastAsia="宋体" w:hAnsi="Times New Roman"/>
                <w:color w:val="000000"/>
                <w:sz w:val="16"/>
                <w:szCs w:val="16"/>
              </w:rPr>
              <w:t>39 </w:t>
            </w:r>
          </w:p>
        </w:tc>
        <w:tc>
          <w:tcPr>
            <w:tcW w:w="0" w:type="auto"/>
            <w:shd w:val="clear" w:color="auto" w:fill="FFFFFF"/>
            <w:tcMar>
              <w:top w:w="40" w:type="dxa"/>
              <w:left w:w="0" w:type="dxa"/>
              <w:bottom w:w="40" w:type="dxa"/>
              <w:right w:w="20" w:type="dxa"/>
            </w:tcMar>
            <w:vAlign w:val="center"/>
          </w:tcPr>
          <w:p w14:paraId="098A8D99"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D9A"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D9B"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8D9C"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D9D"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D9E" w14:textId="77777777" w:rsidR="00141CDF" w:rsidRDefault="00DF45E0">
            <w:pPr>
              <w:jc w:val="right"/>
              <w:textAlignment w:val="center"/>
            </w:pPr>
            <w:r>
              <w:rPr>
                <w:rFonts w:ascii="Times New Roman" w:eastAsia="宋体" w:hAnsi="Times New Roman"/>
                <w:color w:val="000000"/>
                <w:sz w:val="16"/>
                <w:szCs w:val="16"/>
              </w:rPr>
              <w:t>298 </w:t>
            </w:r>
          </w:p>
        </w:tc>
        <w:tc>
          <w:tcPr>
            <w:tcW w:w="0" w:type="auto"/>
            <w:shd w:val="clear" w:color="auto" w:fill="FFFFFF"/>
            <w:tcMar>
              <w:top w:w="40" w:type="dxa"/>
              <w:left w:w="0" w:type="dxa"/>
              <w:bottom w:w="40" w:type="dxa"/>
              <w:right w:w="20" w:type="dxa"/>
            </w:tcMar>
            <w:vAlign w:val="center"/>
          </w:tcPr>
          <w:p w14:paraId="098A8D9F"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DA0"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DA1" w14:textId="77777777" w:rsidR="00141CDF" w:rsidRDefault="00DF45E0">
            <w:pPr>
              <w:jc w:val="right"/>
              <w:textAlignment w:val="center"/>
            </w:pPr>
            <w:r>
              <w:rPr>
                <w:rFonts w:ascii="Times New Roman" w:eastAsia="宋体" w:hAnsi="Times New Roman"/>
                <w:color w:val="000000"/>
                <w:sz w:val="16"/>
                <w:szCs w:val="16"/>
              </w:rPr>
              <w:t>23 </w:t>
            </w:r>
          </w:p>
        </w:tc>
        <w:tc>
          <w:tcPr>
            <w:tcW w:w="0" w:type="auto"/>
            <w:shd w:val="clear" w:color="auto" w:fill="FFFFFF"/>
            <w:tcMar>
              <w:top w:w="40" w:type="dxa"/>
              <w:left w:w="0" w:type="dxa"/>
              <w:bottom w:w="40" w:type="dxa"/>
              <w:right w:w="20" w:type="dxa"/>
            </w:tcMar>
            <w:vAlign w:val="center"/>
          </w:tcPr>
          <w:p w14:paraId="098A8DA2"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DA3"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DA4" w14:textId="77777777" w:rsidR="00141CDF" w:rsidRDefault="00DF45E0">
            <w:pPr>
              <w:jc w:val="right"/>
              <w:textAlignment w:val="center"/>
            </w:pPr>
            <w:r>
              <w:rPr>
                <w:rFonts w:ascii="Times New Roman" w:eastAsia="宋体" w:hAnsi="Times New Roman"/>
                <w:color w:val="000000"/>
                <w:sz w:val="16"/>
                <w:szCs w:val="16"/>
              </w:rPr>
              <w:t>321 </w:t>
            </w:r>
          </w:p>
        </w:tc>
        <w:tc>
          <w:tcPr>
            <w:tcW w:w="0" w:type="auto"/>
            <w:shd w:val="clear" w:color="auto" w:fill="FFFFFF"/>
            <w:tcMar>
              <w:top w:w="40" w:type="dxa"/>
              <w:left w:w="0" w:type="dxa"/>
              <w:bottom w:w="40" w:type="dxa"/>
              <w:right w:w="20" w:type="dxa"/>
            </w:tcMar>
            <w:vAlign w:val="center"/>
          </w:tcPr>
          <w:p w14:paraId="098A8DA5" w14:textId="77777777" w:rsidR="00141CDF" w:rsidRDefault="00141CDF">
            <w:pPr>
              <w:jc w:val="right"/>
              <w:rPr>
                <w:rFonts w:ascii="宋体"/>
              </w:rPr>
            </w:pPr>
          </w:p>
        </w:tc>
        <w:tc>
          <w:tcPr>
            <w:tcW w:w="0" w:type="auto"/>
            <w:shd w:val="clear" w:color="auto" w:fill="auto"/>
            <w:vAlign w:val="bottom"/>
          </w:tcPr>
          <w:p w14:paraId="098A8DA6" w14:textId="77777777" w:rsidR="00141CDF" w:rsidRDefault="00141CDF">
            <w:pPr>
              <w:rPr>
                <w:rFonts w:ascii="宋体"/>
                <w:vanish/>
              </w:rPr>
            </w:pPr>
          </w:p>
        </w:tc>
        <w:tc>
          <w:tcPr>
            <w:tcW w:w="0" w:type="auto"/>
            <w:shd w:val="clear" w:color="auto" w:fill="auto"/>
            <w:vAlign w:val="bottom"/>
          </w:tcPr>
          <w:p w14:paraId="098A8DA7" w14:textId="77777777" w:rsidR="00141CDF" w:rsidRDefault="00141CDF">
            <w:pPr>
              <w:rPr>
                <w:rFonts w:ascii="宋体"/>
                <w:vanish/>
              </w:rPr>
            </w:pPr>
          </w:p>
        </w:tc>
        <w:tc>
          <w:tcPr>
            <w:tcW w:w="0" w:type="auto"/>
            <w:shd w:val="clear" w:color="auto" w:fill="auto"/>
            <w:vAlign w:val="bottom"/>
          </w:tcPr>
          <w:p w14:paraId="098A8DA8" w14:textId="77777777" w:rsidR="00141CDF" w:rsidRDefault="00141CDF">
            <w:pPr>
              <w:rPr>
                <w:rFonts w:ascii="宋体"/>
                <w:vanish/>
              </w:rPr>
            </w:pPr>
          </w:p>
        </w:tc>
      </w:tr>
      <w:tr w:rsidR="00141CDF" w14:paraId="098A8DC5" w14:textId="77777777">
        <w:tc>
          <w:tcPr>
            <w:tcW w:w="0" w:type="auto"/>
            <w:gridSpan w:val="3"/>
            <w:shd w:val="clear" w:color="auto" w:fill="CCEEFF"/>
            <w:tcMar>
              <w:top w:w="40" w:type="dxa"/>
              <w:left w:w="20" w:type="dxa"/>
              <w:bottom w:w="40" w:type="dxa"/>
              <w:right w:w="20" w:type="dxa"/>
            </w:tcMar>
            <w:vAlign w:val="center"/>
          </w:tcPr>
          <w:p w14:paraId="098A8DAA" w14:textId="77777777" w:rsidR="00141CDF" w:rsidRDefault="00DF45E0">
            <w:pPr>
              <w:textAlignment w:val="center"/>
            </w:pPr>
            <w:r>
              <w:rPr>
                <w:rFonts w:ascii="Times New Roman" w:eastAsia="宋体" w:hAnsi="Times New Roman"/>
                <w:b/>
                <w:bCs/>
                <w:color w:val="000000"/>
                <w:sz w:val="16"/>
                <w:szCs w:val="16"/>
              </w:rPr>
              <w:t>Balances as of July 31, 2022</w:t>
            </w:r>
          </w:p>
        </w:tc>
        <w:tc>
          <w:tcPr>
            <w:tcW w:w="0" w:type="auto"/>
            <w:gridSpan w:val="2"/>
            <w:tcBorders>
              <w:top w:val="single" w:sz="8" w:space="0" w:color="000000"/>
              <w:bottom w:val="single" w:sz="8" w:space="0" w:color="000000"/>
            </w:tcBorders>
            <w:shd w:val="clear" w:color="auto" w:fill="CCEEFF"/>
            <w:tcMar>
              <w:top w:w="40" w:type="dxa"/>
              <w:left w:w="20" w:type="dxa"/>
              <w:bottom w:w="40" w:type="dxa"/>
              <w:right w:w="0" w:type="dxa"/>
            </w:tcMar>
            <w:vAlign w:val="center"/>
          </w:tcPr>
          <w:p w14:paraId="098A8DAB" w14:textId="77777777" w:rsidR="00141CDF" w:rsidRDefault="00DF45E0">
            <w:pPr>
              <w:jc w:val="right"/>
              <w:textAlignment w:val="center"/>
            </w:pPr>
            <w:r>
              <w:rPr>
                <w:rFonts w:ascii="Times New Roman" w:eastAsia="宋体" w:hAnsi="Times New Roman"/>
                <w:color w:val="000000"/>
                <w:sz w:val="16"/>
                <w:szCs w:val="16"/>
              </w:rPr>
              <w:t>2,722 </w:t>
            </w:r>
          </w:p>
        </w:tc>
        <w:tc>
          <w:tcPr>
            <w:tcW w:w="0" w:type="auto"/>
            <w:tcBorders>
              <w:top w:val="single" w:sz="8" w:space="0" w:color="000000"/>
              <w:bottom w:val="single" w:sz="8" w:space="0" w:color="000000"/>
            </w:tcBorders>
            <w:shd w:val="clear" w:color="auto" w:fill="CCEEFF"/>
            <w:tcMar>
              <w:top w:w="40" w:type="dxa"/>
              <w:left w:w="0" w:type="dxa"/>
              <w:bottom w:w="40" w:type="dxa"/>
              <w:right w:w="20" w:type="dxa"/>
            </w:tcMar>
            <w:vAlign w:val="center"/>
          </w:tcPr>
          <w:p w14:paraId="098A8DAC"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DAD" w14:textId="77777777" w:rsidR="00141CDF" w:rsidRDefault="00141CDF">
            <w:pPr>
              <w:rPr>
                <w:rFonts w:ascii="宋体"/>
              </w:rPr>
            </w:pPr>
          </w:p>
        </w:tc>
        <w:tc>
          <w:tcPr>
            <w:tcW w:w="0" w:type="auto"/>
            <w:gridSpan w:val="2"/>
            <w:tcBorders>
              <w:top w:val="single" w:sz="8" w:space="0" w:color="000000"/>
              <w:bottom w:val="single" w:sz="8" w:space="0" w:color="000000"/>
            </w:tcBorders>
            <w:shd w:val="clear" w:color="auto" w:fill="CCEEFF"/>
            <w:tcMar>
              <w:top w:w="40" w:type="dxa"/>
              <w:left w:w="20" w:type="dxa"/>
              <w:bottom w:w="40" w:type="dxa"/>
              <w:right w:w="0" w:type="dxa"/>
            </w:tcMar>
            <w:vAlign w:val="center"/>
          </w:tcPr>
          <w:p w14:paraId="098A8DAE" w14:textId="77777777" w:rsidR="00141CDF" w:rsidRDefault="00DF45E0">
            <w:pPr>
              <w:jc w:val="right"/>
              <w:textAlignment w:val="center"/>
            </w:pPr>
            <w:r>
              <w:rPr>
                <w:rFonts w:ascii="Times New Roman" w:eastAsia="宋体" w:hAnsi="Times New Roman"/>
                <w:color w:val="000000"/>
                <w:sz w:val="16"/>
                <w:szCs w:val="16"/>
              </w:rPr>
              <w:t>272 </w:t>
            </w:r>
          </w:p>
        </w:tc>
        <w:tc>
          <w:tcPr>
            <w:tcW w:w="0" w:type="auto"/>
            <w:tcBorders>
              <w:top w:val="single" w:sz="8" w:space="0" w:color="000000"/>
              <w:bottom w:val="single" w:sz="8" w:space="0" w:color="000000"/>
            </w:tcBorders>
            <w:shd w:val="clear" w:color="auto" w:fill="CCEEFF"/>
            <w:tcMar>
              <w:top w:w="40" w:type="dxa"/>
              <w:left w:w="0" w:type="dxa"/>
              <w:bottom w:w="40" w:type="dxa"/>
              <w:right w:w="20" w:type="dxa"/>
            </w:tcMar>
            <w:vAlign w:val="center"/>
          </w:tcPr>
          <w:p w14:paraId="098A8DAF"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DB0" w14:textId="77777777" w:rsidR="00141CDF" w:rsidRDefault="00141CDF">
            <w:pPr>
              <w:rPr>
                <w:rFonts w:ascii="宋体"/>
              </w:rPr>
            </w:pPr>
          </w:p>
        </w:tc>
        <w:tc>
          <w:tcPr>
            <w:tcW w:w="0" w:type="auto"/>
            <w:gridSpan w:val="2"/>
            <w:tcBorders>
              <w:top w:val="single" w:sz="8" w:space="0" w:color="000000"/>
              <w:bottom w:val="single" w:sz="8" w:space="0" w:color="000000"/>
            </w:tcBorders>
            <w:shd w:val="clear" w:color="auto" w:fill="CCEEFF"/>
            <w:tcMar>
              <w:top w:w="40" w:type="dxa"/>
              <w:left w:w="20" w:type="dxa"/>
              <w:bottom w:w="40" w:type="dxa"/>
              <w:right w:w="0" w:type="dxa"/>
            </w:tcMar>
            <w:vAlign w:val="center"/>
          </w:tcPr>
          <w:p w14:paraId="098A8DB1" w14:textId="77777777" w:rsidR="00141CDF" w:rsidRDefault="00DF45E0">
            <w:pPr>
              <w:jc w:val="right"/>
              <w:textAlignment w:val="center"/>
            </w:pPr>
            <w:r>
              <w:rPr>
                <w:rFonts w:ascii="Times New Roman" w:eastAsia="宋体" w:hAnsi="Times New Roman"/>
                <w:color w:val="000000"/>
                <w:sz w:val="16"/>
                <w:szCs w:val="16"/>
              </w:rPr>
              <w:t>4,672 </w:t>
            </w:r>
          </w:p>
        </w:tc>
        <w:tc>
          <w:tcPr>
            <w:tcW w:w="0" w:type="auto"/>
            <w:tcBorders>
              <w:top w:val="single" w:sz="8" w:space="0" w:color="000000"/>
              <w:bottom w:val="single" w:sz="8" w:space="0" w:color="000000"/>
            </w:tcBorders>
            <w:shd w:val="clear" w:color="auto" w:fill="CCEEFF"/>
            <w:tcMar>
              <w:top w:w="40" w:type="dxa"/>
              <w:left w:w="0" w:type="dxa"/>
              <w:bottom w:w="40" w:type="dxa"/>
              <w:right w:w="20" w:type="dxa"/>
            </w:tcMar>
            <w:vAlign w:val="center"/>
          </w:tcPr>
          <w:p w14:paraId="098A8DB2"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DB3" w14:textId="77777777" w:rsidR="00141CDF" w:rsidRDefault="00141CDF">
            <w:pPr>
              <w:rPr>
                <w:rFonts w:ascii="宋体"/>
              </w:rPr>
            </w:pPr>
          </w:p>
        </w:tc>
        <w:tc>
          <w:tcPr>
            <w:tcW w:w="0" w:type="auto"/>
            <w:gridSpan w:val="2"/>
            <w:tcBorders>
              <w:top w:val="single" w:sz="8" w:space="0" w:color="000000"/>
              <w:bottom w:val="single" w:sz="8" w:space="0" w:color="000000"/>
            </w:tcBorders>
            <w:shd w:val="clear" w:color="auto" w:fill="CCEEFF"/>
            <w:tcMar>
              <w:top w:w="40" w:type="dxa"/>
              <w:left w:w="20" w:type="dxa"/>
              <w:bottom w:w="40" w:type="dxa"/>
              <w:right w:w="0" w:type="dxa"/>
            </w:tcMar>
            <w:vAlign w:val="center"/>
          </w:tcPr>
          <w:p w14:paraId="098A8DB4" w14:textId="77777777" w:rsidR="00141CDF" w:rsidRDefault="00DF45E0">
            <w:pPr>
              <w:jc w:val="right"/>
              <w:textAlignment w:val="center"/>
            </w:pPr>
            <w:r>
              <w:rPr>
                <w:rFonts w:ascii="Times New Roman" w:eastAsia="宋体" w:hAnsi="Times New Roman"/>
                <w:color w:val="000000"/>
                <w:sz w:val="16"/>
                <w:szCs w:val="16"/>
              </w:rPr>
              <w:t>82,519 </w:t>
            </w:r>
          </w:p>
        </w:tc>
        <w:tc>
          <w:tcPr>
            <w:tcW w:w="0" w:type="auto"/>
            <w:tcBorders>
              <w:top w:val="single" w:sz="8" w:space="0" w:color="000000"/>
              <w:bottom w:val="single" w:sz="8" w:space="0" w:color="000000"/>
            </w:tcBorders>
            <w:shd w:val="clear" w:color="auto" w:fill="CCEEFF"/>
            <w:tcMar>
              <w:top w:w="40" w:type="dxa"/>
              <w:left w:w="0" w:type="dxa"/>
              <w:bottom w:w="40" w:type="dxa"/>
              <w:right w:w="20" w:type="dxa"/>
            </w:tcMar>
            <w:vAlign w:val="center"/>
          </w:tcPr>
          <w:p w14:paraId="098A8DB5"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DB6" w14:textId="77777777" w:rsidR="00141CDF" w:rsidRDefault="00141CDF">
            <w:pPr>
              <w:rPr>
                <w:rFonts w:ascii="宋体"/>
              </w:rPr>
            </w:pPr>
          </w:p>
        </w:tc>
        <w:tc>
          <w:tcPr>
            <w:tcW w:w="0" w:type="auto"/>
            <w:gridSpan w:val="2"/>
            <w:tcBorders>
              <w:top w:val="single" w:sz="8" w:space="0" w:color="000000"/>
              <w:bottom w:val="single" w:sz="8" w:space="0" w:color="000000"/>
            </w:tcBorders>
            <w:shd w:val="clear" w:color="auto" w:fill="CCEEFF"/>
            <w:tcMar>
              <w:top w:w="40" w:type="dxa"/>
              <w:left w:w="20" w:type="dxa"/>
              <w:bottom w:w="40" w:type="dxa"/>
              <w:right w:w="0" w:type="dxa"/>
            </w:tcMar>
            <w:vAlign w:val="center"/>
          </w:tcPr>
          <w:p w14:paraId="098A8DB7" w14:textId="77777777" w:rsidR="00141CDF" w:rsidRDefault="00DF45E0">
            <w:pPr>
              <w:jc w:val="right"/>
              <w:textAlignment w:val="center"/>
            </w:pPr>
            <w:r>
              <w:rPr>
                <w:rFonts w:ascii="Times New Roman" w:eastAsia="宋体" w:hAnsi="Times New Roman"/>
                <w:color w:val="000000"/>
                <w:sz w:val="16"/>
                <w:szCs w:val="16"/>
              </w:rPr>
              <w:t>(9,894)</w:t>
            </w:r>
          </w:p>
        </w:tc>
        <w:tc>
          <w:tcPr>
            <w:tcW w:w="0" w:type="auto"/>
            <w:tcBorders>
              <w:top w:val="single" w:sz="8" w:space="0" w:color="000000"/>
              <w:bottom w:val="single" w:sz="8" w:space="0" w:color="000000"/>
            </w:tcBorders>
            <w:shd w:val="clear" w:color="auto" w:fill="CCEEFF"/>
            <w:tcMar>
              <w:top w:w="40" w:type="dxa"/>
              <w:left w:w="0" w:type="dxa"/>
              <w:bottom w:w="40" w:type="dxa"/>
              <w:right w:w="20" w:type="dxa"/>
            </w:tcMar>
            <w:vAlign w:val="center"/>
          </w:tcPr>
          <w:p w14:paraId="098A8DB8"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DB9" w14:textId="77777777" w:rsidR="00141CDF" w:rsidRDefault="00141CDF">
            <w:pPr>
              <w:rPr>
                <w:rFonts w:ascii="宋体"/>
              </w:rPr>
            </w:pPr>
          </w:p>
        </w:tc>
        <w:tc>
          <w:tcPr>
            <w:tcW w:w="0" w:type="auto"/>
            <w:gridSpan w:val="2"/>
            <w:tcBorders>
              <w:top w:val="single" w:sz="8" w:space="0" w:color="000000"/>
              <w:bottom w:val="single" w:sz="8" w:space="0" w:color="000000"/>
            </w:tcBorders>
            <w:shd w:val="clear" w:color="auto" w:fill="CCEEFF"/>
            <w:tcMar>
              <w:top w:w="40" w:type="dxa"/>
              <w:left w:w="20" w:type="dxa"/>
              <w:bottom w:w="40" w:type="dxa"/>
              <w:right w:w="0" w:type="dxa"/>
            </w:tcMar>
            <w:vAlign w:val="center"/>
          </w:tcPr>
          <w:p w14:paraId="098A8DBA" w14:textId="77777777" w:rsidR="00141CDF" w:rsidRDefault="00DF45E0">
            <w:pPr>
              <w:jc w:val="right"/>
              <w:textAlignment w:val="center"/>
            </w:pPr>
            <w:r>
              <w:rPr>
                <w:rFonts w:ascii="Times New Roman" w:eastAsia="宋体" w:hAnsi="Times New Roman"/>
                <w:color w:val="000000"/>
                <w:sz w:val="16"/>
                <w:szCs w:val="16"/>
              </w:rPr>
              <w:t>77,569 </w:t>
            </w:r>
          </w:p>
        </w:tc>
        <w:tc>
          <w:tcPr>
            <w:tcW w:w="0" w:type="auto"/>
            <w:tcBorders>
              <w:top w:val="single" w:sz="8" w:space="0" w:color="000000"/>
              <w:bottom w:val="single" w:sz="8" w:space="0" w:color="000000"/>
            </w:tcBorders>
            <w:shd w:val="clear" w:color="auto" w:fill="CCEEFF"/>
            <w:tcMar>
              <w:top w:w="40" w:type="dxa"/>
              <w:left w:w="0" w:type="dxa"/>
              <w:bottom w:w="40" w:type="dxa"/>
              <w:right w:w="20" w:type="dxa"/>
            </w:tcMar>
            <w:vAlign w:val="center"/>
          </w:tcPr>
          <w:p w14:paraId="098A8DBB"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DBC" w14:textId="77777777" w:rsidR="00141CDF" w:rsidRDefault="00141CDF">
            <w:pPr>
              <w:rPr>
                <w:rFonts w:ascii="宋体"/>
              </w:rPr>
            </w:pPr>
          </w:p>
        </w:tc>
        <w:tc>
          <w:tcPr>
            <w:tcW w:w="0" w:type="auto"/>
            <w:gridSpan w:val="2"/>
            <w:tcBorders>
              <w:top w:val="single" w:sz="8" w:space="0" w:color="000000"/>
              <w:bottom w:val="single" w:sz="8" w:space="0" w:color="000000"/>
            </w:tcBorders>
            <w:shd w:val="clear" w:color="auto" w:fill="CCEEFF"/>
            <w:tcMar>
              <w:top w:w="40" w:type="dxa"/>
              <w:left w:w="20" w:type="dxa"/>
              <w:bottom w:w="40" w:type="dxa"/>
              <w:right w:w="0" w:type="dxa"/>
            </w:tcMar>
            <w:vAlign w:val="center"/>
          </w:tcPr>
          <w:p w14:paraId="098A8DBD" w14:textId="77777777" w:rsidR="00141CDF" w:rsidRDefault="00DF45E0">
            <w:pPr>
              <w:jc w:val="right"/>
              <w:textAlignment w:val="center"/>
            </w:pPr>
            <w:r>
              <w:rPr>
                <w:rFonts w:ascii="Times New Roman" w:eastAsia="宋体" w:hAnsi="Times New Roman"/>
                <w:color w:val="000000"/>
                <w:sz w:val="16"/>
                <w:szCs w:val="16"/>
              </w:rPr>
              <w:t>8,018 </w:t>
            </w:r>
          </w:p>
        </w:tc>
        <w:tc>
          <w:tcPr>
            <w:tcW w:w="0" w:type="auto"/>
            <w:tcBorders>
              <w:top w:val="single" w:sz="8" w:space="0" w:color="000000"/>
              <w:bottom w:val="single" w:sz="8" w:space="0" w:color="000000"/>
            </w:tcBorders>
            <w:shd w:val="clear" w:color="auto" w:fill="CCEEFF"/>
            <w:tcMar>
              <w:top w:w="40" w:type="dxa"/>
              <w:left w:w="0" w:type="dxa"/>
              <w:bottom w:w="40" w:type="dxa"/>
              <w:right w:w="20" w:type="dxa"/>
            </w:tcMar>
            <w:vAlign w:val="center"/>
          </w:tcPr>
          <w:p w14:paraId="098A8DBE"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DBF" w14:textId="77777777" w:rsidR="00141CDF" w:rsidRDefault="00141CDF">
            <w:pPr>
              <w:rPr>
                <w:rFonts w:ascii="宋体"/>
              </w:rPr>
            </w:pPr>
          </w:p>
        </w:tc>
        <w:tc>
          <w:tcPr>
            <w:tcW w:w="0" w:type="auto"/>
            <w:gridSpan w:val="2"/>
            <w:tcBorders>
              <w:top w:val="single" w:sz="8" w:space="0" w:color="000000"/>
              <w:bottom w:val="single" w:sz="8" w:space="0" w:color="000000"/>
            </w:tcBorders>
            <w:shd w:val="clear" w:color="auto" w:fill="CCEEFF"/>
            <w:tcMar>
              <w:top w:w="40" w:type="dxa"/>
              <w:left w:w="20" w:type="dxa"/>
              <w:bottom w:w="40" w:type="dxa"/>
              <w:right w:w="0" w:type="dxa"/>
            </w:tcMar>
            <w:vAlign w:val="center"/>
          </w:tcPr>
          <w:p w14:paraId="098A8DC0" w14:textId="77777777" w:rsidR="00141CDF" w:rsidRDefault="00DF45E0">
            <w:pPr>
              <w:jc w:val="right"/>
              <w:textAlignment w:val="center"/>
            </w:pPr>
            <w:r>
              <w:rPr>
                <w:rFonts w:ascii="Times New Roman" w:eastAsia="宋体" w:hAnsi="Times New Roman"/>
                <w:color w:val="000000"/>
                <w:sz w:val="16"/>
                <w:szCs w:val="16"/>
              </w:rPr>
              <w:t>85,587 </w:t>
            </w:r>
          </w:p>
        </w:tc>
        <w:tc>
          <w:tcPr>
            <w:tcW w:w="0" w:type="auto"/>
            <w:tcBorders>
              <w:top w:val="single" w:sz="8" w:space="0" w:color="000000"/>
              <w:bottom w:val="single" w:sz="8" w:space="0" w:color="000000"/>
            </w:tcBorders>
            <w:shd w:val="clear" w:color="auto" w:fill="CCEEFF"/>
            <w:tcMar>
              <w:top w:w="40" w:type="dxa"/>
              <w:left w:w="0" w:type="dxa"/>
              <w:bottom w:w="40" w:type="dxa"/>
              <w:right w:w="20" w:type="dxa"/>
            </w:tcMar>
            <w:vAlign w:val="center"/>
          </w:tcPr>
          <w:p w14:paraId="098A8DC1" w14:textId="77777777" w:rsidR="00141CDF" w:rsidRDefault="00141CDF">
            <w:pPr>
              <w:jc w:val="right"/>
              <w:rPr>
                <w:rFonts w:ascii="宋体"/>
              </w:rPr>
            </w:pPr>
          </w:p>
        </w:tc>
        <w:tc>
          <w:tcPr>
            <w:tcW w:w="0" w:type="auto"/>
            <w:shd w:val="clear" w:color="auto" w:fill="auto"/>
            <w:vAlign w:val="bottom"/>
          </w:tcPr>
          <w:p w14:paraId="098A8DC2" w14:textId="77777777" w:rsidR="00141CDF" w:rsidRDefault="00141CDF">
            <w:pPr>
              <w:rPr>
                <w:rFonts w:ascii="宋体"/>
                <w:vanish/>
              </w:rPr>
            </w:pPr>
          </w:p>
        </w:tc>
        <w:tc>
          <w:tcPr>
            <w:tcW w:w="0" w:type="auto"/>
            <w:shd w:val="clear" w:color="auto" w:fill="auto"/>
            <w:vAlign w:val="bottom"/>
          </w:tcPr>
          <w:p w14:paraId="098A8DC3" w14:textId="77777777" w:rsidR="00141CDF" w:rsidRDefault="00141CDF">
            <w:pPr>
              <w:rPr>
                <w:rFonts w:ascii="宋体"/>
                <w:vanish/>
              </w:rPr>
            </w:pPr>
          </w:p>
        </w:tc>
        <w:tc>
          <w:tcPr>
            <w:tcW w:w="0" w:type="auto"/>
            <w:shd w:val="clear" w:color="auto" w:fill="auto"/>
            <w:vAlign w:val="bottom"/>
          </w:tcPr>
          <w:p w14:paraId="098A8DC4" w14:textId="77777777" w:rsidR="00141CDF" w:rsidRDefault="00141CDF">
            <w:pPr>
              <w:rPr>
                <w:rFonts w:ascii="宋体"/>
                <w:vanish/>
              </w:rPr>
            </w:pPr>
          </w:p>
        </w:tc>
      </w:tr>
      <w:tr w:rsidR="00141CDF" w14:paraId="098A8DD9" w14:textId="77777777">
        <w:trPr>
          <w:hidden/>
        </w:trPr>
        <w:tc>
          <w:tcPr>
            <w:tcW w:w="0" w:type="auto"/>
            <w:gridSpan w:val="3"/>
            <w:shd w:val="clear" w:color="auto" w:fill="auto"/>
            <w:vAlign w:val="bottom"/>
          </w:tcPr>
          <w:p w14:paraId="098A8DC6" w14:textId="77777777" w:rsidR="00141CDF" w:rsidRDefault="00141CDF">
            <w:pPr>
              <w:rPr>
                <w:rFonts w:ascii="宋体"/>
                <w:vanish/>
              </w:rPr>
            </w:pPr>
          </w:p>
        </w:tc>
        <w:tc>
          <w:tcPr>
            <w:tcW w:w="0" w:type="auto"/>
            <w:gridSpan w:val="3"/>
            <w:shd w:val="clear" w:color="auto" w:fill="auto"/>
            <w:vAlign w:val="bottom"/>
          </w:tcPr>
          <w:p w14:paraId="098A8DC7" w14:textId="77777777" w:rsidR="00141CDF" w:rsidRDefault="00141CDF">
            <w:pPr>
              <w:rPr>
                <w:rFonts w:ascii="宋体"/>
                <w:vanish/>
              </w:rPr>
            </w:pPr>
          </w:p>
        </w:tc>
        <w:tc>
          <w:tcPr>
            <w:tcW w:w="0" w:type="auto"/>
            <w:gridSpan w:val="3"/>
            <w:shd w:val="clear" w:color="auto" w:fill="auto"/>
            <w:vAlign w:val="bottom"/>
          </w:tcPr>
          <w:p w14:paraId="098A8DC8" w14:textId="77777777" w:rsidR="00141CDF" w:rsidRDefault="00141CDF">
            <w:pPr>
              <w:rPr>
                <w:rFonts w:ascii="宋体"/>
                <w:vanish/>
              </w:rPr>
            </w:pPr>
          </w:p>
        </w:tc>
        <w:tc>
          <w:tcPr>
            <w:tcW w:w="0" w:type="auto"/>
            <w:gridSpan w:val="3"/>
            <w:shd w:val="clear" w:color="auto" w:fill="auto"/>
            <w:vAlign w:val="bottom"/>
          </w:tcPr>
          <w:p w14:paraId="098A8DC9" w14:textId="77777777" w:rsidR="00141CDF" w:rsidRDefault="00141CDF">
            <w:pPr>
              <w:rPr>
                <w:rFonts w:ascii="宋体"/>
                <w:vanish/>
              </w:rPr>
            </w:pPr>
          </w:p>
        </w:tc>
        <w:tc>
          <w:tcPr>
            <w:tcW w:w="0" w:type="auto"/>
            <w:gridSpan w:val="3"/>
            <w:shd w:val="clear" w:color="auto" w:fill="auto"/>
            <w:vAlign w:val="bottom"/>
          </w:tcPr>
          <w:p w14:paraId="098A8DCA" w14:textId="77777777" w:rsidR="00141CDF" w:rsidRDefault="00141CDF">
            <w:pPr>
              <w:rPr>
                <w:rFonts w:ascii="宋体"/>
                <w:vanish/>
              </w:rPr>
            </w:pPr>
          </w:p>
        </w:tc>
        <w:tc>
          <w:tcPr>
            <w:tcW w:w="0" w:type="auto"/>
            <w:gridSpan w:val="3"/>
            <w:shd w:val="clear" w:color="auto" w:fill="auto"/>
            <w:vAlign w:val="bottom"/>
          </w:tcPr>
          <w:p w14:paraId="098A8DCB" w14:textId="77777777" w:rsidR="00141CDF" w:rsidRDefault="00141CDF">
            <w:pPr>
              <w:rPr>
                <w:rFonts w:ascii="宋体"/>
                <w:vanish/>
              </w:rPr>
            </w:pPr>
          </w:p>
        </w:tc>
        <w:tc>
          <w:tcPr>
            <w:tcW w:w="0" w:type="auto"/>
            <w:gridSpan w:val="3"/>
            <w:shd w:val="clear" w:color="auto" w:fill="auto"/>
            <w:vAlign w:val="bottom"/>
          </w:tcPr>
          <w:p w14:paraId="098A8DCC" w14:textId="77777777" w:rsidR="00141CDF" w:rsidRDefault="00141CDF">
            <w:pPr>
              <w:rPr>
                <w:rFonts w:ascii="宋体"/>
                <w:vanish/>
              </w:rPr>
            </w:pPr>
          </w:p>
        </w:tc>
        <w:tc>
          <w:tcPr>
            <w:tcW w:w="0" w:type="auto"/>
            <w:gridSpan w:val="3"/>
            <w:shd w:val="clear" w:color="auto" w:fill="auto"/>
            <w:vAlign w:val="bottom"/>
          </w:tcPr>
          <w:p w14:paraId="098A8DCD" w14:textId="77777777" w:rsidR="00141CDF" w:rsidRDefault="00141CDF">
            <w:pPr>
              <w:rPr>
                <w:rFonts w:ascii="宋体"/>
                <w:vanish/>
              </w:rPr>
            </w:pPr>
          </w:p>
        </w:tc>
        <w:tc>
          <w:tcPr>
            <w:tcW w:w="0" w:type="auto"/>
            <w:gridSpan w:val="3"/>
            <w:shd w:val="clear" w:color="auto" w:fill="auto"/>
            <w:vAlign w:val="bottom"/>
          </w:tcPr>
          <w:p w14:paraId="098A8DCE" w14:textId="77777777" w:rsidR="00141CDF" w:rsidRDefault="00141CDF">
            <w:pPr>
              <w:rPr>
                <w:rFonts w:ascii="宋体"/>
                <w:vanish/>
              </w:rPr>
            </w:pPr>
          </w:p>
        </w:tc>
        <w:tc>
          <w:tcPr>
            <w:tcW w:w="0" w:type="auto"/>
            <w:gridSpan w:val="3"/>
            <w:shd w:val="clear" w:color="auto" w:fill="auto"/>
            <w:vAlign w:val="bottom"/>
          </w:tcPr>
          <w:p w14:paraId="098A8DCF" w14:textId="77777777" w:rsidR="00141CDF" w:rsidRDefault="00141CDF">
            <w:pPr>
              <w:rPr>
                <w:rFonts w:ascii="宋体"/>
                <w:vanish/>
              </w:rPr>
            </w:pPr>
          </w:p>
        </w:tc>
        <w:tc>
          <w:tcPr>
            <w:tcW w:w="0" w:type="auto"/>
            <w:gridSpan w:val="3"/>
            <w:shd w:val="clear" w:color="auto" w:fill="auto"/>
            <w:vAlign w:val="bottom"/>
          </w:tcPr>
          <w:p w14:paraId="098A8DD0" w14:textId="77777777" w:rsidR="00141CDF" w:rsidRDefault="00141CDF">
            <w:pPr>
              <w:rPr>
                <w:rFonts w:ascii="宋体"/>
                <w:vanish/>
              </w:rPr>
            </w:pPr>
          </w:p>
        </w:tc>
        <w:tc>
          <w:tcPr>
            <w:tcW w:w="0" w:type="auto"/>
            <w:gridSpan w:val="3"/>
            <w:shd w:val="clear" w:color="auto" w:fill="auto"/>
            <w:vAlign w:val="bottom"/>
          </w:tcPr>
          <w:p w14:paraId="098A8DD1" w14:textId="77777777" w:rsidR="00141CDF" w:rsidRDefault="00141CDF">
            <w:pPr>
              <w:rPr>
                <w:rFonts w:ascii="宋体"/>
                <w:vanish/>
              </w:rPr>
            </w:pPr>
          </w:p>
        </w:tc>
        <w:tc>
          <w:tcPr>
            <w:tcW w:w="0" w:type="auto"/>
            <w:gridSpan w:val="3"/>
            <w:shd w:val="clear" w:color="auto" w:fill="auto"/>
            <w:vAlign w:val="bottom"/>
          </w:tcPr>
          <w:p w14:paraId="098A8DD2" w14:textId="77777777" w:rsidR="00141CDF" w:rsidRDefault="00141CDF">
            <w:pPr>
              <w:rPr>
                <w:rFonts w:ascii="宋体"/>
                <w:vanish/>
              </w:rPr>
            </w:pPr>
          </w:p>
        </w:tc>
        <w:tc>
          <w:tcPr>
            <w:tcW w:w="0" w:type="auto"/>
            <w:gridSpan w:val="3"/>
            <w:shd w:val="clear" w:color="auto" w:fill="auto"/>
            <w:vAlign w:val="bottom"/>
          </w:tcPr>
          <w:p w14:paraId="098A8DD3" w14:textId="77777777" w:rsidR="00141CDF" w:rsidRDefault="00141CDF">
            <w:pPr>
              <w:rPr>
                <w:rFonts w:ascii="宋体"/>
                <w:vanish/>
              </w:rPr>
            </w:pPr>
          </w:p>
        </w:tc>
        <w:tc>
          <w:tcPr>
            <w:tcW w:w="0" w:type="auto"/>
            <w:gridSpan w:val="3"/>
            <w:shd w:val="clear" w:color="auto" w:fill="auto"/>
            <w:vAlign w:val="bottom"/>
          </w:tcPr>
          <w:p w14:paraId="098A8DD4" w14:textId="77777777" w:rsidR="00141CDF" w:rsidRDefault="00141CDF">
            <w:pPr>
              <w:rPr>
                <w:rFonts w:ascii="宋体"/>
                <w:vanish/>
              </w:rPr>
            </w:pPr>
          </w:p>
        </w:tc>
        <w:tc>
          <w:tcPr>
            <w:tcW w:w="0" w:type="auto"/>
            <w:gridSpan w:val="3"/>
            <w:shd w:val="clear" w:color="auto" w:fill="auto"/>
            <w:vAlign w:val="bottom"/>
          </w:tcPr>
          <w:p w14:paraId="098A8DD5" w14:textId="77777777" w:rsidR="00141CDF" w:rsidRDefault="00141CDF">
            <w:pPr>
              <w:rPr>
                <w:rFonts w:ascii="宋体"/>
                <w:vanish/>
              </w:rPr>
            </w:pPr>
          </w:p>
        </w:tc>
        <w:tc>
          <w:tcPr>
            <w:tcW w:w="0" w:type="auto"/>
            <w:shd w:val="clear" w:color="auto" w:fill="auto"/>
            <w:vAlign w:val="bottom"/>
          </w:tcPr>
          <w:p w14:paraId="098A8DD6" w14:textId="77777777" w:rsidR="00141CDF" w:rsidRDefault="00141CDF">
            <w:pPr>
              <w:rPr>
                <w:rFonts w:ascii="宋体"/>
                <w:vanish/>
              </w:rPr>
            </w:pPr>
          </w:p>
        </w:tc>
        <w:tc>
          <w:tcPr>
            <w:tcW w:w="0" w:type="auto"/>
            <w:shd w:val="clear" w:color="auto" w:fill="auto"/>
            <w:vAlign w:val="bottom"/>
          </w:tcPr>
          <w:p w14:paraId="098A8DD7" w14:textId="77777777" w:rsidR="00141CDF" w:rsidRDefault="00141CDF">
            <w:pPr>
              <w:rPr>
                <w:rFonts w:ascii="宋体"/>
                <w:vanish/>
              </w:rPr>
            </w:pPr>
          </w:p>
        </w:tc>
        <w:tc>
          <w:tcPr>
            <w:tcW w:w="0" w:type="auto"/>
            <w:shd w:val="clear" w:color="auto" w:fill="auto"/>
            <w:vAlign w:val="bottom"/>
          </w:tcPr>
          <w:p w14:paraId="098A8DD8" w14:textId="77777777" w:rsidR="00141CDF" w:rsidRDefault="00141CDF">
            <w:pPr>
              <w:rPr>
                <w:rFonts w:ascii="宋体"/>
                <w:vanish/>
              </w:rPr>
            </w:pPr>
          </w:p>
        </w:tc>
      </w:tr>
      <w:tr w:rsidR="00141CDF" w14:paraId="098A8DED" w14:textId="77777777">
        <w:trPr>
          <w:hidden/>
        </w:trPr>
        <w:tc>
          <w:tcPr>
            <w:tcW w:w="0" w:type="auto"/>
            <w:gridSpan w:val="3"/>
            <w:shd w:val="clear" w:color="auto" w:fill="auto"/>
            <w:vAlign w:val="bottom"/>
          </w:tcPr>
          <w:p w14:paraId="098A8DDA" w14:textId="77777777" w:rsidR="00141CDF" w:rsidRDefault="00141CDF">
            <w:pPr>
              <w:rPr>
                <w:rFonts w:ascii="宋体"/>
                <w:vanish/>
              </w:rPr>
            </w:pPr>
          </w:p>
        </w:tc>
        <w:tc>
          <w:tcPr>
            <w:tcW w:w="0" w:type="auto"/>
            <w:gridSpan w:val="3"/>
            <w:shd w:val="clear" w:color="auto" w:fill="auto"/>
            <w:vAlign w:val="bottom"/>
          </w:tcPr>
          <w:p w14:paraId="098A8DDB" w14:textId="77777777" w:rsidR="00141CDF" w:rsidRDefault="00141CDF">
            <w:pPr>
              <w:rPr>
                <w:rFonts w:ascii="宋体"/>
                <w:vanish/>
              </w:rPr>
            </w:pPr>
          </w:p>
        </w:tc>
        <w:tc>
          <w:tcPr>
            <w:tcW w:w="0" w:type="auto"/>
            <w:gridSpan w:val="3"/>
            <w:shd w:val="clear" w:color="auto" w:fill="auto"/>
            <w:vAlign w:val="bottom"/>
          </w:tcPr>
          <w:p w14:paraId="098A8DDC" w14:textId="77777777" w:rsidR="00141CDF" w:rsidRDefault="00141CDF">
            <w:pPr>
              <w:rPr>
                <w:rFonts w:ascii="宋体"/>
                <w:vanish/>
              </w:rPr>
            </w:pPr>
          </w:p>
        </w:tc>
        <w:tc>
          <w:tcPr>
            <w:tcW w:w="0" w:type="auto"/>
            <w:gridSpan w:val="3"/>
            <w:shd w:val="clear" w:color="auto" w:fill="auto"/>
            <w:vAlign w:val="bottom"/>
          </w:tcPr>
          <w:p w14:paraId="098A8DDD" w14:textId="77777777" w:rsidR="00141CDF" w:rsidRDefault="00141CDF">
            <w:pPr>
              <w:rPr>
                <w:rFonts w:ascii="宋体"/>
                <w:vanish/>
              </w:rPr>
            </w:pPr>
          </w:p>
        </w:tc>
        <w:tc>
          <w:tcPr>
            <w:tcW w:w="0" w:type="auto"/>
            <w:gridSpan w:val="3"/>
            <w:shd w:val="clear" w:color="auto" w:fill="auto"/>
            <w:vAlign w:val="bottom"/>
          </w:tcPr>
          <w:p w14:paraId="098A8DDE" w14:textId="77777777" w:rsidR="00141CDF" w:rsidRDefault="00141CDF">
            <w:pPr>
              <w:rPr>
                <w:rFonts w:ascii="宋体"/>
                <w:vanish/>
              </w:rPr>
            </w:pPr>
          </w:p>
        </w:tc>
        <w:tc>
          <w:tcPr>
            <w:tcW w:w="0" w:type="auto"/>
            <w:gridSpan w:val="3"/>
            <w:shd w:val="clear" w:color="auto" w:fill="auto"/>
            <w:vAlign w:val="bottom"/>
          </w:tcPr>
          <w:p w14:paraId="098A8DDF" w14:textId="77777777" w:rsidR="00141CDF" w:rsidRDefault="00141CDF">
            <w:pPr>
              <w:rPr>
                <w:rFonts w:ascii="宋体"/>
                <w:vanish/>
              </w:rPr>
            </w:pPr>
          </w:p>
        </w:tc>
        <w:tc>
          <w:tcPr>
            <w:tcW w:w="0" w:type="auto"/>
            <w:gridSpan w:val="3"/>
            <w:shd w:val="clear" w:color="auto" w:fill="auto"/>
            <w:vAlign w:val="bottom"/>
          </w:tcPr>
          <w:p w14:paraId="098A8DE0" w14:textId="77777777" w:rsidR="00141CDF" w:rsidRDefault="00141CDF">
            <w:pPr>
              <w:rPr>
                <w:rFonts w:ascii="宋体"/>
                <w:vanish/>
              </w:rPr>
            </w:pPr>
          </w:p>
        </w:tc>
        <w:tc>
          <w:tcPr>
            <w:tcW w:w="0" w:type="auto"/>
            <w:gridSpan w:val="3"/>
            <w:shd w:val="clear" w:color="auto" w:fill="auto"/>
            <w:vAlign w:val="bottom"/>
          </w:tcPr>
          <w:p w14:paraId="098A8DE1" w14:textId="77777777" w:rsidR="00141CDF" w:rsidRDefault="00141CDF">
            <w:pPr>
              <w:rPr>
                <w:rFonts w:ascii="宋体"/>
                <w:vanish/>
              </w:rPr>
            </w:pPr>
          </w:p>
        </w:tc>
        <w:tc>
          <w:tcPr>
            <w:tcW w:w="0" w:type="auto"/>
            <w:gridSpan w:val="3"/>
            <w:shd w:val="clear" w:color="auto" w:fill="auto"/>
            <w:vAlign w:val="bottom"/>
          </w:tcPr>
          <w:p w14:paraId="098A8DE2" w14:textId="77777777" w:rsidR="00141CDF" w:rsidRDefault="00141CDF">
            <w:pPr>
              <w:rPr>
                <w:rFonts w:ascii="宋体"/>
                <w:vanish/>
              </w:rPr>
            </w:pPr>
          </w:p>
        </w:tc>
        <w:tc>
          <w:tcPr>
            <w:tcW w:w="0" w:type="auto"/>
            <w:gridSpan w:val="3"/>
            <w:shd w:val="clear" w:color="auto" w:fill="auto"/>
            <w:vAlign w:val="bottom"/>
          </w:tcPr>
          <w:p w14:paraId="098A8DE3" w14:textId="77777777" w:rsidR="00141CDF" w:rsidRDefault="00141CDF">
            <w:pPr>
              <w:rPr>
                <w:rFonts w:ascii="宋体"/>
                <w:vanish/>
              </w:rPr>
            </w:pPr>
          </w:p>
        </w:tc>
        <w:tc>
          <w:tcPr>
            <w:tcW w:w="0" w:type="auto"/>
            <w:gridSpan w:val="3"/>
            <w:shd w:val="clear" w:color="auto" w:fill="auto"/>
            <w:vAlign w:val="bottom"/>
          </w:tcPr>
          <w:p w14:paraId="098A8DE4" w14:textId="77777777" w:rsidR="00141CDF" w:rsidRDefault="00141CDF">
            <w:pPr>
              <w:rPr>
                <w:rFonts w:ascii="宋体"/>
                <w:vanish/>
              </w:rPr>
            </w:pPr>
          </w:p>
        </w:tc>
        <w:tc>
          <w:tcPr>
            <w:tcW w:w="0" w:type="auto"/>
            <w:gridSpan w:val="3"/>
            <w:shd w:val="clear" w:color="auto" w:fill="auto"/>
            <w:vAlign w:val="bottom"/>
          </w:tcPr>
          <w:p w14:paraId="098A8DE5" w14:textId="77777777" w:rsidR="00141CDF" w:rsidRDefault="00141CDF">
            <w:pPr>
              <w:rPr>
                <w:rFonts w:ascii="宋体"/>
                <w:vanish/>
              </w:rPr>
            </w:pPr>
          </w:p>
        </w:tc>
        <w:tc>
          <w:tcPr>
            <w:tcW w:w="0" w:type="auto"/>
            <w:gridSpan w:val="3"/>
            <w:shd w:val="clear" w:color="auto" w:fill="auto"/>
            <w:vAlign w:val="bottom"/>
          </w:tcPr>
          <w:p w14:paraId="098A8DE6" w14:textId="77777777" w:rsidR="00141CDF" w:rsidRDefault="00141CDF">
            <w:pPr>
              <w:rPr>
                <w:rFonts w:ascii="宋体"/>
                <w:vanish/>
              </w:rPr>
            </w:pPr>
          </w:p>
        </w:tc>
        <w:tc>
          <w:tcPr>
            <w:tcW w:w="0" w:type="auto"/>
            <w:gridSpan w:val="3"/>
            <w:shd w:val="clear" w:color="auto" w:fill="auto"/>
            <w:vAlign w:val="bottom"/>
          </w:tcPr>
          <w:p w14:paraId="098A8DE7" w14:textId="77777777" w:rsidR="00141CDF" w:rsidRDefault="00141CDF">
            <w:pPr>
              <w:rPr>
                <w:rFonts w:ascii="宋体"/>
                <w:vanish/>
              </w:rPr>
            </w:pPr>
          </w:p>
        </w:tc>
        <w:tc>
          <w:tcPr>
            <w:tcW w:w="0" w:type="auto"/>
            <w:gridSpan w:val="3"/>
            <w:shd w:val="clear" w:color="auto" w:fill="auto"/>
            <w:vAlign w:val="bottom"/>
          </w:tcPr>
          <w:p w14:paraId="098A8DE8" w14:textId="77777777" w:rsidR="00141CDF" w:rsidRDefault="00141CDF">
            <w:pPr>
              <w:rPr>
                <w:rFonts w:ascii="宋体"/>
                <w:vanish/>
              </w:rPr>
            </w:pPr>
          </w:p>
        </w:tc>
        <w:tc>
          <w:tcPr>
            <w:tcW w:w="0" w:type="auto"/>
            <w:gridSpan w:val="3"/>
            <w:shd w:val="clear" w:color="auto" w:fill="auto"/>
            <w:vAlign w:val="bottom"/>
          </w:tcPr>
          <w:p w14:paraId="098A8DE9" w14:textId="77777777" w:rsidR="00141CDF" w:rsidRDefault="00141CDF">
            <w:pPr>
              <w:rPr>
                <w:rFonts w:ascii="宋体"/>
                <w:vanish/>
              </w:rPr>
            </w:pPr>
          </w:p>
        </w:tc>
        <w:tc>
          <w:tcPr>
            <w:tcW w:w="0" w:type="auto"/>
            <w:shd w:val="clear" w:color="auto" w:fill="auto"/>
            <w:vAlign w:val="bottom"/>
          </w:tcPr>
          <w:p w14:paraId="098A8DEA" w14:textId="77777777" w:rsidR="00141CDF" w:rsidRDefault="00141CDF">
            <w:pPr>
              <w:rPr>
                <w:rFonts w:ascii="宋体"/>
                <w:vanish/>
              </w:rPr>
            </w:pPr>
          </w:p>
        </w:tc>
        <w:tc>
          <w:tcPr>
            <w:tcW w:w="0" w:type="auto"/>
            <w:shd w:val="clear" w:color="auto" w:fill="auto"/>
            <w:vAlign w:val="bottom"/>
          </w:tcPr>
          <w:p w14:paraId="098A8DEB" w14:textId="77777777" w:rsidR="00141CDF" w:rsidRDefault="00141CDF">
            <w:pPr>
              <w:rPr>
                <w:rFonts w:ascii="宋体"/>
                <w:vanish/>
              </w:rPr>
            </w:pPr>
          </w:p>
        </w:tc>
        <w:tc>
          <w:tcPr>
            <w:tcW w:w="0" w:type="auto"/>
            <w:shd w:val="clear" w:color="auto" w:fill="auto"/>
            <w:vAlign w:val="bottom"/>
          </w:tcPr>
          <w:p w14:paraId="098A8DEC" w14:textId="77777777" w:rsidR="00141CDF" w:rsidRDefault="00141CDF">
            <w:pPr>
              <w:rPr>
                <w:rFonts w:ascii="宋体"/>
                <w:vanish/>
              </w:rPr>
            </w:pPr>
          </w:p>
        </w:tc>
      </w:tr>
      <w:tr w:rsidR="00141CDF" w14:paraId="098A8E01" w14:textId="77777777">
        <w:trPr>
          <w:hidden/>
        </w:trPr>
        <w:tc>
          <w:tcPr>
            <w:tcW w:w="0" w:type="auto"/>
            <w:gridSpan w:val="3"/>
            <w:shd w:val="clear" w:color="auto" w:fill="auto"/>
            <w:vAlign w:val="bottom"/>
          </w:tcPr>
          <w:p w14:paraId="098A8DEE" w14:textId="77777777" w:rsidR="00141CDF" w:rsidRDefault="00141CDF">
            <w:pPr>
              <w:rPr>
                <w:rFonts w:ascii="宋体"/>
                <w:vanish/>
              </w:rPr>
            </w:pPr>
          </w:p>
        </w:tc>
        <w:tc>
          <w:tcPr>
            <w:tcW w:w="0" w:type="auto"/>
            <w:gridSpan w:val="3"/>
            <w:shd w:val="clear" w:color="auto" w:fill="auto"/>
            <w:vAlign w:val="bottom"/>
          </w:tcPr>
          <w:p w14:paraId="098A8DEF" w14:textId="77777777" w:rsidR="00141CDF" w:rsidRDefault="00141CDF">
            <w:pPr>
              <w:rPr>
                <w:rFonts w:ascii="宋体"/>
                <w:vanish/>
              </w:rPr>
            </w:pPr>
          </w:p>
        </w:tc>
        <w:tc>
          <w:tcPr>
            <w:tcW w:w="0" w:type="auto"/>
            <w:gridSpan w:val="3"/>
            <w:shd w:val="clear" w:color="auto" w:fill="auto"/>
            <w:vAlign w:val="bottom"/>
          </w:tcPr>
          <w:p w14:paraId="098A8DF0" w14:textId="77777777" w:rsidR="00141CDF" w:rsidRDefault="00141CDF">
            <w:pPr>
              <w:rPr>
                <w:rFonts w:ascii="宋体"/>
                <w:vanish/>
              </w:rPr>
            </w:pPr>
          </w:p>
        </w:tc>
        <w:tc>
          <w:tcPr>
            <w:tcW w:w="0" w:type="auto"/>
            <w:gridSpan w:val="3"/>
            <w:shd w:val="clear" w:color="auto" w:fill="auto"/>
            <w:vAlign w:val="bottom"/>
          </w:tcPr>
          <w:p w14:paraId="098A8DF1" w14:textId="77777777" w:rsidR="00141CDF" w:rsidRDefault="00141CDF">
            <w:pPr>
              <w:rPr>
                <w:rFonts w:ascii="宋体"/>
                <w:vanish/>
              </w:rPr>
            </w:pPr>
          </w:p>
        </w:tc>
        <w:tc>
          <w:tcPr>
            <w:tcW w:w="0" w:type="auto"/>
            <w:gridSpan w:val="3"/>
            <w:shd w:val="clear" w:color="auto" w:fill="auto"/>
            <w:vAlign w:val="bottom"/>
          </w:tcPr>
          <w:p w14:paraId="098A8DF2" w14:textId="77777777" w:rsidR="00141CDF" w:rsidRDefault="00141CDF">
            <w:pPr>
              <w:rPr>
                <w:rFonts w:ascii="宋体"/>
                <w:vanish/>
              </w:rPr>
            </w:pPr>
          </w:p>
        </w:tc>
        <w:tc>
          <w:tcPr>
            <w:tcW w:w="0" w:type="auto"/>
            <w:gridSpan w:val="3"/>
            <w:shd w:val="clear" w:color="auto" w:fill="auto"/>
            <w:vAlign w:val="bottom"/>
          </w:tcPr>
          <w:p w14:paraId="098A8DF3" w14:textId="77777777" w:rsidR="00141CDF" w:rsidRDefault="00141CDF">
            <w:pPr>
              <w:rPr>
                <w:rFonts w:ascii="宋体"/>
                <w:vanish/>
              </w:rPr>
            </w:pPr>
          </w:p>
        </w:tc>
        <w:tc>
          <w:tcPr>
            <w:tcW w:w="0" w:type="auto"/>
            <w:gridSpan w:val="3"/>
            <w:shd w:val="clear" w:color="auto" w:fill="auto"/>
            <w:vAlign w:val="bottom"/>
          </w:tcPr>
          <w:p w14:paraId="098A8DF4" w14:textId="77777777" w:rsidR="00141CDF" w:rsidRDefault="00141CDF">
            <w:pPr>
              <w:rPr>
                <w:rFonts w:ascii="宋体"/>
                <w:vanish/>
              </w:rPr>
            </w:pPr>
          </w:p>
        </w:tc>
        <w:tc>
          <w:tcPr>
            <w:tcW w:w="0" w:type="auto"/>
            <w:gridSpan w:val="3"/>
            <w:shd w:val="clear" w:color="auto" w:fill="auto"/>
            <w:vAlign w:val="bottom"/>
          </w:tcPr>
          <w:p w14:paraId="098A8DF5" w14:textId="77777777" w:rsidR="00141CDF" w:rsidRDefault="00141CDF">
            <w:pPr>
              <w:rPr>
                <w:rFonts w:ascii="宋体"/>
                <w:vanish/>
              </w:rPr>
            </w:pPr>
          </w:p>
        </w:tc>
        <w:tc>
          <w:tcPr>
            <w:tcW w:w="0" w:type="auto"/>
            <w:gridSpan w:val="3"/>
            <w:shd w:val="clear" w:color="auto" w:fill="auto"/>
            <w:vAlign w:val="bottom"/>
          </w:tcPr>
          <w:p w14:paraId="098A8DF6" w14:textId="77777777" w:rsidR="00141CDF" w:rsidRDefault="00141CDF">
            <w:pPr>
              <w:rPr>
                <w:rFonts w:ascii="宋体"/>
                <w:vanish/>
              </w:rPr>
            </w:pPr>
          </w:p>
        </w:tc>
        <w:tc>
          <w:tcPr>
            <w:tcW w:w="0" w:type="auto"/>
            <w:gridSpan w:val="3"/>
            <w:shd w:val="clear" w:color="auto" w:fill="auto"/>
            <w:vAlign w:val="bottom"/>
          </w:tcPr>
          <w:p w14:paraId="098A8DF7" w14:textId="77777777" w:rsidR="00141CDF" w:rsidRDefault="00141CDF">
            <w:pPr>
              <w:rPr>
                <w:rFonts w:ascii="宋体"/>
                <w:vanish/>
              </w:rPr>
            </w:pPr>
          </w:p>
        </w:tc>
        <w:tc>
          <w:tcPr>
            <w:tcW w:w="0" w:type="auto"/>
            <w:gridSpan w:val="3"/>
            <w:shd w:val="clear" w:color="auto" w:fill="auto"/>
            <w:vAlign w:val="bottom"/>
          </w:tcPr>
          <w:p w14:paraId="098A8DF8" w14:textId="77777777" w:rsidR="00141CDF" w:rsidRDefault="00141CDF">
            <w:pPr>
              <w:rPr>
                <w:rFonts w:ascii="宋体"/>
                <w:vanish/>
              </w:rPr>
            </w:pPr>
          </w:p>
        </w:tc>
        <w:tc>
          <w:tcPr>
            <w:tcW w:w="0" w:type="auto"/>
            <w:gridSpan w:val="3"/>
            <w:shd w:val="clear" w:color="auto" w:fill="auto"/>
            <w:vAlign w:val="bottom"/>
          </w:tcPr>
          <w:p w14:paraId="098A8DF9" w14:textId="77777777" w:rsidR="00141CDF" w:rsidRDefault="00141CDF">
            <w:pPr>
              <w:rPr>
                <w:rFonts w:ascii="宋体"/>
                <w:vanish/>
              </w:rPr>
            </w:pPr>
          </w:p>
        </w:tc>
        <w:tc>
          <w:tcPr>
            <w:tcW w:w="0" w:type="auto"/>
            <w:gridSpan w:val="3"/>
            <w:shd w:val="clear" w:color="auto" w:fill="auto"/>
            <w:vAlign w:val="bottom"/>
          </w:tcPr>
          <w:p w14:paraId="098A8DFA" w14:textId="77777777" w:rsidR="00141CDF" w:rsidRDefault="00141CDF">
            <w:pPr>
              <w:rPr>
                <w:rFonts w:ascii="宋体"/>
                <w:vanish/>
              </w:rPr>
            </w:pPr>
          </w:p>
        </w:tc>
        <w:tc>
          <w:tcPr>
            <w:tcW w:w="0" w:type="auto"/>
            <w:gridSpan w:val="3"/>
            <w:shd w:val="clear" w:color="auto" w:fill="auto"/>
            <w:vAlign w:val="bottom"/>
          </w:tcPr>
          <w:p w14:paraId="098A8DFB" w14:textId="77777777" w:rsidR="00141CDF" w:rsidRDefault="00141CDF">
            <w:pPr>
              <w:rPr>
                <w:rFonts w:ascii="宋体"/>
                <w:vanish/>
              </w:rPr>
            </w:pPr>
          </w:p>
        </w:tc>
        <w:tc>
          <w:tcPr>
            <w:tcW w:w="0" w:type="auto"/>
            <w:gridSpan w:val="3"/>
            <w:shd w:val="clear" w:color="auto" w:fill="auto"/>
            <w:vAlign w:val="bottom"/>
          </w:tcPr>
          <w:p w14:paraId="098A8DFC" w14:textId="77777777" w:rsidR="00141CDF" w:rsidRDefault="00141CDF">
            <w:pPr>
              <w:rPr>
                <w:rFonts w:ascii="宋体"/>
                <w:vanish/>
              </w:rPr>
            </w:pPr>
          </w:p>
        </w:tc>
        <w:tc>
          <w:tcPr>
            <w:tcW w:w="0" w:type="auto"/>
            <w:gridSpan w:val="3"/>
            <w:shd w:val="clear" w:color="auto" w:fill="auto"/>
            <w:vAlign w:val="bottom"/>
          </w:tcPr>
          <w:p w14:paraId="098A8DFD" w14:textId="77777777" w:rsidR="00141CDF" w:rsidRDefault="00141CDF">
            <w:pPr>
              <w:rPr>
                <w:rFonts w:ascii="宋体"/>
                <w:vanish/>
              </w:rPr>
            </w:pPr>
          </w:p>
        </w:tc>
        <w:tc>
          <w:tcPr>
            <w:tcW w:w="0" w:type="auto"/>
            <w:shd w:val="clear" w:color="auto" w:fill="auto"/>
            <w:vAlign w:val="bottom"/>
          </w:tcPr>
          <w:p w14:paraId="098A8DFE" w14:textId="77777777" w:rsidR="00141CDF" w:rsidRDefault="00141CDF">
            <w:pPr>
              <w:rPr>
                <w:rFonts w:ascii="宋体"/>
                <w:vanish/>
              </w:rPr>
            </w:pPr>
          </w:p>
        </w:tc>
        <w:tc>
          <w:tcPr>
            <w:tcW w:w="0" w:type="auto"/>
            <w:shd w:val="clear" w:color="auto" w:fill="auto"/>
            <w:vAlign w:val="bottom"/>
          </w:tcPr>
          <w:p w14:paraId="098A8DFF" w14:textId="77777777" w:rsidR="00141CDF" w:rsidRDefault="00141CDF">
            <w:pPr>
              <w:rPr>
                <w:rFonts w:ascii="宋体"/>
                <w:vanish/>
              </w:rPr>
            </w:pPr>
          </w:p>
        </w:tc>
        <w:tc>
          <w:tcPr>
            <w:tcW w:w="0" w:type="auto"/>
            <w:shd w:val="clear" w:color="auto" w:fill="auto"/>
            <w:vAlign w:val="bottom"/>
          </w:tcPr>
          <w:p w14:paraId="098A8E00" w14:textId="77777777" w:rsidR="00141CDF" w:rsidRDefault="00141CDF">
            <w:pPr>
              <w:rPr>
                <w:rFonts w:ascii="宋体"/>
                <w:vanish/>
              </w:rPr>
            </w:pPr>
          </w:p>
        </w:tc>
      </w:tr>
      <w:tr w:rsidR="00141CDF" w14:paraId="098A8E15" w14:textId="77777777">
        <w:trPr>
          <w:hidden/>
        </w:trPr>
        <w:tc>
          <w:tcPr>
            <w:tcW w:w="0" w:type="auto"/>
            <w:gridSpan w:val="3"/>
            <w:shd w:val="clear" w:color="auto" w:fill="auto"/>
            <w:vAlign w:val="bottom"/>
          </w:tcPr>
          <w:p w14:paraId="098A8E02" w14:textId="77777777" w:rsidR="00141CDF" w:rsidRDefault="00141CDF">
            <w:pPr>
              <w:rPr>
                <w:rFonts w:ascii="宋体"/>
                <w:vanish/>
              </w:rPr>
            </w:pPr>
          </w:p>
        </w:tc>
        <w:tc>
          <w:tcPr>
            <w:tcW w:w="0" w:type="auto"/>
            <w:gridSpan w:val="3"/>
            <w:shd w:val="clear" w:color="auto" w:fill="auto"/>
            <w:vAlign w:val="bottom"/>
          </w:tcPr>
          <w:p w14:paraId="098A8E03" w14:textId="77777777" w:rsidR="00141CDF" w:rsidRDefault="00141CDF">
            <w:pPr>
              <w:rPr>
                <w:rFonts w:ascii="宋体"/>
                <w:vanish/>
              </w:rPr>
            </w:pPr>
          </w:p>
        </w:tc>
        <w:tc>
          <w:tcPr>
            <w:tcW w:w="0" w:type="auto"/>
            <w:gridSpan w:val="3"/>
            <w:shd w:val="clear" w:color="auto" w:fill="auto"/>
            <w:vAlign w:val="bottom"/>
          </w:tcPr>
          <w:p w14:paraId="098A8E04" w14:textId="77777777" w:rsidR="00141CDF" w:rsidRDefault="00141CDF">
            <w:pPr>
              <w:rPr>
                <w:rFonts w:ascii="宋体"/>
                <w:vanish/>
              </w:rPr>
            </w:pPr>
          </w:p>
        </w:tc>
        <w:tc>
          <w:tcPr>
            <w:tcW w:w="0" w:type="auto"/>
            <w:gridSpan w:val="3"/>
            <w:shd w:val="clear" w:color="auto" w:fill="auto"/>
            <w:vAlign w:val="bottom"/>
          </w:tcPr>
          <w:p w14:paraId="098A8E05" w14:textId="77777777" w:rsidR="00141CDF" w:rsidRDefault="00141CDF">
            <w:pPr>
              <w:rPr>
                <w:rFonts w:ascii="宋体"/>
                <w:vanish/>
              </w:rPr>
            </w:pPr>
          </w:p>
        </w:tc>
        <w:tc>
          <w:tcPr>
            <w:tcW w:w="0" w:type="auto"/>
            <w:gridSpan w:val="3"/>
            <w:shd w:val="clear" w:color="auto" w:fill="auto"/>
            <w:vAlign w:val="bottom"/>
          </w:tcPr>
          <w:p w14:paraId="098A8E06" w14:textId="77777777" w:rsidR="00141CDF" w:rsidRDefault="00141CDF">
            <w:pPr>
              <w:rPr>
                <w:rFonts w:ascii="宋体"/>
                <w:vanish/>
              </w:rPr>
            </w:pPr>
          </w:p>
        </w:tc>
        <w:tc>
          <w:tcPr>
            <w:tcW w:w="0" w:type="auto"/>
            <w:gridSpan w:val="3"/>
            <w:shd w:val="clear" w:color="auto" w:fill="auto"/>
            <w:vAlign w:val="bottom"/>
          </w:tcPr>
          <w:p w14:paraId="098A8E07" w14:textId="77777777" w:rsidR="00141CDF" w:rsidRDefault="00141CDF">
            <w:pPr>
              <w:rPr>
                <w:rFonts w:ascii="宋体"/>
                <w:vanish/>
              </w:rPr>
            </w:pPr>
          </w:p>
        </w:tc>
        <w:tc>
          <w:tcPr>
            <w:tcW w:w="0" w:type="auto"/>
            <w:gridSpan w:val="3"/>
            <w:shd w:val="clear" w:color="auto" w:fill="auto"/>
            <w:vAlign w:val="bottom"/>
          </w:tcPr>
          <w:p w14:paraId="098A8E08" w14:textId="77777777" w:rsidR="00141CDF" w:rsidRDefault="00141CDF">
            <w:pPr>
              <w:rPr>
                <w:rFonts w:ascii="宋体"/>
                <w:vanish/>
              </w:rPr>
            </w:pPr>
          </w:p>
        </w:tc>
        <w:tc>
          <w:tcPr>
            <w:tcW w:w="0" w:type="auto"/>
            <w:gridSpan w:val="3"/>
            <w:shd w:val="clear" w:color="auto" w:fill="auto"/>
            <w:vAlign w:val="bottom"/>
          </w:tcPr>
          <w:p w14:paraId="098A8E09" w14:textId="77777777" w:rsidR="00141CDF" w:rsidRDefault="00141CDF">
            <w:pPr>
              <w:rPr>
                <w:rFonts w:ascii="宋体"/>
                <w:vanish/>
              </w:rPr>
            </w:pPr>
          </w:p>
        </w:tc>
        <w:tc>
          <w:tcPr>
            <w:tcW w:w="0" w:type="auto"/>
            <w:gridSpan w:val="3"/>
            <w:shd w:val="clear" w:color="auto" w:fill="auto"/>
            <w:vAlign w:val="bottom"/>
          </w:tcPr>
          <w:p w14:paraId="098A8E0A" w14:textId="77777777" w:rsidR="00141CDF" w:rsidRDefault="00141CDF">
            <w:pPr>
              <w:rPr>
                <w:rFonts w:ascii="宋体"/>
                <w:vanish/>
              </w:rPr>
            </w:pPr>
          </w:p>
        </w:tc>
        <w:tc>
          <w:tcPr>
            <w:tcW w:w="0" w:type="auto"/>
            <w:gridSpan w:val="3"/>
            <w:shd w:val="clear" w:color="auto" w:fill="auto"/>
            <w:vAlign w:val="bottom"/>
          </w:tcPr>
          <w:p w14:paraId="098A8E0B" w14:textId="77777777" w:rsidR="00141CDF" w:rsidRDefault="00141CDF">
            <w:pPr>
              <w:rPr>
                <w:rFonts w:ascii="宋体"/>
                <w:vanish/>
              </w:rPr>
            </w:pPr>
          </w:p>
        </w:tc>
        <w:tc>
          <w:tcPr>
            <w:tcW w:w="0" w:type="auto"/>
            <w:gridSpan w:val="3"/>
            <w:shd w:val="clear" w:color="auto" w:fill="auto"/>
            <w:vAlign w:val="bottom"/>
          </w:tcPr>
          <w:p w14:paraId="098A8E0C" w14:textId="77777777" w:rsidR="00141CDF" w:rsidRDefault="00141CDF">
            <w:pPr>
              <w:rPr>
                <w:rFonts w:ascii="宋体"/>
                <w:vanish/>
              </w:rPr>
            </w:pPr>
          </w:p>
        </w:tc>
        <w:tc>
          <w:tcPr>
            <w:tcW w:w="0" w:type="auto"/>
            <w:gridSpan w:val="3"/>
            <w:shd w:val="clear" w:color="auto" w:fill="auto"/>
            <w:vAlign w:val="bottom"/>
          </w:tcPr>
          <w:p w14:paraId="098A8E0D" w14:textId="77777777" w:rsidR="00141CDF" w:rsidRDefault="00141CDF">
            <w:pPr>
              <w:rPr>
                <w:rFonts w:ascii="宋体"/>
                <w:vanish/>
              </w:rPr>
            </w:pPr>
          </w:p>
        </w:tc>
        <w:tc>
          <w:tcPr>
            <w:tcW w:w="0" w:type="auto"/>
            <w:gridSpan w:val="3"/>
            <w:shd w:val="clear" w:color="auto" w:fill="auto"/>
            <w:vAlign w:val="bottom"/>
          </w:tcPr>
          <w:p w14:paraId="098A8E0E" w14:textId="77777777" w:rsidR="00141CDF" w:rsidRDefault="00141CDF">
            <w:pPr>
              <w:rPr>
                <w:rFonts w:ascii="宋体"/>
                <w:vanish/>
              </w:rPr>
            </w:pPr>
          </w:p>
        </w:tc>
        <w:tc>
          <w:tcPr>
            <w:tcW w:w="0" w:type="auto"/>
            <w:gridSpan w:val="3"/>
            <w:shd w:val="clear" w:color="auto" w:fill="auto"/>
            <w:vAlign w:val="bottom"/>
          </w:tcPr>
          <w:p w14:paraId="098A8E0F" w14:textId="77777777" w:rsidR="00141CDF" w:rsidRDefault="00141CDF">
            <w:pPr>
              <w:rPr>
                <w:rFonts w:ascii="宋体"/>
                <w:vanish/>
              </w:rPr>
            </w:pPr>
          </w:p>
        </w:tc>
        <w:tc>
          <w:tcPr>
            <w:tcW w:w="0" w:type="auto"/>
            <w:gridSpan w:val="3"/>
            <w:shd w:val="clear" w:color="auto" w:fill="auto"/>
            <w:vAlign w:val="bottom"/>
          </w:tcPr>
          <w:p w14:paraId="098A8E10" w14:textId="77777777" w:rsidR="00141CDF" w:rsidRDefault="00141CDF">
            <w:pPr>
              <w:rPr>
                <w:rFonts w:ascii="宋体"/>
                <w:vanish/>
              </w:rPr>
            </w:pPr>
          </w:p>
        </w:tc>
        <w:tc>
          <w:tcPr>
            <w:tcW w:w="0" w:type="auto"/>
            <w:gridSpan w:val="3"/>
            <w:shd w:val="clear" w:color="auto" w:fill="auto"/>
            <w:vAlign w:val="bottom"/>
          </w:tcPr>
          <w:p w14:paraId="098A8E11" w14:textId="77777777" w:rsidR="00141CDF" w:rsidRDefault="00141CDF">
            <w:pPr>
              <w:rPr>
                <w:rFonts w:ascii="宋体"/>
                <w:vanish/>
              </w:rPr>
            </w:pPr>
          </w:p>
        </w:tc>
        <w:tc>
          <w:tcPr>
            <w:tcW w:w="0" w:type="auto"/>
            <w:shd w:val="clear" w:color="auto" w:fill="auto"/>
            <w:vAlign w:val="bottom"/>
          </w:tcPr>
          <w:p w14:paraId="098A8E12" w14:textId="77777777" w:rsidR="00141CDF" w:rsidRDefault="00141CDF">
            <w:pPr>
              <w:rPr>
                <w:rFonts w:ascii="宋体"/>
                <w:vanish/>
              </w:rPr>
            </w:pPr>
          </w:p>
        </w:tc>
        <w:tc>
          <w:tcPr>
            <w:tcW w:w="0" w:type="auto"/>
            <w:shd w:val="clear" w:color="auto" w:fill="auto"/>
            <w:vAlign w:val="bottom"/>
          </w:tcPr>
          <w:p w14:paraId="098A8E13" w14:textId="77777777" w:rsidR="00141CDF" w:rsidRDefault="00141CDF">
            <w:pPr>
              <w:rPr>
                <w:rFonts w:ascii="宋体"/>
                <w:vanish/>
              </w:rPr>
            </w:pPr>
          </w:p>
        </w:tc>
        <w:tc>
          <w:tcPr>
            <w:tcW w:w="0" w:type="auto"/>
            <w:shd w:val="clear" w:color="auto" w:fill="auto"/>
            <w:vAlign w:val="bottom"/>
          </w:tcPr>
          <w:p w14:paraId="098A8E14" w14:textId="77777777" w:rsidR="00141CDF" w:rsidRDefault="00141CDF">
            <w:pPr>
              <w:rPr>
                <w:rFonts w:ascii="宋体"/>
                <w:vanish/>
              </w:rPr>
            </w:pPr>
          </w:p>
        </w:tc>
      </w:tr>
      <w:tr w:rsidR="00141CDF" w14:paraId="098A8E29" w14:textId="77777777">
        <w:trPr>
          <w:hidden/>
        </w:trPr>
        <w:tc>
          <w:tcPr>
            <w:tcW w:w="0" w:type="auto"/>
            <w:gridSpan w:val="3"/>
            <w:shd w:val="clear" w:color="auto" w:fill="auto"/>
            <w:vAlign w:val="bottom"/>
          </w:tcPr>
          <w:p w14:paraId="098A8E16" w14:textId="77777777" w:rsidR="00141CDF" w:rsidRDefault="00141CDF">
            <w:pPr>
              <w:rPr>
                <w:rFonts w:ascii="宋体"/>
                <w:vanish/>
              </w:rPr>
            </w:pPr>
          </w:p>
        </w:tc>
        <w:tc>
          <w:tcPr>
            <w:tcW w:w="0" w:type="auto"/>
            <w:gridSpan w:val="3"/>
            <w:shd w:val="clear" w:color="auto" w:fill="auto"/>
            <w:vAlign w:val="bottom"/>
          </w:tcPr>
          <w:p w14:paraId="098A8E17" w14:textId="77777777" w:rsidR="00141CDF" w:rsidRDefault="00141CDF">
            <w:pPr>
              <w:rPr>
                <w:rFonts w:ascii="宋体"/>
                <w:vanish/>
              </w:rPr>
            </w:pPr>
          </w:p>
        </w:tc>
        <w:tc>
          <w:tcPr>
            <w:tcW w:w="0" w:type="auto"/>
            <w:gridSpan w:val="3"/>
            <w:shd w:val="clear" w:color="auto" w:fill="auto"/>
            <w:vAlign w:val="bottom"/>
          </w:tcPr>
          <w:p w14:paraId="098A8E18" w14:textId="77777777" w:rsidR="00141CDF" w:rsidRDefault="00141CDF">
            <w:pPr>
              <w:rPr>
                <w:rFonts w:ascii="宋体"/>
                <w:vanish/>
              </w:rPr>
            </w:pPr>
          </w:p>
        </w:tc>
        <w:tc>
          <w:tcPr>
            <w:tcW w:w="0" w:type="auto"/>
            <w:gridSpan w:val="3"/>
            <w:shd w:val="clear" w:color="auto" w:fill="auto"/>
            <w:vAlign w:val="bottom"/>
          </w:tcPr>
          <w:p w14:paraId="098A8E19" w14:textId="77777777" w:rsidR="00141CDF" w:rsidRDefault="00141CDF">
            <w:pPr>
              <w:rPr>
                <w:rFonts w:ascii="宋体"/>
                <w:vanish/>
              </w:rPr>
            </w:pPr>
          </w:p>
        </w:tc>
        <w:tc>
          <w:tcPr>
            <w:tcW w:w="0" w:type="auto"/>
            <w:gridSpan w:val="3"/>
            <w:shd w:val="clear" w:color="auto" w:fill="auto"/>
            <w:vAlign w:val="bottom"/>
          </w:tcPr>
          <w:p w14:paraId="098A8E1A" w14:textId="77777777" w:rsidR="00141CDF" w:rsidRDefault="00141CDF">
            <w:pPr>
              <w:rPr>
                <w:rFonts w:ascii="宋体"/>
                <w:vanish/>
              </w:rPr>
            </w:pPr>
          </w:p>
        </w:tc>
        <w:tc>
          <w:tcPr>
            <w:tcW w:w="0" w:type="auto"/>
            <w:gridSpan w:val="3"/>
            <w:shd w:val="clear" w:color="auto" w:fill="auto"/>
            <w:vAlign w:val="bottom"/>
          </w:tcPr>
          <w:p w14:paraId="098A8E1B" w14:textId="77777777" w:rsidR="00141CDF" w:rsidRDefault="00141CDF">
            <w:pPr>
              <w:rPr>
                <w:rFonts w:ascii="宋体"/>
                <w:vanish/>
              </w:rPr>
            </w:pPr>
          </w:p>
        </w:tc>
        <w:tc>
          <w:tcPr>
            <w:tcW w:w="0" w:type="auto"/>
            <w:gridSpan w:val="3"/>
            <w:shd w:val="clear" w:color="auto" w:fill="auto"/>
            <w:vAlign w:val="bottom"/>
          </w:tcPr>
          <w:p w14:paraId="098A8E1C" w14:textId="77777777" w:rsidR="00141CDF" w:rsidRDefault="00141CDF">
            <w:pPr>
              <w:rPr>
                <w:rFonts w:ascii="宋体"/>
                <w:vanish/>
              </w:rPr>
            </w:pPr>
          </w:p>
        </w:tc>
        <w:tc>
          <w:tcPr>
            <w:tcW w:w="0" w:type="auto"/>
            <w:gridSpan w:val="3"/>
            <w:shd w:val="clear" w:color="auto" w:fill="auto"/>
            <w:vAlign w:val="bottom"/>
          </w:tcPr>
          <w:p w14:paraId="098A8E1D" w14:textId="77777777" w:rsidR="00141CDF" w:rsidRDefault="00141CDF">
            <w:pPr>
              <w:rPr>
                <w:rFonts w:ascii="宋体"/>
                <w:vanish/>
              </w:rPr>
            </w:pPr>
          </w:p>
        </w:tc>
        <w:tc>
          <w:tcPr>
            <w:tcW w:w="0" w:type="auto"/>
            <w:gridSpan w:val="3"/>
            <w:shd w:val="clear" w:color="auto" w:fill="auto"/>
            <w:vAlign w:val="bottom"/>
          </w:tcPr>
          <w:p w14:paraId="098A8E1E" w14:textId="77777777" w:rsidR="00141CDF" w:rsidRDefault="00141CDF">
            <w:pPr>
              <w:rPr>
                <w:rFonts w:ascii="宋体"/>
                <w:vanish/>
              </w:rPr>
            </w:pPr>
          </w:p>
        </w:tc>
        <w:tc>
          <w:tcPr>
            <w:tcW w:w="0" w:type="auto"/>
            <w:gridSpan w:val="3"/>
            <w:shd w:val="clear" w:color="auto" w:fill="auto"/>
            <w:vAlign w:val="bottom"/>
          </w:tcPr>
          <w:p w14:paraId="098A8E1F" w14:textId="77777777" w:rsidR="00141CDF" w:rsidRDefault="00141CDF">
            <w:pPr>
              <w:rPr>
                <w:rFonts w:ascii="宋体"/>
                <w:vanish/>
              </w:rPr>
            </w:pPr>
          </w:p>
        </w:tc>
        <w:tc>
          <w:tcPr>
            <w:tcW w:w="0" w:type="auto"/>
            <w:gridSpan w:val="3"/>
            <w:shd w:val="clear" w:color="auto" w:fill="auto"/>
            <w:vAlign w:val="bottom"/>
          </w:tcPr>
          <w:p w14:paraId="098A8E20" w14:textId="77777777" w:rsidR="00141CDF" w:rsidRDefault="00141CDF">
            <w:pPr>
              <w:rPr>
                <w:rFonts w:ascii="宋体"/>
                <w:vanish/>
              </w:rPr>
            </w:pPr>
          </w:p>
        </w:tc>
        <w:tc>
          <w:tcPr>
            <w:tcW w:w="0" w:type="auto"/>
            <w:gridSpan w:val="3"/>
            <w:shd w:val="clear" w:color="auto" w:fill="auto"/>
            <w:vAlign w:val="bottom"/>
          </w:tcPr>
          <w:p w14:paraId="098A8E21" w14:textId="77777777" w:rsidR="00141CDF" w:rsidRDefault="00141CDF">
            <w:pPr>
              <w:rPr>
                <w:rFonts w:ascii="宋体"/>
                <w:vanish/>
              </w:rPr>
            </w:pPr>
          </w:p>
        </w:tc>
        <w:tc>
          <w:tcPr>
            <w:tcW w:w="0" w:type="auto"/>
            <w:gridSpan w:val="3"/>
            <w:shd w:val="clear" w:color="auto" w:fill="auto"/>
            <w:vAlign w:val="bottom"/>
          </w:tcPr>
          <w:p w14:paraId="098A8E22" w14:textId="77777777" w:rsidR="00141CDF" w:rsidRDefault="00141CDF">
            <w:pPr>
              <w:rPr>
                <w:rFonts w:ascii="宋体"/>
                <w:vanish/>
              </w:rPr>
            </w:pPr>
          </w:p>
        </w:tc>
        <w:tc>
          <w:tcPr>
            <w:tcW w:w="0" w:type="auto"/>
            <w:gridSpan w:val="3"/>
            <w:shd w:val="clear" w:color="auto" w:fill="auto"/>
            <w:vAlign w:val="bottom"/>
          </w:tcPr>
          <w:p w14:paraId="098A8E23" w14:textId="77777777" w:rsidR="00141CDF" w:rsidRDefault="00141CDF">
            <w:pPr>
              <w:rPr>
                <w:rFonts w:ascii="宋体"/>
                <w:vanish/>
              </w:rPr>
            </w:pPr>
          </w:p>
        </w:tc>
        <w:tc>
          <w:tcPr>
            <w:tcW w:w="0" w:type="auto"/>
            <w:gridSpan w:val="3"/>
            <w:shd w:val="clear" w:color="auto" w:fill="auto"/>
            <w:vAlign w:val="bottom"/>
          </w:tcPr>
          <w:p w14:paraId="098A8E24" w14:textId="77777777" w:rsidR="00141CDF" w:rsidRDefault="00141CDF">
            <w:pPr>
              <w:rPr>
                <w:rFonts w:ascii="宋体"/>
                <w:vanish/>
              </w:rPr>
            </w:pPr>
          </w:p>
        </w:tc>
        <w:tc>
          <w:tcPr>
            <w:tcW w:w="0" w:type="auto"/>
            <w:gridSpan w:val="3"/>
            <w:shd w:val="clear" w:color="auto" w:fill="auto"/>
            <w:vAlign w:val="bottom"/>
          </w:tcPr>
          <w:p w14:paraId="098A8E25" w14:textId="77777777" w:rsidR="00141CDF" w:rsidRDefault="00141CDF">
            <w:pPr>
              <w:rPr>
                <w:rFonts w:ascii="宋体"/>
                <w:vanish/>
              </w:rPr>
            </w:pPr>
          </w:p>
        </w:tc>
        <w:tc>
          <w:tcPr>
            <w:tcW w:w="0" w:type="auto"/>
            <w:shd w:val="clear" w:color="auto" w:fill="auto"/>
            <w:vAlign w:val="bottom"/>
          </w:tcPr>
          <w:p w14:paraId="098A8E26" w14:textId="77777777" w:rsidR="00141CDF" w:rsidRDefault="00141CDF">
            <w:pPr>
              <w:rPr>
                <w:rFonts w:ascii="宋体"/>
                <w:vanish/>
              </w:rPr>
            </w:pPr>
          </w:p>
        </w:tc>
        <w:tc>
          <w:tcPr>
            <w:tcW w:w="0" w:type="auto"/>
            <w:shd w:val="clear" w:color="auto" w:fill="auto"/>
            <w:vAlign w:val="bottom"/>
          </w:tcPr>
          <w:p w14:paraId="098A8E27" w14:textId="77777777" w:rsidR="00141CDF" w:rsidRDefault="00141CDF">
            <w:pPr>
              <w:rPr>
                <w:rFonts w:ascii="宋体"/>
                <w:vanish/>
              </w:rPr>
            </w:pPr>
          </w:p>
        </w:tc>
        <w:tc>
          <w:tcPr>
            <w:tcW w:w="0" w:type="auto"/>
            <w:shd w:val="clear" w:color="auto" w:fill="auto"/>
            <w:vAlign w:val="bottom"/>
          </w:tcPr>
          <w:p w14:paraId="098A8E28" w14:textId="77777777" w:rsidR="00141CDF" w:rsidRDefault="00141CDF">
            <w:pPr>
              <w:rPr>
                <w:rFonts w:ascii="宋体"/>
                <w:vanish/>
              </w:rPr>
            </w:pPr>
          </w:p>
        </w:tc>
      </w:tr>
      <w:tr w:rsidR="00141CDF" w14:paraId="098A8E3D" w14:textId="77777777">
        <w:trPr>
          <w:hidden/>
        </w:trPr>
        <w:tc>
          <w:tcPr>
            <w:tcW w:w="0" w:type="auto"/>
            <w:gridSpan w:val="3"/>
            <w:shd w:val="clear" w:color="auto" w:fill="auto"/>
            <w:vAlign w:val="bottom"/>
          </w:tcPr>
          <w:p w14:paraId="098A8E2A" w14:textId="77777777" w:rsidR="00141CDF" w:rsidRDefault="00141CDF">
            <w:pPr>
              <w:rPr>
                <w:rFonts w:ascii="宋体"/>
                <w:vanish/>
              </w:rPr>
            </w:pPr>
          </w:p>
        </w:tc>
        <w:tc>
          <w:tcPr>
            <w:tcW w:w="0" w:type="auto"/>
            <w:gridSpan w:val="3"/>
            <w:shd w:val="clear" w:color="auto" w:fill="auto"/>
            <w:vAlign w:val="bottom"/>
          </w:tcPr>
          <w:p w14:paraId="098A8E2B" w14:textId="77777777" w:rsidR="00141CDF" w:rsidRDefault="00141CDF">
            <w:pPr>
              <w:rPr>
                <w:rFonts w:ascii="宋体"/>
                <w:vanish/>
              </w:rPr>
            </w:pPr>
          </w:p>
        </w:tc>
        <w:tc>
          <w:tcPr>
            <w:tcW w:w="0" w:type="auto"/>
            <w:gridSpan w:val="3"/>
            <w:shd w:val="clear" w:color="auto" w:fill="auto"/>
            <w:vAlign w:val="bottom"/>
          </w:tcPr>
          <w:p w14:paraId="098A8E2C" w14:textId="77777777" w:rsidR="00141CDF" w:rsidRDefault="00141CDF">
            <w:pPr>
              <w:rPr>
                <w:rFonts w:ascii="宋体"/>
                <w:vanish/>
              </w:rPr>
            </w:pPr>
          </w:p>
        </w:tc>
        <w:tc>
          <w:tcPr>
            <w:tcW w:w="0" w:type="auto"/>
            <w:gridSpan w:val="3"/>
            <w:shd w:val="clear" w:color="auto" w:fill="auto"/>
            <w:vAlign w:val="bottom"/>
          </w:tcPr>
          <w:p w14:paraId="098A8E2D" w14:textId="77777777" w:rsidR="00141CDF" w:rsidRDefault="00141CDF">
            <w:pPr>
              <w:rPr>
                <w:rFonts w:ascii="宋体"/>
                <w:vanish/>
              </w:rPr>
            </w:pPr>
          </w:p>
        </w:tc>
        <w:tc>
          <w:tcPr>
            <w:tcW w:w="0" w:type="auto"/>
            <w:gridSpan w:val="3"/>
            <w:shd w:val="clear" w:color="auto" w:fill="auto"/>
            <w:vAlign w:val="bottom"/>
          </w:tcPr>
          <w:p w14:paraId="098A8E2E" w14:textId="77777777" w:rsidR="00141CDF" w:rsidRDefault="00141CDF">
            <w:pPr>
              <w:rPr>
                <w:rFonts w:ascii="宋体"/>
                <w:vanish/>
              </w:rPr>
            </w:pPr>
          </w:p>
        </w:tc>
        <w:tc>
          <w:tcPr>
            <w:tcW w:w="0" w:type="auto"/>
            <w:gridSpan w:val="3"/>
            <w:shd w:val="clear" w:color="auto" w:fill="auto"/>
            <w:vAlign w:val="bottom"/>
          </w:tcPr>
          <w:p w14:paraId="098A8E2F" w14:textId="77777777" w:rsidR="00141CDF" w:rsidRDefault="00141CDF">
            <w:pPr>
              <w:rPr>
                <w:rFonts w:ascii="宋体"/>
                <w:vanish/>
              </w:rPr>
            </w:pPr>
          </w:p>
        </w:tc>
        <w:tc>
          <w:tcPr>
            <w:tcW w:w="0" w:type="auto"/>
            <w:gridSpan w:val="3"/>
            <w:shd w:val="clear" w:color="auto" w:fill="auto"/>
            <w:vAlign w:val="bottom"/>
          </w:tcPr>
          <w:p w14:paraId="098A8E30" w14:textId="77777777" w:rsidR="00141CDF" w:rsidRDefault="00141CDF">
            <w:pPr>
              <w:rPr>
                <w:rFonts w:ascii="宋体"/>
                <w:vanish/>
              </w:rPr>
            </w:pPr>
          </w:p>
        </w:tc>
        <w:tc>
          <w:tcPr>
            <w:tcW w:w="0" w:type="auto"/>
            <w:gridSpan w:val="3"/>
            <w:shd w:val="clear" w:color="auto" w:fill="auto"/>
            <w:vAlign w:val="bottom"/>
          </w:tcPr>
          <w:p w14:paraId="098A8E31" w14:textId="77777777" w:rsidR="00141CDF" w:rsidRDefault="00141CDF">
            <w:pPr>
              <w:rPr>
                <w:rFonts w:ascii="宋体"/>
                <w:vanish/>
              </w:rPr>
            </w:pPr>
          </w:p>
        </w:tc>
        <w:tc>
          <w:tcPr>
            <w:tcW w:w="0" w:type="auto"/>
            <w:gridSpan w:val="3"/>
            <w:shd w:val="clear" w:color="auto" w:fill="auto"/>
            <w:vAlign w:val="bottom"/>
          </w:tcPr>
          <w:p w14:paraId="098A8E32" w14:textId="77777777" w:rsidR="00141CDF" w:rsidRDefault="00141CDF">
            <w:pPr>
              <w:rPr>
                <w:rFonts w:ascii="宋体"/>
                <w:vanish/>
              </w:rPr>
            </w:pPr>
          </w:p>
        </w:tc>
        <w:tc>
          <w:tcPr>
            <w:tcW w:w="0" w:type="auto"/>
            <w:gridSpan w:val="3"/>
            <w:shd w:val="clear" w:color="auto" w:fill="auto"/>
            <w:vAlign w:val="bottom"/>
          </w:tcPr>
          <w:p w14:paraId="098A8E33" w14:textId="77777777" w:rsidR="00141CDF" w:rsidRDefault="00141CDF">
            <w:pPr>
              <w:rPr>
                <w:rFonts w:ascii="宋体"/>
                <w:vanish/>
              </w:rPr>
            </w:pPr>
          </w:p>
        </w:tc>
        <w:tc>
          <w:tcPr>
            <w:tcW w:w="0" w:type="auto"/>
            <w:gridSpan w:val="3"/>
            <w:shd w:val="clear" w:color="auto" w:fill="auto"/>
            <w:vAlign w:val="bottom"/>
          </w:tcPr>
          <w:p w14:paraId="098A8E34" w14:textId="77777777" w:rsidR="00141CDF" w:rsidRDefault="00141CDF">
            <w:pPr>
              <w:rPr>
                <w:rFonts w:ascii="宋体"/>
                <w:vanish/>
              </w:rPr>
            </w:pPr>
          </w:p>
        </w:tc>
        <w:tc>
          <w:tcPr>
            <w:tcW w:w="0" w:type="auto"/>
            <w:gridSpan w:val="3"/>
            <w:shd w:val="clear" w:color="auto" w:fill="auto"/>
            <w:vAlign w:val="bottom"/>
          </w:tcPr>
          <w:p w14:paraId="098A8E35" w14:textId="77777777" w:rsidR="00141CDF" w:rsidRDefault="00141CDF">
            <w:pPr>
              <w:rPr>
                <w:rFonts w:ascii="宋体"/>
                <w:vanish/>
              </w:rPr>
            </w:pPr>
          </w:p>
        </w:tc>
        <w:tc>
          <w:tcPr>
            <w:tcW w:w="0" w:type="auto"/>
            <w:gridSpan w:val="3"/>
            <w:shd w:val="clear" w:color="auto" w:fill="auto"/>
            <w:vAlign w:val="bottom"/>
          </w:tcPr>
          <w:p w14:paraId="098A8E36" w14:textId="77777777" w:rsidR="00141CDF" w:rsidRDefault="00141CDF">
            <w:pPr>
              <w:rPr>
                <w:rFonts w:ascii="宋体"/>
                <w:vanish/>
              </w:rPr>
            </w:pPr>
          </w:p>
        </w:tc>
        <w:tc>
          <w:tcPr>
            <w:tcW w:w="0" w:type="auto"/>
            <w:gridSpan w:val="3"/>
            <w:shd w:val="clear" w:color="auto" w:fill="auto"/>
            <w:vAlign w:val="bottom"/>
          </w:tcPr>
          <w:p w14:paraId="098A8E37" w14:textId="77777777" w:rsidR="00141CDF" w:rsidRDefault="00141CDF">
            <w:pPr>
              <w:rPr>
                <w:rFonts w:ascii="宋体"/>
                <w:vanish/>
              </w:rPr>
            </w:pPr>
          </w:p>
        </w:tc>
        <w:tc>
          <w:tcPr>
            <w:tcW w:w="0" w:type="auto"/>
            <w:gridSpan w:val="3"/>
            <w:shd w:val="clear" w:color="auto" w:fill="auto"/>
            <w:vAlign w:val="bottom"/>
          </w:tcPr>
          <w:p w14:paraId="098A8E38" w14:textId="77777777" w:rsidR="00141CDF" w:rsidRDefault="00141CDF">
            <w:pPr>
              <w:rPr>
                <w:rFonts w:ascii="宋体"/>
                <w:vanish/>
              </w:rPr>
            </w:pPr>
          </w:p>
        </w:tc>
        <w:tc>
          <w:tcPr>
            <w:tcW w:w="0" w:type="auto"/>
            <w:gridSpan w:val="3"/>
            <w:shd w:val="clear" w:color="auto" w:fill="auto"/>
            <w:vAlign w:val="bottom"/>
          </w:tcPr>
          <w:p w14:paraId="098A8E39" w14:textId="77777777" w:rsidR="00141CDF" w:rsidRDefault="00141CDF">
            <w:pPr>
              <w:rPr>
                <w:rFonts w:ascii="宋体"/>
                <w:vanish/>
              </w:rPr>
            </w:pPr>
          </w:p>
        </w:tc>
        <w:tc>
          <w:tcPr>
            <w:tcW w:w="0" w:type="auto"/>
            <w:shd w:val="clear" w:color="auto" w:fill="auto"/>
            <w:vAlign w:val="bottom"/>
          </w:tcPr>
          <w:p w14:paraId="098A8E3A" w14:textId="77777777" w:rsidR="00141CDF" w:rsidRDefault="00141CDF">
            <w:pPr>
              <w:rPr>
                <w:rFonts w:ascii="宋体"/>
                <w:vanish/>
              </w:rPr>
            </w:pPr>
          </w:p>
        </w:tc>
        <w:tc>
          <w:tcPr>
            <w:tcW w:w="0" w:type="auto"/>
            <w:shd w:val="clear" w:color="auto" w:fill="auto"/>
            <w:vAlign w:val="bottom"/>
          </w:tcPr>
          <w:p w14:paraId="098A8E3B" w14:textId="77777777" w:rsidR="00141CDF" w:rsidRDefault="00141CDF">
            <w:pPr>
              <w:rPr>
                <w:rFonts w:ascii="宋体"/>
                <w:vanish/>
              </w:rPr>
            </w:pPr>
          </w:p>
        </w:tc>
        <w:tc>
          <w:tcPr>
            <w:tcW w:w="0" w:type="auto"/>
            <w:shd w:val="clear" w:color="auto" w:fill="auto"/>
            <w:vAlign w:val="bottom"/>
          </w:tcPr>
          <w:p w14:paraId="098A8E3C" w14:textId="77777777" w:rsidR="00141CDF" w:rsidRDefault="00141CDF">
            <w:pPr>
              <w:rPr>
                <w:rFonts w:ascii="宋体"/>
                <w:vanish/>
              </w:rPr>
            </w:pPr>
          </w:p>
        </w:tc>
      </w:tr>
      <w:tr w:rsidR="00141CDF" w14:paraId="098A8E51" w14:textId="77777777">
        <w:trPr>
          <w:hidden/>
        </w:trPr>
        <w:tc>
          <w:tcPr>
            <w:tcW w:w="0" w:type="auto"/>
            <w:gridSpan w:val="3"/>
            <w:shd w:val="clear" w:color="auto" w:fill="auto"/>
            <w:vAlign w:val="bottom"/>
          </w:tcPr>
          <w:p w14:paraId="098A8E3E" w14:textId="77777777" w:rsidR="00141CDF" w:rsidRDefault="00141CDF">
            <w:pPr>
              <w:rPr>
                <w:rFonts w:ascii="宋体"/>
                <w:vanish/>
              </w:rPr>
            </w:pPr>
          </w:p>
        </w:tc>
        <w:tc>
          <w:tcPr>
            <w:tcW w:w="0" w:type="auto"/>
            <w:gridSpan w:val="3"/>
            <w:shd w:val="clear" w:color="auto" w:fill="auto"/>
            <w:vAlign w:val="bottom"/>
          </w:tcPr>
          <w:p w14:paraId="098A8E3F" w14:textId="77777777" w:rsidR="00141CDF" w:rsidRDefault="00141CDF">
            <w:pPr>
              <w:rPr>
                <w:rFonts w:ascii="宋体"/>
                <w:vanish/>
              </w:rPr>
            </w:pPr>
          </w:p>
        </w:tc>
        <w:tc>
          <w:tcPr>
            <w:tcW w:w="0" w:type="auto"/>
            <w:gridSpan w:val="3"/>
            <w:shd w:val="clear" w:color="auto" w:fill="auto"/>
            <w:vAlign w:val="bottom"/>
          </w:tcPr>
          <w:p w14:paraId="098A8E40" w14:textId="77777777" w:rsidR="00141CDF" w:rsidRDefault="00141CDF">
            <w:pPr>
              <w:rPr>
                <w:rFonts w:ascii="宋体"/>
                <w:vanish/>
              </w:rPr>
            </w:pPr>
          </w:p>
        </w:tc>
        <w:tc>
          <w:tcPr>
            <w:tcW w:w="0" w:type="auto"/>
            <w:gridSpan w:val="3"/>
            <w:shd w:val="clear" w:color="auto" w:fill="auto"/>
            <w:vAlign w:val="bottom"/>
          </w:tcPr>
          <w:p w14:paraId="098A8E41" w14:textId="77777777" w:rsidR="00141CDF" w:rsidRDefault="00141CDF">
            <w:pPr>
              <w:rPr>
                <w:rFonts w:ascii="宋体"/>
                <w:vanish/>
              </w:rPr>
            </w:pPr>
          </w:p>
        </w:tc>
        <w:tc>
          <w:tcPr>
            <w:tcW w:w="0" w:type="auto"/>
            <w:gridSpan w:val="3"/>
            <w:shd w:val="clear" w:color="auto" w:fill="auto"/>
            <w:vAlign w:val="bottom"/>
          </w:tcPr>
          <w:p w14:paraId="098A8E42" w14:textId="77777777" w:rsidR="00141CDF" w:rsidRDefault="00141CDF">
            <w:pPr>
              <w:rPr>
                <w:rFonts w:ascii="宋体"/>
                <w:vanish/>
              </w:rPr>
            </w:pPr>
          </w:p>
        </w:tc>
        <w:tc>
          <w:tcPr>
            <w:tcW w:w="0" w:type="auto"/>
            <w:gridSpan w:val="3"/>
            <w:shd w:val="clear" w:color="auto" w:fill="auto"/>
            <w:vAlign w:val="bottom"/>
          </w:tcPr>
          <w:p w14:paraId="098A8E43" w14:textId="77777777" w:rsidR="00141CDF" w:rsidRDefault="00141CDF">
            <w:pPr>
              <w:rPr>
                <w:rFonts w:ascii="宋体"/>
                <w:vanish/>
              </w:rPr>
            </w:pPr>
          </w:p>
        </w:tc>
        <w:tc>
          <w:tcPr>
            <w:tcW w:w="0" w:type="auto"/>
            <w:gridSpan w:val="3"/>
            <w:shd w:val="clear" w:color="auto" w:fill="auto"/>
            <w:vAlign w:val="bottom"/>
          </w:tcPr>
          <w:p w14:paraId="098A8E44" w14:textId="77777777" w:rsidR="00141CDF" w:rsidRDefault="00141CDF">
            <w:pPr>
              <w:rPr>
                <w:rFonts w:ascii="宋体"/>
                <w:vanish/>
              </w:rPr>
            </w:pPr>
          </w:p>
        </w:tc>
        <w:tc>
          <w:tcPr>
            <w:tcW w:w="0" w:type="auto"/>
            <w:gridSpan w:val="3"/>
            <w:shd w:val="clear" w:color="auto" w:fill="auto"/>
            <w:vAlign w:val="bottom"/>
          </w:tcPr>
          <w:p w14:paraId="098A8E45" w14:textId="77777777" w:rsidR="00141CDF" w:rsidRDefault="00141CDF">
            <w:pPr>
              <w:rPr>
                <w:rFonts w:ascii="宋体"/>
                <w:vanish/>
              </w:rPr>
            </w:pPr>
          </w:p>
        </w:tc>
        <w:tc>
          <w:tcPr>
            <w:tcW w:w="0" w:type="auto"/>
            <w:gridSpan w:val="3"/>
            <w:shd w:val="clear" w:color="auto" w:fill="auto"/>
            <w:vAlign w:val="bottom"/>
          </w:tcPr>
          <w:p w14:paraId="098A8E46" w14:textId="77777777" w:rsidR="00141CDF" w:rsidRDefault="00141CDF">
            <w:pPr>
              <w:rPr>
                <w:rFonts w:ascii="宋体"/>
                <w:vanish/>
              </w:rPr>
            </w:pPr>
          </w:p>
        </w:tc>
        <w:tc>
          <w:tcPr>
            <w:tcW w:w="0" w:type="auto"/>
            <w:gridSpan w:val="3"/>
            <w:shd w:val="clear" w:color="auto" w:fill="auto"/>
            <w:vAlign w:val="bottom"/>
          </w:tcPr>
          <w:p w14:paraId="098A8E47" w14:textId="77777777" w:rsidR="00141CDF" w:rsidRDefault="00141CDF">
            <w:pPr>
              <w:rPr>
                <w:rFonts w:ascii="宋体"/>
                <w:vanish/>
              </w:rPr>
            </w:pPr>
          </w:p>
        </w:tc>
        <w:tc>
          <w:tcPr>
            <w:tcW w:w="0" w:type="auto"/>
            <w:gridSpan w:val="3"/>
            <w:shd w:val="clear" w:color="auto" w:fill="auto"/>
            <w:vAlign w:val="bottom"/>
          </w:tcPr>
          <w:p w14:paraId="098A8E48" w14:textId="77777777" w:rsidR="00141CDF" w:rsidRDefault="00141CDF">
            <w:pPr>
              <w:rPr>
                <w:rFonts w:ascii="宋体"/>
                <w:vanish/>
              </w:rPr>
            </w:pPr>
          </w:p>
        </w:tc>
        <w:tc>
          <w:tcPr>
            <w:tcW w:w="0" w:type="auto"/>
            <w:gridSpan w:val="3"/>
            <w:shd w:val="clear" w:color="auto" w:fill="auto"/>
            <w:vAlign w:val="bottom"/>
          </w:tcPr>
          <w:p w14:paraId="098A8E49" w14:textId="77777777" w:rsidR="00141CDF" w:rsidRDefault="00141CDF">
            <w:pPr>
              <w:rPr>
                <w:rFonts w:ascii="宋体"/>
                <w:vanish/>
              </w:rPr>
            </w:pPr>
          </w:p>
        </w:tc>
        <w:tc>
          <w:tcPr>
            <w:tcW w:w="0" w:type="auto"/>
            <w:gridSpan w:val="3"/>
            <w:shd w:val="clear" w:color="auto" w:fill="auto"/>
            <w:vAlign w:val="bottom"/>
          </w:tcPr>
          <w:p w14:paraId="098A8E4A" w14:textId="77777777" w:rsidR="00141CDF" w:rsidRDefault="00141CDF">
            <w:pPr>
              <w:rPr>
                <w:rFonts w:ascii="宋体"/>
                <w:vanish/>
              </w:rPr>
            </w:pPr>
          </w:p>
        </w:tc>
        <w:tc>
          <w:tcPr>
            <w:tcW w:w="0" w:type="auto"/>
            <w:gridSpan w:val="3"/>
            <w:shd w:val="clear" w:color="auto" w:fill="auto"/>
            <w:vAlign w:val="bottom"/>
          </w:tcPr>
          <w:p w14:paraId="098A8E4B" w14:textId="77777777" w:rsidR="00141CDF" w:rsidRDefault="00141CDF">
            <w:pPr>
              <w:rPr>
                <w:rFonts w:ascii="宋体"/>
                <w:vanish/>
              </w:rPr>
            </w:pPr>
          </w:p>
        </w:tc>
        <w:tc>
          <w:tcPr>
            <w:tcW w:w="0" w:type="auto"/>
            <w:gridSpan w:val="3"/>
            <w:shd w:val="clear" w:color="auto" w:fill="auto"/>
            <w:vAlign w:val="bottom"/>
          </w:tcPr>
          <w:p w14:paraId="098A8E4C" w14:textId="77777777" w:rsidR="00141CDF" w:rsidRDefault="00141CDF">
            <w:pPr>
              <w:rPr>
                <w:rFonts w:ascii="宋体"/>
                <w:vanish/>
              </w:rPr>
            </w:pPr>
          </w:p>
        </w:tc>
        <w:tc>
          <w:tcPr>
            <w:tcW w:w="0" w:type="auto"/>
            <w:gridSpan w:val="3"/>
            <w:shd w:val="clear" w:color="auto" w:fill="auto"/>
            <w:vAlign w:val="bottom"/>
          </w:tcPr>
          <w:p w14:paraId="098A8E4D" w14:textId="77777777" w:rsidR="00141CDF" w:rsidRDefault="00141CDF">
            <w:pPr>
              <w:rPr>
                <w:rFonts w:ascii="宋体"/>
                <w:vanish/>
              </w:rPr>
            </w:pPr>
          </w:p>
        </w:tc>
        <w:tc>
          <w:tcPr>
            <w:tcW w:w="0" w:type="auto"/>
            <w:shd w:val="clear" w:color="auto" w:fill="auto"/>
            <w:vAlign w:val="bottom"/>
          </w:tcPr>
          <w:p w14:paraId="098A8E4E" w14:textId="77777777" w:rsidR="00141CDF" w:rsidRDefault="00141CDF">
            <w:pPr>
              <w:rPr>
                <w:rFonts w:ascii="宋体"/>
                <w:vanish/>
              </w:rPr>
            </w:pPr>
          </w:p>
        </w:tc>
        <w:tc>
          <w:tcPr>
            <w:tcW w:w="0" w:type="auto"/>
            <w:shd w:val="clear" w:color="auto" w:fill="auto"/>
            <w:vAlign w:val="bottom"/>
          </w:tcPr>
          <w:p w14:paraId="098A8E4F" w14:textId="77777777" w:rsidR="00141CDF" w:rsidRDefault="00141CDF">
            <w:pPr>
              <w:rPr>
                <w:rFonts w:ascii="宋体"/>
                <w:vanish/>
              </w:rPr>
            </w:pPr>
          </w:p>
        </w:tc>
        <w:tc>
          <w:tcPr>
            <w:tcW w:w="0" w:type="auto"/>
            <w:shd w:val="clear" w:color="auto" w:fill="auto"/>
            <w:vAlign w:val="bottom"/>
          </w:tcPr>
          <w:p w14:paraId="098A8E50" w14:textId="77777777" w:rsidR="00141CDF" w:rsidRDefault="00141CDF">
            <w:pPr>
              <w:rPr>
                <w:rFonts w:ascii="宋体"/>
                <w:vanish/>
              </w:rPr>
            </w:pPr>
          </w:p>
        </w:tc>
      </w:tr>
      <w:tr w:rsidR="00141CDF" w14:paraId="098A8E65" w14:textId="77777777">
        <w:trPr>
          <w:hidden/>
        </w:trPr>
        <w:tc>
          <w:tcPr>
            <w:tcW w:w="0" w:type="auto"/>
            <w:gridSpan w:val="3"/>
            <w:shd w:val="clear" w:color="auto" w:fill="auto"/>
            <w:vAlign w:val="bottom"/>
          </w:tcPr>
          <w:p w14:paraId="098A8E52" w14:textId="77777777" w:rsidR="00141CDF" w:rsidRDefault="00141CDF">
            <w:pPr>
              <w:rPr>
                <w:rFonts w:ascii="宋体"/>
                <w:vanish/>
              </w:rPr>
            </w:pPr>
          </w:p>
        </w:tc>
        <w:tc>
          <w:tcPr>
            <w:tcW w:w="0" w:type="auto"/>
            <w:gridSpan w:val="3"/>
            <w:shd w:val="clear" w:color="auto" w:fill="auto"/>
            <w:vAlign w:val="bottom"/>
          </w:tcPr>
          <w:p w14:paraId="098A8E53" w14:textId="77777777" w:rsidR="00141CDF" w:rsidRDefault="00141CDF">
            <w:pPr>
              <w:rPr>
                <w:rFonts w:ascii="宋体"/>
                <w:vanish/>
              </w:rPr>
            </w:pPr>
          </w:p>
        </w:tc>
        <w:tc>
          <w:tcPr>
            <w:tcW w:w="0" w:type="auto"/>
            <w:gridSpan w:val="3"/>
            <w:shd w:val="clear" w:color="auto" w:fill="auto"/>
            <w:vAlign w:val="bottom"/>
          </w:tcPr>
          <w:p w14:paraId="098A8E54" w14:textId="77777777" w:rsidR="00141CDF" w:rsidRDefault="00141CDF">
            <w:pPr>
              <w:rPr>
                <w:rFonts w:ascii="宋体"/>
                <w:vanish/>
              </w:rPr>
            </w:pPr>
          </w:p>
        </w:tc>
        <w:tc>
          <w:tcPr>
            <w:tcW w:w="0" w:type="auto"/>
            <w:gridSpan w:val="3"/>
            <w:shd w:val="clear" w:color="auto" w:fill="auto"/>
            <w:vAlign w:val="bottom"/>
          </w:tcPr>
          <w:p w14:paraId="098A8E55" w14:textId="77777777" w:rsidR="00141CDF" w:rsidRDefault="00141CDF">
            <w:pPr>
              <w:rPr>
                <w:rFonts w:ascii="宋体"/>
                <w:vanish/>
              </w:rPr>
            </w:pPr>
          </w:p>
        </w:tc>
        <w:tc>
          <w:tcPr>
            <w:tcW w:w="0" w:type="auto"/>
            <w:gridSpan w:val="3"/>
            <w:shd w:val="clear" w:color="auto" w:fill="auto"/>
            <w:vAlign w:val="bottom"/>
          </w:tcPr>
          <w:p w14:paraId="098A8E56" w14:textId="77777777" w:rsidR="00141CDF" w:rsidRDefault="00141CDF">
            <w:pPr>
              <w:rPr>
                <w:rFonts w:ascii="宋体"/>
                <w:vanish/>
              </w:rPr>
            </w:pPr>
          </w:p>
        </w:tc>
        <w:tc>
          <w:tcPr>
            <w:tcW w:w="0" w:type="auto"/>
            <w:gridSpan w:val="3"/>
            <w:shd w:val="clear" w:color="auto" w:fill="auto"/>
            <w:vAlign w:val="bottom"/>
          </w:tcPr>
          <w:p w14:paraId="098A8E57" w14:textId="77777777" w:rsidR="00141CDF" w:rsidRDefault="00141CDF">
            <w:pPr>
              <w:rPr>
                <w:rFonts w:ascii="宋体"/>
                <w:vanish/>
              </w:rPr>
            </w:pPr>
          </w:p>
        </w:tc>
        <w:tc>
          <w:tcPr>
            <w:tcW w:w="0" w:type="auto"/>
            <w:gridSpan w:val="3"/>
            <w:shd w:val="clear" w:color="auto" w:fill="auto"/>
            <w:vAlign w:val="bottom"/>
          </w:tcPr>
          <w:p w14:paraId="098A8E58" w14:textId="77777777" w:rsidR="00141CDF" w:rsidRDefault="00141CDF">
            <w:pPr>
              <w:rPr>
                <w:rFonts w:ascii="宋体"/>
                <w:vanish/>
              </w:rPr>
            </w:pPr>
          </w:p>
        </w:tc>
        <w:tc>
          <w:tcPr>
            <w:tcW w:w="0" w:type="auto"/>
            <w:gridSpan w:val="3"/>
            <w:shd w:val="clear" w:color="auto" w:fill="auto"/>
            <w:vAlign w:val="bottom"/>
          </w:tcPr>
          <w:p w14:paraId="098A8E59" w14:textId="77777777" w:rsidR="00141CDF" w:rsidRDefault="00141CDF">
            <w:pPr>
              <w:rPr>
                <w:rFonts w:ascii="宋体"/>
                <w:vanish/>
              </w:rPr>
            </w:pPr>
          </w:p>
        </w:tc>
        <w:tc>
          <w:tcPr>
            <w:tcW w:w="0" w:type="auto"/>
            <w:gridSpan w:val="3"/>
            <w:shd w:val="clear" w:color="auto" w:fill="auto"/>
            <w:vAlign w:val="bottom"/>
          </w:tcPr>
          <w:p w14:paraId="098A8E5A" w14:textId="77777777" w:rsidR="00141CDF" w:rsidRDefault="00141CDF">
            <w:pPr>
              <w:rPr>
                <w:rFonts w:ascii="宋体"/>
                <w:vanish/>
              </w:rPr>
            </w:pPr>
          </w:p>
        </w:tc>
        <w:tc>
          <w:tcPr>
            <w:tcW w:w="0" w:type="auto"/>
            <w:gridSpan w:val="3"/>
            <w:shd w:val="clear" w:color="auto" w:fill="auto"/>
            <w:vAlign w:val="bottom"/>
          </w:tcPr>
          <w:p w14:paraId="098A8E5B" w14:textId="77777777" w:rsidR="00141CDF" w:rsidRDefault="00141CDF">
            <w:pPr>
              <w:rPr>
                <w:rFonts w:ascii="宋体"/>
                <w:vanish/>
              </w:rPr>
            </w:pPr>
          </w:p>
        </w:tc>
        <w:tc>
          <w:tcPr>
            <w:tcW w:w="0" w:type="auto"/>
            <w:gridSpan w:val="3"/>
            <w:shd w:val="clear" w:color="auto" w:fill="auto"/>
            <w:vAlign w:val="bottom"/>
          </w:tcPr>
          <w:p w14:paraId="098A8E5C" w14:textId="77777777" w:rsidR="00141CDF" w:rsidRDefault="00141CDF">
            <w:pPr>
              <w:rPr>
                <w:rFonts w:ascii="宋体"/>
                <w:vanish/>
              </w:rPr>
            </w:pPr>
          </w:p>
        </w:tc>
        <w:tc>
          <w:tcPr>
            <w:tcW w:w="0" w:type="auto"/>
            <w:gridSpan w:val="3"/>
            <w:shd w:val="clear" w:color="auto" w:fill="auto"/>
            <w:vAlign w:val="bottom"/>
          </w:tcPr>
          <w:p w14:paraId="098A8E5D" w14:textId="77777777" w:rsidR="00141CDF" w:rsidRDefault="00141CDF">
            <w:pPr>
              <w:rPr>
                <w:rFonts w:ascii="宋体"/>
                <w:vanish/>
              </w:rPr>
            </w:pPr>
          </w:p>
        </w:tc>
        <w:tc>
          <w:tcPr>
            <w:tcW w:w="0" w:type="auto"/>
            <w:gridSpan w:val="3"/>
            <w:shd w:val="clear" w:color="auto" w:fill="auto"/>
            <w:vAlign w:val="bottom"/>
          </w:tcPr>
          <w:p w14:paraId="098A8E5E" w14:textId="77777777" w:rsidR="00141CDF" w:rsidRDefault="00141CDF">
            <w:pPr>
              <w:rPr>
                <w:rFonts w:ascii="宋体"/>
                <w:vanish/>
              </w:rPr>
            </w:pPr>
          </w:p>
        </w:tc>
        <w:tc>
          <w:tcPr>
            <w:tcW w:w="0" w:type="auto"/>
            <w:gridSpan w:val="3"/>
            <w:shd w:val="clear" w:color="auto" w:fill="auto"/>
            <w:vAlign w:val="bottom"/>
          </w:tcPr>
          <w:p w14:paraId="098A8E5F" w14:textId="77777777" w:rsidR="00141CDF" w:rsidRDefault="00141CDF">
            <w:pPr>
              <w:rPr>
                <w:rFonts w:ascii="宋体"/>
                <w:vanish/>
              </w:rPr>
            </w:pPr>
          </w:p>
        </w:tc>
        <w:tc>
          <w:tcPr>
            <w:tcW w:w="0" w:type="auto"/>
            <w:gridSpan w:val="3"/>
            <w:shd w:val="clear" w:color="auto" w:fill="auto"/>
            <w:vAlign w:val="bottom"/>
          </w:tcPr>
          <w:p w14:paraId="098A8E60" w14:textId="77777777" w:rsidR="00141CDF" w:rsidRDefault="00141CDF">
            <w:pPr>
              <w:rPr>
                <w:rFonts w:ascii="宋体"/>
                <w:vanish/>
              </w:rPr>
            </w:pPr>
          </w:p>
        </w:tc>
        <w:tc>
          <w:tcPr>
            <w:tcW w:w="0" w:type="auto"/>
            <w:gridSpan w:val="3"/>
            <w:shd w:val="clear" w:color="auto" w:fill="auto"/>
            <w:vAlign w:val="bottom"/>
          </w:tcPr>
          <w:p w14:paraId="098A8E61" w14:textId="77777777" w:rsidR="00141CDF" w:rsidRDefault="00141CDF">
            <w:pPr>
              <w:rPr>
                <w:rFonts w:ascii="宋体"/>
                <w:vanish/>
              </w:rPr>
            </w:pPr>
          </w:p>
        </w:tc>
        <w:tc>
          <w:tcPr>
            <w:tcW w:w="0" w:type="auto"/>
            <w:shd w:val="clear" w:color="auto" w:fill="auto"/>
            <w:vAlign w:val="bottom"/>
          </w:tcPr>
          <w:p w14:paraId="098A8E62" w14:textId="77777777" w:rsidR="00141CDF" w:rsidRDefault="00141CDF">
            <w:pPr>
              <w:rPr>
                <w:rFonts w:ascii="宋体"/>
                <w:vanish/>
              </w:rPr>
            </w:pPr>
          </w:p>
        </w:tc>
        <w:tc>
          <w:tcPr>
            <w:tcW w:w="0" w:type="auto"/>
            <w:shd w:val="clear" w:color="auto" w:fill="auto"/>
            <w:vAlign w:val="bottom"/>
          </w:tcPr>
          <w:p w14:paraId="098A8E63" w14:textId="77777777" w:rsidR="00141CDF" w:rsidRDefault="00141CDF">
            <w:pPr>
              <w:rPr>
                <w:rFonts w:ascii="宋体"/>
                <w:vanish/>
              </w:rPr>
            </w:pPr>
          </w:p>
        </w:tc>
        <w:tc>
          <w:tcPr>
            <w:tcW w:w="0" w:type="auto"/>
            <w:shd w:val="clear" w:color="auto" w:fill="auto"/>
            <w:vAlign w:val="bottom"/>
          </w:tcPr>
          <w:p w14:paraId="098A8E64" w14:textId="77777777" w:rsidR="00141CDF" w:rsidRDefault="00141CDF">
            <w:pPr>
              <w:rPr>
                <w:rFonts w:ascii="宋体"/>
                <w:vanish/>
              </w:rPr>
            </w:pPr>
          </w:p>
        </w:tc>
      </w:tr>
    </w:tbl>
    <w:p w14:paraId="098A8E66" w14:textId="77777777" w:rsidR="00141CDF" w:rsidRDefault="00DF45E0">
      <w:pPr>
        <w:spacing w:before="80"/>
      </w:pPr>
      <w:r>
        <w:rPr>
          <w:rFonts w:ascii="Times New Roman" w:eastAsia="宋体" w:hAnsi="Times New Roman"/>
          <w:i/>
          <w:iCs/>
          <w:color w:val="000000"/>
          <w:sz w:val="16"/>
          <w:szCs w:val="16"/>
        </w:rPr>
        <w:t xml:space="preserve">See accompanying notes. </w:t>
      </w:r>
    </w:p>
    <w:p w14:paraId="098A8E67" w14:textId="77777777" w:rsidR="00141CDF" w:rsidRDefault="00141CDF">
      <w:pPr>
        <w:spacing w:before="80"/>
      </w:pP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962"/>
        <w:gridCol w:w="38"/>
        <w:gridCol w:w="79"/>
        <w:gridCol w:w="409"/>
        <w:gridCol w:w="37"/>
        <w:gridCol w:w="36"/>
        <w:gridCol w:w="36"/>
        <w:gridCol w:w="36"/>
        <w:gridCol w:w="100"/>
        <w:gridCol w:w="484"/>
        <w:gridCol w:w="36"/>
        <w:gridCol w:w="36"/>
        <w:gridCol w:w="36"/>
        <w:gridCol w:w="36"/>
        <w:gridCol w:w="101"/>
        <w:gridCol w:w="619"/>
        <w:gridCol w:w="36"/>
        <w:gridCol w:w="36"/>
        <w:gridCol w:w="36"/>
        <w:gridCol w:w="36"/>
        <w:gridCol w:w="100"/>
        <w:gridCol w:w="555"/>
        <w:gridCol w:w="36"/>
        <w:gridCol w:w="36"/>
        <w:gridCol w:w="36"/>
        <w:gridCol w:w="36"/>
        <w:gridCol w:w="136"/>
        <w:gridCol w:w="940"/>
        <w:gridCol w:w="36"/>
        <w:gridCol w:w="36"/>
        <w:gridCol w:w="36"/>
        <w:gridCol w:w="36"/>
        <w:gridCol w:w="123"/>
        <w:gridCol w:w="842"/>
        <w:gridCol w:w="36"/>
        <w:gridCol w:w="36"/>
        <w:gridCol w:w="36"/>
        <w:gridCol w:w="36"/>
        <w:gridCol w:w="137"/>
        <w:gridCol w:w="948"/>
        <w:gridCol w:w="36"/>
        <w:gridCol w:w="36"/>
        <w:gridCol w:w="36"/>
        <w:gridCol w:w="36"/>
        <w:gridCol w:w="99"/>
        <w:gridCol w:w="472"/>
        <w:gridCol w:w="36"/>
        <w:gridCol w:w="36"/>
        <w:gridCol w:w="36"/>
        <w:gridCol w:w="36"/>
      </w:tblGrid>
      <w:tr w:rsidR="00141CDF" w14:paraId="098A8E9B" w14:textId="77777777">
        <w:trPr>
          <w:jc w:val="center"/>
        </w:trPr>
        <w:tc>
          <w:tcPr>
            <w:tcW w:w="50" w:type="pct"/>
            <w:shd w:val="clear" w:color="auto" w:fill="auto"/>
            <w:vAlign w:val="bottom"/>
          </w:tcPr>
          <w:p w14:paraId="098A8E68" w14:textId="77777777" w:rsidR="00141CDF" w:rsidRDefault="00141CDF">
            <w:pPr>
              <w:rPr>
                <w:rFonts w:ascii="宋体"/>
              </w:rPr>
            </w:pPr>
          </w:p>
        </w:tc>
        <w:tc>
          <w:tcPr>
            <w:tcW w:w="1732" w:type="pct"/>
            <w:shd w:val="clear" w:color="auto" w:fill="auto"/>
            <w:vAlign w:val="bottom"/>
          </w:tcPr>
          <w:p w14:paraId="098A8E69" w14:textId="77777777" w:rsidR="00141CDF" w:rsidRDefault="00141CDF">
            <w:pPr>
              <w:rPr>
                <w:rFonts w:ascii="宋体"/>
              </w:rPr>
            </w:pPr>
          </w:p>
        </w:tc>
        <w:tc>
          <w:tcPr>
            <w:tcW w:w="5" w:type="pct"/>
            <w:shd w:val="clear" w:color="auto" w:fill="auto"/>
            <w:vAlign w:val="bottom"/>
          </w:tcPr>
          <w:p w14:paraId="098A8E6A" w14:textId="77777777" w:rsidR="00141CDF" w:rsidRDefault="00141CDF">
            <w:pPr>
              <w:rPr>
                <w:rFonts w:ascii="宋体"/>
              </w:rPr>
            </w:pPr>
          </w:p>
        </w:tc>
        <w:tc>
          <w:tcPr>
            <w:tcW w:w="50" w:type="pct"/>
            <w:shd w:val="clear" w:color="auto" w:fill="auto"/>
            <w:vAlign w:val="bottom"/>
          </w:tcPr>
          <w:p w14:paraId="098A8E6B" w14:textId="77777777" w:rsidR="00141CDF" w:rsidRDefault="00141CDF">
            <w:pPr>
              <w:rPr>
                <w:rFonts w:ascii="宋体"/>
              </w:rPr>
            </w:pPr>
          </w:p>
        </w:tc>
        <w:tc>
          <w:tcPr>
            <w:tcW w:w="262" w:type="pct"/>
            <w:shd w:val="clear" w:color="auto" w:fill="auto"/>
            <w:vAlign w:val="bottom"/>
          </w:tcPr>
          <w:p w14:paraId="098A8E6C" w14:textId="77777777" w:rsidR="00141CDF" w:rsidRDefault="00141CDF">
            <w:pPr>
              <w:rPr>
                <w:rFonts w:ascii="宋体"/>
              </w:rPr>
            </w:pPr>
          </w:p>
        </w:tc>
        <w:tc>
          <w:tcPr>
            <w:tcW w:w="5" w:type="pct"/>
            <w:shd w:val="clear" w:color="auto" w:fill="auto"/>
            <w:vAlign w:val="bottom"/>
          </w:tcPr>
          <w:p w14:paraId="098A8E6D" w14:textId="77777777" w:rsidR="00141CDF" w:rsidRDefault="00141CDF">
            <w:pPr>
              <w:rPr>
                <w:rFonts w:ascii="宋体"/>
              </w:rPr>
            </w:pPr>
          </w:p>
        </w:tc>
        <w:tc>
          <w:tcPr>
            <w:tcW w:w="5" w:type="pct"/>
            <w:shd w:val="clear" w:color="auto" w:fill="auto"/>
            <w:vAlign w:val="bottom"/>
          </w:tcPr>
          <w:p w14:paraId="098A8E6E" w14:textId="77777777" w:rsidR="00141CDF" w:rsidRDefault="00141CDF">
            <w:pPr>
              <w:rPr>
                <w:rFonts w:ascii="宋体"/>
              </w:rPr>
            </w:pPr>
          </w:p>
        </w:tc>
        <w:tc>
          <w:tcPr>
            <w:tcW w:w="15" w:type="pct"/>
            <w:shd w:val="clear" w:color="auto" w:fill="auto"/>
            <w:vAlign w:val="bottom"/>
          </w:tcPr>
          <w:p w14:paraId="098A8E6F" w14:textId="77777777" w:rsidR="00141CDF" w:rsidRDefault="00141CDF">
            <w:pPr>
              <w:rPr>
                <w:rFonts w:ascii="宋体"/>
              </w:rPr>
            </w:pPr>
          </w:p>
        </w:tc>
        <w:tc>
          <w:tcPr>
            <w:tcW w:w="5" w:type="pct"/>
            <w:shd w:val="clear" w:color="auto" w:fill="auto"/>
            <w:vAlign w:val="bottom"/>
          </w:tcPr>
          <w:p w14:paraId="098A8E70" w14:textId="77777777" w:rsidR="00141CDF" w:rsidRDefault="00141CDF">
            <w:pPr>
              <w:rPr>
                <w:rFonts w:ascii="宋体"/>
              </w:rPr>
            </w:pPr>
          </w:p>
        </w:tc>
        <w:tc>
          <w:tcPr>
            <w:tcW w:w="50" w:type="pct"/>
            <w:shd w:val="clear" w:color="auto" w:fill="auto"/>
            <w:vAlign w:val="bottom"/>
          </w:tcPr>
          <w:p w14:paraId="098A8E71" w14:textId="77777777" w:rsidR="00141CDF" w:rsidRDefault="00141CDF">
            <w:pPr>
              <w:rPr>
                <w:rFonts w:ascii="宋体"/>
              </w:rPr>
            </w:pPr>
          </w:p>
        </w:tc>
        <w:tc>
          <w:tcPr>
            <w:tcW w:w="247" w:type="pct"/>
            <w:shd w:val="clear" w:color="auto" w:fill="auto"/>
            <w:vAlign w:val="bottom"/>
          </w:tcPr>
          <w:p w14:paraId="098A8E72" w14:textId="77777777" w:rsidR="00141CDF" w:rsidRDefault="00141CDF">
            <w:pPr>
              <w:rPr>
                <w:rFonts w:ascii="宋体"/>
              </w:rPr>
            </w:pPr>
          </w:p>
        </w:tc>
        <w:tc>
          <w:tcPr>
            <w:tcW w:w="5" w:type="pct"/>
            <w:shd w:val="clear" w:color="auto" w:fill="auto"/>
            <w:vAlign w:val="bottom"/>
          </w:tcPr>
          <w:p w14:paraId="098A8E73" w14:textId="77777777" w:rsidR="00141CDF" w:rsidRDefault="00141CDF">
            <w:pPr>
              <w:rPr>
                <w:rFonts w:ascii="宋体"/>
              </w:rPr>
            </w:pPr>
          </w:p>
        </w:tc>
        <w:tc>
          <w:tcPr>
            <w:tcW w:w="5" w:type="pct"/>
            <w:shd w:val="clear" w:color="auto" w:fill="auto"/>
            <w:vAlign w:val="bottom"/>
          </w:tcPr>
          <w:p w14:paraId="098A8E74" w14:textId="77777777" w:rsidR="00141CDF" w:rsidRDefault="00141CDF">
            <w:pPr>
              <w:rPr>
                <w:rFonts w:ascii="宋体"/>
              </w:rPr>
            </w:pPr>
          </w:p>
        </w:tc>
        <w:tc>
          <w:tcPr>
            <w:tcW w:w="15" w:type="pct"/>
            <w:shd w:val="clear" w:color="auto" w:fill="auto"/>
            <w:vAlign w:val="bottom"/>
          </w:tcPr>
          <w:p w14:paraId="098A8E75" w14:textId="77777777" w:rsidR="00141CDF" w:rsidRDefault="00141CDF">
            <w:pPr>
              <w:rPr>
                <w:rFonts w:ascii="宋体"/>
              </w:rPr>
            </w:pPr>
          </w:p>
        </w:tc>
        <w:tc>
          <w:tcPr>
            <w:tcW w:w="5" w:type="pct"/>
            <w:shd w:val="clear" w:color="auto" w:fill="auto"/>
            <w:vAlign w:val="bottom"/>
          </w:tcPr>
          <w:p w14:paraId="098A8E76" w14:textId="77777777" w:rsidR="00141CDF" w:rsidRDefault="00141CDF">
            <w:pPr>
              <w:rPr>
                <w:rFonts w:ascii="宋体"/>
              </w:rPr>
            </w:pPr>
          </w:p>
        </w:tc>
        <w:tc>
          <w:tcPr>
            <w:tcW w:w="50" w:type="pct"/>
            <w:shd w:val="clear" w:color="auto" w:fill="auto"/>
            <w:vAlign w:val="bottom"/>
          </w:tcPr>
          <w:p w14:paraId="098A8E77" w14:textId="77777777" w:rsidR="00141CDF" w:rsidRDefault="00141CDF">
            <w:pPr>
              <w:rPr>
                <w:rFonts w:ascii="宋体"/>
              </w:rPr>
            </w:pPr>
          </w:p>
        </w:tc>
        <w:tc>
          <w:tcPr>
            <w:tcW w:w="347" w:type="pct"/>
            <w:shd w:val="clear" w:color="auto" w:fill="auto"/>
            <w:vAlign w:val="bottom"/>
          </w:tcPr>
          <w:p w14:paraId="098A8E78" w14:textId="77777777" w:rsidR="00141CDF" w:rsidRDefault="00141CDF">
            <w:pPr>
              <w:rPr>
                <w:rFonts w:ascii="宋体"/>
              </w:rPr>
            </w:pPr>
          </w:p>
        </w:tc>
        <w:tc>
          <w:tcPr>
            <w:tcW w:w="5" w:type="pct"/>
            <w:shd w:val="clear" w:color="auto" w:fill="auto"/>
            <w:vAlign w:val="bottom"/>
          </w:tcPr>
          <w:p w14:paraId="098A8E79" w14:textId="77777777" w:rsidR="00141CDF" w:rsidRDefault="00141CDF">
            <w:pPr>
              <w:rPr>
                <w:rFonts w:ascii="宋体"/>
              </w:rPr>
            </w:pPr>
          </w:p>
        </w:tc>
        <w:tc>
          <w:tcPr>
            <w:tcW w:w="5" w:type="pct"/>
            <w:shd w:val="clear" w:color="auto" w:fill="auto"/>
            <w:vAlign w:val="bottom"/>
          </w:tcPr>
          <w:p w14:paraId="098A8E7A" w14:textId="77777777" w:rsidR="00141CDF" w:rsidRDefault="00141CDF">
            <w:pPr>
              <w:rPr>
                <w:rFonts w:ascii="宋体"/>
              </w:rPr>
            </w:pPr>
          </w:p>
        </w:tc>
        <w:tc>
          <w:tcPr>
            <w:tcW w:w="15" w:type="pct"/>
            <w:shd w:val="clear" w:color="auto" w:fill="auto"/>
            <w:vAlign w:val="bottom"/>
          </w:tcPr>
          <w:p w14:paraId="098A8E7B" w14:textId="77777777" w:rsidR="00141CDF" w:rsidRDefault="00141CDF">
            <w:pPr>
              <w:rPr>
                <w:rFonts w:ascii="宋体"/>
              </w:rPr>
            </w:pPr>
          </w:p>
        </w:tc>
        <w:tc>
          <w:tcPr>
            <w:tcW w:w="5" w:type="pct"/>
            <w:shd w:val="clear" w:color="auto" w:fill="auto"/>
            <w:vAlign w:val="bottom"/>
          </w:tcPr>
          <w:p w14:paraId="098A8E7C" w14:textId="77777777" w:rsidR="00141CDF" w:rsidRDefault="00141CDF">
            <w:pPr>
              <w:rPr>
                <w:rFonts w:ascii="宋体"/>
              </w:rPr>
            </w:pPr>
          </w:p>
        </w:tc>
        <w:tc>
          <w:tcPr>
            <w:tcW w:w="50" w:type="pct"/>
            <w:shd w:val="clear" w:color="auto" w:fill="auto"/>
            <w:vAlign w:val="bottom"/>
          </w:tcPr>
          <w:p w14:paraId="098A8E7D" w14:textId="77777777" w:rsidR="00141CDF" w:rsidRDefault="00141CDF">
            <w:pPr>
              <w:rPr>
                <w:rFonts w:ascii="宋体"/>
              </w:rPr>
            </w:pPr>
          </w:p>
        </w:tc>
        <w:tc>
          <w:tcPr>
            <w:tcW w:w="347" w:type="pct"/>
            <w:shd w:val="clear" w:color="auto" w:fill="auto"/>
            <w:vAlign w:val="bottom"/>
          </w:tcPr>
          <w:p w14:paraId="098A8E7E" w14:textId="77777777" w:rsidR="00141CDF" w:rsidRDefault="00141CDF">
            <w:pPr>
              <w:rPr>
                <w:rFonts w:ascii="宋体"/>
              </w:rPr>
            </w:pPr>
          </w:p>
        </w:tc>
        <w:tc>
          <w:tcPr>
            <w:tcW w:w="5" w:type="pct"/>
            <w:shd w:val="clear" w:color="auto" w:fill="auto"/>
            <w:vAlign w:val="bottom"/>
          </w:tcPr>
          <w:p w14:paraId="098A8E7F" w14:textId="77777777" w:rsidR="00141CDF" w:rsidRDefault="00141CDF">
            <w:pPr>
              <w:rPr>
                <w:rFonts w:ascii="宋体"/>
              </w:rPr>
            </w:pPr>
          </w:p>
        </w:tc>
        <w:tc>
          <w:tcPr>
            <w:tcW w:w="5" w:type="pct"/>
            <w:shd w:val="clear" w:color="auto" w:fill="auto"/>
            <w:vAlign w:val="bottom"/>
          </w:tcPr>
          <w:p w14:paraId="098A8E80" w14:textId="77777777" w:rsidR="00141CDF" w:rsidRDefault="00141CDF">
            <w:pPr>
              <w:rPr>
                <w:rFonts w:ascii="宋体"/>
              </w:rPr>
            </w:pPr>
          </w:p>
        </w:tc>
        <w:tc>
          <w:tcPr>
            <w:tcW w:w="15" w:type="pct"/>
            <w:shd w:val="clear" w:color="auto" w:fill="auto"/>
            <w:vAlign w:val="bottom"/>
          </w:tcPr>
          <w:p w14:paraId="098A8E81" w14:textId="77777777" w:rsidR="00141CDF" w:rsidRDefault="00141CDF">
            <w:pPr>
              <w:rPr>
                <w:rFonts w:ascii="宋体"/>
              </w:rPr>
            </w:pPr>
          </w:p>
        </w:tc>
        <w:tc>
          <w:tcPr>
            <w:tcW w:w="5" w:type="pct"/>
            <w:shd w:val="clear" w:color="auto" w:fill="auto"/>
            <w:vAlign w:val="bottom"/>
          </w:tcPr>
          <w:p w14:paraId="098A8E82" w14:textId="77777777" w:rsidR="00141CDF" w:rsidRDefault="00141CDF">
            <w:pPr>
              <w:rPr>
                <w:rFonts w:ascii="宋体"/>
              </w:rPr>
            </w:pPr>
          </w:p>
        </w:tc>
        <w:tc>
          <w:tcPr>
            <w:tcW w:w="50" w:type="pct"/>
            <w:shd w:val="clear" w:color="auto" w:fill="auto"/>
            <w:vAlign w:val="bottom"/>
          </w:tcPr>
          <w:p w14:paraId="098A8E83" w14:textId="77777777" w:rsidR="00141CDF" w:rsidRDefault="00141CDF">
            <w:pPr>
              <w:rPr>
                <w:rFonts w:ascii="宋体"/>
              </w:rPr>
            </w:pPr>
          </w:p>
        </w:tc>
        <w:tc>
          <w:tcPr>
            <w:tcW w:w="347" w:type="pct"/>
            <w:shd w:val="clear" w:color="auto" w:fill="auto"/>
            <w:vAlign w:val="bottom"/>
          </w:tcPr>
          <w:p w14:paraId="098A8E84" w14:textId="77777777" w:rsidR="00141CDF" w:rsidRDefault="00141CDF">
            <w:pPr>
              <w:rPr>
                <w:rFonts w:ascii="宋体"/>
              </w:rPr>
            </w:pPr>
          </w:p>
        </w:tc>
        <w:tc>
          <w:tcPr>
            <w:tcW w:w="5" w:type="pct"/>
            <w:shd w:val="clear" w:color="auto" w:fill="auto"/>
            <w:vAlign w:val="bottom"/>
          </w:tcPr>
          <w:p w14:paraId="098A8E85" w14:textId="77777777" w:rsidR="00141CDF" w:rsidRDefault="00141CDF">
            <w:pPr>
              <w:rPr>
                <w:rFonts w:ascii="宋体"/>
              </w:rPr>
            </w:pPr>
          </w:p>
        </w:tc>
        <w:tc>
          <w:tcPr>
            <w:tcW w:w="5" w:type="pct"/>
            <w:shd w:val="clear" w:color="auto" w:fill="auto"/>
            <w:vAlign w:val="bottom"/>
          </w:tcPr>
          <w:p w14:paraId="098A8E86" w14:textId="77777777" w:rsidR="00141CDF" w:rsidRDefault="00141CDF">
            <w:pPr>
              <w:rPr>
                <w:rFonts w:ascii="宋体"/>
              </w:rPr>
            </w:pPr>
          </w:p>
        </w:tc>
        <w:tc>
          <w:tcPr>
            <w:tcW w:w="15" w:type="pct"/>
            <w:shd w:val="clear" w:color="auto" w:fill="auto"/>
            <w:vAlign w:val="bottom"/>
          </w:tcPr>
          <w:p w14:paraId="098A8E87" w14:textId="77777777" w:rsidR="00141CDF" w:rsidRDefault="00141CDF">
            <w:pPr>
              <w:rPr>
                <w:rFonts w:ascii="宋体"/>
              </w:rPr>
            </w:pPr>
          </w:p>
        </w:tc>
        <w:tc>
          <w:tcPr>
            <w:tcW w:w="5" w:type="pct"/>
            <w:shd w:val="clear" w:color="auto" w:fill="auto"/>
            <w:vAlign w:val="bottom"/>
          </w:tcPr>
          <w:p w14:paraId="098A8E88" w14:textId="77777777" w:rsidR="00141CDF" w:rsidRDefault="00141CDF">
            <w:pPr>
              <w:rPr>
                <w:rFonts w:ascii="宋体"/>
              </w:rPr>
            </w:pPr>
          </w:p>
        </w:tc>
        <w:tc>
          <w:tcPr>
            <w:tcW w:w="50" w:type="pct"/>
            <w:shd w:val="clear" w:color="auto" w:fill="auto"/>
            <w:vAlign w:val="bottom"/>
          </w:tcPr>
          <w:p w14:paraId="098A8E89" w14:textId="77777777" w:rsidR="00141CDF" w:rsidRDefault="00141CDF">
            <w:pPr>
              <w:rPr>
                <w:rFonts w:ascii="宋体"/>
              </w:rPr>
            </w:pPr>
          </w:p>
        </w:tc>
        <w:tc>
          <w:tcPr>
            <w:tcW w:w="347" w:type="pct"/>
            <w:shd w:val="clear" w:color="auto" w:fill="auto"/>
            <w:vAlign w:val="bottom"/>
          </w:tcPr>
          <w:p w14:paraId="098A8E8A" w14:textId="77777777" w:rsidR="00141CDF" w:rsidRDefault="00141CDF">
            <w:pPr>
              <w:rPr>
                <w:rFonts w:ascii="宋体"/>
              </w:rPr>
            </w:pPr>
          </w:p>
        </w:tc>
        <w:tc>
          <w:tcPr>
            <w:tcW w:w="5" w:type="pct"/>
            <w:shd w:val="clear" w:color="auto" w:fill="auto"/>
            <w:vAlign w:val="bottom"/>
          </w:tcPr>
          <w:p w14:paraId="098A8E8B" w14:textId="77777777" w:rsidR="00141CDF" w:rsidRDefault="00141CDF">
            <w:pPr>
              <w:rPr>
                <w:rFonts w:ascii="宋体"/>
              </w:rPr>
            </w:pPr>
          </w:p>
        </w:tc>
        <w:tc>
          <w:tcPr>
            <w:tcW w:w="5" w:type="pct"/>
            <w:shd w:val="clear" w:color="auto" w:fill="auto"/>
            <w:vAlign w:val="bottom"/>
          </w:tcPr>
          <w:p w14:paraId="098A8E8C" w14:textId="77777777" w:rsidR="00141CDF" w:rsidRDefault="00141CDF">
            <w:pPr>
              <w:rPr>
                <w:rFonts w:ascii="宋体"/>
              </w:rPr>
            </w:pPr>
          </w:p>
        </w:tc>
        <w:tc>
          <w:tcPr>
            <w:tcW w:w="15" w:type="pct"/>
            <w:shd w:val="clear" w:color="auto" w:fill="auto"/>
            <w:vAlign w:val="bottom"/>
          </w:tcPr>
          <w:p w14:paraId="098A8E8D" w14:textId="77777777" w:rsidR="00141CDF" w:rsidRDefault="00141CDF">
            <w:pPr>
              <w:rPr>
                <w:rFonts w:ascii="宋体"/>
              </w:rPr>
            </w:pPr>
          </w:p>
        </w:tc>
        <w:tc>
          <w:tcPr>
            <w:tcW w:w="5" w:type="pct"/>
            <w:shd w:val="clear" w:color="auto" w:fill="auto"/>
            <w:vAlign w:val="bottom"/>
          </w:tcPr>
          <w:p w14:paraId="098A8E8E" w14:textId="77777777" w:rsidR="00141CDF" w:rsidRDefault="00141CDF">
            <w:pPr>
              <w:rPr>
                <w:rFonts w:ascii="宋体"/>
              </w:rPr>
            </w:pPr>
          </w:p>
        </w:tc>
        <w:tc>
          <w:tcPr>
            <w:tcW w:w="50" w:type="pct"/>
            <w:shd w:val="clear" w:color="auto" w:fill="auto"/>
            <w:vAlign w:val="bottom"/>
          </w:tcPr>
          <w:p w14:paraId="098A8E8F" w14:textId="77777777" w:rsidR="00141CDF" w:rsidRDefault="00141CDF">
            <w:pPr>
              <w:rPr>
                <w:rFonts w:ascii="宋体"/>
              </w:rPr>
            </w:pPr>
          </w:p>
        </w:tc>
        <w:tc>
          <w:tcPr>
            <w:tcW w:w="347" w:type="pct"/>
            <w:shd w:val="clear" w:color="auto" w:fill="auto"/>
            <w:vAlign w:val="bottom"/>
          </w:tcPr>
          <w:p w14:paraId="098A8E90" w14:textId="77777777" w:rsidR="00141CDF" w:rsidRDefault="00141CDF">
            <w:pPr>
              <w:rPr>
                <w:rFonts w:ascii="宋体"/>
              </w:rPr>
            </w:pPr>
          </w:p>
        </w:tc>
        <w:tc>
          <w:tcPr>
            <w:tcW w:w="5" w:type="pct"/>
            <w:shd w:val="clear" w:color="auto" w:fill="auto"/>
            <w:vAlign w:val="bottom"/>
          </w:tcPr>
          <w:p w14:paraId="098A8E91" w14:textId="77777777" w:rsidR="00141CDF" w:rsidRDefault="00141CDF">
            <w:pPr>
              <w:rPr>
                <w:rFonts w:ascii="宋体"/>
              </w:rPr>
            </w:pPr>
          </w:p>
        </w:tc>
        <w:tc>
          <w:tcPr>
            <w:tcW w:w="5" w:type="pct"/>
            <w:shd w:val="clear" w:color="auto" w:fill="auto"/>
            <w:vAlign w:val="bottom"/>
          </w:tcPr>
          <w:p w14:paraId="098A8E92" w14:textId="77777777" w:rsidR="00141CDF" w:rsidRDefault="00141CDF">
            <w:pPr>
              <w:rPr>
                <w:rFonts w:ascii="宋体"/>
              </w:rPr>
            </w:pPr>
          </w:p>
        </w:tc>
        <w:tc>
          <w:tcPr>
            <w:tcW w:w="15" w:type="pct"/>
            <w:shd w:val="clear" w:color="auto" w:fill="auto"/>
            <w:vAlign w:val="bottom"/>
          </w:tcPr>
          <w:p w14:paraId="098A8E93" w14:textId="77777777" w:rsidR="00141CDF" w:rsidRDefault="00141CDF">
            <w:pPr>
              <w:rPr>
                <w:rFonts w:ascii="宋体"/>
              </w:rPr>
            </w:pPr>
          </w:p>
        </w:tc>
        <w:tc>
          <w:tcPr>
            <w:tcW w:w="5" w:type="pct"/>
            <w:shd w:val="clear" w:color="auto" w:fill="auto"/>
            <w:vAlign w:val="bottom"/>
          </w:tcPr>
          <w:p w14:paraId="098A8E94" w14:textId="77777777" w:rsidR="00141CDF" w:rsidRDefault="00141CDF">
            <w:pPr>
              <w:rPr>
                <w:rFonts w:ascii="宋体"/>
              </w:rPr>
            </w:pPr>
          </w:p>
        </w:tc>
        <w:tc>
          <w:tcPr>
            <w:tcW w:w="50" w:type="pct"/>
            <w:shd w:val="clear" w:color="auto" w:fill="auto"/>
            <w:vAlign w:val="bottom"/>
          </w:tcPr>
          <w:p w14:paraId="098A8E95" w14:textId="77777777" w:rsidR="00141CDF" w:rsidRDefault="00141CDF">
            <w:pPr>
              <w:rPr>
                <w:rFonts w:ascii="宋体"/>
              </w:rPr>
            </w:pPr>
          </w:p>
        </w:tc>
        <w:tc>
          <w:tcPr>
            <w:tcW w:w="348" w:type="pct"/>
            <w:shd w:val="clear" w:color="auto" w:fill="auto"/>
            <w:vAlign w:val="bottom"/>
          </w:tcPr>
          <w:p w14:paraId="098A8E96" w14:textId="77777777" w:rsidR="00141CDF" w:rsidRDefault="00141CDF">
            <w:pPr>
              <w:rPr>
                <w:rFonts w:ascii="宋体"/>
              </w:rPr>
            </w:pPr>
          </w:p>
        </w:tc>
        <w:tc>
          <w:tcPr>
            <w:tcW w:w="5" w:type="pct"/>
            <w:shd w:val="clear" w:color="auto" w:fill="auto"/>
            <w:vAlign w:val="bottom"/>
          </w:tcPr>
          <w:p w14:paraId="098A8E97" w14:textId="77777777" w:rsidR="00141CDF" w:rsidRDefault="00141CDF">
            <w:pPr>
              <w:rPr>
                <w:rFonts w:ascii="宋体"/>
              </w:rPr>
            </w:pPr>
          </w:p>
        </w:tc>
        <w:tc>
          <w:tcPr>
            <w:tcW w:w="0" w:type="auto"/>
            <w:shd w:val="clear" w:color="auto" w:fill="auto"/>
            <w:vAlign w:val="bottom"/>
          </w:tcPr>
          <w:p w14:paraId="098A8E98" w14:textId="77777777" w:rsidR="00141CDF" w:rsidRDefault="00141CDF">
            <w:pPr>
              <w:rPr>
                <w:rFonts w:ascii="宋体"/>
                <w:vanish/>
              </w:rPr>
            </w:pPr>
          </w:p>
        </w:tc>
        <w:tc>
          <w:tcPr>
            <w:tcW w:w="0" w:type="auto"/>
            <w:shd w:val="clear" w:color="auto" w:fill="auto"/>
            <w:vAlign w:val="bottom"/>
          </w:tcPr>
          <w:p w14:paraId="098A8E99" w14:textId="77777777" w:rsidR="00141CDF" w:rsidRDefault="00141CDF">
            <w:pPr>
              <w:rPr>
                <w:rFonts w:ascii="宋体"/>
                <w:vanish/>
              </w:rPr>
            </w:pPr>
          </w:p>
        </w:tc>
        <w:tc>
          <w:tcPr>
            <w:tcW w:w="0" w:type="auto"/>
            <w:shd w:val="clear" w:color="auto" w:fill="auto"/>
            <w:vAlign w:val="bottom"/>
          </w:tcPr>
          <w:p w14:paraId="098A8E9A" w14:textId="77777777" w:rsidR="00141CDF" w:rsidRDefault="00141CDF">
            <w:pPr>
              <w:rPr>
                <w:rFonts w:ascii="宋体"/>
                <w:vanish/>
              </w:rPr>
            </w:pPr>
          </w:p>
        </w:tc>
      </w:tr>
      <w:tr w:rsidR="00141CDF" w14:paraId="098A8EAF" w14:textId="77777777">
        <w:trPr>
          <w:jc w:val="center"/>
        </w:trPr>
        <w:tc>
          <w:tcPr>
            <w:tcW w:w="0" w:type="auto"/>
            <w:gridSpan w:val="3"/>
            <w:shd w:val="clear" w:color="auto" w:fill="auto"/>
            <w:tcMar>
              <w:top w:w="0" w:type="dxa"/>
              <w:left w:w="20" w:type="dxa"/>
              <w:bottom w:w="0" w:type="dxa"/>
              <w:right w:w="20" w:type="dxa"/>
            </w:tcMar>
            <w:vAlign w:val="bottom"/>
          </w:tcPr>
          <w:p w14:paraId="098A8E9C"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E9D"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E9E"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E9F"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EA0"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EA1"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EA2"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EA3"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EA4"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EA5" w14:textId="77777777" w:rsidR="00141CDF" w:rsidRDefault="00DF45E0">
            <w:pPr>
              <w:jc w:val="center"/>
              <w:textAlignment w:val="bottom"/>
            </w:pPr>
            <w:r>
              <w:rPr>
                <w:rFonts w:ascii="Times New Roman" w:eastAsia="宋体" w:hAnsi="Times New Roman"/>
                <w:b/>
                <w:bCs/>
                <w:color w:val="000000"/>
                <w:sz w:val="16"/>
                <w:szCs w:val="16"/>
              </w:rPr>
              <w:t>Accumulated</w:t>
            </w:r>
          </w:p>
        </w:tc>
        <w:tc>
          <w:tcPr>
            <w:tcW w:w="0" w:type="auto"/>
            <w:gridSpan w:val="3"/>
            <w:shd w:val="clear" w:color="auto" w:fill="auto"/>
            <w:tcMar>
              <w:top w:w="0" w:type="dxa"/>
              <w:left w:w="20" w:type="dxa"/>
              <w:bottom w:w="0" w:type="dxa"/>
              <w:right w:w="20" w:type="dxa"/>
            </w:tcMar>
            <w:vAlign w:val="bottom"/>
          </w:tcPr>
          <w:p w14:paraId="098A8EA6"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EA7" w14:textId="77777777" w:rsidR="00141CDF" w:rsidRDefault="00DF45E0">
            <w:pPr>
              <w:jc w:val="center"/>
              <w:textAlignment w:val="bottom"/>
            </w:pPr>
            <w:r>
              <w:rPr>
                <w:rFonts w:ascii="Times New Roman" w:eastAsia="宋体" w:hAnsi="Times New Roman"/>
                <w:b/>
                <w:bCs/>
                <w:color w:val="000000"/>
                <w:sz w:val="16"/>
                <w:szCs w:val="16"/>
              </w:rPr>
              <w:t>Total</w:t>
            </w:r>
          </w:p>
        </w:tc>
        <w:tc>
          <w:tcPr>
            <w:tcW w:w="0" w:type="auto"/>
            <w:gridSpan w:val="3"/>
            <w:shd w:val="clear" w:color="auto" w:fill="auto"/>
            <w:tcMar>
              <w:top w:w="0" w:type="dxa"/>
              <w:left w:w="20" w:type="dxa"/>
              <w:bottom w:w="0" w:type="dxa"/>
              <w:right w:w="20" w:type="dxa"/>
            </w:tcMar>
            <w:vAlign w:val="bottom"/>
          </w:tcPr>
          <w:p w14:paraId="098A8EA8"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EA9"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EAA"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EAB" w14:textId="77777777" w:rsidR="00141CDF" w:rsidRDefault="00141CDF">
            <w:pPr>
              <w:rPr>
                <w:rFonts w:ascii="宋体"/>
              </w:rPr>
            </w:pPr>
          </w:p>
        </w:tc>
        <w:tc>
          <w:tcPr>
            <w:tcW w:w="0" w:type="auto"/>
            <w:shd w:val="clear" w:color="auto" w:fill="auto"/>
            <w:vAlign w:val="bottom"/>
          </w:tcPr>
          <w:p w14:paraId="098A8EAC" w14:textId="77777777" w:rsidR="00141CDF" w:rsidRDefault="00141CDF">
            <w:pPr>
              <w:rPr>
                <w:rFonts w:ascii="宋体"/>
                <w:vanish/>
              </w:rPr>
            </w:pPr>
          </w:p>
        </w:tc>
        <w:tc>
          <w:tcPr>
            <w:tcW w:w="0" w:type="auto"/>
            <w:shd w:val="clear" w:color="auto" w:fill="auto"/>
            <w:vAlign w:val="bottom"/>
          </w:tcPr>
          <w:p w14:paraId="098A8EAD" w14:textId="77777777" w:rsidR="00141CDF" w:rsidRDefault="00141CDF">
            <w:pPr>
              <w:rPr>
                <w:rFonts w:ascii="宋体"/>
                <w:vanish/>
              </w:rPr>
            </w:pPr>
          </w:p>
        </w:tc>
        <w:tc>
          <w:tcPr>
            <w:tcW w:w="0" w:type="auto"/>
            <w:shd w:val="clear" w:color="auto" w:fill="auto"/>
            <w:vAlign w:val="bottom"/>
          </w:tcPr>
          <w:p w14:paraId="098A8EAE" w14:textId="77777777" w:rsidR="00141CDF" w:rsidRDefault="00141CDF">
            <w:pPr>
              <w:rPr>
                <w:rFonts w:ascii="宋体"/>
                <w:vanish/>
              </w:rPr>
            </w:pPr>
          </w:p>
        </w:tc>
      </w:tr>
      <w:tr w:rsidR="00141CDF" w14:paraId="098A8EC3" w14:textId="77777777">
        <w:trPr>
          <w:jc w:val="center"/>
        </w:trPr>
        <w:tc>
          <w:tcPr>
            <w:tcW w:w="0" w:type="auto"/>
            <w:gridSpan w:val="3"/>
            <w:shd w:val="clear" w:color="auto" w:fill="auto"/>
            <w:tcMar>
              <w:top w:w="0" w:type="dxa"/>
              <w:left w:w="20" w:type="dxa"/>
              <w:bottom w:w="0" w:type="dxa"/>
              <w:right w:w="20" w:type="dxa"/>
            </w:tcMar>
            <w:vAlign w:val="bottom"/>
          </w:tcPr>
          <w:p w14:paraId="098A8EB0"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EB1"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EB2"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EB3"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EB4"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EB5" w14:textId="77777777" w:rsidR="00141CDF" w:rsidRDefault="00DF45E0">
            <w:pPr>
              <w:jc w:val="center"/>
              <w:textAlignment w:val="bottom"/>
            </w:pPr>
            <w:r>
              <w:rPr>
                <w:rFonts w:ascii="Times New Roman" w:eastAsia="宋体" w:hAnsi="Times New Roman"/>
                <w:b/>
                <w:bCs/>
                <w:color w:val="000000"/>
                <w:sz w:val="16"/>
                <w:szCs w:val="16"/>
              </w:rPr>
              <w:t>Capital in</w:t>
            </w:r>
          </w:p>
        </w:tc>
        <w:tc>
          <w:tcPr>
            <w:tcW w:w="0" w:type="auto"/>
            <w:gridSpan w:val="3"/>
            <w:shd w:val="clear" w:color="auto" w:fill="auto"/>
            <w:tcMar>
              <w:top w:w="0" w:type="dxa"/>
              <w:left w:w="20" w:type="dxa"/>
              <w:bottom w:w="0" w:type="dxa"/>
              <w:right w:w="20" w:type="dxa"/>
            </w:tcMar>
            <w:vAlign w:val="bottom"/>
          </w:tcPr>
          <w:p w14:paraId="098A8EB6"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EB7"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EB8"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EB9" w14:textId="77777777" w:rsidR="00141CDF" w:rsidRDefault="00DF45E0">
            <w:pPr>
              <w:jc w:val="center"/>
              <w:textAlignment w:val="bottom"/>
            </w:pPr>
            <w:r>
              <w:rPr>
                <w:rFonts w:ascii="Times New Roman" w:eastAsia="宋体" w:hAnsi="Times New Roman"/>
                <w:b/>
                <w:bCs/>
                <w:color w:val="000000"/>
                <w:sz w:val="16"/>
                <w:szCs w:val="16"/>
              </w:rPr>
              <w:t>Other</w:t>
            </w:r>
          </w:p>
        </w:tc>
        <w:tc>
          <w:tcPr>
            <w:tcW w:w="0" w:type="auto"/>
            <w:gridSpan w:val="3"/>
            <w:shd w:val="clear" w:color="auto" w:fill="auto"/>
            <w:tcMar>
              <w:top w:w="0" w:type="dxa"/>
              <w:left w:w="20" w:type="dxa"/>
              <w:bottom w:w="0" w:type="dxa"/>
              <w:right w:w="20" w:type="dxa"/>
            </w:tcMar>
            <w:vAlign w:val="bottom"/>
          </w:tcPr>
          <w:p w14:paraId="098A8EBA"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EBB" w14:textId="77777777" w:rsidR="00141CDF" w:rsidRDefault="00DF45E0">
            <w:pPr>
              <w:jc w:val="center"/>
              <w:textAlignment w:val="bottom"/>
            </w:pPr>
            <w:r>
              <w:rPr>
                <w:rFonts w:ascii="Times New Roman" w:eastAsia="宋体" w:hAnsi="Times New Roman"/>
                <w:b/>
                <w:bCs/>
                <w:color w:val="000000"/>
                <w:sz w:val="16"/>
                <w:szCs w:val="16"/>
              </w:rPr>
              <w:t>Walmart</w:t>
            </w:r>
          </w:p>
        </w:tc>
        <w:tc>
          <w:tcPr>
            <w:tcW w:w="0" w:type="auto"/>
            <w:gridSpan w:val="3"/>
            <w:shd w:val="clear" w:color="auto" w:fill="auto"/>
            <w:tcMar>
              <w:top w:w="0" w:type="dxa"/>
              <w:left w:w="20" w:type="dxa"/>
              <w:bottom w:w="0" w:type="dxa"/>
              <w:right w:w="20" w:type="dxa"/>
            </w:tcMar>
            <w:vAlign w:val="bottom"/>
          </w:tcPr>
          <w:p w14:paraId="098A8EBC"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EBD" w14:textId="77777777" w:rsidR="00141CDF" w:rsidRDefault="00DF45E0">
            <w:pPr>
              <w:jc w:val="center"/>
              <w:textAlignment w:val="bottom"/>
            </w:pPr>
            <w:r>
              <w:rPr>
                <w:rFonts w:ascii="Times New Roman" w:eastAsia="宋体" w:hAnsi="Times New Roman"/>
                <w:b/>
                <w:bCs/>
                <w:color w:val="000000"/>
                <w:sz w:val="16"/>
                <w:szCs w:val="16"/>
              </w:rPr>
              <w:t>Nonredeemable</w:t>
            </w:r>
          </w:p>
        </w:tc>
        <w:tc>
          <w:tcPr>
            <w:tcW w:w="0" w:type="auto"/>
            <w:gridSpan w:val="3"/>
            <w:shd w:val="clear" w:color="auto" w:fill="auto"/>
            <w:tcMar>
              <w:top w:w="0" w:type="dxa"/>
              <w:left w:w="20" w:type="dxa"/>
              <w:bottom w:w="0" w:type="dxa"/>
              <w:right w:w="20" w:type="dxa"/>
            </w:tcMar>
            <w:vAlign w:val="bottom"/>
          </w:tcPr>
          <w:p w14:paraId="098A8EBE"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8EBF" w14:textId="77777777" w:rsidR="00141CDF" w:rsidRDefault="00141CDF">
            <w:pPr>
              <w:rPr>
                <w:rFonts w:ascii="宋体"/>
              </w:rPr>
            </w:pPr>
          </w:p>
        </w:tc>
        <w:tc>
          <w:tcPr>
            <w:tcW w:w="0" w:type="auto"/>
            <w:shd w:val="clear" w:color="auto" w:fill="auto"/>
            <w:vAlign w:val="bottom"/>
          </w:tcPr>
          <w:p w14:paraId="098A8EC0" w14:textId="77777777" w:rsidR="00141CDF" w:rsidRDefault="00141CDF">
            <w:pPr>
              <w:rPr>
                <w:rFonts w:ascii="宋体"/>
                <w:vanish/>
              </w:rPr>
            </w:pPr>
          </w:p>
        </w:tc>
        <w:tc>
          <w:tcPr>
            <w:tcW w:w="0" w:type="auto"/>
            <w:shd w:val="clear" w:color="auto" w:fill="auto"/>
            <w:vAlign w:val="bottom"/>
          </w:tcPr>
          <w:p w14:paraId="098A8EC1" w14:textId="77777777" w:rsidR="00141CDF" w:rsidRDefault="00141CDF">
            <w:pPr>
              <w:rPr>
                <w:rFonts w:ascii="宋体"/>
                <w:vanish/>
              </w:rPr>
            </w:pPr>
          </w:p>
        </w:tc>
        <w:tc>
          <w:tcPr>
            <w:tcW w:w="0" w:type="auto"/>
            <w:shd w:val="clear" w:color="auto" w:fill="auto"/>
            <w:vAlign w:val="bottom"/>
          </w:tcPr>
          <w:p w14:paraId="098A8EC2" w14:textId="77777777" w:rsidR="00141CDF" w:rsidRDefault="00141CDF">
            <w:pPr>
              <w:rPr>
                <w:rFonts w:ascii="宋体"/>
                <w:vanish/>
              </w:rPr>
            </w:pPr>
          </w:p>
        </w:tc>
      </w:tr>
      <w:tr w:rsidR="00141CDF" w14:paraId="098A8ED5" w14:textId="77777777">
        <w:trPr>
          <w:trHeight w:val="180"/>
          <w:jc w:val="center"/>
        </w:trPr>
        <w:tc>
          <w:tcPr>
            <w:tcW w:w="0" w:type="auto"/>
            <w:gridSpan w:val="3"/>
            <w:vMerge w:val="restart"/>
            <w:shd w:val="clear" w:color="auto" w:fill="auto"/>
            <w:tcMar>
              <w:top w:w="40" w:type="dxa"/>
              <w:left w:w="20" w:type="dxa"/>
              <w:bottom w:w="40" w:type="dxa"/>
              <w:right w:w="20" w:type="dxa"/>
            </w:tcMar>
            <w:vAlign w:val="bottom"/>
          </w:tcPr>
          <w:p w14:paraId="098A8EC4" w14:textId="77777777" w:rsidR="00141CDF" w:rsidRDefault="00DF45E0">
            <w:pPr>
              <w:textAlignment w:val="bottom"/>
            </w:pPr>
            <w:r>
              <w:rPr>
                <w:rFonts w:ascii="Times New Roman" w:eastAsia="宋体" w:hAnsi="Times New Roman"/>
                <w:i/>
                <w:iCs/>
                <w:color w:val="000000"/>
                <w:sz w:val="16"/>
                <w:szCs w:val="16"/>
              </w:rPr>
              <w:t>(Amounts in millions)</w:t>
            </w:r>
          </w:p>
        </w:tc>
        <w:tc>
          <w:tcPr>
            <w:tcW w:w="0" w:type="auto"/>
            <w:gridSpan w:val="9"/>
            <w:shd w:val="clear" w:color="auto" w:fill="auto"/>
            <w:tcMar>
              <w:top w:w="40" w:type="dxa"/>
              <w:left w:w="20" w:type="dxa"/>
              <w:bottom w:w="40" w:type="dxa"/>
              <w:right w:w="20" w:type="dxa"/>
            </w:tcMar>
            <w:vAlign w:val="bottom"/>
          </w:tcPr>
          <w:p w14:paraId="098A8EC5" w14:textId="77777777" w:rsidR="00141CDF" w:rsidRDefault="00DF45E0">
            <w:pPr>
              <w:jc w:val="center"/>
              <w:textAlignment w:val="bottom"/>
            </w:pPr>
            <w:r>
              <w:rPr>
                <w:rFonts w:ascii="Times New Roman" w:eastAsia="宋体" w:hAnsi="Times New Roman"/>
                <w:b/>
                <w:bCs/>
                <w:color w:val="000000"/>
                <w:sz w:val="16"/>
                <w:szCs w:val="16"/>
              </w:rPr>
              <w:t>Common Stock</w:t>
            </w:r>
          </w:p>
        </w:tc>
        <w:tc>
          <w:tcPr>
            <w:tcW w:w="0" w:type="auto"/>
            <w:gridSpan w:val="3"/>
            <w:shd w:val="clear" w:color="auto" w:fill="auto"/>
            <w:tcMar>
              <w:top w:w="0" w:type="dxa"/>
              <w:left w:w="20" w:type="dxa"/>
              <w:bottom w:w="0" w:type="dxa"/>
              <w:right w:w="20" w:type="dxa"/>
            </w:tcMar>
            <w:vAlign w:val="bottom"/>
          </w:tcPr>
          <w:p w14:paraId="098A8EC6"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EC7" w14:textId="77777777" w:rsidR="00141CDF" w:rsidRDefault="00DF45E0">
            <w:pPr>
              <w:jc w:val="center"/>
              <w:textAlignment w:val="bottom"/>
            </w:pPr>
            <w:r>
              <w:rPr>
                <w:rFonts w:ascii="Times New Roman" w:eastAsia="宋体" w:hAnsi="Times New Roman"/>
                <w:b/>
                <w:bCs/>
                <w:color w:val="000000"/>
                <w:sz w:val="16"/>
                <w:szCs w:val="16"/>
              </w:rPr>
              <w:t>Excess of</w:t>
            </w:r>
          </w:p>
        </w:tc>
        <w:tc>
          <w:tcPr>
            <w:tcW w:w="0" w:type="auto"/>
            <w:gridSpan w:val="3"/>
            <w:shd w:val="clear" w:color="auto" w:fill="auto"/>
            <w:tcMar>
              <w:top w:w="0" w:type="dxa"/>
              <w:left w:w="20" w:type="dxa"/>
              <w:bottom w:w="0" w:type="dxa"/>
              <w:right w:w="20" w:type="dxa"/>
            </w:tcMar>
            <w:vAlign w:val="bottom"/>
          </w:tcPr>
          <w:p w14:paraId="098A8EC8"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EC9" w14:textId="77777777" w:rsidR="00141CDF" w:rsidRDefault="00DF45E0">
            <w:pPr>
              <w:jc w:val="center"/>
              <w:textAlignment w:val="bottom"/>
            </w:pPr>
            <w:r>
              <w:rPr>
                <w:rFonts w:ascii="Times New Roman" w:eastAsia="宋体" w:hAnsi="Times New Roman"/>
                <w:b/>
                <w:bCs/>
                <w:color w:val="000000"/>
                <w:sz w:val="16"/>
                <w:szCs w:val="16"/>
              </w:rPr>
              <w:t>Retained</w:t>
            </w:r>
          </w:p>
        </w:tc>
        <w:tc>
          <w:tcPr>
            <w:tcW w:w="0" w:type="auto"/>
            <w:gridSpan w:val="3"/>
            <w:shd w:val="clear" w:color="auto" w:fill="auto"/>
            <w:tcMar>
              <w:top w:w="0" w:type="dxa"/>
              <w:left w:w="20" w:type="dxa"/>
              <w:bottom w:w="0" w:type="dxa"/>
              <w:right w:w="20" w:type="dxa"/>
            </w:tcMar>
            <w:vAlign w:val="bottom"/>
          </w:tcPr>
          <w:p w14:paraId="098A8ECA"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ECB" w14:textId="77777777" w:rsidR="00141CDF" w:rsidRDefault="00DF45E0">
            <w:pPr>
              <w:jc w:val="center"/>
              <w:textAlignment w:val="bottom"/>
            </w:pPr>
            <w:r>
              <w:rPr>
                <w:rFonts w:ascii="Times New Roman" w:eastAsia="宋体" w:hAnsi="Times New Roman"/>
                <w:b/>
                <w:bCs/>
                <w:color w:val="000000"/>
                <w:sz w:val="16"/>
                <w:szCs w:val="16"/>
              </w:rPr>
              <w:t>Comprehensive</w:t>
            </w:r>
          </w:p>
        </w:tc>
        <w:tc>
          <w:tcPr>
            <w:tcW w:w="0" w:type="auto"/>
            <w:gridSpan w:val="3"/>
            <w:shd w:val="clear" w:color="auto" w:fill="auto"/>
            <w:tcMar>
              <w:top w:w="0" w:type="dxa"/>
              <w:left w:w="20" w:type="dxa"/>
              <w:bottom w:w="0" w:type="dxa"/>
              <w:right w:w="20" w:type="dxa"/>
            </w:tcMar>
            <w:vAlign w:val="bottom"/>
          </w:tcPr>
          <w:p w14:paraId="098A8ECC"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ECD" w14:textId="77777777" w:rsidR="00141CDF" w:rsidRDefault="00DF45E0">
            <w:pPr>
              <w:jc w:val="center"/>
              <w:textAlignment w:val="bottom"/>
            </w:pPr>
            <w:r>
              <w:rPr>
                <w:rFonts w:ascii="Times New Roman" w:eastAsia="宋体" w:hAnsi="Times New Roman"/>
                <w:b/>
                <w:bCs/>
                <w:color w:val="000000"/>
                <w:sz w:val="16"/>
                <w:szCs w:val="16"/>
              </w:rPr>
              <w:t>Shareholders'</w:t>
            </w:r>
          </w:p>
        </w:tc>
        <w:tc>
          <w:tcPr>
            <w:tcW w:w="0" w:type="auto"/>
            <w:gridSpan w:val="3"/>
            <w:shd w:val="clear" w:color="auto" w:fill="auto"/>
            <w:tcMar>
              <w:top w:w="0" w:type="dxa"/>
              <w:left w:w="20" w:type="dxa"/>
              <w:bottom w:w="0" w:type="dxa"/>
              <w:right w:w="20" w:type="dxa"/>
            </w:tcMar>
            <w:vAlign w:val="bottom"/>
          </w:tcPr>
          <w:p w14:paraId="098A8ECE"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ECF" w14:textId="77777777" w:rsidR="00141CDF" w:rsidRDefault="00DF45E0">
            <w:pPr>
              <w:jc w:val="center"/>
              <w:textAlignment w:val="bottom"/>
            </w:pPr>
            <w:r>
              <w:rPr>
                <w:rFonts w:ascii="Times New Roman" w:eastAsia="宋体" w:hAnsi="Times New Roman"/>
                <w:b/>
                <w:bCs/>
                <w:color w:val="000000"/>
                <w:sz w:val="16"/>
                <w:szCs w:val="16"/>
              </w:rPr>
              <w:t>Noncontrolling</w:t>
            </w:r>
          </w:p>
        </w:tc>
        <w:tc>
          <w:tcPr>
            <w:tcW w:w="0" w:type="auto"/>
            <w:gridSpan w:val="3"/>
            <w:shd w:val="clear" w:color="auto" w:fill="auto"/>
            <w:tcMar>
              <w:top w:w="0" w:type="dxa"/>
              <w:left w:w="20" w:type="dxa"/>
              <w:bottom w:w="0" w:type="dxa"/>
              <w:right w:w="20" w:type="dxa"/>
            </w:tcMar>
            <w:vAlign w:val="bottom"/>
          </w:tcPr>
          <w:p w14:paraId="098A8ED0"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ED1" w14:textId="77777777" w:rsidR="00141CDF" w:rsidRDefault="00DF45E0">
            <w:pPr>
              <w:jc w:val="center"/>
              <w:textAlignment w:val="bottom"/>
            </w:pPr>
            <w:r>
              <w:rPr>
                <w:rFonts w:ascii="Times New Roman" w:eastAsia="宋体" w:hAnsi="Times New Roman"/>
                <w:b/>
                <w:bCs/>
                <w:color w:val="000000"/>
                <w:sz w:val="16"/>
                <w:szCs w:val="16"/>
              </w:rPr>
              <w:t>Total</w:t>
            </w:r>
          </w:p>
        </w:tc>
        <w:tc>
          <w:tcPr>
            <w:tcW w:w="0" w:type="auto"/>
            <w:shd w:val="clear" w:color="auto" w:fill="auto"/>
            <w:vAlign w:val="bottom"/>
          </w:tcPr>
          <w:p w14:paraId="098A8ED2" w14:textId="77777777" w:rsidR="00141CDF" w:rsidRDefault="00141CDF">
            <w:pPr>
              <w:rPr>
                <w:rFonts w:ascii="宋体"/>
                <w:vanish/>
              </w:rPr>
            </w:pPr>
          </w:p>
        </w:tc>
        <w:tc>
          <w:tcPr>
            <w:tcW w:w="0" w:type="auto"/>
            <w:shd w:val="clear" w:color="auto" w:fill="auto"/>
            <w:vAlign w:val="bottom"/>
          </w:tcPr>
          <w:p w14:paraId="098A8ED3" w14:textId="77777777" w:rsidR="00141CDF" w:rsidRDefault="00141CDF">
            <w:pPr>
              <w:rPr>
                <w:rFonts w:ascii="宋体"/>
                <w:vanish/>
              </w:rPr>
            </w:pPr>
          </w:p>
        </w:tc>
        <w:tc>
          <w:tcPr>
            <w:tcW w:w="0" w:type="auto"/>
            <w:shd w:val="clear" w:color="auto" w:fill="auto"/>
            <w:vAlign w:val="bottom"/>
          </w:tcPr>
          <w:p w14:paraId="098A8ED4" w14:textId="77777777" w:rsidR="00141CDF" w:rsidRDefault="00141CDF">
            <w:pPr>
              <w:rPr>
                <w:rFonts w:ascii="宋体"/>
                <w:vanish/>
              </w:rPr>
            </w:pPr>
          </w:p>
        </w:tc>
      </w:tr>
      <w:tr w:rsidR="00141CDF" w14:paraId="098A8EE9" w14:textId="77777777">
        <w:trPr>
          <w:trHeight w:val="180"/>
          <w:jc w:val="center"/>
        </w:trPr>
        <w:tc>
          <w:tcPr>
            <w:tcW w:w="0" w:type="auto"/>
            <w:gridSpan w:val="3"/>
            <w:vMerge/>
            <w:shd w:val="clear" w:color="auto" w:fill="auto"/>
            <w:tcMar>
              <w:top w:w="40" w:type="dxa"/>
              <w:left w:w="20" w:type="dxa"/>
              <w:bottom w:w="40" w:type="dxa"/>
              <w:right w:w="20" w:type="dxa"/>
            </w:tcMar>
            <w:vAlign w:val="bottom"/>
          </w:tcPr>
          <w:p w14:paraId="098A8ED6"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98A8ED7" w14:textId="77777777" w:rsidR="00141CDF" w:rsidRDefault="00DF45E0">
            <w:pPr>
              <w:jc w:val="center"/>
              <w:textAlignment w:val="bottom"/>
            </w:pPr>
            <w:r>
              <w:rPr>
                <w:rFonts w:ascii="Times New Roman" w:eastAsia="宋体" w:hAnsi="Times New Roman"/>
                <w:b/>
                <w:bCs/>
                <w:color w:val="000000"/>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8ED8"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98A8ED9" w14:textId="77777777" w:rsidR="00141CDF" w:rsidRDefault="00DF45E0">
            <w:pPr>
              <w:jc w:val="center"/>
              <w:textAlignment w:val="bottom"/>
            </w:pPr>
            <w:r>
              <w:rPr>
                <w:rFonts w:ascii="Times New Roman" w:eastAsia="宋体" w:hAnsi="Times New Roman"/>
                <w:b/>
                <w:bCs/>
                <w:color w:val="000000"/>
                <w:sz w:val="16"/>
                <w:szCs w:val="16"/>
              </w:rPr>
              <w:t>Amount</w:t>
            </w:r>
          </w:p>
        </w:tc>
        <w:tc>
          <w:tcPr>
            <w:tcW w:w="0" w:type="auto"/>
            <w:gridSpan w:val="3"/>
            <w:shd w:val="clear" w:color="auto" w:fill="auto"/>
            <w:tcMar>
              <w:top w:w="0" w:type="dxa"/>
              <w:left w:w="20" w:type="dxa"/>
              <w:bottom w:w="0" w:type="dxa"/>
              <w:right w:w="20" w:type="dxa"/>
            </w:tcMar>
            <w:vAlign w:val="bottom"/>
          </w:tcPr>
          <w:p w14:paraId="098A8EDA"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EDB" w14:textId="77777777" w:rsidR="00141CDF" w:rsidRDefault="00DF45E0">
            <w:pPr>
              <w:jc w:val="center"/>
              <w:textAlignment w:val="bottom"/>
            </w:pPr>
            <w:r>
              <w:rPr>
                <w:rFonts w:ascii="Times New Roman" w:eastAsia="宋体" w:hAnsi="Times New Roman"/>
                <w:b/>
                <w:bCs/>
                <w:color w:val="000000"/>
                <w:sz w:val="16"/>
                <w:szCs w:val="16"/>
              </w:rPr>
              <w:t>Par Value</w:t>
            </w:r>
          </w:p>
        </w:tc>
        <w:tc>
          <w:tcPr>
            <w:tcW w:w="0" w:type="auto"/>
            <w:gridSpan w:val="3"/>
            <w:shd w:val="clear" w:color="auto" w:fill="auto"/>
            <w:tcMar>
              <w:top w:w="0" w:type="dxa"/>
              <w:left w:w="20" w:type="dxa"/>
              <w:bottom w:w="0" w:type="dxa"/>
              <w:right w:w="20" w:type="dxa"/>
            </w:tcMar>
            <w:vAlign w:val="bottom"/>
          </w:tcPr>
          <w:p w14:paraId="098A8EDC"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EDD" w14:textId="77777777" w:rsidR="00141CDF" w:rsidRDefault="00DF45E0">
            <w:pPr>
              <w:jc w:val="center"/>
              <w:textAlignment w:val="bottom"/>
            </w:pPr>
            <w:r>
              <w:rPr>
                <w:rFonts w:ascii="Times New Roman" w:eastAsia="宋体" w:hAnsi="Times New Roman"/>
                <w:b/>
                <w:bCs/>
                <w:color w:val="000000"/>
                <w:sz w:val="16"/>
                <w:szCs w:val="16"/>
              </w:rPr>
              <w:t>Earnings</w:t>
            </w:r>
          </w:p>
        </w:tc>
        <w:tc>
          <w:tcPr>
            <w:tcW w:w="0" w:type="auto"/>
            <w:gridSpan w:val="3"/>
            <w:shd w:val="clear" w:color="auto" w:fill="auto"/>
            <w:tcMar>
              <w:top w:w="0" w:type="dxa"/>
              <w:left w:w="20" w:type="dxa"/>
              <w:bottom w:w="0" w:type="dxa"/>
              <w:right w:w="20" w:type="dxa"/>
            </w:tcMar>
            <w:vAlign w:val="bottom"/>
          </w:tcPr>
          <w:p w14:paraId="098A8EDE"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EDF" w14:textId="77777777" w:rsidR="00141CDF" w:rsidRDefault="00DF45E0">
            <w:pPr>
              <w:jc w:val="center"/>
              <w:textAlignment w:val="bottom"/>
            </w:pPr>
            <w:r>
              <w:rPr>
                <w:rFonts w:ascii="Times New Roman" w:eastAsia="宋体" w:hAnsi="Times New Roman"/>
                <w:b/>
                <w:bCs/>
                <w:color w:val="000000"/>
                <w:sz w:val="16"/>
                <w:szCs w:val="16"/>
              </w:rPr>
              <w:t>Loss</w:t>
            </w:r>
          </w:p>
        </w:tc>
        <w:tc>
          <w:tcPr>
            <w:tcW w:w="0" w:type="auto"/>
            <w:gridSpan w:val="3"/>
            <w:shd w:val="clear" w:color="auto" w:fill="auto"/>
            <w:tcMar>
              <w:top w:w="0" w:type="dxa"/>
              <w:left w:w="20" w:type="dxa"/>
              <w:bottom w:w="0" w:type="dxa"/>
              <w:right w:w="20" w:type="dxa"/>
            </w:tcMar>
            <w:vAlign w:val="bottom"/>
          </w:tcPr>
          <w:p w14:paraId="098A8EE0"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EE1" w14:textId="77777777" w:rsidR="00141CDF" w:rsidRDefault="00DF45E0">
            <w:pPr>
              <w:jc w:val="center"/>
              <w:textAlignment w:val="bottom"/>
            </w:pPr>
            <w:r>
              <w:rPr>
                <w:rFonts w:ascii="Times New Roman" w:eastAsia="宋体" w:hAnsi="Times New Roman"/>
                <w:b/>
                <w:bCs/>
                <w:color w:val="000000"/>
                <w:sz w:val="16"/>
                <w:szCs w:val="16"/>
              </w:rPr>
              <w:t>Equity</w:t>
            </w:r>
          </w:p>
        </w:tc>
        <w:tc>
          <w:tcPr>
            <w:tcW w:w="0" w:type="auto"/>
            <w:gridSpan w:val="3"/>
            <w:shd w:val="clear" w:color="auto" w:fill="auto"/>
            <w:tcMar>
              <w:top w:w="0" w:type="dxa"/>
              <w:left w:w="20" w:type="dxa"/>
              <w:bottom w:w="0" w:type="dxa"/>
              <w:right w:w="20" w:type="dxa"/>
            </w:tcMar>
            <w:vAlign w:val="bottom"/>
          </w:tcPr>
          <w:p w14:paraId="098A8EE2"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EE3" w14:textId="77777777" w:rsidR="00141CDF" w:rsidRDefault="00DF45E0">
            <w:pPr>
              <w:jc w:val="center"/>
              <w:textAlignment w:val="bottom"/>
            </w:pPr>
            <w:r>
              <w:rPr>
                <w:rFonts w:ascii="Times New Roman" w:eastAsia="宋体" w:hAnsi="Times New Roman"/>
                <w:b/>
                <w:bCs/>
                <w:color w:val="000000"/>
                <w:sz w:val="16"/>
                <w:szCs w:val="16"/>
              </w:rPr>
              <w:t>Interest</w:t>
            </w:r>
          </w:p>
        </w:tc>
        <w:tc>
          <w:tcPr>
            <w:tcW w:w="0" w:type="auto"/>
            <w:gridSpan w:val="3"/>
            <w:shd w:val="clear" w:color="auto" w:fill="auto"/>
            <w:tcMar>
              <w:top w:w="0" w:type="dxa"/>
              <w:left w:w="20" w:type="dxa"/>
              <w:bottom w:w="0" w:type="dxa"/>
              <w:right w:w="20" w:type="dxa"/>
            </w:tcMar>
            <w:vAlign w:val="bottom"/>
          </w:tcPr>
          <w:p w14:paraId="098A8EE4"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8EE5" w14:textId="77777777" w:rsidR="00141CDF" w:rsidRDefault="00DF45E0">
            <w:pPr>
              <w:jc w:val="center"/>
              <w:textAlignment w:val="bottom"/>
            </w:pPr>
            <w:r>
              <w:rPr>
                <w:rFonts w:ascii="Times New Roman" w:eastAsia="宋体" w:hAnsi="Times New Roman"/>
                <w:b/>
                <w:bCs/>
                <w:color w:val="000000"/>
                <w:sz w:val="16"/>
                <w:szCs w:val="16"/>
              </w:rPr>
              <w:t>Equity</w:t>
            </w:r>
          </w:p>
        </w:tc>
        <w:tc>
          <w:tcPr>
            <w:tcW w:w="0" w:type="auto"/>
            <w:shd w:val="clear" w:color="auto" w:fill="auto"/>
            <w:vAlign w:val="bottom"/>
          </w:tcPr>
          <w:p w14:paraId="098A8EE6" w14:textId="77777777" w:rsidR="00141CDF" w:rsidRDefault="00141CDF">
            <w:pPr>
              <w:rPr>
                <w:rFonts w:ascii="宋体"/>
                <w:vanish/>
              </w:rPr>
            </w:pPr>
          </w:p>
        </w:tc>
        <w:tc>
          <w:tcPr>
            <w:tcW w:w="0" w:type="auto"/>
            <w:shd w:val="clear" w:color="auto" w:fill="auto"/>
            <w:vAlign w:val="bottom"/>
          </w:tcPr>
          <w:p w14:paraId="098A8EE7" w14:textId="77777777" w:rsidR="00141CDF" w:rsidRDefault="00141CDF">
            <w:pPr>
              <w:rPr>
                <w:rFonts w:ascii="宋体"/>
                <w:vanish/>
              </w:rPr>
            </w:pPr>
          </w:p>
        </w:tc>
        <w:tc>
          <w:tcPr>
            <w:tcW w:w="0" w:type="auto"/>
            <w:shd w:val="clear" w:color="auto" w:fill="auto"/>
            <w:vAlign w:val="bottom"/>
          </w:tcPr>
          <w:p w14:paraId="098A8EE8" w14:textId="77777777" w:rsidR="00141CDF" w:rsidRDefault="00141CDF">
            <w:pPr>
              <w:rPr>
                <w:rFonts w:ascii="宋体"/>
                <w:vanish/>
              </w:rPr>
            </w:pPr>
          </w:p>
        </w:tc>
      </w:tr>
      <w:tr w:rsidR="00141CDF" w14:paraId="098A8F0C" w14:textId="77777777">
        <w:trPr>
          <w:jc w:val="center"/>
        </w:trPr>
        <w:tc>
          <w:tcPr>
            <w:tcW w:w="0" w:type="auto"/>
            <w:gridSpan w:val="3"/>
            <w:shd w:val="clear" w:color="auto" w:fill="CCEEFF"/>
            <w:tcMar>
              <w:top w:w="40" w:type="dxa"/>
              <w:left w:w="20" w:type="dxa"/>
              <w:bottom w:w="40" w:type="dxa"/>
              <w:right w:w="20" w:type="dxa"/>
            </w:tcMar>
            <w:vAlign w:val="center"/>
          </w:tcPr>
          <w:p w14:paraId="098A8EEA" w14:textId="77777777" w:rsidR="00141CDF" w:rsidRDefault="00DF45E0">
            <w:pPr>
              <w:textAlignment w:val="center"/>
            </w:pPr>
            <w:r>
              <w:rPr>
                <w:rFonts w:ascii="Times New Roman" w:eastAsia="宋体" w:hAnsi="Times New Roman"/>
                <w:b/>
                <w:bCs/>
                <w:color w:val="000000"/>
                <w:sz w:val="16"/>
                <w:szCs w:val="16"/>
              </w:rPr>
              <w:t>Balances as of February 1, 2021</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98A8EEB" w14:textId="77777777" w:rsidR="00141CDF" w:rsidRDefault="00DF45E0">
            <w:pPr>
              <w:jc w:val="right"/>
              <w:textAlignment w:val="center"/>
            </w:pPr>
            <w:r>
              <w:rPr>
                <w:rFonts w:ascii="Times New Roman" w:eastAsia="宋体" w:hAnsi="Times New Roman"/>
                <w:color w:val="000000"/>
                <w:sz w:val="16"/>
                <w:szCs w:val="16"/>
              </w:rPr>
              <w:t>2,821 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8EEC"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EED"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8EEE"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8EEF" w14:textId="77777777" w:rsidR="00141CDF" w:rsidRDefault="00DF45E0">
            <w:pPr>
              <w:jc w:val="right"/>
              <w:textAlignment w:val="center"/>
            </w:pPr>
            <w:r>
              <w:rPr>
                <w:rFonts w:ascii="Times New Roman" w:eastAsia="宋体" w:hAnsi="Times New Roman"/>
                <w:color w:val="000000"/>
                <w:sz w:val="16"/>
                <w:szCs w:val="16"/>
              </w:rPr>
              <w:t>282 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8EF0"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EF1"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8EF2"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8EF3" w14:textId="77777777" w:rsidR="00141CDF" w:rsidRDefault="00DF45E0">
            <w:pPr>
              <w:jc w:val="right"/>
              <w:textAlignment w:val="center"/>
            </w:pPr>
            <w:r>
              <w:rPr>
                <w:rFonts w:ascii="Times New Roman" w:eastAsia="宋体" w:hAnsi="Times New Roman"/>
                <w:color w:val="000000"/>
                <w:sz w:val="16"/>
                <w:szCs w:val="16"/>
              </w:rPr>
              <w:t>3,646 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8EF4"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EF5"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8EF6"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8EF7" w14:textId="77777777" w:rsidR="00141CDF" w:rsidRDefault="00DF45E0">
            <w:pPr>
              <w:jc w:val="right"/>
              <w:textAlignment w:val="center"/>
            </w:pPr>
            <w:r>
              <w:rPr>
                <w:rFonts w:ascii="Times New Roman" w:eastAsia="宋体" w:hAnsi="Times New Roman"/>
                <w:color w:val="000000"/>
                <w:sz w:val="16"/>
                <w:szCs w:val="16"/>
              </w:rPr>
              <w:t>88,763 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8EF8"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EF9"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8EFA"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8EFB" w14:textId="77777777" w:rsidR="00141CDF" w:rsidRDefault="00DF45E0">
            <w:pPr>
              <w:jc w:val="right"/>
              <w:textAlignment w:val="center"/>
            </w:pPr>
            <w:r>
              <w:rPr>
                <w:rFonts w:ascii="Times New Roman" w:eastAsia="宋体" w:hAnsi="Times New Roman"/>
                <w:color w:val="000000"/>
                <w:sz w:val="16"/>
                <w:szCs w:val="16"/>
              </w:rPr>
              <w:t>(11,766)</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8EFC"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EFD"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8EFE"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8EFF" w14:textId="77777777" w:rsidR="00141CDF" w:rsidRDefault="00DF45E0">
            <w:pPr>
              <w:jc w:val="right"/>
              <w:textAlignment w:val="center"/>
            </w:pPr>
            <w:r>
              <w:rPr>
                <w:rFonts w:ascii="Times New Roman" w:eastAsia="宋体" w:hAnsi="Times New Roman"/>
                <w:color w:val="000000"/>
                <w:sz w:val="16"/>
                <w:szCs w:val="16"/>
              </w:rPr>
              <w:t>80,925 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8F00"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F01"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8F02"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8F03" w14:textId="77777777" w:rsidR="00141CDF" w:rsidRDefault="00DF45E0">
            <w:pPr>
              <w:jc w:val="right"/>
              <w:textAlignment w:val="center"/>
            </w:pPr>
            <w:r>
              <w:rPr>
                <w:rFonts w:ascii="Times New Roman" w:eastAsia="宋体" w:hAnsi="Times New Roman"/>
                <w:color w:val="000000"/>
                <w:sz w:val="16"/>
                <w:szCs w:val="16"/>
              </w:rPr>
              <w:t>6,606 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8F04"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F05"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8F06"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8F07" w14:textId="77777777" w:rsidR="00141CDF" w:rsidRDefault="00DF45E0">
            <w:pPr>
              <w:jc w:val="right"/>
              <w:textAlignment w:val="center"/>
            </w:pPr>
            <w:r>
              <w:rPr>
                <w:rFonts w:ascii="Times New Roman" w:eastAsia="宋体" w:hAnsi="Times New Roman"/>
                <w:color w:val="000000"/>
                <w:sz w:val="16"/>
                <w:szCs w:val="16"/>
              </w:rPr>
              <w:t>87,531 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8F08" w14:textId="77777777" w:rsidR="00141CDF" w:rsidRDefault="00141CDF">
            <w:pPr>
              <w:jc w:val="right"/>
              <w:rPr>
                <w:rFonts w:ascii="宋体"/>
              </w:rPr>
            </w:pPr>
          </w:p>
        </w:tc>
        <w:tc>
          <w:tcPr>
            <w:tcW w:w="0" w:type="auto"/>
            <w:shd w:val="clear" w:color="auto" w:fill="auto"/>
            <w:vAlign w:val="bottom"/>
          </w:tcPr>
          <w:p w14:paraId="098A8F09" w14:textId="77777777" w:rsidR="00141CDF" w:rsidRDefault="00141CDF">
            <w:pPr>
              <w:rPr>
                <w:rFonts w:ascii="宋体"/>
                <w:vanish/>
              </w:rPr>
            </w:pPr>
          </w:p>
        </w:tc>
        <w:tc>
          <w:tcPr>
            <w:tcW w:w="0" w:type="auto"/>
            <w:shd w:val="clear" w:color="auto" w:fill="auto"/>
            <w:vAlign w:val="bottom"/>
          </w:tcPr>
          <w:p w14:paraId="098A8F0A" w14:textId="77777777" w:rsidR="00141CDF" w:rsidRDefault="00141CDF">
            <w:pPr>
              <w:rPr>
                <w:rFonts w:ascii="宋体"/>
                <w:vanish/>
              </w:rPr>
            </w:pPr>
          </w:p>
        </w:tc>
        <w:tc>
          <w:tcPr>
            <w:tcW w:w="0" w:type="auto"/>
            <w:shd w:val="clear" w:color="auto" w:fill="auto"/>
            <w:vAlign w:val="bottom"/>
          </w:tcPr>
          <w:p w14:paraId="098A8F0B" w14:textId="77777777" w:rsidR="00141CDF" w:rsidRDefault="00141CDF">
            <w:pPr>
              <w:rPr>
                <w:rFonts w:ascii="宋体"/>
                <w:vanish/>
              </w:rPr>
            </w:pPr>
          </w:p>
        </w:tc>
      </w:tr>
      <w:tr w:rsidR="00141CDF" w14:paraId="098A8F28" w14:textId="77777777">
        <w:trPr>
          <w:jc w:val="center"/>
        </w:trPr>
        <w:tc>
          <w:tcPr>
            <w:tcW w:w="0" w:type="auto"/>
            <w:gridSpan w:val="3"/>
            <w:shd w:val="clear" w:color="auto" w:fill="FFFFFF"/>
            <w:tcMar>
              <w:top w:w="40" w:type="dxa"/>
              <w:left w:w="20" w:type="dxa"/>
              <w:bottom w:w="40" w:type="dxa"/>
              <w:right w:w="20" w:type="dxa"/>
            </w:tcMar>
            <w:vAlign w:val="center"/>
          </w:tcPr>
          <w:p w14:paraId="098A8F0D" w14:textId="77777777" w:rsidR="00141CDF" w:rsidRDefault="00DF45E0">
            <w:pPr>
              <w:textAlignment w:val="center"/>
            </w:pPr>
            <w:r>
              <w:rPr>
                <w:rFonts w:ascii="Times New Roman" w:eastAsia="宋体" w:hAnsi="Times New Roman"/>
                <w:color w:val="000000"/>
                <w:sz w:val="16"/>
                <w:szCs w:val="16"/>
              </w:rPr>
              <w:t>Consolidated net income</w:t>
            </w:r>
          </w:p>
        </w:tc>
        <w:tc>
          <w:tcPr>
            <w:tcW w:w="0" w:type="auto"/>
            <w:gridSpan w:val="2"/>
            <w:shd w:val="clear" w:color="auto" w:fill="FFFFFF"/>
            <w:tcMar>
              <w:top w:w="40" w:type="dxa"/>
              <w:left w:w="20" w:type="dxa"/>
              <w:bottom w:w="40" w:type="dxa"/>
              <w:right w:w="0" w:type="dxa"/>
            </w:tcMar>
            <w:vAlign w:val="center"/>
          </w:tcPr>
          <w:p w14:paraId="098A8F0E"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8F0F"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F10"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F11"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8F12"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F13"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F14"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8F15"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F16"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F17" w14:textId="77777777" w:rsidR="00141CDF" w:rsidRDefault="00DF45E0">
            <w:pPr>
              <w:jc w:val="right"/>
              <w:textAlignment w:val="center"/>
            </w:pPr>
            <w:r>
              <w:rPr>
                <w:rFonts w:ascii="Times New Roman" w:eastAsia="宋体" w:hAnsi="Times New Roman"/>
                <w:color w:val="000000"/>
                <w:sz w:val="16"/>
                <w:szCs w:val="16"/>
              </w:rPr>
              <w:t>2,730 </w:t>
            </w:r>
          </w:p>
        </w:tc>
        <w:tc>
          <w:tcPr>
            <w:tcW w:w="0" w:type="auto"/>
            <w:shd w:val="clear" w:color="auto" w:fill="FFFFFF"/>
            <w:tcMar>
              <w:top w:w="40" w:type="dxa"/>
              <w:left w:w="0" w:type="dxa"/>
              <w:bottom w:w="40" w:type="dxa"/>
              <w:right w:w="20" w:type="dxa"/>
            </w:tcMar>
            <w:vAlign w:val="center"/>
          </w:tcPr>
          <w:p w14:paraId="098A8F18"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F19"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F1A"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8F1B"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F1C"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F1D" w14:textId="77777777" w:rsidR="00141CDF" w:rsidRDefault="00DF45E0">
            <w:pPr>
              <w:jc w:val="right"/>
              <w:textAlignment w:val="center"/>
            </w:pPr>
            <w:r>
              <w:rPr>
                <w:rFonts w:ascii="Times New Roman" w:eastAsia="宋体" w:hAnsi="Times New Roman"/>
                <w:color w:val="000000"/>
                <w:sz w:val="16"/>
                <w:szCs w:val="16"/>
              </w:rPr>
              <w:t>2,730 </w:t>
            </w:r>
          </w:p>
        </w:tc>
        <w:tc>
          <w:tcPr>
            <w:tcW w:w="0" w:type="auto"/>
            <w:shd w:val="clear" w:color="auto" w:fill="FFFFFF"/>
            <w:tcMar>
              <w:top w:w="40" w:type="dxa"/>
              <w:left w:w="0" w:type="dxa"/>
              <w:bottom w:w="40" w:type="dxa"/>
              <w:right w:w="20" w:type="dxa"/>
            </w:tcMar>
            <w:vAlign w:val="center"/>
          </w:tcPr>
          <w:p w14:paraId="098A8F1E"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F1F"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F20" w14:textId="77777777" w:rsidR="00141CDF" w:rsidRDefault="00DF45E0">
            <w:pPr>
              <w:jc w:val="right"/>
              <w:textAlignment w:val="center"/>
            </w:pPr>
            <w:r>
              <w:rPr>
                <w:rFonts w:ascii="Times New Roman" w:eastAsia="宋体" w:hAnsi="Times New Roman"/>
                <w:color w:val="000000"/>
                <w:sz w:val="16"/>
                <w:szCs w:val="16"/>
              </w:rPr>
              <w:t>81 </w:t>
            </w:r>
          </w:p>
        </w:tc>
        <w:tc>
          <w:tcPr>
            <w:tcW w:w="0" w:type="auto"/>
            <w:shd w:val="clear" w:color="auto" w:fill="FFFFFF"/>
            <w:tcMar>
              <w:top w:w="40" w:type="dxa"/>
              <w:left w:w="0" w:type="dxa"/>
              <w:bottom w:w="40" w:type="dxa"/>
              <w:right w:w="20" w:type="dxa"/>
            </w:tcMar>
            <w:vAlign w:val="center"/>
          </w:tcPr>
          <w:p w14:paraId="098A8F21"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F22"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F23" w14:textId="77777777" w:rsidR="00141CDF" w:rsidRDefault="00DF45E0">
            <w:pPr>
              <w:jc w:val="right"/>
              <w:textAlignment w:val="center"/>
            </w:pPr>
            <w:r>
              <w:rPr>
                <w:rFonts w:ascii="Times New Roman" w:eastAsia="宋体" w:hAnsi="Times New Roman"/>
                <w:color w:val="000000"/>
                <w:sz w:val="16"/>
                <w:szCs w:val="16"/>
              </w:rPr>
              <w:t>2,811 </w:t>
            </w:r>
          </w:p>
        </w:tc>
        <w:tc>
          <w:tcPr>
            <w:tcW w:w="0" w:type="auto"/>
            <w:shd w:val="clear" w:color="auto" w:fill="FFFFFF"/>
            <w:tcMar>
              <w:top w:w="40" w:type="dxa"/>
              <w:left w:w="0" w:type="dxa"/>
              <w:bottom w:w="40" w:type="dxa"/>
              <w:right w:w="20" w:type="dxa"/>
            </w:tcMar>
            <w:vAlign w:val="center"/>
          </w:tcPr>
          <w:p w14:paraId="098A8F24" w14:textId="77777777" w:rsidR="00141CDF" w:rsidRDefault="00141CDF">
            <w:pPr>
              <w:jc w:val="right"/>
              <w:rPr>
                <w:rFonts w:ascii="宋体"/>
              </w:rPr>
            </w:pPr>
          </w:p>
        </w:tc>
        <w:tc>
          <w:tcPr>
            <w:tcW w:w="0" w:type="auto"/>
            <w:shd w:val="clear" w:color="auto" w:fill="auto"/>
            <w:vAlign w:val="bottom"/>
          </w:tcPr>
          <w:p w14:paraId="098A8F25" w14:textId="77777777" w:rsidR="00141CDF" w:rsidRDefault="00141CDF">
            <w:pPr>
              <w:rPr>
                <w:rFonts w:ascii="宋体"/>
                <w:vanish/>
              </w:rPr>
            </w:pPr>
          </w:p>
        </w:tc>
        <w:tc>
          <w:tcPr>
            <w:tcW w:w="0" w:type="auto"/>
            <w:shd w:val="clear" w:color="auto" w:fill="auto"/>
            <w:vAlign w:val="bottom"/>
          </w:tcPr>
          <w:p w14:paraId="098A8F26" w14:textId="77777777" w:rsidR="00141CDF" w:rsidRDefault="00141CDF">
            <w:pPr>
              <w:rPr>
                <w:rFonts w:ascii="宋体"/>
                <w:vanish/>
              </w:rPr>
            </w:pPr>
          </w:p>
        </w:tc>
        <w:tc>
          <w:tcPr>
            <w:tcW w:w="0" w:type="auto"/>
            <w:shd w:val="clear" w:color="auto" w:fill="auto"/>
            <w:vAlign w:val="bottom"/>
          </w:tcPr>
          <w:p w14:paraId="098A8F27" w14:textId="77777777" w:rsidR="00141CDF" w:rsidRDefault="00141CDF">
            <w:pPr>
              <w:rPr>
                <w:rFonts w:ascii="宋体"/>
                <w:vanish/>
              </w:rPr>
            </w:pPr>
          </w:p>
        </w:tc>
      </w:tr>
      <w:tr w:rsidR="00141CDF" w14:paraId="098A8F44" w14:textId="77777777">
        <w:trPr>
          <w:jc w:val="center"/>
        </w:trPr>
        <w:tc>
          <w:tcPr>
            <w:tcW w:w="0" w:type="auto"/>
            <w:gridSpan w:val="3"/>
            <w:shd w:val="clear" w:color="auto" w:fill="CCEEFF"/>
            <w:tcMar>
              <w:top w:w="40" w:type="dxa"/>
              <w:left w:w="20" w:type="dxa"/>
              <w:bottom w:w="40" w:type="dxa"/>
              <w:right w:w="20" w:type="dxa"/>
            </w:tcMar>
            <w:vAlign w:val="center"/>
          </w:tcPr>
          <w:p w14:paraId="098A8F29" w14:textId="77777777" w:rsidR="00141CDF" w:rsidRDefault="00DF45E0">
            <w:pPr>
              <w:textAlignment w:val="center"/>
            </w:pPr>
            <w:r>
              <w:rPr>
                <w:rFonts w:ascii="Times New Roman" w:eastAsia="宋体" w:hAnsi="Times New Roman"/>
                <w:color w:val="000000"/>
                <w:sz w:val="16"/>
                <w:szCs w:val="16"/>
              </w:rPr>
              <w:t>Other comprehensive income (loss), net of income taxes</w:t>
            </w:r>
          </w:p>
        </w:tc>
        <w:tc>
          <w:tcPr>
            <w:tcW w:w="0" w:type="auto"/>
            <w:gridSpan w:val="2"/>
            <w:shd w:val="clear" w:color="auto" w:fill="CCEEFF"/>
            <w:tcMar>
              <w:top w:w="40" w:type="dxa"/>
              <w:left w:w="20" w:type="dxa"/>
              <w:bottom w:w="40" w:type="dxa"/>
              <w:right w:w="0" w:type="dxa"/>
            </w:tcMar>
            <w:vAlign w:val="center"/>
          </w:tcPr>
          <w:p w14:paraId="098A8F2A"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098A8F2B"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F2C"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F2D"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098A8F2E"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F2F"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F30"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098A8F31"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F32"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F33"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098A8F34"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F35"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F36" w14:textId="77777777" w:rsidR="00141CDF" w:rsidRDefault="00DF45E0">
            <w:pPr>
              <w:jc w:val="right"/>
              <w:textAlignment w:val="center"/>
            </w:pPr>
            <w:r>
              <w:rPr>
                <w:rFonts w:ascii="Times New Roman" w:eastAsia="宋体" w:hAnsi="Times New Roman"/>
                <w:color w:val="000000"/>
                <w:sz w:val="16"/>
                <w:szCs w:val="16"/>
              </w:rPr>
              <w:t>3,820 </w:t>
            </w:r>
          </w:p>
        </w:tc>
        <w:tc>
          <w:tcPr>
            <w:tcW w:w="0" w:type="auto"/>
            <w:shd w:val="clear" w:color="auto" w:fill="CCEEFF"/>
            <w:tcMar>
              <w:top w:w="40" w:type="dxa"/>
              <w:left w:w="0" w:type="dxa"/>
              <w:bottom w:w="40" w:type="dxa"/>
              <w:right w:w="20" w:type="dxa"/>
            </w:tcMar>
            <w:vAlign w:val="center"/>
          </w:tcPr>
          <w:p w14:paraId="098A8F37"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F38"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F39" w14:textId="77777777" w:rsidR="00141CDF" w:rsidRDefault="00DF45E0">
            <w:pPr>
              <w:jc w:val="right"/>
              <w:textAlignment w:val="center"/>
            </w:pPr>
            <w:r>
              <w:rPr>
                <w:rFonts w:ascii="Times New Roman" w:eastAsia="宋体" w:hAnsi="Times New Roman"/>
                <w:color w:val="000000"/>
                <w:sz w:val="16"/>
                <w:szCs w:val="16"/>
              </w:rPr>
              <w:t>3,820 </w:t>
            </w:r>
          </w:p>
        </w:tc>
        <w:tc>
          <w:tcPr>
            <w:tcW w:w="0" w:type="auto"/>
            <w:shd w:val="clear" w:color="auto" w:fill="CCEEFF"/>
            <w:tcMar>
              <w:top w:w="40" w:type="dxa"/>
              <w:left w:w="0" w:type="dxa"/>
              <w:bottom w:w="40" w:type="dxa"/>
              <w:right w:w="20" w:type="dxa"/>
            </w:tcMar>
            <w:vAlign w:val="center"/>
          </w:tcPr>
          <w:p w14:paraId="098A8F3A"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F3B"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F3C" w14:textId="77777777" w:rsidR="00141CDF" w:rsidRDefault="00DF45E0">
            <w:pPr>
              <w:jc w:val="right"/>
              <w:textAlignment w:val="center"/>
            </w:pPr>
            <w:r>
              <w:rPr>
                <w:rFonts w:ascii="Times New Roman" w:eastAsia="宋体" w:hAnsi="Times New Roman"/>
                <w:color w:val="000000"/>
                <w:sz w:val="16"/>
                <w:szCs w:val="16"/>
              </w:rPr>
              <w:t>(74)</w:t>
            </w:r>
          </w:p>
        </w:tc>
        <w:tc>
          <w:tcPr>
            <w:tcW w:w="0" w:type="auto"/>
            <w:shd w:val="clear" w:color="auto" w:fill="CCEEFF"/>
            <w:tcMar>
              <w:top w:w="40" w:type="dxa"/>
              <w:left w:w="0" w:type="dxa"/>
              <w:bottom w:w="40" w:type="dxa"/>
              <w:right w:w="20" w:type="dxa"/>
            </w:tcMar>
            <w:vAlign w:val="center"/>
          </w:tcPr>
          <w:p w14:paraId="098A8F3D"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F3E"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F3F" w14:textId="77777777" w:rsidR="00141CDF" w:rsidRDefault="00DF45E0">
            <w:pPr>
              <w:jc w:val="right"/>
              <w:textAlignment w:val="center"/>
            </w:pPr>
            <w:r>
              <w:rPr>
                <w:rFonts w:ascii="Times New Roman" w:eastAsia="宋体" w:hAnsi="Times New Roman"/>
                <w:color w:val="000000"/>
                <w:sz w:val="16"/>
                <w:szCs w:val="16"/>
              </w:rPr>
              <w:t>3,746 </w:t>
            </w:r>
          </w:p>
        </w:tc>
        <w:tc>
          <w:tcPr>
            <w:tcW w:w="0" w:type="auto"/>
            <w:shd w:val="clear" w:color="auto" w:fill="CCEEFF"/>
            <w:tcMar>
              <w:top w:w="40" w:type="dxa"/>
              <w:left w:w="0" w:type="dxa"/>
              <w:bottom w:w="40" w:type="dxa"/>
              <w:right w:w="20" w:type="dxa"/>
            </w:tcMar>
            <w:vAlign w:val="center"/>
          </w:tcPr>
          <w:p w14:paraId="098A8F40" w14:textId="77777777" w:rsidR="00141CDF" w:rsidRDefault="00141CDF">
            <w:pPr>
              <w:jc w:val="right"/>
              <w:rPr>
                <w:rFonts w:ascii="宋体"/>
              </w:rPr>
            </w:pPr>
          </w:p>
        </w:tc>
        <w:tc>
          <w:tcPr>
            <w:tcW w:w="0" w:type="auto"/>
            <w:shd w:val="clear" w:color="auto" w:fill="auto"/>
            <w:vAlign w:val="bottom"/>
          </w:tcPr>
          <w:p w14:paraId="098A8F41" w14:textId="77777777" w:rsidR="00141CDF" w:rsidRDefault="00141CDF">
            <w:pPr>
              <w:rPr>
                <w:rFonts w:ascii="宋体"/>
                <w:vanish/>
              </w:rPr>
            </w:pPr>
          </w:p>
        </w:tc>
        <w:tc>
          <w:tcPr>
            <w:tcW w:w="0" w:type="auto"/>
            <w:shd w:val="clear" w:color="auto" w:fill="auto"/>
            <w:vAlign w:val="bottom"/>
          </w:tcPr>
          <w:p w14:paraId="098A8F42" w14:textId="77777777" w:rsidR="00141CDF" w:rsidRDefault="00141CDF">
            <w:pPr>
              <w:rPr>
                <w:rFonts w:ascii="宋体"/>
                <w:vanish/>
              </w:rPr>
            </w:pPr>
          </w:p>
        </w:tc>
        <w:tc>
          <w:tcPr>
            <w:tcW w:w="0" w:type="auto"/>
            <w:shd w:val="clear" w:color="auto" w:fill="auto"/>
            <w:vAlign w:val="bottom"/>
          </w:tcPr>
          <w:p w14:paraId="098A8F43" w14:textId="77777777" w:rsidR="00141CDF" w:rsidRDefault="00141CDF">
            <w:pPr>
              <w:rPr>
                <w:rFonts w:ascii="宋体"/>
                <w:vanish/>
              </w:rPr>
            </w:pPr>
          </w:p>
        </w:tc>
      </w:tr>
      <w:tr w:rsidR="00141CDF" w14:paraId="098A8F60" w14:textId="77777777">
        <w:trPr>
          <w:jc w:val="center"/>
        </w:trPr>
        <w:tc>
          <w:tcPr>
            <w:tcW w:w="0" w:type="auto"/>
            <w:gridSpan w:val="3"/>
            <w:shd w:val="clear" w:color="auto" w:fill="FFFFFF"/>
            <w:tcMar>
              <w:top w:w="40" w:type="dxa"/>
              <w:left w:w="20" w:type="dxa"/>
              <w:bottom w:w="40" w:type="dxa"/>
              <w:right w:w="20" w:type="dxa"/>
            </w:tcMar>
            <w:vAlign w:val="center"/>
          </w:tcPr>
          <w:p w14:paraId="098A8F45" w14:textId="77777777" w:rsidR="00141CDF" w:rsidRDefault="00DF45E0">
            <w:pPr>
              <w:textAlignment w:val="center"/>
            </w:pPr>
            <w:r>
              <w:rPr>
                <w:rFonts w:ascii="Times New Roman" w:eastAsia="宋体" w:hAnsi="Times New Roman"/>
                <w:color w:val="000000"/>
                <w:sz w:val="16"/>
                <w:szCs w:val="16"/>
              </w:rPr>
              <w:t>Dividends declared ($2.20 per share)</w:t>
            </w:r>
          </w:p>
        </w:tc>
        <w:tc>
          <w:tcPr>
            <w:tcW w:w="0" w:type="auto"/>
            <w:gridSpan w:val="2"/>
            <w:shd w:val="clear" w:color="auto" w:fill="FFFFFF"/>
            <w:tcMar>
              <w:top w:w="40" w:type="dxa"/>
              <w:left w:w="20" w:type="dxa"/>
              <w:bottom w:w="40" w:type="dxa"/>
              <w:right w:w="0" w:type="dxa"/>
            </w:tcMar>
            <w:vAlign w:val="center"/>
          </w:tcPr>
          <w:p w14:paraId="098A8F46"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8F47"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F48"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F49"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8F4A"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F4B"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F4C"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8F4D"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F4E"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F4F" w14:textId="77777777" w:rsidR="00141CDF" w:rsidRDefault="00DF45E0">
            <w:pPr>
              <w:jc w:val="right"/>
              <w:textAlignment w:val="center"/>
            </w:pPr>
            <w:r>
              <w:rPr>
                <w:rFonts w:ascii="Times New Roman" w:eastAsia="宋体" w:hAnsi="Times New Roman"/>
                <w:color w:val="000000"/>
                <w:sz w:val="16"/>
                <w:szCs w:val="16"/>
              </w:rPr>
              <w:t>(6,200)</w:t>
            </w:r>
          </w:p>
        </w:tc>
        <w:tc>
          <w:tcPr>
            <w:tcW w:w="0" w:type="auto"/>
            <w:shd w:val="clear" w:color="auto" w:fill="FFFFFF"/>
            <w:tcMar>
              <w:top w:w="40" w:type="dxa"/>
              <w:left w:w="0" w:type="dxa"/>
              <w:bottom w:w="40" w:type="dxa"/>
              <w:right w:w="20" w:type="dxa"/>
            </w:tcMar>
            <w:vAlign w:val="center"/>
          </w:tcPr>
          <w:p w14:paraId="098A8F50"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F51"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F52"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8F53"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F54"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F55" w14:textId="77777777" w:rsidR="00141CDF" w:rsidRDefault="00DF45E0">
            <w:pPr>
              <w:jc w:val="right"/>
              <w:textAlignment w:val="center"/>
            </w:pPr>
            <w:r>
              <w:rPr>
                <w:rFonts w:ascii="Times New Roman" w:eastAsia="宋体" w:hAnsi="Times New Roman"/>
                <w:color w:val="000000"/>
                <w:sz w:val="16"/>
                <w:szCs w:val="16"/>
              </w:rPr>
              <w:t>(6,200)</w:t>
            </w:r>
          </w:p>
        </w:tc>
        <w:tc>
          <w:tcPr>
            <w:tcW w:w="0" w:type="auto"/>
            <w:shd w:val="clear" w:color="auto" w:fill="FFFFFF"/>
            <w:tcMar>
              <w:top w:w="40" w:type="dxa"/>
              <w:left w:w="0" w:type="dxa"/>
              <w:bottom w:w="40" w:type="dxa"/>
              <w:right w:w="20" w:type="dxa"/>
            </w:tcMar>
            <w:vAlign w:val="center"/>
          </w:tcPr>
          <w:p w14:paraId="098A8F56"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F57"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F58"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8F59"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F5A"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F5B" w14:textId="77777777" w:rsidR="00141CDF" w:rsidRDefault="00DF45E0">
            <w:pPr>
              <w:jc w:val="right"/>
              <w:textAlignment w:val="center"/>
            </w:pPr>
            <w:r>
              <w:rPr>
                <w:rFonts w:ascii="Times New Roman" w:eastAsia="宋体" w:hAnsi="Times New Roman"/>
                <w:color w:val="000000"/>
                <w:sz w:val="16"/>
                <w:szCs w:val="16"/>
              </w:rPr>
              <w:t>(6,200)</w:t>
            </w:r>
          </w:p>
        </w:tc>
        <w:tc>
          <w:tcPr>
            <w:tcW w:w="0" w:type="auto"/>
            <w:shd w:val="clear" w:color="auto" w:fill="FFFFFF"/>
            <w:tcMar>
              <w:top w:w="40" w:type="dxa"/>
              <w:left w:w="0" w:type="dxa"/>
              <w:bottom w:w="40" w:type="dxa"/>
              <w:right w:w="20" w:type="dxa"/>
            </w:tcMar>
            <w:vAlign w:val="center"/>
          </w:tcPr>
          <w:p w14:paraId="098A8F5C" w14:textId="77777777" w:rsidR="00141CDF" w:rsidRDefault="00141CDF">
            <w:pPr>
              <w:jc w:val="right"/>
              <w:rPr>
                <w:rFonts w:ascii="宋体"/>
              </w:rPr>
            </w:pPr>
          </w:p>
        </w:tc>
        <w:tc>
          <w:tcPr>
            <w:tcW w:w="0" w:type="auto"/>
            <w:shd w:val="clear" w:color="auto" w:fill="auto"/>
            <w:vAlign w:val="bottom"/>
          </w:tcPr>
          <w:p w14:paraId="098A8F5D" w14:textId="77777777" w:rsidR="00141CDF" w:rsidRDefault="00141CDF">
            <w:pPr>
              <w:rPr>
                <w:rFonts w:ascii="宋体"/>
                <w:vanish/>
              </w:rPr>
            </w:pPr>
          </w:p>
        </w:tc>
        <w:tc>
          <w:tcPr>
            <w:tcW w:w="0" w:type="auto"/>
            <w:shd w:val="clear" w:color="auto" w:fill="auto"/>
            <w:vAlign w:val="bottom"/>
          </w:tcPr>
          <w:p w14:paraId="098A8F5E" w14:textId="77777777" w:rsidR="00141CDF" w:rsidRDefault="00141CDF">
            <w:pPr>
              <w:rPr>
                <w:rFonts w:ascii="宋体"/>
                <w:vanish/>
              </w:rPr>
            </w:pPr>
          </w:p>
        </w:tc>
        <w:tc>
          <w:tcPr>
            <w:tcW w:w="0" w:type="auto"/>
            <w:shd w:val="clear" w:color="auto" w:fill="auto"/>
            <w:vAlign w:val="bottom"/>
          </w:tcPr>
          <w:p w14:paraId="098A8F5F" w14:textId="77777777" w:rsidR="00141CDF" w:rsidRDefault="00141CDF">
            <w:pPr>
              <w:rPr>
                <w:rFonts w:ascii="宋体"/>
                <w:vanish/>
              </w:rPr>
            </w:pPr>
          </w:p>
        </w:tc>
      </w:tr>
      <w:tr w:rsidR="00141CDF" w14:paraId="098A8F7C" w14:textId="77777777">
        <w:trPr>
          <w:jc w:val="center"/>
        </w:trPr>
        <w:tc>
          <w:tcPr>
            <w:tcW w:w="0" w:type="auto"/>
            <w:gridSpan w:val="3"/>
            <w:shd w:val="clear" w:color="auto" w:fill="CCEEFF"/>
            <w:tcMar>
              <w:top w:w="40" w:type="dxa"/>
              <w:left w:w="20" w:type="dxa"/>
              <w:bottom w:w="40" w:type="dxa"/>
              <w:right w:w="20" w:type="dxa"/>
            </w:tcMar>
            <w:vAlign w:val="center"/>
          </w:tcPr>
          <w:p w14:paraId="098A8F61" w14:textId="77777777" w:rsidR="00141CDF" w:rsidRDefault="00DF45E0">
            <w:pPr>
              <w:textAlignment w:val="center"/>
            </w:pPr>
            <w:r>
              <w:rPr>
                <w:rFonts w:ascii="Times New Roman" w:eastAsia="宋体" w:hAnsi="Times New Roman"/>
                <w:color w:val="000000"/>
                <w:sz w:val="16"/>
                <w:szCs w:val="16"/>
              </w:rPr>
              <w:t>Purchase of Company stock</w:t>
            </w:r>
          </w:p>
        </w:tc>
        <w:tc>
          <w:tcPr>
            <w:tcW w:w="0" w:type="auto"/>
            <w:gridSpan w:val="2"/>
            <w:shd w:val="clear" w:color="auto" w:fill="CCEEFF"/>
            <w:tcMar>
              <w:top w:w="40" w:type="dxa"/>
              <w:left w:w="20" w:type="dxa"/>
              <w:bottom w:w="40" w:type="dxa"/>
              <w:right w:w="0" w:type="dxa"/>
            </w:tcMar>
            <w:vAlign w:val="center"/>
          </w:tcPr>
          <w:p w14:paraId="098A8F62" w14:textId="77777777" w:rsidR="00141CDF" w:rsidRDefault="00DF45E0">
            <w:pPr>
              <w:jc w:val="right"/>
              <w:textAlignment w:val="center"/>
            </w:pPr>
            <w:r>
              <w:rPr>
                <w:rFonts w:ascii="Times New Roman" w:eastAsia="宋体" w:hAnsi="Times New Roman"/>
                <w:color w:val="000000"/>
                <w:sz w:val="16"/>
                <w:szCs w:val="16"/>
              </w:rPr>
              <w:t>(21)</w:t>
            </w:r>
          </w:p>
        </w:tc>
        <w:tc>
          <w:tcPr>
            <w:tcW w:w="0" w:type="auto"/>
            <w:shd w:val="clear" w:color="auto" w:fill="CCEEFF"/>
            <w:tcMar>
              <w:top w:w="40" w:type="dxa"/>
              <w:left w:w="0" w:type="dxa"/>
              <w:bottom w:w="40" w:type="dxa"/>
              <w:right w:w="20" w:type="dxa"/>
            </w:tcMar>
            <w:vAlign w:val="center"/>
          </w:tcPr>
          <w:p w14:paraId="098A8F63"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F64"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F65" w14:textId="77777777" w:rsidR="00141CDF" w:rsidRDefault="00DF45E0">
            <w:pPr>
              <w:jc w:val="right"/>
              <w:textAlignment w:val="center"/>
            </w:pPr>
            <w:r>
              <w:rPr>
                <w:rFonts w:ascii="Times New Roman" w:eastAsia="宋体" w:hAnsi="Times New Roman"/>
                <w:color w:val="000000"/>
                <w:sz w:val="16"/>
                <w:szCs w:val="16"/>
              </w:rPr>
              <w:t>(2)</w:t>
            </w:r>
          </w:p>
        </w:tc>
        <w:tc>
          <w:tcPr>
            <w:tcW w:w="0" w:type="auto"/>
            <w:shd w:val="clear" w:color="auto" w:fill="CCEEFF"/>
            <w:tcMar>
              <w:top w:w="40" w:type="dxa"/>
              <w:left w:w="0" w:type="dxa"/>
              <w:bottom w:w="40" w:type="dxa"/>
              <w:right w:w="20" w:type="dxa"/>
            </w:tcMar>
            <w:vAlign w:val="center"/>
          </w:tcPr>
          <w:p w14:paraId="098A8F66"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F67"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F68" w14:textId="77777777" w:rsidR="00141CDF" w:rsidRDefault="00DF45E0">
            <w:pPr>
              <w:jc w:val="right"/>
              <w:textAlignment w:val="center"/>
            </w:pPr>
            <w:r>
              <w:rPr>
                <w:rFonts w:ascii="Times New Roman" w:eastAsia="宋体" w:hAnsi="Times New Roman"/>
                <w:color w:val="000000"/>
                <w:sz w:val="16"/>
                <w:szCs w:val="16"/>
              </w:rPr>
              <w:t>(112)</w:t>
            </w:r>
          </w:p>
        </w:tc>
        <w:tc>
          <w:tcPr>
            <w:tcW w:w="0" w:type="auto"/>
            <w:shd w:val="clear" w:color="auto" w:fill="CCEEFF"/>
            <w:tcMar>
              <w:top w:w="40" w:type="dxa"/>
              <w:left w:w="0" w:type="dxa"/>
              <w:bottom w:w="40" w:type="dxa"/>
              <w:right w:w="20" w:type="dxa"/>
            </w:tcMar>
            <w:vAlign w:val="center"/>
          </w:tcPr>
          <w:p w14:paraId="098A8F69"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F6A"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F6B" w14:textId="77777777" w:rsidR="00141CDF" w:rsidRDefault="00DF45E0">
            <w:pPr>
              <w:jc w:val="right"/>
              <w:textAlignment w:val="center"/>
            </w:pPr>
            <w:r>
              <w:rPr>
                <w:rFonts w:ascii="Times New Roman" w:eastAsia="宋体" w:hAnsi="Times New Roman"/>
                <w:color w:val="000000"/>
                <w:sz w:val="16"/>
                <w:szCs w:val="16"/>
              </w:rPr>
              <w:t>(2,718)</w:t>
            </w:r>
          </w:p>
        </w:tc>
        <w:tc>
          <w:tcPr>
            <w:tcW w:w="0" w:type="auto"/>
            <w:shd w:val="clear" w:color="auto" w:fill="CCEEFF"/>
            <w:tcMar>
              <w:top w:w="40" w:type="dxa"/>
              <w:left w:w="0" w:type="dxa"/>
              <w:bottom w:w="40" w:type="dxa"/>
              <w:right w:w="20" w:type="dxa"/>
            </w:tcMar>
            <w:vAlign w:val="center"/>
          </w:tcPr>
          <w:p w14:paraId="098A8F6C"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F6D"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F6E"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098A8F6F"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F70"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F71" w14:textId="77777777" w:rsidR="00141CDF" w:rsidRDefault="00DF45E0">
            <w:pPr>
              <w:jc w:val="right"/>
              <w:textAlignment w:val="center"/>
            </w:pPr>
            <w:r>
              <w:rPr>
                <w:rFonts w:ascii="Times New Roman" w:eastAsia="宋体" w:hAnsi="Times New Roman"/>
                <w:color w:val="000000"/>
                <w:sz w:val="16"/>
                <w:szCs w:val="16"/>
              </w:rPr>
              <w:t>(2,832)</w:t>
            </w:r>
          </w:p>
        </w:tc>
        <w:tc>
          <w:tcPr>
            <w:tcW w:w="0" w:type="auto"/>
            <w:shd w:val="clear" w:color="auto" w:fill="CCEEFF"/>
            <w:tcMar>
              <w:top w:w="40" w:type="dxa"/>
              <w:left w:w="0" w:type="dxa"/>
              <w:bottom w:w="40" w:type="dxa"/>
              <w:right w:w="20" w:type="dxa"/>
            </w:tcMar>
            <w:vAlign w:val="center"/>
          </w:tcPr>
          <w:p w14:paraId="098A8F72"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F73"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F74"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098A8F75"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F76"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F77" w14:textId="77777777" w:rsidR="00141CDF" w:rsidRDefault="00DF45E0">
            <w:pPr>
              <w:jc w:val="right"/>
              <w:textAlignment w:val="center"/>
            </w:pPr>
            <w:r>
              <w:rPr>
                <w:rFonts w:ascii="Times New Roman" w:eastAsia="宋体" w:hAnsi="Times New Roman"/>
                <w:color w:val="000000"/>
                <w:sz w:val="16"/>
                <w:szCs w:val="16"/>
              </w:rPr>
              <w:t>(2,832)</w:t>
            </w:r>
          </w:p>
        </w:tc>
        <w:tc>
          <w:tcPr>
            <w:tcW w:w="0" w:type="auto"/>
            <w:shd w:val="clear" w:color="auto" w:fill="CCEEFF"/>
            <w:tcMar>
              <w:top w:w="40" w:type="dxa"/>
              <w:left w:w="0" w:type="dxa"/>
              <w:bottom w:w="40" w:type="dxa"/>
              <w:right w:w="20" w:type="dxa"/>
            </w:tcMar>
            <w:vAlign w:val="center"/>
          </w:tcPr>
          <w:p w14:paraId="098A8F78" w14:textId="77777777" w:rsidR="00141CDF" w:rsidRDefault="00141CDF">
            <w:pPr>
              <w:jc w:val="right"/>
              <w:rPr>
                <w:rFonts w:ascii="宋体"/>
              </w:rPr>
            </w:pPr>
          </w:p>
        </w:tc>
        <w:tc>
          <w:tcPr>
            <w:tcW w:w="0" w:type="auto"/>
            <w:shd w:val="clear" w:color="auto" w:fill="auto"/>
            <w:vAlign w:val="bottom"/>
          </w:tcPr>
          <w:p w14:paraId="098A8F79" w14:textId="77777777" w:rsidR="00141CDF" w:rsidRDefault="00141CDF">
            <w:pPr>
              <w:rPr>
                <w:rFonts w:ascii="宋体"/>
                <w:vanish/>
              </w:rPr>
            </w:pPr>
          </w:p>
        </w:tc>
        <w:tc>
          <w:tcPr>
            <w:tcW w:w="0" w:type="auto"/>
            <w:shd w:val="clear" w:color="auto" w:fill="auto"/>
            <w:vAlign w:val="bottom"/>
          </w:tcPr>
          <w:p w14:paraId="098A8F7A" w14:textId="77777777" w:rsidR="00141CDF" w:rsidRDefault="00141CDF">
            <w:pPr>
              <w:rPr>
                <w:rFonts w:ascii="宋体"/>
                <w:vanish/>
              </w:rPr>
            </w:pPr>
          </w:p>
        </w:tc>
        <w:tc>
          <w:tcPr>
            <w:tcW w:w="0" w:type="auto"/>
            <w:shd w:val="clear" w:color="auto" w:fill="auto"/>
            <w:vAlign w:val="bottom"/>
          </w:tcPr>
          <w:p w14:paraId="098A8F7B" w14:textId="77777777" w:rsidR="00141CDF" w:rsidRDefault="00141CDF">
            <w:pPr>
              <w:rPr>
                <w:rFonts w:ascii="宋体"/>
                <w:vanish/>
              </w:rPr>
            </w:pPr>
          </w:p>
        </w:tc>
      </w:tr>
      <w:tr w:rsidR="00141CDF" w14:paraId="098A8F98" w14:textId="77777777">
        <w:trPr>
          <w:jc w:val="center"/>
        </w:trPr>
        <w:tc>
          <w:tcPr>
            <w:tcW w:w="0" w:type="auto"/>
            <w:gridSpan w:val="3"/>
            <w:shd w:val="clear" w:color="auto" w:fill="FFFFFF"/>
            <w:tcMar>
              <w:top w:w="40" w:type="dxa"/>
              <w:left w:w="20" w:type="dxa"/>
              <w:bottom w:w="40" w:type="dxa"/>
              <w:right w:w="20" w:type="dxa"/>
            </w:tcMar>
            <w:vAlign w:val="center"/>
          </w:tcPr>
          <w:p w14:paraId="098A8F7D" w14:textId="77777777" w:rsidR="00141CDF" w:rsidRDefault="00DF45E0">
            <w:pPr>
              <w:textAlignment w:val="center"/>
            </w:pPr>
            <w:r>
              <w:rPr>
                <w:rFonts w:ascii="Times New Roman" w:eastAsia="宋体" w:hAnsi="Times New Roman"/>
                <w:color w:val="000000"/>
                <w:sz w:val="16"/>
                <w:szCs w:val="16"/>
              </w:rPr>
              <w:t>Dividends to noncontrolling interest</w:t>
            </w:r>
          </w:p>
        </w:tc>
        <w:tc>
          <w:tcPr>
            <w:tcW w:w="0" w:type="auto"/>
            <w:gridSpan w:val="2"/>
            <w:shd w:val="clear" w:color="auto" w:fill="FFFFFF"/>
            <w:tcMar>
              <w:top w:w="40" w:type="dxa"/>
              <w:left w:w="20" w:type="dxa"/>
              <w:bottom w:w="40" w:type="dxa"/>
              <w:right w:w="0" w:type="dxa"/>
            </w:tcMar>
            <w:vAlign w:val="center"/>
          </w:tcPr>
          <w:p w14:paraId="098A8F7E"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8F7F"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F80"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F81"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8F82"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F83"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F84"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8F85"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F86"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F87"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8F88"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F89"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F8A"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8F8B"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F8C"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F8D"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8F8E"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F8F"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F90" w14:textId="77777777" w:rsidR="00141CDF" w:rsidRDefault="00DF45E0">
            <w:pPr>
              <w:jc w:val="right"/>
              <w:textAlignment w:val="center"/>
            </w:pPr>
            <w:r>
              <w:rPr>
                <w:rFonts w:ascii="Times New Roman" w:eastAsia="宋体" w:hAnsi="Times New Roman"/>
                <w:color w:val="000000"/>
                <w:sz w:val="16"/>
                <w:szCs w:val="16"/>
              </w:rPr>
              <w:t>(408)</w:t>
            </w:r>
          </w:p>
        </w:tc>
        <w:tc>
          <w:tcPr>
            <w:tcW w:w="0" w:type="auto"/>
            <w:shd w:val="clear" w:color="auto" w:fill="FFFFFF"/>
            <w:tcMar>
              <w:top w:w="40" w:type="dxa"/>
              <w:left w:w="0" w:type="dxa"/>
              <w:bottom w:w="40" w:type="dxa"/>
              <w:right w:w="20" w:type="dxa"/>
            </w:tcMar>
            <w:vAlign w:val="center"/>
          </w:tcPr>
          <w:p w14:paraId="098A8F91"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F92"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F93" w14:textId="77777777" w:rsidR="00141CDF" w:rsidRDefault="00DF45E0">
            <w:pPr>
              <w:jc w:val="right"/>
              <w:textAlignment w:val="center"/>
            </w:pPr>
            <w:r>
              <w:rPr>
                <w:rFonts w:ascii="Times New Roman" w:eastAsia="宋体" w:hAnsi="Times New Roman"/>
                <w:color w:val="000000"/>
                <w:sz w:val="16"/>
                <w:szCs w:val="16"/>
              </w:rPr>
              <w:t>(408)</w:t>
            </w:r>
          </w:p>
        </w:tc>
        <w:tc>
          <w:tcPr>
            <w:tcW w:w="0" w:type="auto"/>
            <w:shd w:val="clear" w:color="auto" w:fill="FFFFFF"/>
            <w:tcMar>
              <w:top w:w="40" w:type="dxa"/>
              <w:left w:w="0" w:type="dxa"/>
              <w:bottom w:w="40" w:type="dxa"/>
              <w:right w:w="20" w:type="dxa"/>
            </w:tcMar>
            <w:vAlign w:val="center"/>
          </w:tcPr>
          <w:p w14:paraId="098A8F94" w14:textId="77777777" w:rsidR="00141CDF" w:rsidRDefault="00141CDF">
            <w:pPr>
              <w:jc w:val="right"/>
              <w:rPr>
                <w:rFonts w:ascii="宋体"/>
              </w:rPr>
            </w:pPr>
          </w:p>
        </w:tc>
        <w:tc>
          <w:tcPr>
            <w:tcW w:w="0" w:type="auto"/>
            <w:shd w:val="clear" w:color="auto" w:fill="auto"/>
            <w:vAlign w:val="bottom"/>
          </w:tcPr>
          <w:p w14:paraId="098A8F95" w14:textId="77777777" w:rsidR="00141CDF" w:rsidRDefault="00141CDF">
            <w:pPr>
              <w:rPr>
                <w:rFonts w:ascii="宋体"/>
                <w:vanish/>
              </w:rPr>
            </w:pPr>
          </w:p>
        </w:tc>
        <w:tc>
          <w:tcPr>
            <w:tcW w:w="0" w:type="auto"/>
            <w:shd w:val="clear" w:color="auto" w:fill="auto"/>
            <w:vAlign w:val="bottom"/>
          </w:tcPr>
          <w:p w14:paraId="098A8F96" w14:textId="77777777" w:rsidR="00141CDF" w:rsidRDefault="00141CDF">
            <w:pPr>
              <w:rPr>
                <w:rFonts w:ascii="宋体"/>
                <w:vanish/>
              </w:rPr>
            </w:pPr>
          </w:p>
        </w:tc>
        <w:tc>
          <w:tcPr>
            <w:tcW w:w="0" w:type="auto"/>
            <w:shd w:val="clear" w:color="auto" w:fill="auto"/>
            <w:vAlign w:val="bottom"/>
          </w:tcPr>
          <w:p w14:paraId="098A8F97" w14:textId="77777777" w:rsidR="00141CDF" w:rsidRDefault="00141CDF">
            <w:pPr>
              <w:rPr>
                <w:rFonts w:ascii="宋体"/>
                <w:vanish/>
              </w:rPr>
            </w:pPr>
          </w:p>
        </w:tc>
      </w:tr>
      <w:tr w:rsidR="00141CDF" w14:paraId="098A8FB4" w14:textId="77777777">
        <w:trPr>
          <w:jc w:val="center"/>
        </w:trPr>
        <w:tc>
          <w:tcPr>
            <w:tcW w:w="0" w:type="auto"/>
            <w:gridSpan w:val="3"/>
            <w:shd w:val="clear" w:color="auto" w:fill="CCEEFF"/>
            <w:tcMar>
              <w:top w:w="40" w:type="dxa"/>
              <w:left w:w="20" w:type="dxa"/>
              <w:bottom w:w="40" w:type="dxa"/>
              <w:right w:w="20" w:type="dxa"/>
            </w:tcMar>
            <w:vAlign w:val="center"/>
          </w:tcPr>
          <w:p w14:paraId="098A8F99" w14:textId="77777777" w:rsidR="00141CDF" w:rsidRDefault="00DF45E0">
            <w:pPr>
              <w:textAlignment w:val="center"/>
            </w:pPr>
            <w:r>
              <w:rPr>
                <w:rFonts w:ascii="Times New Roman" w:eastAsia="宋体" w:hAnsi="Times New Roman"/>
                <w:color w:val="000000"/>
                <w:sz w:val="16"/>
                <w:szCs w:val="16"/>
              </w:rPr>
              <w:t>Sale of subsidiary stock</w:t>
            </w:r>
          </w:p>
        </w:tc>
        <w:tc>
          <w:tcPr>
            <w:tcW w:w="0" w:type="auto"/>
            <w:gridSpan w:val="2"/>
            <w:shd w:val="clear" w:color="auto" w:fill="CCEEFF"/>
            <w:tcMar>
              <w:top w:w="40" w:type="dxa"/>
              <w:left w:w="20" w:type="dxa"/>
              <w:bottom w:w="40" w:type="dxa"/>
              <w:right w:w="0" w:type="dxa"/>
            </w:tcMar>
            <w:vAlign w:val="center"/>
          </w:tcPr>
          <w:p w14:paraId="098A8F9A"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098A8F9B"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F9C"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F9D"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098A8F9E"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F9F"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FA0" w14:textId="77777777" w:rsidR="00141CDF" w:rsidRDefault="00DF45E0">
            <w:pPr>
              <w:jc w:val="right"/>
              <w:textAlignment w:val="center"/>
            </w:pPr>
            <w:r>
              <w:rPr>
                <w:rFonts w:ascii="Times New Roman" w:eastAsia="宋体" w:hAnsi="Times New Roman"/>
                <w:color w:val="000000"/>
                <w:sz w:val="16"/>
                <w:szCs w:val="16"/>
              </w:rPr>
              <w:t>18 </w:t>
            </w:r>
          </w:p>
        </w:tc>
        <w:tc>
          <w:tcPr>
            <w:tcW w:w="0" w:type="auto"/>
            <w:shd w:val="clear" w:color="auto" w:fill="CCEEFF"/>
            <w:tcMar>
              <w:top w:w="40" w:type="dxa"/>
              <w:left w:w="0" w:type="dxa"/>
              <w:bottom w:w="40" w:type="dxa"/>
              <w:right w:w="20" w:type="dxa"/>
            </w:tcMar>
            <w:vAlign w:val="center"/>
          </w:tcPr>
          <w:p w14:paraId="098A8FA1"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FA2"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FA3"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098A8FA4"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FA5"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FA6"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098A8FA7"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FA8"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FA9" w14:textId="77777777" w:rsidR="00141CDF" w:rsidRDefault="00DF45E0">
            <w:pPr>
              <w:jc w:val="right"/>
              <w:textAlignment w:val="center"/>
            </w:pPr>
            <w:r>
              <w:rPr>
                <w:rFonts w:ascii="Times New Roman" w:eastAsia="宋体" w:hAnsi="Times New Roman"/>
                <w:color w:val="000000"/>
                <w:sz w:val="16"/>
                <w:szCs w:val="16"/>
              </w:rPr>
              <w:t>18 </w:t>
            </w:r>
          </w:p>
        </w:tc>
        <w:tc>
          <w:tcPr>
            <w:tcW w:w="0" w:type="auto"/>
            <w:shd w:val="clear" w:color="auto" w:fill="CCEEFF"/>
            <w:tcMar>
              <w:top w:w="40" w:type="dxa"/>
              <w:left w:w="0" w:type="dxa"/>
              <w:bottom w:w="40" w:type="dxa"/>
              <w:right w:w="20" w:type="dxa"/>
            </w:tcMar>
            <w:vAlign w:val="center"/>
          </w:tcPr>
          <w:p w14:paraId="098A8FAA"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FAB"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FAC" w14:textId="77777777" w:rsidR="00141CDF" w:rsidRDefault="00DF45E0">
            <w:pPr>
              <w:jc w:val="right"/>
              <w:textAlignment w:val="center"/>
            </w:pPr>
            <w:r>
              <w:rPr>
                <w:rFonts w:ascii="Times New Roman" w:eastAsia="宋体" w:hAnsi="Times New Roman"/>
                <w:color w:val="000000"/>
                <w:sz w:val="16"/>
                <w:szCs w:val="16"/>
              </w:rPr>
              <w:t>57 </w:t>
            </w:r>
          </w:p>
        </w:tc>
        <w:tc>
          <w:tcPr>
            <w:tcW w:w="0" w:type="auto"/>
            <w:shd w:val="clear" w:color="auto" w:fill="CCEEFF"/>
            <w:tcMar>
              <w:top w:w="40" w:type="dxa"/>
              <w:left w:w="0" w:type="dxa"/>
              <w:bottom w:w="40" w:type="dxa"/>
              <w:right w:w="20" w:type="dxa"/>
            </w:tcMar>
            <w:vAlign w:val="center"/>
          </w:tcPr>
          <w:p w14:paraId="098A8FAD"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FAE"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8FAF" w14:textId="77777777" w:rsidR="00141CDF" w:rsidRDefault="00DF45E0">
            <w:pPr>
              <w:jc w:val="right"/>
              <w:textAlignment w:val="center"/>
            </w:pPr>
            <w:r>
              <w:rPr>
                <w:rFonts w:ascii="Times New Roman" w:eastAsia="宋体" w:hAnsi="Times New Roman"/>
                <w:color w:val="000000"/>
                <w:sz w:val="16"/>
                <w:szCs w:val="16"/>
              </w:rPr>
              <w:t>75 </w:t>
            </w:r>
          </w:p>
        </w:tc>
        <w:tc>
          <w:tcPr>
            <w:tcW w:w="0" w:type="auto"/>
            <w:shd w:val="clear" w:color="auto" w:fill="CCEEFF"/>
            <w:tcMar>
              <w:top w:w="40" w:type="dxa"/>
              <w:left w:w="0" w:type="dxa"/>
              <w:bottom w:w="40" w:type="dxa"/>
              <w:right w:w="20" w:type="dxa"/>
            </w:tcMar>
            <w:vAlign w:val="center"/>
          </w:tcPr>
          <w:p w14:paraId="098A8FB0" w14:textId="77777777" w:rsidR="00141CDF" w:rsidRDefault="00141CDF">
            <w:pPr>
              <w:jc w:val="right"/>
              <w:rPr>
                <w:rFonts w:ascii="宋体"/>
              </w:rPr>
            </w:pPr>
          </w:p>
        </w:tc>
        <w:tc>
          <w:tcPr>
            <w:tcW w:w="0" w:type="auto"/>
            <w:shd w:val="clear" w:color="auto" w:fill="auto"/>
            <w:vAlign w:val="bottom"/>
          </w:tcPr>
          <w:p w14:paraId="098A8FB1" w14:textId="77777777" w:rsidR="00141CDF" w:rsidRDefault="00141CDF">
            <w:pPr>
              <w:rPr>
                <w:rFonts w:ascii="宋体"/>
                <w:vanish/>
              </w:rPr>
            </w:pPr>
          </w:p>
        </w:tc>
        <w:tc>
          <w:tcPr>
            <w:tcW w:w="0" w:type="auto"/>
            <w:shd w:val="clear" w:color="auto" w:fill="auto"/>
            <w:vAlign w:val="bottom"/>
          </w:tcPr>
          <w:p w14:paraId="098A8FB2" w14:textId="77777777" w:rsidR="00141CDF" w:rsidRDefault="00141CDF">
            <w:pPr>
              <w:rPr>
                <w:rFonts w:ascii="宋体"/>
                <w:vanish/>
              </w:rPr>
            </w:pPr>
          </w:p>
        </w:tc>
        <w:tc>
          <w:tcPr>
            <w:tcW w:w="0" w:type="auto"/>
            <w:shd w:val="clear" w:color="auto" w:fill="auto"/>
            <w:vAlign w:val="bottom"/>
          </w:tcPr>
          <w:p w14:paraId="098A8FB3" w14:textId="77777777" w:rsidR="00141CDF" w:rsidRDefault="00141CDF">
            <w:pPr>
              <w:rPr>
                <w:rFonts w:ascii="宋体"/>
                <w:vanish/>
              </w:rPr>
            </w:pPr>
          </w:p>
        </w:tc>
      </w:tr>
      <w:tr w:rsidR="00141CDF" w14:paraId="098A8FD0" w14:textId="77777777">
        <w:trPr>
          <w:jc w:val="center"/>
        </w:trPr>
        <w:tc>
          <w:tcPr>
            <w:tcW w:w="0" w:type="auto"/>
            <w:gridSpan w:val="3"/>
            <w:shd w:val="clear" w:color="auto" w:fill="FFFFFF"/>
            <w:tcMar>
              <w:top w:w="40" w:type="dxa"/>
              <w:left w:w="20" w:type="dxa"/>
              <w:bottom w:w="40" w:type="dxa"/>
              <w:right w:w="20" w:type="dxa"/>
            </w:tcMar>
            <w:vAlign w:val="center"/>
          </w:tcPr>
          <w:p w14:paraId="098A8FB5" w14:textId="77777777" w:rsidR="00141CDF" w:rsidRDefault="00DF45E0">
            <w:pPr>
              <w:textAlignment w:val="center"/>
            </w:pPr>
            <w:r>
              <w:rPr>
                <w:rFonts w:ascii="Times New Roman" w:eastAsia="宋体" w:hAnsi="Times New Roman"/>
                <w:color w:val="000000"/>
                <w:sz w:val="16"/>
                <w:szCs w:val="16"/>
              </w:rPr>
              <w:t>Other</w:t>
            </w:r>
          </w:p>
        </w:tc>
        <w:tc>
          <w:tcPr>
            <w:tcW w:w="0" w:type="auto"/>
            <w:gridSpan w:val="2"/>
            <w:shd w:val="clear" w:color="auto" w:fill="FFFFFF"/>
            <w:tcMar>
              <w:top w:w="40" w:type="dxa"/>
              <w:left w:w="20" w:type="dxa"/>
              <w:bottom w:w="40" w:type="dxa"/>
              <w:right w:w="0" w:type="dxa"/>
            </w:tcMar>
            <w:vAlign w:val="center"/>
          </w:tcPr>
          <w:p w14:paraId="098A8FB6" w14:textId="77777777" w:rsidR="00141CDF" w:rsidRDefault="00DF45E0">
            <w:pPr>
              <w:jc w:val="right"/>
              <w:textAlignment w:val="center"/>
            </w:pPr>
            <w:r>
              <w:rPr>
                <w:rFonts w:ascii="Times New Roman" w:eastAsia="宋体" w:hAnsi="Times New Roman"/>
                <w:color w:val="000000"/>
                <w:sz w:val="16"/>
                <w:szCs w:val="16"/>
              </w:rPr>
              <w:t>5 </w:t>
            </w:r>
          </w:p>
        </w:tc>
        <w:tc>
          <w:tcPr>
            <w:tcW w:w="0" w:type="auto"/>
            <w:shd w:val="clear" w:color="auto" w:fill="FFFFFF"/>
            <w:tcMar>
              <w:top w:w="40" w:type="dxa"/>
              <w:left w:w="0" w:type="dxa"/>
              <w:bottom w:w="40" w:type="dxa"/>
              <w:right w:w="20" w:type="dxa"/>
            </w:tcMar>
            <w:vAlign w:val="center"/>
          </w:tcPr>
          <w:p w14:paraId="098A8FB7"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FB8"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FB9"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8FBA"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FBB"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FBC" w14:textId="77777777" w:rsidR="00141CDF" w:rsidRDefault="00DF45E0">
            <w:pPr>
              <w:jc w:val="right"/>
              <w:textAlignment w:val="center"/>
            </w:pPr>
            <w:r>
              <w:rPr>
                <w:rFonts w:ascii="Times New Roman" w:eastAsia="宋体" w:hAnsi="Times New Roman"/>
                <w:color w:val="000000"/>
                <w:sz w:val="16"/>
                <w:szCs w:val="16"/>
              </w:rPr>
              <w:t>(128)</w:t>
            </w:r>
          </w:p>
        </w:tc>
        <w:tc>
          <w:tcPr>
            <w:tcW w:w="0" w:type="auto"/>
            <w:shd w:val="clear" w:color="auto" w:fill="FFFFFF"/>
            <w:tcMar>
              <w:top w:w="40" w:type="dxa"/>
              <w:left w:w="0" w:type="dxa"/>
              <w:bottom w:w="40" w:type="dxa"/>
              <w:right w:w="20" w:type="dxa"/>
            </w:tcMar>
            <w:vAlign w:val="center"/>
          </w:tcPr>
          <w:p w14:paraId="098A8FBD"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FBE"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FBF" w14:textId="77777777" w:rsidR="00141CDF" w:rsidRDefault="00DF45E0">
            <w:pPr>
              <w:jc w:val="right"/>
              <w:textAlignment w:val="center"/>
            </w:pPr>
            <w:r>
              <w:rPr>
                <w:rFonts w:ascii="Times New Roman" w:eastAsia="宋体" w:hAnsi="Times New Roman"/>
                <w:color w:val="000000"/>
                <w:sz w:val="16"/>
                <w:szCs w:val="16"/>
              </w:rPr>
              <w:t>2 </w:t>
            </w:r>
          </w:p>
        </w:tc>
        <w:tc>
          <w:tcPr>
            <w:tcW w:w="0" w:type="auto"/>
            <w:shd w:val="clear" w:color="auto" w:fill="FFFFFF"/>
            <w:tcMar>
              <w:top w:w="40" w:type="dxa"/>
              <w:left w:w="0" w:type="dxa"/>
              <w:bottom w:w="40" w:type="dxa"/>
              <w:right w:w="20" w:type="dxa"/>
            </w:tcMar>
            <w:vAlign w:val="center"/>
          </w:tcPr>
          <w:p w14:paraId="098A8FC0"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FC1"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FC2"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8FC3"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FC4"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FC5" w14:textId="77777777" w:rsidR="00141CDF" w:rsidRDefault="00DF45E0">
            <w:pPr>
              <w:jc w:val="right"/>
              <w:textAlignment w:val="center"/>
            </w:pPr>
            <w:r>
              <w:rPr>
                <w:rFonts w:ascii="Times New Roman" w:eastAsia="宋体" w:hAnsi="Times New Roman"/>
                <w:color w:val="000000"/>
                <w:sz w:val="16"/>
                <w:szCs w:val="16"/>
              </w:rPr>
              <w:t>(126)</w:t>
            </w:r>
          </w:p>
        </w:tc>
        <w:tc>
          <w:tcPr>
            <w:tcW w:w="0" w:type="auto"/>
            <w:shd w:val="clear" w:color="auto" w:fill="FFFFFF"/>
            <w:tcMar>
              <w:top w:w="40" w:type="dxa"/>
              <w:left w:w="0" w:type="dxa"/>
              <w:bottom w:w="40" w:type="dxa"/>
              <w:right w:w="20" w:type="dxa"/>
            </w:tcMar>
            <w:vAlign w:val="center"/>
          </w:tcPr>
          <w:p w14:paraId="098A8FC6"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FC7"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FC8" w14:textId="77777777" w:rsidR="00141CDF" w:rsidRDefault="00DF45E0">
            <w:pPr>
              <w:jc w:val="right"/>
              <w:textAlignment w:val="center"/>
            </w:pPr>
            <w:r>
              <w:rPr>
                <w:rFonts w:ascii="Times New Roman" w:eastAsia="宋体" w:hAnsi="Times New Roman"/>
                <w:color w:val="000000"/>
                <w:sz w:val="16"/>
                <w:szCs w:val="16"/>
              </w:rPr>
              <w:t>(5)</w:t>
            </w:r>
          </w:p>
        </w:tc>
        <w:tc>
          <w:tcPr>
            <w:tcW w:w="0" w:type="auto"/>
            <w:shd w:val="clear" w:color="auto" w:fill="FFFFFF"/>
            <w:tcMar>
              <w:top w:w="40" w:type="dxa"/>
              <w:left w:w="0" w:type="dxa"/>
              <w:bottom w:w="40" w:type="dxa"/>
              <w:right w:w="20" w:type="dxa"/>
            </w:tcMar>
            <w:vAlign w:val="center"/>
          </w:tcPr>
          <w:p w14:paraId="098A8FC9"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FCA"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8FCB" w14:textId="77777777" w:rsidR="00141CDF" w:rsidRDefault="00DF45E0">
            <w:pPr>
              <w:jc w:val="right"/>
              <w:textAlignment w:val="center"/>
            </w:pPr>
            <w:r>
              <w:rPr>
                <w:rFonts w:ascii="Times New Roman" w:eastAsia="宋体" w:hAnsi="Times New Roman"/>
                <w:color w:val="000000"/>
                <w:sz w:val="16"/>
                <w:szCs w:val="16"/>
              </w:rPr>
              <w:t>(131)</w:t>
            </w:r>
          </w:p>
        </w:tc>
        <w:tc>
          <w:tcPr>
            <w:tcW w:w="0" w:type="auto"/>
            <w:shd w:val="clear" w:color="auto" w:fill="FFFFFF"/>
            <w:tcMar>
              <w:top w:w="40" w:type="dxa"/>
              <w:left w:w="0" w:type="dxa"/>
              <w:bottom w:w="40" w:type="dxa"/>
              <w:right w:w="20" w:type="dxa"/>
            </w:tcMar>
            <w:vAlign w:val="center"/>
          </w:tcPr>
          <w:p w14:paraId="098A8FCC" w14:textId="77777777" w:rsidR="00141CDF" w:rsidRDefault="00141CDF">
            <w:pPr>
              <w:jc w:val="right"/>
              <w:rPr>
                <w:rFonts w:ascii="宋体"/>
              </w:rPr>
            </w:pPr>
          </w:p>
        </w:tc>
        <w:tc>
          <w:tcPr>
            <w:tcW w:w="0" w:type="auto"/>
            <w:shd w:val="clear" w:color="auto" w:fill="auto"/>
            <w:vAlign w:val="bottom"/>
          </w:tcPr>
          <w:p w14:paraId="098A8FCD" w14:textId="77777777" w:rsidR="00141CDF" w:rsidRDefault="00141CDF">
            <w:pPr>
              <w:rPr>
                <w:rFonts w:ascii="宋体"/>
                <w:vanish/>
              </w:rPr>
            </w:pPr>
          </w:p>
        </w:tc>
        <w:tc>
          <w:tcPr>
            <w:tcW w:w="0" w:type="auto"/>
            <w:shd w:val="clear" w:color="auto" w:fill="auto"/>
            <w:vAlign w:val="bottom"/>
          </w:tcPr>
          <w:p w14:paraId="098A8FCE" w14:textId="77777777" w:rsidR="00141CDF" w:rsidRDefault="00141CDF">
            <w:pPr>
              <w:rPr>
                <w:rFonts w:ascii="宋体"/>
                <w:vanish/>
              </w:rPr>
            </w:pPr>
          </w:p>
        </w:tc>
        <w:tc>
          <w:tcPr>
            <w:tcW w:w="0" w:type="auto"/>
            <w:shd w:val="clear" w:color="auto" w:fill="auto"/>
            <w:vAlign w:val="bottom"/>
          </w:tcPr>
          <w:p w14:paraId="098A8FCF" w14:textId="77777777" w:rsidR="00141CDF" w:rsidRDefault="00141CDF">
            <w:pPr>
              <w:rPr>
                <w:rFonts w:ascii="宋体"/>
                <w:vanish/>
              </w:rPr>
            </w:pPr>
          </w:p>
        </w:tc>
      </w:tr>
      <w:tr w:rsidR="00141CDF" w14:paraId="098A8FF3" w14:textId="77777777">
        <w:trPr>
          <w:jc w:val="center"/>
        </w:trPr>
        <w:tc>
          <w:tcPr>
            <w:tcW w:w="0" w:type="auto"/>
            <w:gridSpan w:val="3"/>
            <w:shd w:val="clear" w:color="auto" w:fill="CCEEFF"/>
            <w:tcMar>
              <w:top w:w="40" w:type="dxa"/>
              <w:left w:w="20" w:type="dxa"/>
              <w:bottom w:w="40" w:type="dxa"/>
              <w:right w:w="20" w:type="dxa"/>
            </w:tcMar>
            <w:vAlign w:val="center"/>
          </w:tcPr>
          <w:p w14:paraId="098A8FD1" w14:textId="77777777" w:rsidR="00141CDF" w:rsidRDefault="00DF45E0">
            <w:pPr>
              <w:textAlignment w:val="center"/>
            </w:pPr>
            <w:r>
              <w:rPr>
                <w:rFonts w:ascii="Times New Roman" w:eastAsia="宋体" w:hAnsi="Times New Roman"/>
                <w:b/>
                <w:bCs/>
                <w:color w:val="000000"/>
                <w:sz w:val="16"/>
                <w:szCs w:val="16"/>
              </w:rPr>
              <w:t>Balances as of April 30, 2021</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98A8FD2" w14:textId="77777777" w:rsidR="00141CDF" w:rsidRDefault="00DF45E0">
            <w:pPr>
              <w:jc w:val="right"/>
              <w:textAlignment w:val="center"/>
            </w:pPr>
            <w:r>
              <w:rPr>
                <w:rFonts w:ascii="Times New Roman" w:eastAsia="宋体" w:hAnsi="Times New Roman"/>
                <w:color w:val="000000"/>
                <w:sz w:val="16"/>
                <w:szCs w:val="16"/>
              </w:rPr>
              <w:t>2,805 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8FD3"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FD4"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8FD5"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8FD6" w14:textId="77777777" w:rsidR="00141CDF" w:rsidRDefault="00DF45E0">
            <w:pPr>
              <w:jc w:val="right"/>
              <w:textAlignment w:val="center"/>
            </w:pPr>
            <w:r>
              <w:rPr>
                <w:rFonts w:ascii="Times New Roman" w:eastAsia="宋体" w:hAnsi="Times New Roman"/>
                <w:color w:val="000000"/>
                <w:sz w:val="16"/>
                <w:szCs w:val="16"/>
              </w:rPr>
              <w:t>280 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8FD7"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FD8"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8FD9"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8FDA" w14:textId="77777777" w:rsidR="00141CDF" w:rsidRDefault="00DF45E0">
            <w:pPr>
              <w:jc w:val="right"/>
              <w:textAlignment w:val="center"/>
            </w:pPr>
            <w:r>
              <w:rPr>
                <w:rFonts w:ascii="Times New Roman" w:eastAsia="宋体" w:hAnsi="Times New Roman"/>
                <w:color w:val="000000"/>
                <w:sz w:val="16"/>
                <w:szCs w:val="16"/>
              </w:rPr>
              <w:t>3,424 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8FDB"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FDC"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8FDD"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8FDE" w14:textId="77777777" w:rsidR="00141CDF" w:rsidRDefault="00DF45E0">
            <w:pPr>
              <w:jc w:val="right"/>
              <w:textAlignment w:val="center"/>
            </w:pPr>
            <w:r>
              <w:rPr>
                <w:rFonts w:ascii="Times New Roman" w:eastAsia="宋体" w:hAnsi="Times New Roman"/>
                <w:color w:val="000000"/>
                <w:sz w:val="16"/>
                <w:szCs w:val="16"/>
              </w:rPr>
              <w:t>82,577 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8FDF"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FE0"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8FE1"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8FE2" w14:textId="77777777" w:rsidR="00141CDF" w:rsidRDefault="00DF45E0">
            <w:pPr>
              <w:jc w:val="right"/>
              <w:textAlignment w:val="center"/>
            </w:pPr>
            <w:r>
              <w:rPr>
                <w:rFonts w:ascii="Times New Roman" w:eastAsia="宋体" w:hAnsi="Times New Roman"/>
                <w:color w:val="000000"/>
                <w:sz w:val="16"/>
                <w:szCs w:val="16"/>
              </w:rPr>
              <w:t>(7,946)</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8FE3"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FE4"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8FE5"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8FE6" w14:textId="77777777" w:rsidR="00141CDF" w:rsidRDefault="00DF45E0">
            <w:pPr>
              <w:jc w:val="right"/>
              <w:textAlignment w:val="center"/>
            </w:pPr>
            <w:r>
              <w:rPr>
                <w:rFonts w:ascii="Times New Roman" w:eastAsia="宋体" w:hAnsi="Times New Roman"/>
                <w:color w:val="000000"/>
                <w:sz w:val="16"/>
                <w:szCs w:val="16"/>
              </w:rPr>
              <w:t>78,335 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8FE7"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FE8"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8FE9"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8FEA" w14:textId="77777777" w:rsidR="00141CDF" w:rsidRDefault="00DF45E0">
            <w:pPr>
              <w:jc w:val="right"/>
              <w:textAlignment w:val="center"/>
            </w:pPr>
            <w:r>
              <w:rPr>
                <w:rFonts w:ascii="Times New Roman" w:eastAsia="宋体" w:hAnsi="Times New Roman"/>
                <w:color w:val="000000"/>
                <w:sz w:val="16"/>
                <w:szCs w:val="16"/>
              </w:rPr>
              <w:t>6,257 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8FEB"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8FEC"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8FED"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8FEE" w14:textId="77777777" w:rsidR="00141CDF" w:rsidRDefault="00DF45E0">
            <w:pPr>
              <w:jc w:val="right"/>
              <w:textAlignment w:val="center"/>
            </w:pPr>
            <w:r>
              <w:rPr>
                <w:rFonts w:ascii="Times New Roman" w:eastAsia="宋体" w:hAnsi="Times New Roman"/>
                <w:color w:val="000000"/>
                <w:sz w:val="16"/>
                <w:szCs w:val="16"/>
              </w:rPr>
              <w:t>84,592 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8FEF" w14:textId="77777777" w:rsidR="00141CDF" w:rsidRDefault="00141CDF">
            <w:pPr>
              <w:jc w:val="right"/>
              <w:rPr>
                <w:rFonts w:ascii="宋体"/>
              </w:rPr>
            </w:pPr>
          </w:p>
        </w:tc>
        <w:tc>
          <w:tcPr>
            <w:tcW w:w="0" w:type="auto"/>
            <w:shd w:val="clear" w:color="auto" w:fill="auto"/>
            <w:vAlign w:val="bottom"/>
          </w:tcPr>
          <w:p w14:paraId="098A8FF0" w14:textId="77777777" w:rsidR="00141CDF" w:rsidRDefault="00141CDF">
            <w:pPr>
              <w:rPr>
                <w:rFonts w:ascii="宋体"/>
                <w:vanish/>
              </w:rPr>
            </w:pPr>
          </w:p>
        </w:tc>
        <w:tc>
          <w:tcPr>
            <w:tcW w:w="0" w:type="auto"/>
            <w:shd w:val="clear" w:color="auto" w:fill="auto"/>
            <w:vAlign w:val="bottom"/>
          </w:tcPr>
          <w:p w14:paraId="098A8FF1" w14:textId="77777777" w:rsidR="00141CDF" w:rsidRDefault="00141CDF">
            <w:pPr>
              <w:rPr>
                <w:rFonts w:ascii="宋体"/>
                <w:vanish/>
              </w:rPr>
            </w:pPr>
          </w:p>
        </w:tc>
        <w:tc>
          <w:tcPr>
            <w:tcW w:w="0" w:type="auto"/>
            <w:shd w:val="clear" w:color="auto" w:fill="auto"/>
            <w:vAlign w:val="bottom"/>
          </w:tcPr>
          <w:p w14:paraId="098A8FF2" w14:textId="77777777" w:rsidR="00141CDF" w:rsidRDefault="00141CDF">
            <w:pPr>
              <w:rPr>
                <w:rFonts w:ascii="宋体"/>
                <w:vanish/>
              </w:rPr>
            </w:pPr>
          </w:p>
        </w:tc>
      </w:tr>
      <w:tr w:rsidR="00141CDF" w14:paraId="098A900F" w14:textId="77777777">
        <w:trPr>
          <w:jc w:val="center"/>
        </w:trPr>
        <w:tc>
          <w:tcPr>
            <w:tcW w:w="0" w:type="auto"/>
            <w:gridSpan w:val="3"/>
            <w:shd w:val="clear" w:color="auto" w:fill="FFFFFF"/>
            <w:tcMar>
              <w:top w:w="40" w:type="dxa"/>
              <w:left w:w="20" w:type="dxa"/>
              <w:bottom w:w="40" w:type="dxa"/>
              <w:right w:w="20" w:type="dxa"/>
            </w:tcMar>
            <w:vAlign w:val="center"/>
          </w:tcPr>
          <w:p w14:paraId="098A8FF4" w14:textId="77777777" w:rsidR="00141CDF" w:rsidRDefault="00DF45E0">
            <w:pPr>
              <w:textAlignment w:val="center"/>
            </w:pPr>
            <w:r>
              <w:rPr>
                <w:rFonts w:ascii="Times New Roman" w:eastAsia="宋体" w:hAnsi="Times New Roman"/>
                <w:color w:val="000000"/>
                <w:sz w:val="16"/>
                <w:szCs w:val="16"/>
              </w:rPr>
              <w:t>Consolidated</w:t>
            </w:r>
            <w:r>
              <w:rPr>
                <w:rFonts w:ascii="Times New Roman" w:eastAsia="宋体" w:hAnsi="Times New Roman"/>
                <w:color w:val="000000"/>
                <w:sz w:val="16"/>
                <w:szCs w:val="16"/>
              </w:rPr>
              <w:t xml:space="preserve"> net income</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98A8FF5" w14:textId="77777777" w:rsidR="00141CDF" w:rsidRDefault="00DF45E0">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8FF6"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FF7" w14:textId="77777777" w:rsidR="00141CDF" w:rsidRDefault="00141C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98A8FF8" w14:textId="77777777" w:rsidR="00141CDF" w:rsidRDefault="00DF45E0">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8FF9"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FFA" w14:textId="77777777" w:rsidR="00141CDF" w:rsidRDefault="00141C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98A8FFB" w14:textId="77777777" w:rsidR="00141CDF" w:rsidRDefault="00DF45E0">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8FFC"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8FFD" w14:textId="77777777" w:rsidR="00141CDF" w:rsidRDefault="00141C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98A8FFE" w14:textId="77777777" w:rsidR="00141CDF" w:rsidRDefault="00DF45E0">
            <w:pPr>
              <w:jc w:val="right"/>
              <w:textAlignment w:val="center"/>
            </w:pPr>
            <w:r>
              <w:rPr>
                <w:rFonts w:ascii="Times New Roman" w:eastAsia="宋体" w:hAnsi="Times New Roman"/>
                <w:color w:val="000000"/>
                <w:sz w:val="16"/>
                <w:szCs w:val="16"/>
              </w:rPr>
              <w:t>4,276 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8FFF"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000" w14:textId="77777777" w:rsidR="00141CDF" w:rsidRDefault="00141C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98A9001" w14:textId="77777777" w:rsidR="00141CDF" w:rsidRDefault="00DF45E0">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9002"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003" w14:textId="77777777" w:rsidR="00141CDF" w:rsidRDefault="00141C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98A9004" w14:textId="77777777" w:rsidR="00141CDF" w:rsidRDefault="00DF45E0">
            <w:pPr>
              <w:jc w:val="right"/>
              <w:textAlignment w:val="center"/>
            </w:pPr>
            <w:r>
              <w:rPr>
                <w:rFonts w:ascii="Times New Roman" w:eastAsia="宋体" w:hAnsi="Times New Roman"/>
                <w:color w:val="000000"/>
                <w:sz w:val="16"/>
                <w:szCs w:val="16"/>
              </w:rPr>
              <w:t>4,276 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9005"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006" w14:textId="77777777" w:rsidR="00141CDF" w:rsidRDefault="00141C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98A9007" w14:textId="77777777" w:rsidR="00141CDF" w:rsidRDefault="00DF45E0">
            <w:pPr>
              <w:jc w:val="right"/>
              <w:textAlignment w:val="center"/>
            </w:pPr>
            <w:r>
              <w:rPr>
                <w:rFonts w:ascii="Times New Roman" w:eastAsia="宋体" w:hAnsi="Times New Roman"/>
                <w:color w:val="000000"/>
                <w:sz w:val="16"/>
                <w:szCs w:val="16"/>
              </w:rPr>
              <w:t>88 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9008"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009" w14:textId="77777777" w:rsidR="00141CDF" w:rsidRDefault="00141C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98A900A" w14:textId="77777777" w:rsidR="00141CDF" w:rsidRDefault="00DF45E0">
            <w:pPr>
              <w:jc w:val="right"/>
              <w:textAlignment w:val="center"/>
            </w:pPr>
            <w:r>
              <w:rPr>
                <w:rFonts w:ascii="Times New Roman" w:eastAsia="宋体" w:hAnsi="Times New Roman"/>
                <w:color w:val="000000"/>
                <w:sz w:val="16"/>
                <w:szCs w:val="16"/>
              </w:rPr>
              <w:t>4,364 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900B" w14:textId="77777777" w:rsidR="00141CDF" w:rsidRDefault="00141CDF">
            <w:pPr>
              <w:jc w:val="right"/>
              <w:rPr>
                <w:rFonts w:ascii="宋体"/>
              </w:rPr>
            </w:pPr>
          </w:p>
        </w:tc>
        <w:tc>
          <w:tcPr>
            <w:tcW w:w="0" w:type="auto"/>
            <w:shd w:val="clear" w:color="auto" w:fill="auto"/>
            <w:vAlign w:val="bottom"/>
          </w:tcPr>
          <w:p w14:paraId="098A900C" w14:textId="77777777" w:rsidR="00141CDF" w:rsidRDefault="00141CDF">
            <w:pPr>
              <w:rPr>
                <w:rFonts w:ascii="宋体"/>
                <w:vanish/>
              </w:rPr>
            </w:pPr>
          </w:p>
        </w:tc>
        <w:tc>
          <w:tcPr>
            <w:tcW w:w="0" w:type="auto"/>
            <w:shd w:val="clear" w:color="auto" w:fill="auto"/>
            <w:vAlign w:val="bottom"/>
          </w:tcPr>
          <w:p w14:paraId="098A900D" w14:textId="77777777" w:rsidR="00141CDF" w:rsidRDefault="00141CDF">
            <w:pPr>
              <w:rPr>
                <w:rFonts w:ascii="宋体"/>
                <w:vanish/>
              </w:rPr>
            </w:pPr>
          </w:p>
        </w:tc>
        <w:tc>
          <w:tcPr>
            <w:tcW w:w="0" w:type="auto"/>
            <w:shd w:val="clear" w:color="auto" w:fill="auto"/>
            <w:vAlign w:val="bottom"/>
          </w:tcPr>
          <w:p w14:paraId="098A900E" w14:textId="77777777" w:rsidR="00141CDF" w:rsidRDefault="00141CDF">
            <w:pPr>
              <w:rPr>
                <w:rFonts w:ascii="宋体"/>
                <w:vanish/>
              </w:rPr>
            </w:pPr>
          </w:p>
        </w:tc>
      </w:tr>
      <w:tr w:rsidR="00141CDF" w14:paraId="098A902B" w14:textId="77777777">
        <w:trPr>
          <w:jc w:val="center"/>
        </w:trPr>
        <w:tc>
          <w:tcPr>
            <w:tcW w:w="0" w:type="auto"/>
            <w:gridSpan w:val="3"/>
            <w:shd w:val="clear" w:color="auto" w:fill="CCEEFF"/>
            <w:tcMar>
              <w:top w:w="40" w:type="dxa"/>
              <w:left w:w="20" w:type="dxa"/>
              <w:bottom w:w="40" w:type="dxa"/>
              <w:right w:w="20" w:type="dxa"/>
            </w:tcMar>
            <w:vAlign w:val="center"/>
          </w:tcPr>
          <w:p w14:paraId="098A9010" w14:textId="77777777" w:rsidR="00141CDF" w:rsidRDefault="00DF45E0">
            <w:pPr>
              <w:textAlignment w:val="center"/>
            </w:pPr>
            <w:r>
              <w:rPr>
                <w:rFonts w:ascii="Times New Roman" w:eastAsia="宋体" w:hAnsi="Times New Roman"/>
                <w:color w:val="000000"/>
                <w:sz w:val="16"/>
                <w:szCs w:val="16"/>
              </w:rPr>
              <w:t>Other comprehensive (loss) income, net of income taxes</w:t>
            </w:r>
          </w:p>
        </w:tc>
        <w:tc>
          <w:tcPr>
            <w:tcW w:w="0" w:type="auto"/>
            <w:gridSpan w:val="2"/>
            <w:shd w:val="clear" w:color="auto" w:fill="CCEEFF"/>
            <w:tcMar>
              <w:top w:w="40" w:type="dxa"/>
              <w:left w:w="20" w:type="dxa"/>
              <w:bottom w:w="40" w:type="dxa"/>
              <w:right w:w="0" w:type="dxa"/>
            </w:tcMar>
            <w:vAlign w:val="center"/>
          </w:tcPr>
          <w:p w14:paraId="098A9011"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098A9012"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013"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014"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098A9015"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016"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017"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098A9018"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019"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01A"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098A901B"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01C"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01D" w14:textId="77777777" w:rsidR="00141CDF" w:rsidRDefault="00DF45E0">
            <w:pPr>
              <w:jc w:val="right"/>
              <w:textAlignment w:val="center"/>
            </w:pPr>
            <w:r>
              <w:rPr>
                <w:rFonts w:ascii="Times New Roman" w:eastAsia="宋体" w:hAnsi="Times New Roman"/>
                <w:color w:val="000000"/>
                <w:sz w:val="16"/>
                <w:szCs w:val="16"/>
              </w:rPr>
              <w:t>(30)</w:t>
            </w:r>
          </w:p>
        </w:tc>
        <w:tc>
          <w:tcPr>
            <w:tcW w:w="0" w:type="auto"/>
            <w:shd w:val="clear" w:color="auto" w:fill="CCEEFF"/>
            <w:tcMar>
              <w:top w:w="40" w:type="dxa"/>
              <w:left w:w="0" w:type="dxa"/>
              <w:bottom w:w="40" w:type="dxa"/>
              <w:right w:w="20" w:type="dxa"/>
            </w:tcMar>
            <w:vAlign w:val="center"/>
          </w:tcPr>
          <w:p w14:paraId="098A901E"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01F"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020" w14:textId="77777777" w:rsidR="00141CDF" w:rsidRDefault="00DF45E0">
            <w:pPr>
              <w:jc w:val="right"/>
              <w:textAlignment w:val="center"/>
            </w:pPr>
            <w:r>
              <w:rPr>
                <w:rFonts w:ascii="Times New Roman" w:eastAsia="宋体" w:hAnsi="Times New Roman"/>
                <w:color w:val="000000"/>
                <w:sz w:val="16"/>
                <w:szCs w:val="16"/>
              </w:rPr>
              <w:t>(30)</w:t>
            </w:r>
          </w:p>
        </w:tc>
        <w:tc>
          <w:tcPr>
            <w:tcW w:w="0" w:type="auto"/>
            <w:shd w:val="clear" w:color="auto" w:fill="CCEEFF"/>
            <w:tcMar>
              <w:top w:w="40" w:type="dxa"/>
              <w:left w:w="0" w:type="dxa"/>
              <w:bottom w:w="40" w:type="dxa"/>
              <w:right w:w="20" w:type="dxa"/>
            </w:tcMar>
            <w:vAlign w:val="center"/>
          </w:tcPr>
          <w:p w14:paraId="098A9021"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022"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023" w14:textId="77777777" w:rsidR="00141CDF" w:rsidRDefault="00DF45E0">
            <w:pPr>
              <w:jc w:val="right"/>
              <w:textAlignment w:val="center"/>
            </w:pPr>
            <w:r>
              <w:rPr>
                <w:rFonts w:ascii="Times New Roman" w:eastAsia="宋体" w:hAnsi="Times New Roman"/>
                <w:color w:val="000000"/>
                <w:sz w:val="16"/>
                <w:szCs w:val="16"/>
              </w:rPr>
              <w:t>78 </w:t>
            </w:r>
          </w:p>
        </w:tc>
        <w:tc>
          <w:tcPr>
            <w:tcW w:w="0" w:type="auto"/>
            <w:shd w:val="clear" w:color="auto" w:fill="CCEEFF"/>
            <w:tcMar>
              <w:top w:w="40" w:type="dxa"/>
              <w:left w:w="0" w:type="dxa"/>
              <w:bottom w:w="40" w:type="dxa"/>
              <w:right w:w="20" w:type="dxa"/>
            </w:tcMar>
            <w:vAlign w:val="center"/>
          </w:tcPr>
          <w:p w14:paraId="098A9024"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025"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026" w14:textId="77777777" w:rsidR="00141CDF" w:rsidRDefault="00DF45E0">
            <w:pPr>
              <w:jc w:val="right"/>
              <w:textAlignment w:val="center"/>
            </w:pPr>
            <w:r>
              <w:rPr>
                <w:rFonts w:ascii="Times New Roman" w:eastAsia="宋体" w:hAnsi="Times New Roman"/>
                <w:color w:val="000000"/>
                <w:sz w:val="16"/>
                <w:szCs w:val="16"/>
              </w:rPr>
              <w:t>48 </w:t>
            </w:r>
          </w:p>
        </w:tc>
        <w:tc>
          <w:tcPr>
            <w:tcW w:w="0" w:type="auto"/>
            <w:shd w:val="clear" w:color="auto" w:fill="CCEEFF"/>
            <w:tcMar>
              <w:top w:w="40" w:type="dxa"/>
              <w:left w:w="0" w:type="dxa"/>
              <w:bottom w:w="40" w:type="dxa"/>
              <w:right w:w="20" w:type="dxa"/>
            </w:tcMar>
            <w:vAlign w:val="center"/>
          </w:tcPr>
          <w:p w14:paraId="098A9027" w14:textId="77777777" w:rsidR="00141CDF" w:rsidRDefault="00141CDF">
            <w:pPr>
              <w:jc w:val="right"/>
              <w:rPr>
                <w:rFonts w:ascii="宋体"/>
              </w:rPr>
            </w:pPr>
          </w:p>
        </w:tc>
        <w:tc>
          <w:tcPr>
            <w:tcW w:w="0" w:type="auto"/>
            <w:shd w:val="clear" w:color="auto" w:fill="auto"/>
            <w:vAlign w:val="bottom"/>
          </w:tcPr>
          <w:p w14:paraId="098A9028" w14:textId="77777777" w:rsidR="00141CDF" w:rsidRDefault="00141CDF">
            <w:pPr>
              <w:rPr>
                <w:rFonts w:ascii="宋体"/>
                <w:vanish/>
              </w:rPr>
            </w:pPr>
          </w:p>
        </w:tc>
        <w:tc>
          <w:tcPr>
            <w:tcW w:w="0" w:type="auto"/>
            <w:shd w:val="clear" w:color="auto" w:fill="auto"/>
            <w:vAlign w:val="bottom"/>
          </w:tcPr>
          <w:p w14:paraId="098A9029" w14:textId="77777777" w:rsidR="00141CDF" w:rsidRDefault="00141CDF">
            <w:pPr>
              <w:rPr>
                <w:rFonts w:ascii="宋体"/>
                <w:vanish/>
              </w:rPr>
            </w:pPr>
          </w:p>
        </w:tc>
        <w:tc>
          <w:tcPr>
            <w:tcW w:w="0" w:type="auto"/>
            <w:shd w:val="clear" w:color="auto" w:fill="auto"/>
            <w:vAlign w:val="bottom"/>
          </w:tcPr>
          <w:p w14:paraId="098A902A" w14:textId="77777777" w:rsidR="00141CDF" w:rsidRDefault="00141CDF">
            <w:pPr>
              <w:rPr>
                <w:rFonts w:ascii="宋体"/>
                <w:vanish/>
              </w:rPr>
            </w:pPr>
          </w:p>
        </w:tc>
      </w:tr>
      <w:tr w:rsidR="00141CDF" w14:paraId="098A903F" w14:textId="77777777">
        <w:trPr>
          <w:jc w:val="center"/>
          <w:hidden/>
        </w:trPr>
        <w:tc>
          <w:tcPr>
            <w:tcW w:w="0" w:type="auto"/>
            <w:gridSpan w:val="3"/>
            <w:shd w:val="clear" w:color="auto" w:fill="auto"/>
            <w:vAlign w:val="bottom"/>
          </w:tcPr>
          <w:p w14:paraId="098A902C" w14:textId="77777777" w:rsidR="00141CDF" w:rsidRDefault="00141CDF">
            <w:pPr>
              <w:rPr>
                <w:rFonts w:ascii="宋体"/>
                <w:vanish/>
              </w:rPr>
            </w:pPr>
          </w:p>
        </w:tc>
        <w:tc>
          <w:tcPr>
            <w:tcW w:w="0" w:type="auto"/>
            <w:gridSpan w:val="3"/>
            <w:shd w:val="clear" w:color="auto" w:fill="auto"/>
            <w:vAlign w:val="bottom"/>
          </w:tcPr>
          <w:p w14:paraId="098A902D" w14:textId="77777777" w:rsidR="00141CDF" w:rsidRDefault="00141CDF">
            <w:pPr>
              <w:rPr>
                <w:rFonts w:ascii="宋体"/>
                <w:vanish/>
              </w:rPr>
            </w:pPr>
          </w:p>
        </w:tc>
        <w:tc>
          <w:tcPr>
            <w:tcW w:w="0" w:type="auto"/>
            <w:gridSpan w:val="3"/>
            <w:shd w:val="clear" w:color="auto" w:fill="auto"/>
            <w:vAlign w:val="bottom"/>
          </w:tcPr>
          <w:p w14:paraId="098A902E" w14:textId="77777777" w:rsidR="00141CDF" w:rsidRDefault="00141CDF">
            <w:pPr>
              <w:rPr>
                <w:rFonts w:ascii="宋体"/>
                <w:vanish/>
              </w:rPr>
            </w:pPr>
          </w:p>
        </w:tc>
        <w:tc>
          <w:tcPr>
            <w:tcW w:w="0" w:type="auto"/>
            <w:gridSpan w:val="3"/>
            <w:shd w:val="clear" w:color="auto" w:fill="auto"/>
            <w:vAlign w:val="bottom"/>
          </w:tcPr>
          <w:p w14:paraId="098A902F" w14:textId="77777777" w:rsidR="00141CDF" w:rsidRDefault="00141CDF">
            <w:pPr>
              <w:rPr>
                <w:rFonts w:ascii="宋体"/>
                <w:vanish/>
              </w:rPr>
            </w:pPr>
          </w:p>
        </w:tc>
        <w:tc>
          <w:tcPr>
            <w:tcW w:w="0" w:type="auto"/>
            <w:gridSpan w:val="3"/>
            <w:shd w:val="clear" w:color="auto" w:fill="auto"/>
            <w:vAlign w:val="bottom"/>
          </w:tcPr>
          <w:p w14:paraId="098A9030" w14:textId="77777777" w:rsidR="00141CDF" w:rsidRDefault="00141CDF">
            <w:pPr>
              <w:rPr>
                <w:rFonts w:ascii="宋体"/>
                <w:vanish/>
              </w:rPr>
            </w:pPr>
          </w:p>
        </w:tc>
        <w:tc>
          <w:tcPr>
            <w:tcW w:w="0" w:type="auto"/>
            <w:gridSpan w:val="3"/>
            <w:shd w:val="clear" w:color="auto" w:fill="auto"/>
            <w:vAlign w:val="bottom"/>
          </w:tcPr>
          <w:p w14:paraId="098A9031" w14:textId="77777777" w:rsidR="00141CDF" w:rsidRDefault="00141CDF">
            <w:pPr>
              <w:rPr>
                <w:rFonts w:ascii="宋体"/>
                <w:vanish/>
              </w:rPr>
            </w:pPr>
          </w:p>
        </w:tc>
        <w:tc>
          <w:tcPr>
            <w:tcW w:w="0" w:type="auto"/>
            <w:gridSpan w:val="3"/>
            <w:shd w:val="clear" w:color="auto" w:fill="auto"/>
            <w:vAlign w:val="bottom"/>
          </w:tcPr>
          <w:p w14:paraId="098A9032" w14:textId="77777777" w:rsidR="00141CDF" w:rsidRDefault="00141CDF">
            <w:pPr>
              <w:rPr>
                <w:rFonts w:ascii="宋体"/>
                <w:vanish/>
              </w:rPr>
            </w:pPr>
          </w:p>
        </w:tc>
        <w:tc>
          <w:tcPr>
            <w:tcW w:w="0" w:type="auto"/>
            <w:gridSpan w:val="3"/>
            <w:shd w:val="clear" w:color="auto" w:fill="auto"/>
            <w:vAlign w:val="bottom"/>
          </w:tcPr>
          <w:p w14:paraId="098A9033" w14:textId="77777777" w:rsidR="00141CDF" w:rsidRDefault="00141CDF">
            <w:pPr>
              <w:rPr>
                <w:rFonts w:ascii="宋体"/>
                <w:vanish/>
              </w:rPr>
            </w:pPr>
          </w:p>
        </w:tc>
        <w:tc>
          <w:tcPr>
            <w:tcW w:w="0" w:type="auto"/>
            <w:gridSpan w:val="3"/>
            <w:shd w:val="clear" w:color="auto" w:fill="auto"/>
            <w:vAlign w:val="bottom"/>
          </w:tcPr>
          <w:p w14:paraId="098A9034" w14:textId="77777777" w:rsidR="00141CDF" w:rsidRDefault="00141CDF">
            <w:pPr>
              <w:rPr>
                <w:rFonts w:ascii="宋体"/>
                <w:vanish/>
              </w:rPr>
            </w:pPr>
          </w:p>
        </w:tc>
        <w:tc>
          <w:tcPr>
            <w:tcW w:w="0" w:type="auto"/>
            <w:gridSpan w:val="3"/>
            <w:shd w:val="clear" w:color="auto" w:fill="auto"/>
            <w:vAlign w:val="bottom"/>
          </w:tcPr>
          <w:p w14:paraId="098A9035" w14:textId="77777777" w:rsidR="00141CDF" w:rsidRDefault="00141CDF">
            <w:pPr>
              <w:rPr>
                <w:rFonts w:ascii="宋体"/>
                <w:vanish/>
              </w:rPr>
            </w:pPr>
          </w:p>
        </w:tc>
        <w:tc>
          <w:tcPr>
            <w:tcW w:w="0" w:type="auto"/>
            <w:gridSpan w:val="3"/>
            <w:shd w:val="clear" w:color="auto" w:fill="auto"/>
            <w:vAlign w:val="bottom"/>
          </w:tcPr>
          <w:p w14:paraId="098A9036" w14:textId="77777777" w:rsidR="00141CDF" w:rsidRDefault="00141CDF">
            <w:pPr>
              <w:rPr>
                <w:rFonts w:ascii="宋体"/>
                <w:vanish/>
              </w:rPr>
            </w:pPr>
          </w:p>
        </w:tc>
        <w:tc>
          <w:tcPr>
            <w:tcW w:w="0" w:type="auto"/>
            <w:gridSpan w:val="3"/>
            <w:shd w:val="clear" w:color="auto" w:fill="auto"/>
            <w:vAlign w:val="bottom"/>
          </w:tcPr>
          <w:p w14:paraId="098A9037" w14:textId="77777777" w:rsidR="00141CDF" w:rsidRDefault="00141CDF">
            <w:pPr>
              <w:rPr>
                <w:rFonts w:ascii="宋体"/>
                <w:vanish/>
              </w:rPr>
            </w:pPr>
          </w:p>
        </w:tc>
        <w:tc>
          <w:tcPr>
            <w:tcW w:w="0" w:type="auto"/>
            <w:gridSpan w:val="3"/>
            <w:shd w:val="clear" w:color="auto" w:fill="auto"/>
            <w:vAlign w:val="bottom"/>
          </w:tcPr>
          <w:p w14:paraId="098A9038" w14:textId="77777777" w:rsidR="00141CDF" w:rsidRDefault="00141CDF">
            <w:pPr>
              <w:rPr>
                <w:rFonts w:ascii="宋体"/>
                <w:vanish/>
              </w:rPr>
            </w:pPr>
          </w:p>
        </w:tc>
        <w:tc>
          <w:tcPr>
            <w:tcW w:w="0" w:type="auto"/>
            <w:gridSpan w:val="3"/>
            <w:shd w:val="clear" w:color="auto" w:fill="auto"/>
            <w:vAlign w:val="bottom"/>
          </w:tcPr>
          <w:p w14:paraId="098A9039" w14:textId="77777777" w:rsidR="00141CDF" w:rsidRDefault="00141CDF">
            <w:pPr>
              <w:rPr>
                <w:rFonts w:ascii="宋体"/>
                <w:vanish/>
              </w:rPr>
            </w:pPr>
          </w:p>
        </w:tc>
        <w:tc>
          <w:tcPr>
            <w:tcW w:w="0" w:type="auto"/>
            <w:gridSpan w:val="3"/>
            <w:shd w:val="clear" w:color="auto" w:fill="auto"/>
            <w:vAlign w:val="bottom"/>
          </w:tcPr>
          <w:p w14:paraId="098A903A" w14:textId="77777777" w:rsidR="00141CDF" w:rsidRDefault="00141CDF">
            <w:pPr>
              <w:rPr>
                <w:rFonts w:ascii="宋体"/>
                <w:vanish/>
              </w:rPr>
            </w:pPr>
          </w:p>
        </w:tc>
        <w:tc>
          <w:tcPr>
            <w:tcW w:w="0" w:type="auto"/>
            <w:gridSpan w:val="3"/>
            <w:shd w:val="clear" w:color="auto" w:fill="auto"/>
            <w:vAlign w:val="bottom"/>
          </w:tcPr>
          <w:p w14:paraId="098A903B" w14:textId="77777777" w:rsidR="00141CDF" w:rsidRDefault="00141CDF">
            <w:pPr>
              <w:rPr>
                <w:rFonts w:ascii="宋体"/>
                <w:vanish/>
              </w:rPr>
            </w:pPr>
          </w:p>
        </w:tc>
        <w:tc>
          <w:tcPr>
            <w:tcW w:w="0" w:type="auto"/>
            <w:shd w:val="clear" w:color="auto" w:fill="auto"/>
            <w:vAlign w:val="bottom"/>
          </w:tcPr>
          <w:p w14:paraId="098A903C" w14:textId="77777777" w:rsidR="00141CDF" w:rsidRDefault="00141CDF">
            <w:pPr>
              <w:rPr>
                <w:rFonts w:ascii="宋体"/>
                <w:vanish/>
              </w:rPr>
            </w:pPr>
          </w:p>
        </w:tc>
        <w:tc>
          <w:tcPr>
            <w:tcW w:w="0" w:type="auto"/>
            <w:shd w:val="clear" w:color="auto" w:fill="auto"/>
            <w:vAlign w:val="bottom"/>
          </w:tcPr>
          <w:p w14:paraId="098A903D" w14:textId="77777777" w:rsidR="00141CDF" w:rsidRDefault="00141CDF">
            <w:pPr>
              <w:rPr>
                <w:rFonts w:ascii="宋体"/>
                <w:vanish/>
              </w:rPr>
            </w:pPr>
          </w:p>
        </w:tc>
        <w:tc>
          <w:tcPr>
            <w:tcW w:w="0" w:type="auto"/>
            <w:shd w:val="clear" w:color="auto" w:fill="auto"/>
            <w:vAlign w:val="bottom"/>
          </w:tcPr>
          <w:p w14:paraId="098A903E" w14:textId="77777777" w:rsidR="00141CDF" w:rsidRDefault="00141CDF">
            <w:pPr>
              <w:rPr>
                <w:rFonts w:ascii="宋体"/>
                <w:vanish/>
              </w:rPr>
            </w:pPr>
          </w:p>
        </w:tc>
      </w:tr>
      <w:tr w:rsidR="00141CDF" w14:paraId="098A905B" w14:textId="77777777">
        <w:trPr>
          <w:jc w:val="center"/>
        </w:trPr>
        <w:tc>
          <w:tcPr>
            <w:tcW w:w="0" w:type="auto"/>
            <w:gridSpan w:val="3"/>
            <w:shd w:val="clear" w:color="auto" w:fill="FFFFFF"/>
            <w:tcMar>
              <w:top w:w="40" w:type="dxa"/>
              <w:left w:w="20" w:type="dxa"/>
              <w:bottom w:w="40" w:type="dxa"/>
              <w:right w:w="20" w:type="dxa"/>
            </w:tcMar>
            <w:vAlign w:val="center"/>
          </w:tcPr>
          <w:p w14:paraId="098A9040" w14:textId="77777777" w:rsidR="00141CDF" w:rsidRDefault="00DF45E0">
            <w:pPr>
              <w:textAlignment w:val="center"/>
            </w:pPr>
            <w:r>
              <w:rPr>
                <w:rFonts w:ascii="Times New Roman" w:eastAsia="宋体" w:hAnsi="Times New Roman"/>
                <w:color w:val="000000"/>
                <w:sz w:val="16"/>
                <w:szCs w:val="16"/>
              </w:rPr>
              <w:t>Purchase of Company stock</w:t>
            </w:r>
          </w:p>
        </w:tc>
        <w:tc>
          <w:tcPr>
            <w:tcW w:w="0" w:type="auto"/>
            <w:gridSpan w:val="2"/>
            <w:shd w:val="clear" w:color="auto" w:fill="FFFFFF"/>
            <w:tcMar>
              <w:top w:w="40" w:type="dxa"/>
              <w:left w:w="20" w:type="dxa"/>
              <w:bottom w:w="40" w:type="dxa"/>
              <w:right w:w="0" w:type="dxa"/>
            </w:tcMar>
            <w:vAlign w:val="center"/>
          </w:tcPr>
          <w:p w14:paraId="098A9041" w14:textId="77777777" w:rsidR="00141CDF" w:rsidRDefault="00DF45E0">
            <w:pPr>
              <w:jc w:val="right"/>
              <w:textAlignment w:val="center"/>
            </w:pPr>
            <w:r>
              <w:rPr>
                <w:rFonts w:ascii="Times New Roman" w:eastAsia="宋体" w:hAnsi="Times New Roman"/>
                <w:color w:val="000000"/>
                <w:sz w:val="16"/>
                <w:szCs w:val="16"/>
              </w:rPr>
              <w:t>(17)</w:t>
            </w:r>
          </w:p>
        </w:tc>
        <w:tc>
          <w:tcPr>
            <w:tcW w:w="0" w:type="auto"/>
            <w:shd w:val="clear" w:color="auto" w:fill="FFFFFF"/>
            <w:tcMar>
              <w:top w:w="40" w:type="dxa"/>
              <w:left w:w="0" w:type="dxa"/>
              <w:bottom w:w="40" w:type="dxa"/>
              <w:right w:w="20" w:type="dxa"/>
            </w:tcMar>
            <w:vAlign w:val="center"/>
          </w:tcPr>
          <w:p w14:paraId="098A9042"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043"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044" w14:textId="77777777" w:rsidR="00141CDF" w:rsidRDefault="00DF45E0">
            <w:pPr>
              <w:jc w:val="right"/>
              <w:textAlignment w:val="center"/>
            </w:pPr>
            <w:r>
              <w:rPr>
                <w:rFonts w:ascii="Times New Roman" w:eastAsia="宋体" w:hAnsi="Times New Roman"/>
                <w:color w:val="000000"/>
                <w:sz w:val="16"/>
                <w:szCs w:val="16"/>
              </w:rPr>
              <w:t>(2)</w:t>
            </w:r>
          </w:p>
        </w:tc>
        <w:tc>
          <w:tcPr>
            <w:tcW w:w="0" w:type="auto"/>
            <w:shd w:val="clear" w:color="auto" w:fill="FFFFFF"/>
            <w:tcMar>
              <w:top w:w="40" w:type="dxa"/>
              <w:left w:w="0" w:type="dxa"/>
              <w:bottom w:w="40" w:type="dxa"/>
              <w:right w:w="20" w:type="dxa"/>
            </w:tcMar>
            <w:vAlign w:val="center"/>
          </w:tcPr>
          <w:p w14:paraId="098A9045"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046"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047" w14:textId="77777777" w:rsidR="00141CDF" w:rsidRDefault="00DF45E0">
            <w:pPr>
              <w:jc w:val="right"/>
              <w:textAlignment w:val="center"/>
            </w:pPr>
            <w:r>
              <w:rPr>
                <w:rFonts w:ascii="Times New Roman" w:eastAsia="宋体" w:hAnsi="Times New Roman"/>
                <w:color w:val="000000"/>
                <w:sz w:val="16"/>
                <w:szCs w:val="16"/>
              </w:rPr>
              <w:t>(94)</w:t>
            </w:r>
          </w:p>
        </w:tc>
        <w:tc>
          <w:tcPr>
            <w:tcW w:w="0" w:type="auto"/>
            <w:shd w:val="clear" w:color="auto" w:fill="FFFFFF"/>
            <w:tcMar>
              <w:top w:w="40" w:type="dxa"/>
              <w:left w:w="0" w:type="dxa"/>
              <w:bottom w:w="40" w:type="dxa"/>
              <w:right w:w="20" w:type="dxa"/>
            </w:tcMar>
            <w:vAlign w:val="center"/>
          </w:tcPr>
          <w:p w14:paraId="098A9048"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049"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04A" w14:textId="77777777" w:rsidR="00141CDF" w:rsidRDefault="00DF45E0">
            <w:pPr>
              <w:jc w:val="right"/>
              <w:textAlignment w:val="center"/>
            </w:pPr>
            <w:r>
              <w:rPr>
                <w:rFonts w:ascii="Times New Roman" w:eastAsia="宋体" w:hAnsi="Times New Roman"/>
                <w:color w:val="000000"/>
                <w:sz w:val="16"/>
                <w:szCs w:val="16"/>
              </w:rPr>
              <w:t>(2,273)</w:t>
            </w:r>
          </w:p>
        </w:tc>
        <w:tc>
          <w:tcPr>
            <w:tcW w:w="0" w:type="auto"/>
            <w:shd w:val="clear" w:color="auto" w:fill="FFFFFF"/>
            <w:tcMar>
              <w:top w:w="40" w:type="dxa"/>
              <w:left w:w="0" w:type="dxa"/>
              <w:bottom w:w="40" w:type="dxa"/>
              <w:right w:w="20" w:type="dxa"/>
            </w:tcMar>
            <w:vAlign w:val="center"/>
          </w:tcPr>
          <w:p w14:paraId="098A904B"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04C"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04D"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904E"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04F"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050" w14:textId="77777777" w:rsidR="00141CDF" w:rsidRDefault="00DF45E0">
            <w:pPr>
              <w:jc w:val="right"/>
              <w:textAlignment w:val="center"/>
            </w:pPr>
            <w:r>
              <w:rPr>
                <w:rFonts w:ascii="Times New Roman" w:eastAsia="宋体" w:hAnsi="Times New Roman"/>
                <w:color w:val="000000"/>
                <w:sz w:val="16"/>
                <w:szCs w:val="16"/>
              </w:rPr>
              <w:t>(2,369)</w:t>
            </w:r>
          </w:p>
        </w:tc>
        <w:tc>
          <w:tcPr>
            <w:tcW w:w="0" w:type="auto"/>
            <w:shd w:val="clear" w:color="auto" w:fill="FFFFFF"/>
            <w:tcMar>
              <w:top w:w="40" w:type="dxa"/>
              <w:left w:w="0" w:type="dxa"/>
              <w:bottom w:w="40" w:type="dxa"/>
              <w:right w:w="20" w:type="dxa"/>
            </w:tcMar>
            <w:vAlign w:val="center"/>
          </w:tcPr>
          <w:p w14:paraId="098A9051"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052"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053"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9054"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055"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056" w14:textId="77777777" w:rsidR="00141CDF" w:rsidRDefault="00DF45E0">
            <w:pPr>
              <w:jc w:val="right"/>
              <w:textAlignment w:val="center"/>
            </w:pPr>
            <w:r>
              <w:rPr>
                <w:rFonts w:ascii="Times New Roman" w:eastAsia="宋体" w:hAnsi="Times New Roman"/>
                <w:color w:val="000000"/>
                <w:sz w:val="16"/>
                <w:szCs w:val="16"/>
              </w:rPr>
              <w:t>(2,369)</w:t>
            </w:r>
          </w:p>
        </w:tc>
        <w:tc>
          <w:tcPr>
            <w:tcW w:w="0" w:type="auto"/>
            <w:shd w:val="clear" w:color="auto" w:fill="FFFFFF"/>
            <w:tcMar>
              <w:top w:w="40" w:type="dxa"/>
              <w:left w:w="0" w:type="dxa"/>
              <w:bottom w:w="40" w:type="dxa"/>
              <w:right w:w="20" w:type="dxa"/>
            </w:tcMar>
            <w:vAlign w:val="center"/>
          </w:tcPr>
          <w:p w14:paraId="098A9057" w14:textId="77777777" w:rsidR="00141CDF" w:rsidRDefault="00141CDF">
            <w:pPr>
              <w:jc w:val="right"/>
              <w:rPr>
                <w:rFonts w:ascii="宋体"/>
              </w:rPr>
            </w:pPr>
          </w:p>
        </w:tc>
        <w:tc>
          <w:tcPr>
            <w:tcW w:w="0" w:type="auto"/>
            <w:shd w:val="clear" w:color="auto" w:fill="auto"/>
            <w:vAlign w:val="bottom"/>
          </w:tcPr>
          <w:p w14:paraId="098A9058" w14:textId="77777777" w:rsidR="00141CDF" w:rsidRDefault="00141CDF">
            <w:pPr>
              <w:rPr>
                <w:rFonts w:ascii="宋体"/>
                <w:vanish/>
              </w:rPr>
            </w:pPr>
          </w:p>
        </w:tc>
        <w:tc>
          <w:tcPr>
            <w:tcW w:w="0" w:type="auto"/>
            <w:shd w:val="clear" w:color="auto" w:fill="auto"/>
            <w:vAlign w:val="bottom"/>
          </w:tcPr>
          <w:p w14:paraId="098A9059" w14:textId="77777777" w:rsidR="00141CDF" w:rsidRDefault="00141CDF">
            <w:pPr>
              <w:rPr>
                <w:rFonts w:ascii="宋体"/>
                <w:vanish/>
              </w:rPr>
            </w:pPr>
          </w:p>
        </w:tc>
        <w:tc>
          <w:tcPr>
            <w:tcW w:w="0" w:type="auto"/>
            <w:shd w:val="clear" w:color="auto" w:fill="auto"/>
            <w:vAlign w:val="bottom"/>
          </w:tcPr>
          <w:p w14:paraId="098A905A" w14:textId="77777777" w:rsidR="00141CDF" w:rsidRDefault="00141CDF">
            <w:pPr>
              <w:rPr>
                <w:rFonts w:ascii="宋体"/>
                <w:vanish/>
              </w:rPr>
            </w:pPr>
          </w:p>
        </w:tc>
      </w:tr>
      <w:tr w:rsidR="00141CDF" w14:paraId="098A9077" w14:textId="77777777">
        <w:trPr>
          <w:jc w:val="center"/>
        </w:trPr>
        <w:tc>
          <w:tcPr>
            <w:tcW w:w="0" w:type="auto"/>
            <w:gridSpan w:val="3"/>
            <w:shd w:val="clear" w:color="auto" w:fill="CCEEFF"/>
            <w:tcMar>
              <w:top w:w="40" w:type="dxa"/>
              <w:left w:w="20" w:type="dxa"/>
              <w:bottom w:w="40" w:type="dxa"/>
              <w:right w:w="20" w:type="dxa"/>
            </w:tcMar>
            <w:vAlign w:val="center"/>
          </w:tcPr>
          <w:p w14:paraId="098A905C" w14:textId="77777777" w:rsidR="00141CDF" w:rsidRDefault="00DF45E0">
            <w:pPr>
              <w:textAlignment w:val="center"/>
            </w:pPr>
            <w:r>
              <w:rPr>
                <w:rFonts w:ascii="Times New Roman" w:eastAsia="宋体" w:hAnsi="Times New Roman"/>
                <w:color w:val="000000"/>
                <w:sz w:val="16"/>
                <w:szCs w:val="16"/>
              </w:rPr>
              <w:t>Dividends to noncontrolling interest</w:t>
            </w:r>
          </w:p>
        </w:tc>
        <w:tc>
          <w:tcPr>
            <w:tcW w:w="0" w:type="auto"/>
            <w:gridSpan w:val="2"/>
            <w:shd w:val="clear" w:color="auto" w:fill="CCEEFF"/>
            <w:tcMar>
              <w:top w:w="40" w:type="dxa"/>
              <w:left w:w="20" w:type="dxa"/>
              <w:bottom w:w="40" w:type="dxa"/>
              <w:right w:w="0" w:type="dxa"/>
            </w:tcMar>
            <w:vAlign w:val="center"/>
          </w:tcPr>
          <w:p w14:paraId="098A905D"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098A905E"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05F"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060"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098A9061"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062"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063"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098A9064"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065"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066"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098A9067"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068"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069"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098A906A"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06B"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06C"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098A906D"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06E"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06F" w14:textId="77777777" w:rsidR="00141CDF" w:rsidRDefault="00DF45E0">
            <w:pPr>
              <w:jc w:val="right"/>
              <w:textAlignment w:val="center"/>
            </w:pPr>
            <w:r>
              <w:rPr>
                <w:rFonts w:ascii="Times New Roman" w:eastAsia="宋体" w:hAnsi="Times New Roman"/>
                <w:color w:val="000000"/>
                <w:sz w:val="16"/>
                <w:szCs w:val="16"/>
              </w:rPr>
              <w:t>(10)</w:t>
            </w:r>
          </w:p>
        </w:tc>
        <w:tc>
          <w:tcPr>
            <w:tcW w:w="0" w:type="auto"/>
            <w:shd w:val="clear" w:color="auto" w:fill="CCEEFF"/>
            <w:tcMar>
              <w:top w:w="40" w:type="dxa"/>
              <w:left w:w="0" w:type="dxa"/>
              <w:bottom w:w="40" w:type="dxa"/>
              <w:right w:w="20" w:type="dxa"/>
            </w:tcMar>
            <w:vAlign w:val="center"/>
          </w:tcPr>
          <w:p w14:paraId="098A9070"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071"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072" w14:textId="77777777" w:rsidR="00141CDF" w:rsidRDefault="00DF45E0">
            <w:pPr>
              <w:jc w:val="right"/>
              <w:textAlignment w:val="center"/>
            </w:pPr>
            <w:r>
              <w:rPr>
                <w:rFonts w:ascii="Times New Roman" w:eastAsia="宋体" w:hAnsi="Times New Roman"/>
                <w:color w:val="000000"/>
                <w:sz w:val="16"/>
                <w:szCs w:val="16"/>
              </w:rPr>
              <w:t>(10)</w:t>
            </w:r>
          </w:p>
        </w:tc>
        <w:tc>
          <w:tcPr>
            <w:tcW w:w="0" w:type="auto"/>
            <w:shd w:val="clear" w:color="auto" w:fill="CCEEFF"/>
            <w:tcMar>
              <w:top w:w="40" w:type="dxa"/>
              <w:left w:w="0" w:type="dxa"/>
              <w:bottom w:w="40" w:type="dxa"/>
              <w:right w:w="20" w:type="dxa"/>
            </w:tcMar>
            <w:vAlign w:val="center"/>
          </w:tcPr>
          <w:p w14:paraId="098A9073" w14:textId="77777777" w:rsidR="00141CDF" w:rsidRDefault="00141CDF">
            <w:pPr>
              <w:jc w:val="right"/>
              <w:rPr>
                <w:rFonts w:ascii="宋体"/>
              </w:rPr>
            </w:pPr>
          </w:p>
        </w:tc>
        <w:tc>
          <w:tcPr>
            <w:tcW w:w="0" w:type="auto"/>
            <w:shd w:val="clear" w:color="auto" w:fill="auto"/>
            <w:vAlign w:val="bottom"/>
          </w:tcPr>
          <w:p w14:paraId="098A9074" w14:textId="77777777" w:rsidR="00141CDF" w:rsidRDefault="00141CDF">
            <w:pPr>
              <w:rPr>
                <w:rFonts w:ascii="宋体"/>
                <w:vanish/>
              </w:rPr>
            </w:pPr>
          </w:p>
        </w:tc>
        <w:tc>
          <w:tcPr>
            <w:tcW w:w="0" w:type="auto"/>
            <w:shd w:val="clear" w:color="auto" w:fill="auto"/>
            <w:vAlign w:val="bottom"/>
          </w:tcPr>
          <w:p w14:paraId="098A9075" w14:textId="77777777" w:rsidR="00141CDF" w:rsidRDefault="00141CDF">
            <w:pPr>
              <w:rPr>
                <w:rFonts w:ascii="宋体"/>
                <w:vanish/>
              </w:rPr>
            </w:pPr>
          </w:p>
        </w:tc>
        <w:tc>
          <w:tcPr>
            <w:tcW w:w="0" w:type="auto"/>
            <w:shd w:val="clear" w:color="auto" w:fill="auto"/>
            <w:vAlign w:val="bottom"/>
          </w:tcPr>
          <w:p w14:paraId="098A9076" w14:textId="77777777" w:rsidR="00141CDF" w:rsidRDefault="00141CDF">
            <w:pPr>
              <w:rPr>
                <w:rFonts w:ascii="宋体"/>
                <w:vanish/>
              </w:rPr>
            </w:pPr>
          </w:p>
        </w:tc>
      </w:tr>
      <w:tr w:rsidR="00141CDF" w14:paraId="098A9093" w14:textId="77777777">
        <w:trPr>
          <w:jc w:val="center"/>
        </w:trPr>
        <w:tc>
          <w:tcPr>
            <w:tcW w:w="0" w:type="auto"/>
            <w:gridSpan w:val="3"/>
            <w:shd w:val="clear" w:color="auto" w:fill="FFFFFF"/>
            <w:tcMar>
              <w:top w:w="40" w:type="dxa"/>
              <w:left w:w="20" w:type="dxa"/>
              <w:bottom w:w="40" w:type="dxa"/>
              <w:right w:w="20" w:type="dxa"/>
            </w:tcMar>
            <w:vAlign w:val="center"/>
          </w:tcPr>
          <w:p w14:paraId="098A9078" w14:textId="77777777" w:rsidR="00141CDF" w:rsidRDefault="00DF45E0">
            <w:pPr>
              <w:textAlignment w:val="center"/>
            </w:pPr>
            <w:r>
              <w:rPr>
                <w:rFonts w:ascii="Times New Roman" w:eastAsia="宋体" w:hAnsi="Times New Roman"/>
                <w:color w:val="000000"/>
                <w:sz w:val="16"/>
                <w:szCs w:val="16"/>
              </w:rPr>
              <w:t>Sale of subsidiary stock</w:t>
            </w:r>
          </w:p>
        </w:tc>
        <w:tc>
          <w:tcPr>
            <w:tcW w:w="0" w:type="auto"/>
            <w:gridSpan w:val="2"/>
            <w:shd w:val="clear" w:color="auto" w:fill="FFFFFF"/>
            <w:tcMar>
              <w:top w:w="40" w:type="dxa"/>
              <w:left w:w="20" w:type="dxa"/>
              <w:bottom w:w="40" w:type="dxa"/>
              <w:right w:w="0" w:type="dxa"/>
            </w:tcMar>
            <w:vAlign w:val="center"/>
          </w:tcPr>
          <w:p w14:paraId="098A9079"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907A"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07B"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07C"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907D"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07E"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07F" w14:textId="77777777" w:rsidR="00141CDF" w:rsidRDefault="00DF45E0">
            <w:pPr>
              <w:jc w:val="right"/>
              <w:textAlignment w:val="center"/>
            </w:pPr>
            <w:r>
              <w:rPr>
                <w:rFonts w:ascii="Times New Roman" w:eastAsia="宋体" w:hAnsi="Times New Roman"/>
                <w:color w:val="000000"/>
                <w:sz w:val="16"/>
                <w:szCs w:val="16"/>
              </w:rPr>
              <w:t>6 </w:t>
            </w:r>
          </w:p>
        </w:tc>
        <w:tc>
          <w:tcPr>
            <w:tcW w:w="0" w:type="auto"/>
            <w:shd w:val="clear" w:color="auto" w:fill="FFFFFF"/>
            <w:tcMar>
              <w:top w:w="40" w:type="dxa"/>
              <w:left w:w="0" w:type="dxa"/>
              <w:bottom w:w="40" w:type="dxa"/>
              <w:right w:w="20" w:type="dxa"/>
            </w:tcMar>
            <w:vAlign w:val="center"/>
          </w:tcPr>
          <w:p w14:paraId="098A9080"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081"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082"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9083"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084"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085"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9086"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087"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088" w14:textId="77777777" w:rsidR="00141CDF" w:rsidRDefault="00DF45E0">
            <w:pPr>
              <w:jc w:val="right"/>
              <w:textAlignment w:val="center"/>
            </w:pPr>
            <w:r>
              <w:rPr>
                <w:rFonts w:ascii="Times New Roman" w:eastAsia="宋体" w:hAnsi="Times New Roman"/>
                <w:color w:val="000000"/>
                <w:sz w:val="16"/>
                <w:szCs w:val="16"/>
              </w:rPr>
              <w:t>6 </w:t>
            </w:r>
          </w:p>
        </w:tc>
        <w:tc>
          <w:tcPr>
            <w:tcW w:w="0" w:type="auto"/>
            <w:shd w:val="clear" w:color="auto" w:fill="FFFFFF"/>
            <w:tcMar>
              <w:top w:w="40" w:type="dxa"/>
              <w:left w:w="0" w:type="dxa"/>
              <w:bottom w:w="40" w:type="dxa"/>
              <w:right w:w="20" w:type="dxa"/>
            </w:tcMar>
            <w:vAlign w:val="center"/>
          </w:tcPr>
          <w:p w14:paraId="098A9089"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08A"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08B" w14:textId="77777777" w:rsidR="00141CDF" w:rsidRDefault="00DF45E0">
            <w:pPr>
              <w:jc w:val="right"/>
              <w:textAlignment w:val="center"/>
            </w:pPr>
            <w:r>
              <w:rPr>
                <w:rFonts w:ascii="Times New Roman" w:eastAsia="宋体" w:hAnsi="Times New Roman"/>
                <w:color w:val="000000"/>
                <w:sz w:val="16"/>
                <w:szCs w:val="16"/>
              </w:rPr>
              <w:t>171 </w:t>
            </w:r>
          </w:p>
        </w:tc>
        <w:tc>
          <w:tcPr>
            <w:tcW w:w="0" w:type="auto"/>
            <w:shd w:val="clear" w:color="auto" w:fill="FFFFFF"/>
            <w:tcMar>
              <w:top w:w="40" w:type="dxa"/>
              <w:left w:w="0" w:type="dxa"/>
              <w:bottom w:w="40" w:type="dxa"/>
              <w:right w:w="20" w:type="dxa"/>
            </w:tcMar>
            <w:vAlign w:val="center"/>
          </w:tcPr>
          <w:p w14:paraId="098A908C"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08D"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08E" w14:textId="77777777" w:rsidR="00141CDF" w:rsidRDefault="00DF45E0">
            <w:pPr>
              <w:jc w:val="right"/>
              <w:textAlignment w:val="center"/>
            </w:pPr>
            <w:r>
              <w:rPr>
                <w:rFonts w:ascii="Times New Roman" w:eastAsia="宋体" w:hAnsi="Times New Roman"/>
                <w:color w:val="000000"/>
                <w:sz w:val="16"/>
                <w:szCs w:val="16"/>
              </w:rPr>
              <w:t>177 </w:t>
            </w:r>
          </w:p>
        </w:tc>
        <w:tc>
          <w:tcPr>
            <w:tcW w:w="0" w:type="auto"/>
            <w:shd w:val="clear" w:color="auto" w:fill="FFFFFF"/>
            <w:tcMar>
              <w:top w:w="40" w:type="dxa"/>
              <w:left w:w="0" w:type="dxa"/>
              <w:bottom w:w="40" w:type="dxa"/>
              <w:right w:w="20" w:type="dxa"/>
            </w:tcMar>
            <w:vAlign w:val="center"/>
          </w:tcPr>
          <w:p w14:paraId="098A908F" w14:textId="77777777" w:rsidR="00141CDF" w:rsidRDefault="00141CDF">
            <w:pPr>
              <w:jc w:val="right"/>
              <w:rPr>
                <w:rFonts w:ascii="宋体"/>
              </w:rPr>
            </w:pPr>
          </w:p>
        </w:tc>
        <w:tc>
          <w:tcPr>
            <w:tcW w:w="0" w:type="auto"/>
            <w:shd w:val="clear" w:color="auto" w:fill="auto"/>
            <w:vAlign w:val="bottom"/>
          </w:tcPr>
          <w:p w14:paraId="098A9090" w14:textId="77777777" w:rsidR="00141CDF" w:rsidRDefault="00141CDF">
            <w:pPr>
              <w:rPr>
                <w:rFonts w:ascii="宋体"/>
                <w:vanish/>
              </w:rPr>
            </w:pPr>
          </w:p>
        </w:tc>
        <w:tc>
          <w:tcPr>
            <w:tcW w:w="0" w:type="auto"/>
            <w:shd w:val="clear" w:color="auto" w:fill="auto"/>
            <w:vAlign w:val="bottom"/>
          </w:tcPr>
          <w:p w14:paraId="098A9091" w14:textId="77777777" w:rsidR="00141CDF" w:rsidRDefault="00141CDF">
            <w:pPr>
              <w:rPr>
                <w:rFonts w:ascii="宋体"/>
                <w:vanish/>
              </w:rPr>
            </w:pPr>
          </w:p>
        </w:tc>
        <w:tc>
          <w:tcPr>
            <w:tcW w:w="0" w:type="auto"/>
            <w:shd w:val="clear" w:color="auto" w:fill="auto"/>
            <w:vAlign w:val="bottom"/>
          </w:tcPr>
          <w:p w14:paraId="098A9092" w14:textId="77777777" w:rsidR="00141CDF" w:rsidRDefault="00141CDF">
            <w:pPr>
              <w:rPr>
                <w:rFonts w:ascii="宋体"/>
                <w:vanish/>
              </w:rPr>
            </w:pPr>
          </w:p>
        </w:tc>
      </w:tr>
      <w:tr w:rsidR="00141CDF" w14:paraId="098A90AF" w14:textId="77777777">
        <w:trPr>
          <w:jc w:val="center"/>
        </w:trPr>
        <w:tc>
          <w:tcPr>
            <w:tcW w:w="0" w:type="auto"/>
            <w:gridSpan w:val="3"/>
            <w:shd w:val="clear" w:color="auto" w:fill="CCEEFF"/>
            <w:tcMar>
              <w:top w:w="40" w:type="dxa"/>
              <w:left w:w="20" w:type="dxa"/>
              <w:bottom w:w="40" w:type="dxa"/>
              <w:right w:w="20" w:type="dxa"/>
            </w:tcMar>
            <w:vAlign w:val="center"/>
          </w:tcPr>
          <w:p w14:paraId="098A9094" w14:textId="77777777" w:rsidR="00141CDF" w:rsidRDefault="00DF45E0">
            <w:pPr>
              <w:textAlignment w:val="center"/>
            </w:pPr>
            <w:r>
              <w:rPr>
                <w:rFonts w:ascii="Times New Roman" w:eastAsia="宋体" w:hAnsi="Times New Roman"/>
                <w:color w:val="000000"/>
                <w:sz w:val="16"/>
                <w:szCs w:val="16"/>
              </w:rPr>
              <w:t>Other</w:t>
            </w:r>
          </w:p>
        </w:tc>
        <w:tc>
          <w:tcPr>
            <w:tcW w:w="0" w:type="auto"/>
            <w:gridSpan w:val="2"/>
            <w:shd w:val="clear" w:color="auto" w:fill="CCEEFF"/>
            <w:tcMar>
              <w:top w:w="40" w:type="dxa"/>
              <w:left w:w="20" w:type="dxa"/>
              <w:bottom w:w="40" w:type="dxa"/>
              <w:right w:w="0" w:type="dxa"/>
            </w:tcMar>
            <w:vAlign w:val="center"/>
          </w:tcPr>
          <w:p w14:paraId="098A9095" w14:textId="77777777" w:rsidR="00141CDF" w:rsidRDefault="00DF45E0">
            <w:pPr>
              <w:jc w:val="right"/>
              <w:textAlignment w:val="center"/>
            </w:pPr>
            <w:r>
              <w:rPr>
                <w:rFonts w:ascii="Times New Roman" w:eastAsia="宋体" w:hAnsi="Times New Roman"/>
                <w:color w:val="000000"/>
                <w:sz w:val="16"/>
                <w:szCs w:val="16"/>
              </w:rPr>
              <w:t>3 </w:t>
            </w:r>
          </w:p>
        </w:tc>
        <w:tc>
          <w:tcPr>
            <w:tcW w:w="0" w:type="auto"/>
            <w:shd w:val="clear" w:color="auto" w:fill="CCEEFF"/>
            <w:tcMar>
              <w:top w:w="40" w:type="dxa"/>
              <w:left w:w="0" w:type="dxa"/>
              <w:bottom w:w="40" w:type="dxa"/>
              <w:right w:w="20" w:type="dxa"/>
            </w:tcMar>
            <w:vAlign w:val="center"/>
          </w:tcPr>
          <w:p w14:paraId="098A9096"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097"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098"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098A9099"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09A"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09B" w14:textId="77777777" w:rsidR="00141CDF" w:rsidRDefault="00DF45E0">
            <w:pPr>
              <w:jc w:val="right"/>
              <w:textAlignment w:val="center"/>
            </w:pPr>
            <w:r>
              <w:rPr>
                <w:rFonts w:ascii="Times New Roman" w:eastAsia="宋体" w:hAnsi="Times New Roman"/>
                <w:color w:val="000000"/>
                <w:sz w:val="16"/>
                <w:szCs w:val="16"/>
              </w:rPr>
              <w:t>319 </w:t>
            </w:r>
          </w:p>
        </w:tc>
        <w:tc>
          <w:tcPr>
            <w:tcW w:w="0" w:type="auto"/>
            <w:shd w:val="clear" w:color="auto" w:fill="CCEEFF"/>
            <w:tcMar>
              <w:top w:w="40" w:type="dxa"/>
              <w:left w:w="0" w:type="dxa"/>
              <w:bottom w:w="40" w:type="dxa"/>
              <w:right w:w="20" w:type="dxa"/>
            </w:tcMar>
            <w:vAlign w:val="center"/>
          </w:tcPr>
          <w:p w14:paraId="098A909C"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09D"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09E" w14:textId="77777777" w:rsidR="00141CDF" w:rsidRDefault="00DF45E0">
            <w:pPr>
              <w:jc w:val="right"/>
              <w:textAlignment w:val="center"/>
            </w:pPr>
            <w:r>
              <w:rPr>
                <w:rFonts w:ascii="Times New Roman" w:eastAsia="宋体" w:hAnsi="Times New Roman"/>
                <w:color w:val="000000"/>
                <w:sz w:val="16"/>
                <w:szCs w:val="16"/>
              </w:rPr>
              <w:t>(8)</w:t>
            </w:r>
          </w:p>
        </w:tc>
        <w:tc>
          <w:tcPr>
            <w:tcW w:w="0" w:type="auto"/>
            <w:shd w:val="clear" w:color="auto" w:fill="CCEEFF"/>
            <w:tcMar>
              <w:top w:w="40" w:type="dxa"/>
              <w:left w:w="0" w:type="dxa"/>
              <w:bottom w:w="40" w:type="dxa"/>
              <w:right w:w="20" w:type="dxa"/>
            </w:tcMar>
            <w:vAlign w:val="center"/>
          </w:tcPr>
          <w:p w14:paraId="098A909F"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0A0"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0A1"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098A90A2"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0A3"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0A4" w14:textId="77777777" w:rsidR="00141CDF" w:rsidRDefault="00DF45E0">
            <w:pPr>
              <w:jc w:val="right"/>
              <w:textAlignment w:val="center"/>
            </w:pPr>
            <w:r>
              <w:rPr>
                <w:rFonts w:ascii="Times New Roman" w:eastAsia="宋体" w:hAnsi="Times New Roman"/>
                <w:color w:val="000000"/>
                <w:sz w:val="16"/>
                <w:szCs w:val="16"/>
              </w:rPr>
              <w:t>311 </w:t>
            </w:r>
          </w:p>
        </w:tc>
        <w:tc>
          <w:tcPr>
            <w:tcW w:w="0" w:type="auto"/>
            <w:shd w:val="clear" w:color="auto" w:fill="CCEEFF"/>
            <w:tcMar>
              <w:top w:w="40" w:type="dxa"/>
              <w:left w:w="0" w:type="dxa"/>
              <w:bottom w:w="40" w:type="dxa"/>
              <w:right w:w="20" w:type="dxa"/>
            </w:tcMar>
            <w:vAlign w:val="center"/>
          </w:tcPr>
          <w:p w14:paraId="098A90A5"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0A6"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0A7" w14:textId="77777777" w:rsidR="00141CDF" w:rsidRDefault="00DF45E0">
            <w:pPr>
              <w:jc w:val="right"/>
              <w:textAlignment w:val="center"/>
            </w:pPr>
            <w:r>
              <w:rPr>
                <w:rFonts w:ascii="Times New Roman" w:eastAsia="宋体" w:hAnsi="Times New Roman"/>
                <w:color w:val="000000"/>
                <w:sz w:val="16"/>
                <w:szCs w:val="16"/>
              </w:rPr>
              <w:t>14 </w:t>
            </w:r>
          </w:p>
        </w:tc>
        <w:tc>
          <w:tcPr>
            <w:tcW w:w="0" w:type="auto"/>
            <w:shd w:val="clear" w:color="auto" w:fill="CCEEFF"/>
            <w:tcMar>
              <w:top w:w="40" w:type="dxa"/>
              <w:left w:w="0" w:type="dxa"/>
              <w:bottom w:w="40" w:type="dxa"/>
              <w:right w:w="20" w:type="dxa"/>
            </w:tcMar>
            <w:vAlign w:val="center"/>
          </w:tcPr>
          <w:p w14:paraId="098A90A8"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0A9"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0AA" w14:textId="77777777" w:rsidR="00141CDF" w:rsidRDefault="00DF45E0">
            <w:pPr>
              <w:jc w:val="right"/>
              <w:textAlignment w:val="center"/>
            </w:pPr>
            <w:r>
              <w:rPr>
                <w:rFonts w:ascii="Times New Roman" w:eastAsia="宋体" w:hAnsi="Times New Roman"/>
                <w:color w:val="000000"/>
                <w:sz w:val="16"/>
                <w:szCs w:val="16"/>
              </w:rPr>
              <w:t>325 </w:t>
            </w:r>
          </w:p>
        </w:tc>
        <w:tc>
          <w:tcPr>
            <w:tcW w:w="0" w:type="auto"/>
            <w:shd w:val="clear" w:color="auto" w:fill="CCEEFF"/>
            <w:tcMar>
              <w:top w:w="40" w:type="dxa"/>
              <w:left w:w="0" w:type="dxa"/>
              <w:bottom w:w="40" w:type="dxa"/>
              <w:right w:w="20" w:type="dxa"/>
            </w:tcMar>
            <w:vAlign w:val="center"/>
          </w:tcPr>
          <w:p w14:paraId="098A90AB" w14:textId="77777777" w:rsidR="00141CDF" w:rsidRDefault="00141CDF">
            <w:pPr>
              <w:jc w:val="right"/>
              <w:rPr>
                <w:rFonts w:ascii="宋体"/>
              </w:rPr>
            </w:pPr>
          </w:p>
        </w:tc>
        <w:tc>
          <w:tcPr>
            <w:tcW w:w="0" w:type="auto"/>
            <w:shd w:val="clear" w:color="auto" w:fill="auto"/>
            <w:vAlign w:val="bottom"/>
          </w:tcPr>
          <w:p w14:paraId="098A90AC" w14:textId="77777777" w:rsidR="00141CDF" w:rsidRDefault="00141CDF">
            <w:pPr>
              <w:rPr>
                <w:rFonts w:ascii="宋体"/>
                <w:vanish/>
              </w:rPr>
            </w:pPr>
          </w:p>
        </w:tc>
        <w:tc>
          <w:tcPr>
            <w:tcW w:w="0" w:type="auto"/>
            <w:shd w:val="clear" w:color="auto" w:fill="auto"/>
            <w:vAlign w:val="bottom"/>
          </w:tcPr>
          <w:p w14:paraId="098A90AD" w14:textId="77777777" w:rsidR="00141CDF" w:rsidRDefault="00141CDF">
            <w:pPr>
              <w:rPr>
                <w:rFonts w:ascii="宋体"/>
                <w:vanish/>
              </w:rPr>
            </w:pPr>
          </w:p>
        </w:tc>
        <w:tc>
          <w:tcPr>
            <w:tcW w:w="0" w:type="auto"/>
            <w:shd w:val="clear" w:color="auto" w:fill="auto"/>
            <w:vAlign w:val="bottom"/>
          </w:tcPr>
          <w:p w14:paraId="098A90AE" w14:textId="77777777" w:rsidR="00141CDF" w:rsidRDefault="00141CDF">
            <w:pPr>
              <w:rPr>
                <w:rFonts w:ascii="宋体"/>
                <w:vanish/>
              </w:rPr>
            </w:pPr>
          </w:p>
        </w:tc>
      </w:tr>
      <w:tr w:rsidR="00141CDF" w14:paraId="098A90D2" w14:textId="77777777">
        <w:trPr>
          <w:jc w:val="center"/>
        </w:trPr>
        <w:tc>
          <w:tcPr>
            <w:tcW w:w="0" w:type="auto"/>
            <w:gridSpan w:val="3"/>
            <w:shd w:val="clear" w:color="auto" w:fill="FFFFFF"/>
            <w:tcMar>
              <w:top w:w="40" w:type="dxa"/>
              <w:left w:w="20" w:type="dxa"/>
              <w:bottom w:w="40" w:type="dxa"/>
              <w:right w:w="20" w:type="dxa"/>
            </w:tcMar>
            <w:vAlign w:val="center"/>
          </w:tcPr>
          <w:p w14:paraId="098A90B0" w14:textId="77777777" w:rsidR="00141CDF" w:rsidRDefault="00DF45E0">
            <w:pPr>
              <w:textAlignment w:val="center"/>
            </w:pPr>
            <w:r>
              <w:rPr>
                <w:rFonts w:ascii="Times New Roman" w:eastAsia="宋体" w:hAnsi="Times New Roman"/>
                <w:b/>
                <w:bCs/>
                <w:color w:val="000000"/>
                <w:sz w:val="16"/>
                <w:szCs w:val="16"/>
              </w:rPr>
              <w:t>Balances as of July 31, 2021</w:t>
            </w: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center"/>
          </w:tcPr>
          <w:p w14:paraId="098A90B1" w14:textId="77777777" w:rsidR="00141CDF" w:rsidRDefault="00DF45E0">
            <w:pPr>
              <w:jc w:val="right"/>
              <w:textAlignment w:val="center"/>
            </w:pPr>
            <w:r>
              <w:rPr>
                <w:rFonts w:ascii="Times New Roman" w:eastAsia="宋体" w:hAnsi="Times New Roman"/>
                <w:color w:val="000000"/>
                <w:sz w:val="16"/>
                <w:szCs w:val="16"/>
              </w:rPr>
              <w:t>2,791 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center"/>
          </w:tcPr>
          <w:p w14:paraId="098A90B2"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0B3" w14:textId="77777777" w:rsidR="00141CDF" w:rsidRDefault="00141CDF">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center"/>
          </w:tcPr>
          <w:p w14:paraId="098A90B4"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center"/>
          </w:tcPr>
          <w:p w14:paraId="098A90B5" w14:textId="77777777" w:rsidR="00141CDF" w:rsidRDefault="00DF45E0">
            <w:pPr>
              <w:jc w:val="right"/>
              <w:textAlignment w:val="center"/>
            </w:pPr>
            <w:r>
              <w:rPr>
                <w:rFonts w:ascii="Times New Roman" w:eastAsia="宋体" w:hAnsi="Times New Roman"/>
                <w:color w:val="000000"/>
                <w:sz w:val="16"/>
                <w:szCs w:val="16"/>
              </w:rPr>
              <w:t>278 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center"/>
          </w:tcPr>
          <w:p w14:paraId="098A90B6"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0B7" w14:textId="77777777" w:rsidR="00141CDF" w:rsidRDefault="00141CDF">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center"/>
          </w:tcPr>
          <w:p w14:paraId="098A90B8"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center"/>
          </w:tcPr>
          <w:p w14:paraId="098A90B9" w14:textId="77777777" w:rsidR="00141CDF" w:rsidRDefault="00DF45E0">
            <w:pPr>
              <w:jc w:val="right"/>
              <w:textAlignment w:val="center"/>
            </w:pPr>
            <w:r>
              <w:rPr>
                <w:rFonts w:ascii="Times New Roman" w:eastAsia="宋体" w:hAnsi="Times New Roman"/>
                <w:color w:val="000000"/>
                <w:sz w:val="16"/>
                <w:szCs w:val="16"/>
              </w:rPr>
              <w:t>3,655 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center"/>
          </w:tcPr>
          <w:p w14:paraId="098A90BA"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0BB" w14:textId="77777777" w:rsidR="00141CDF" w:rsidRDefault="00141CDF">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center"/>
          </w:tcPr>
          <w:p w14:paraId="098A90BC"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center"/>
          </w:tcPr>
          <w:p w14:paraId="098A90BD" w14:textId="77777777" w:rsidR="00141CDF" w:rsidRDefault="00DF45E0">
            <w:pPr>
              <w:jc w:val="right"/>
              <w:textAlignment w:val="center"/>
            </w:pPr>
            <w:r>
              <w:rPr>
                <w:rFonts w:ascii="Times New Roman" w:eastAsia="宋体" w:hAnsi="Times New Roman"/>
                <w:color w:val="000000"/>
                <w:sz w:val="16"/>
                <w:szCs w:val="16"/>
              </w:rPr>
              <w:t>84,572 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center"/>
          </w:tcPr>
          <w:p w14:paraId="098A90BE"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0BF" w14:textId="77777777" w:rsidR="00141CDF" w:rsidRDefault="00141CDF">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center"/>
          </w:tcPr>
          <w:p w14:paraId="098A90C0"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center"/>
          </w:tcPr>
          <w:p w14:paraId="098A90C1" w14:textId="77777777" w:rsidR="00141CDF" w:rsidRDefault="00DF45E0">
            <w:pPr>
              <w:jc w:val="right"/>
              <w:textAlignment w:val="center"/>
            </w:pPr>
            <w:r>
              <w:rPr>
                <w:rFonts w:ascii="Times New Roman" w:eastAsia="宋体" w:hAnsi="Times New Roman"/>
                <w:color w:val="000000"/>
                <w:sz w:val="16"/>
                <w:szCs w:val="16"/>
              </w:rPr>
              <w:t>(7,976)</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center"/>
          </w:tcPr>
          <w:p w14:paraId="098A90C2"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0C3" w14:textId="77777777" w:rsidR="00141CDF" w:rsidRDefault="00141CDF">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center"/>
          </w:tcPr>
          <w:p w14:paraId="098A90C4"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center"/>
          </w:tcPr>
          <w:p w14:paraId="098A90C5" w14:textId="77777777" w:rsidR="00141CDF" w:rsidRDefault="00DF45E0">
            <w:pPr>
              <w:jc w:val="right"/>
              <w:textAlignment w:val="center"/>
            </w:pPr>
            <w:r>
              <w:rPr>
                <w:rFonts w:ascii="Times New Roman" w:eastAsia="宋体" w:hAnsi="Times New Roman"/>
                <w:color w:val="000000"/>
                <w:sz w:val="16"/>
                <w:szCs w:val="16"/>
              </w:rPr>
              <w:t>80,529 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center"/>
          </w:tcPr>
          <w:p w14:paraId="098A90C6"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0C7" w14:textId="77777777" w:rsidR="00141CDF" w:rsidRDefault="00141CDF">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center"/>
          </w:tcPr>
          <w:p w14:paraId="098A90C8"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center"/>
          </w:tcPr>
          <w:p w14:paraId="098A90C9" w14:textId="77777777" w:rsidR="00141CDF" w:rsidRDefault="00DF45E0">
            <w:pPr>
              <w:jc w:val="right"/>
              <w:textAlignment w:val="center"/>
            </w:pPr>
            <w:r>
              <w:rPr>
                <w:rFonts w:ascii="Times New Roman" w:eastAsia="宋体" w:hAnsi="Times New Roman"/>
                <w:color w:val="000000"/>
                <w:sz w:val="16"/>
                <w:szCs w:val="16"/>
              </w:rPr>
              <w:t>6,598 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center"/>
          </w:tcPr>
          <w:p w14:paraId="098A90CA"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0CB" w14:textId="77777777" w:rsidR="00141CDF" w:rsidRDefault="00141CDF">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center"/>
          </w:tcPr>
          <w:p w14:paraId="098A90CC"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center"/>
          </w:tcPr>
          <w:p w14:paraId="098A90CD" w14:textId="77777777" w:rsidR="00141CDF" w:rsidRDefault="00DF45E0">
            <w:pPr>
              <w:jc w:val="right"/>
              <w:textAlignment w:val="center"/>
            </w:pPr>
            <w:r>
              <w:rPr>
                <w:rFonts w:ascii="Times New Roman" w:eastAsia="宋体" w:hAnsi="Times New Roman"/>
                <w:color w:val="000000"/>
                <w:sz w:val="16"/>
                <w:szCs w:val="16"/>
              </w:rPr>
              <w:t>87,127 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center"/>
          </w:tcPr>
          <w:p w14:paraId="098A90CE" w14:textId="77777777" w:rsidR="00141CDF" w:rsidRDefault="00141CDF">
            <w:pPr>
              <w:jc w:val="right"/>
              <w:rPr>
                <w:rFonts w:ascii="宋体"/>
              </w:rPr>
            </w:pPr>
          </w:p>
        </w:tc>
        <w:tc>
          <w:tcPr>
            <w:tcW w:w="0" w:type="auto"/>
            <w:shd w:val="clear" w:color="auto" w:fill="auto"/>
            <w:vAlign w:val="bottom"/>
          </w:tcPr>
          <w:p w14:paraId="098A90CF" w14:textId="77777777" w:rsidR="00141CDF" w:rsidRDefault="00141CDF">
            <w:pPr>
              <w:rPr>
                <w:rFonts w:ascii="宋体"/>
                <w:vanish/>
              </w:rPr>
            </w:pPr>
          </w:p>
        </w:tc>
        <w:tc>
          <w:tcPr>
            <w:tcW w:w="0" w:type="auto"/>
            <w:shd w:val="clear" w:color="auto" w:fill="auto"/>
            <w:vAlign w:val="bottom"/>
          </w:tcPr>
          <w:p w14:paraId="098A90D0" w14:textId="77777777" w:rsidR="00141CDF" w:rsidRDefault="00141CDF">
            <w:pPr>
              <w:rPr>
                <w:rFonts w:ascii="宋体"/>
                <w:vanish/>
              </w:rPr>
            </w:pPr>
          </w:p>
        </w:tc>
        <w:tc>
          <w:tcPr>
            <w:tcW w:w="0" w:type="auto"/>
            <w:shd w:val="clear" w:color="auto" w:fill="auto"/>
            <w:vAlign w:val="bottom"/>
          </w:tcPr>
          <w:p w14:paraId="098A90D1" w14:textId="77777777" w:rsidR="00141CDF" w:rsidRDefault="00141CDF">
            <w:pPr>
              <w:rPr>
                <w:rFonts w:ascii="宋体"/>
                <w:vanish/>
              </w:rPr>
            </w:pPr>
          </w:p>
        </w:tc>
      </w:tr>
      <w:tr w:rsidR="00141CDF" w14:paraId="098A90E6" w14:textId="77777777">
        <w:trPr>
          <w:jc w:val="center"/>
          <w:hidden/>
        </w:trPr>
        <w:tc>
          <w:tcPr>
            <w:tcW w:w="0" w:type="auto"/>
            <w:gridSpan w:val="3"/>
            <w:shd w:val="clear" w:color="auto" w:fill="auto"/>
            <w:vAlign w:val="bottom"/>
          </w:tcPr>
          <w:p w14:paraId="098A90D3" w14:textId="77777777" w:rsidR="00141CDF" w:rsidRDefault="00141CDF">
            <w:pPr>
              <w:rPr>
                <w:rFonts w:ascii="宋体"/>
                <w:vanish/>
              </w:rPr>
            </w:pPr>
          </w:p>
        </w:tc>
        <w:tc>
          <w:tcPr>
            <w:tcW w:w="0" w:type="auto"/>
            <w:gridSpan w:val="3"/>
            <w:shd w:val="clear" w:color="auto" w:fill="auto"/>
            <w:vAlign w:val="bottom"/>
          </w:tcPr>
          <w:p w14:paraId="098A90D4" w14:textId="77777777" w:rsidR="00141CDF" w:rsidRDefault="00141CDF">
            <w:pPr>
              <w:rPr>
                <w:rFonts w:ascii="宋体"/>
                <w:vanish/>
              </w:rPr>
            </w:pPr>
          </w:p>
        </w:tc>
        <w:tc>
          <w:tcPr>
            <w:tcW w:w="0" w:type="auto"/>
            <w:gridSpan w:val="3"/>
            <w:shd w:val="clear" w:color="auto" w:fill="auto"/>
            <w:vAlign w:val="bottom"/>
          </w:tcPr>
          <w:p w14:paraId="098A90D5" w14:textId="77777777" w:rsidR="00141CDF" w:rsidRDefault="00141CDF">
            <w:pPr>
              <w:rPr>
                <w:rFonts w:ascii="宋体"/>
                <w:vanish/>
              </w:rPr>
            </w:pPr>
          </w:p>
        </w:tc>
        <w:tc>
          <w:tcPr>
            <w:tcW w:w="0" w:type="auto"/>
            <w:gridSpan w:val="3"/>
            <w:shd w:val="clear" w:color="auto" w:fill="auto"/>
            <w:vAlign w:val="bottom"/>
          </w:tcPr>
          <w:p w14:paraId="098A90D6" w14:textId="77777777" w:rsidR="00141CDF" w:rsidRDefault="00141CDF">
            <w:pPr>
              <w:rPr>
                <w:rFonts w:ascii="宋体"/>
                <w:vanish/>
              </w:rPr>
            </w:pPr>
          </w:p>
        </w:tc>
        <w:tc>
          <w:tcPr>
            <w:tcW w:w="0" w:type="auto"/>
            <w:gridSpan w:val="3"/>
            <w:shd w:val="clear" w:color="auto" w:fill="auto"/>
            <w:vAlign w:val="bottom"/>
          </w:tcPr>
          <w:p w14:paraId="098A90D7" w14:textId="77777777" w:rsidR="00141CDF" w:rsidRDefault="00141CDF">
            <w:pPr>
              <w:rPr>
                <w:rFonts w:ascii="宋体"/>
                <w:vanish/>
              </w:rPr>
            </w:pPr>
          </w:p>
        </w:tc>
        <w:tc>
          <w:tcPr>
            <w:tcW w:w="0" w:type="auto"/>
            <w:gridSpan w:val="3"/>
            <w:shd w:val="clear" w:color="auto" w:fill="auto"/>
            <w:vAlign w:val="bottom"/>
          </w:tcPr>
          <w:p w14:paraId="098A90D8" w14:textId="77777777" w:rsidR="00141CDF" w:rsidRDefault="00141CDF">
            <w:pPr>
              <w:rPr>
                <w:rFonts w:ascii="宋体"/>
                <w:vanish/>
              </w:rPr>
            </w:pPr>
          </w:p>
        </w:tc>
        <w:tc>
          <w:tcPr>
            <w:tcW w:w="0" w:type="auto"/>
            <w:gridSpan w:val="3"/>
            <w:shd w:val="clear" w:color="auto" w:fill="auto"/>
            <w:vAlign w:val="bottom"/>
          </w:tcPr>
          <w:p w14:paraId="098A90D9" w14:textId="77777777" w:rsidR="00141CDF" w:rsidRDefault="00141CDF">
            <w:pPr>
              <w:rPr>
                <w:rFonts w:ascii="宋体"/>
                <w:vanish/>
              </w:rPr>
            </w:pPr>
          </w:p>
        </w:tc>
        <w:tc>
          <w:tcPr>
            <w:tcW w:w="0" w:type="auto"/>
            <w:gridSpan w:val="3"/>
            <w:shd w:val="clear" w:color="auto" w:fill="auto"/>
            <w:vAlign w:val="bottom"/>
          </w:tcPr>
          <w:p w14:paraId="098A90DA" w14:textId="77777777" w:rsidR="00141CDF" w:rsidRDefault="00141CDF">
            <w:pPr>
              <w:rPr>
                <w:rFonts w:ascii="宋体"/>
                <w:vanish/>
              </w:rPr>
            </w:pPr>
          </w:p>
        </w:tc>
        <w:tc>
          <w:tcPr>
            <w:tcW w:w="0" w:type="auto"/>
            <w:gridSpan w:val="3"/>
            <w:shd w:val="clear" w:color="auto" w:fill="auto"/>
            <w:vAlign w:val="bottom"/>
          </w:tcPr>
          <w:p w14:paraId="098A90DB" w14:textId="77777777" w:rsidR="00141CDF" w:rsidRDefault="00141CDF">
            <w:pPr>
              <w:rPr>
                <w:rFonts w:ascii="宋体"/>
                <w:vanish/>
              </w:rPr>
            </w:pPr>
          </w:p>
        </w:tc>
        <w:tc>
          <w:tcPr>
            <w:tcW w:w="0" w:type="auto"/>
            <w:gridSpan w:val="3"/>
            <w:shd w:val="clear" w:color="auto" w:fill="auto"/>
            <w:vAlign w:val="bottom"/>
          </w:tcPr>
          <w:p w14:paraId="098A90DC" w14:textId="77777777" w:rsidR="00141CDF" w:rsidRDefault="00141CDF">
            <w:pPr>
              <w:rPr>
                <w:rFonts w:ascii="宋体"/>
                <w:vanish/>
              </w:rPr>
            </w:pPr>
          </w:p>
        </w:tc>
        <w:tc>
          <w:tcPr>
            <w:tcW w:w="0" w:type="auto"/>
            <w:gridSpan w:val="3"/>
            <w:shd w:val="clear" w:color="auto" w:fill="auto"/>
            <w:vAlign w:val="bottom"/>
          </w:tcPr>
          <w:p w14:paraId="098A90DD" w14:textId="77777777" w:rsidR="00141CDF" w:rsidRDefault="00141CDF">
            <w:pPr>
              <w:rPr>
                <w:rFonts w:ascii="宋体"/>
                <w:vanish/>
              </w:rPr>
            </w:pPr>
          </w:p>
        </w:tc>
        <w:tc>
          <w:tcPr>
            <w:tcW w:w="0" w:type="auto"/>
            <w:gridSpan w:val="3"/>
            <w:shd w:val="clear" w:color="auto" w:fill="auto"/>
            <w:vAlign w:val="bottom"/>
          </w:tcPr>
          <w:p w14:paraId="098A90DE" w14:textId="77777777" w:rsidR="00141CDF" w:rsidRDefault="00141CDF">
            <w:pPr>
              <w:rPr>
                <w:rFonts w:ascii="宋体"/>
                <w:vanish/>
              </w:rPr>
            </w:pPr>
          </w:p>
        </w:tc>
        <w:tc>
          <w:tcPr>
            <w:tcW w:w="0" w:type="auto"/>
            <w:gridSpan w:val="3"/>
            <w:shd w:val="clear" w:color="auto" w:fill="auto"/>
            <w:vAlign w:val="bottom"/>
          </w:tcPr>
          <w:p w14:paraId="098A90DF" w14:textId="77777777" w:rsidR="00141CDF" w:rsidRDefault="00141CDF">
            <w:pPr>
              <w:rPr>
                <w:rFonts w:ascii="宋体"/>
                <w:vanish/>
              </w:rPr>
            </w:pPr>
          </w:p>
        </w:tc>
        <w:tc>
          <w:tcPr>
            <w:tcW w:w="0" w:type="auto"/>
            <w:gridSpan w:val="3"/>
            <w:shd w:val="clear" w:color="auto" w:fill="auto"/>
            <w:vAlign w:val="bottom"/>
          </w:tcPr>
          <w:p w14:paraId="098A90E0" w14:textId="77777777" w:rsidR="00141CDF" w:rsidRDefault="00141CDF">
            <w:pPr>
              <w:rPr>
                <w:rFonts w:ascii="宋体"/>
                <w:vanish/>
              </w:rPr>
            </w:pPr>
          </w:p>
        </w:tc>
        <w:tc>
          <w:tcPr>
            <w:tcW w:w="0" w:type="auto"/>
            <w:gridSpan w:val="3"/>
            <w:shd w:val="clear" w:color="auto" w:fill="auto"/>
            <w:vAlign w:val="bottom"/>
          </w:tcPr>
          <w:p w14:paraId="098A90E1" w14:textId="77777777" w:rsidR="00141CDF" w:rsidRDefault="00141CDF">
            <w:pPr>
              <w:rPr>
                <w:rFonts w:ascii="宋体"/>
                <w:vanish/>
              </w:rPr>
            </w:pPr>
          </w:p>
        </w:tc>
        <w:tc>
          <w:tcPr>
            <w:tcW w:w="0" w:type="auto"/>
            <w:gridSpan w:val="3"/>
            <w:shd w:val="clear" w:color="auto" w:fill="auto"/>
            <w:vAlign w:val="bottom"/>
          </w:tcPr>
          <w:p w14:paraId="098A90E2" w14:textId="77777777" w:rsidR="00141CDF" w:rsidRDefault="00141CDF">
            <w:pPr>
              <w:rPr>
                <w:rFonts w:ascii="宋体"/>
                <w:vanish/>
              </w:rPr>
            </w:pPr>
          </w:p>
        </w:tc>
        <w:tc>
          <w:tcPr>
            <w:tcW w:w="0" w:type="auto"/>
            <w:shd w:val="clear" w:color="auto" w:fill="auto"/>
            <w:vAlign w:val="bottom"/>
          </w:tcPr>
          <w:p w14:paraId="098A90E3" w14:textId="77777777" w:rsidR="00141CDF" w:rsidRDefault="00141CDF">
            <w:pPr>
              <w:rPr>
                <w:rFonts w:ascii="宋体"/>
                <w:vanish/>
              </w:rPr>
            </w:pPr>
          </w:p>
        </w:tc>
        <w:tc>
          <w:tcPr>
            <w:tcW w:w="0" w:type="auto"/>
            <w:shd w:val="clear" w:color="auto" w:fill="auto"/>
            <w:vAlign w:val="bottom"/>
          </w:tcPr>
          <w:p w14:paraId="098A90E4" w14:textId="77777777" w:rsidR="00141CDF" w:rsidRDefault="00141CDF">
            <w:pPr>
              <w:rPr>
                <w:rFonts w:ascii="宋体"/>
                <w:vanish/>
              </w:rPr>
            </w:pPr>
          </w:p>
        </w:tc>
        <w:tc>
          <w:tcPr>
            <w:tcW w:w="0" w:type="auto"/>
            <w:shd w:val="clear" w:color="auto" w:fill="auto"/>
            <w:vAlign w:val="bottom"/>
          </w:tcPr>
          <w:p w14:paraId="098A90E5" w14:textId="77777777" w:rsidR="00141CDF" w:rsidRDefault="00141CDF">
            <w:pPr>
              <w:rPr>
                <w:rFonts w:ascii="宋体"/>
                <w:vanish/>
              </w:rPr>
            </w:pPr>
          </w:p>
        </w:tc>
      </w:tr>
      <w:tr w:rsidR="00141CDF" w14:paraId="098A90FA" w14:textId="77777777">
        <w:trPr>
          <w:jc w:val="center"/>
          <w:hidden/>
        </w:trPr>
        <w:tc>
          <w:tcPr>
            <w:tcW w:w="0" w:type="auto"/>
            <w:gridSpan w:val="3"/>
            <w:shd w:val="clear" w:color="auto" w:fill="auto"/>
            <w:vAlign w:val="bottom"/>
          </w:tcPr>
          <w:p w14:paraId="098A90E7" w14:textId="77777777" w:rsidR="00141CDF" w:rsidRDefault="00141CDF">
            <w:pPr>
              <w:rPr>
                <w:rFonts w:ascii="宋体"/>
                <w:vanish/>
              </w:rPr>
            </w:pPr>
          </w:p>
        </w:tc>
        <w:tc>
          <w:tcPr>
            <w:tcW w:w="0" w:type="auto"/>
            <w:gridSpan w:val="3"/>
            <w:shd w:val="clear" w:color="auto" w:fill="auto"/>
            <w:vAlign w:val="bottom"/>
          </w:tcPr>
          <w:p w14:paraId="098A90E8" w14:textId="77777777" w:rsidR="00141CDF" w:rsidRDefault="00141CDF">
            <w:pPr>
              <w:rPr>
                <w:rFonts w:ascii="宋体"/>
                <w:vanish/>
              </w:rPr>
            </w:pPr>
          </w:p>
        </w:tc>
        <w:tc>
          <w:tcPr>
            <w:tcW w:w="0" w:type="auto"/>
            <w:gridSpan w:val="3"/>
            <w:shd w:val="clear" w:color="auto" w:fill="auto"/>
            <w:vAlign w:val="bottom"/>
          </w:tcPr>
          <w:p w14:paraId="098A90E9" w14:textId="77777777" w:rsidR="00141CDF" w:rsidRDefault="00141CDF">
            <w:pPr>
              <w:rPr>
                <w:rFonts w:ascii="宋体"/>
                <w:vanish/>
              </w:rPr>
            </w:pPr>
          </w:p>
        </w:tc>
        <w:tc>
          <w:tcPr>
            <w:tcW w:w="0" w:type="auto"/>
            <w:gridSpan w:val="3"/>
            <w:shd w:val="clear" w:color="auto" w:fill="auto"/>
            <w:vAlign w:val="bottom"/>
          </w:tcPr>
          <w:p w14:paraId="098A90EA" w14:textId="77777777" w:rsidR="00141CDF" w:rsidRDefault="00141CDF">
            <w:pPr>
              <w:rPr>
                <w:rFonts w:ascii="宋体"/>
                <w:vanish/>
              </w:rPr>
            </w:pPr>
          </w:p>
        </w:tc>
        <w:tc>
          <w:tcPr>
            <w:tcW w:w="0" w:type="auto"/>
            <w:gridSpan w:val="3"/>
            <w:shd w:val="clear" w:color="auto" w:fill="auto"/>
            <w:vAlign w:val="bottom"/>
          </w:tcPr>
          <w:p w14:paraId="098A90EB" w14:textId="77777777" w:rsidR="00141CDF" w:rsidRDefault="00141CDF">
            <w:pPr>
              <w:rPr>
                <w:rFonts w:ascii="宋体"/>
                <w:vanish/>
              </w:rPr>
            </w:pPr>
          </w:p>
        </w:tc>
        <w:tc>
          <w:tcPr>
            <w:tcW w:w="0" w:type="auto"/>
            <w:gridSpan w:val="3"/>
            <w:shd w:val="clear" w:color="auto" w:fill="auto"/>
            <w:vAlign w:val="bottom"/>
          </w:tcPr>
          <w:p w14:paraId="098A90EC" w14:textId="77777777" w:rsidR="00141CDF" w:rsidRDefault="00141CDF">
            <w:pPr>
              <w:rPr>
                <w:rFonts w:ascii="宋体"/>
                <w:vanish/>
              </w:rPr>
            </w:pPr>
          </w:p>
        </w:tc>
        <w:tc>
          <w:tcPr>
            <w:tcW w:w="0" w:type="auto"/>
            <w:gridSpan w:val="3"/>
            <w:shd w:val="clear" w:color="auto" w:fill="auto"/>
            <w:vAlign w:val="bottom"/>
          </w:tcPr>
          <w:p w14:paraId="098A90ED" w14:textId="77777777" w:rsidR="00141CDF" w:rsidRDefault="00141CDF">
            <w:pPr>
              <w:rPr>
                <w:rFonts w:ascii="宋体"/>
                <w:vanish/>
              </w:rPr>
            </w:pPr>
          </w:p>
        </w:tc>
        <w:tc>
          <w:tcPr>
            <w:tcW w:w="0" w:type="auto"/>
            <w:gridSpan w:val="3"/>
            <w:shd w:val="clear" w:color="auto" w:fill="auto"/>
            <w:vAlign w:val="bottom"/>
          </w:tcPr>
          <w:p w14:paraId="098A90EE" w14:textId="77777777" w:rsidR="00141CDF" w:rsidRDefault="00141CDF">
            <w:pPr>
              <w:rPr>
                <w:rFonts w:ascii="宋体"/>
                <w:vanish/>
              </w:rPr>
            </w:pPr>
          </w:p>
        </w:tc>
        <w:tc>
          <w:tcPr>
            <w:tcW w:w="0" w:type="auto"/>
            <w:gridSpan w:val="3"/>
            <w:shd w:val="clear" w:color="auto" w:fill="auto"/>
            <w:vAlign w:val="bottom"/>
          </w:tcPr>
          <w:p w14:paraId="098A90EF" w14:textId="77777777" w:rsidR="00141CDF" w:rsidRDefault="00141CDF">
            <w:pPr>
              <w:rPr>
                <w:rFonts w:ascii="宋体"/>
                <w:vanish/>
              </w:rPr>
            </w:pPr>
          </w:p>
        </w:tc>
        <w:tc>
          <w:tcPr>
            <w:tcW w:w="0" w:type="auto"/>
            <w:gridSpan w:val="3"/>
            <w:shd w:val="clear" w:color="auto" w:fill="auto"/>
            <w:vAlign w:val="bottom"/>
          </w:tcPr>
          <w:p w14:paraId="098A90F0" w14:textId="77777777" w:rsidR="00141CDF" w:rsidRDefault="00141CDF">
            <w:pPr>
              <w:rPr>
                <w:rFonts w:ascii="宋体"/>
                <w:vanish/>
              </w:rPr>
            </w:pPr>
          </w:p>
        </w:tc>
        <w:tc>
          <w:tcPr>
            <w:tcW w:w="0" w:type="auto"/>
            <w:gridSpan w:val="3"/>
            <w:shd w:val="clear" w:color="auto" w:fill="auto"/>
            <w:vAlign w:val="bottom"/>
          </w:tcPr>
          <w:p w14:paraId="098A90F1" w14:textId="77777777" w:rsidR="00141CDF" w:rsidRDefault="00141CDF">
            <w:pPr>
              <w:rPr>
                <w:rFonts w:ascii="宋体"/>
                <w:vanish/>
              </w:rPr>
            </w:pPr>
          </w:p>
        </w:tc>
        <w:tc>
          <w:tcPr>
            <w:tcW w:w="0" w:type="auto"/>
            <w:gridSpan w:val="3"/>
            <w:shd w:val="clear" w:color="auto" w:fill="auto"/>
            <w:vAlign w:val="bottom"/>
          </w:tcPr>
          <w:p w14:paraId="098A90F2" w14:textId="77777777" w:rsidR="00141CDF" w:rsidRDefault="00141CDF">
            <w:pPr>
              <w:rPr>
                <w:rFonts w:ascii="宋体"/>
                <w:vanish/>
              </w:rPr>
            </w:pPr>
          </w:p>
        </w:tc>
        <w:tc>
          <w:tcPr>
            <w:tcW w:w="0" w:type="auto"/>
            <w:gridSpan w:val="3"/>
            <w:shd w:val="clear" w:color="auto" w:fill="auto"/>
            <w:vAlign w:val="bottom"/>
          </w:tcPr>
          <w:p w14:paraId="098A90F3" w14:textId="77777777" w:rsidR="00141CDF" w:rsidRDefault="00141CDF">
            <w:pPr>
              <w:rPr>
                <w:rFonts w:ascii="宋体"/>
                <w:vanish/>
              </w:rPr>
            </w:pPr>
          </w:p>
        </w:tc>
        <w:tc>
          <w:tcPr>
            <w:tcW w:w="0" w:type="auto"/>
            <w:gridSpan w:val="3"/>
            <w:shd w:val="clear" w:color="auto" w:fill="auto"/>
            <w:vAlign w:val="bottom"/>
          </w:tcPr>
          <w:p w14:paraId="098A90F4" w14:textId="77777777" w:rsidR="00141CDF" w:rsidRDefault="00141CDF">
            <w:pPr>
              <w:rPr>
                <w:rFonts w:ascii="宋体"/>
                <w:vanish/>
              </w:rPr>
            </w:pPr>
          </w:p>
        </w:tc>
        <w:tc>
          <w:tcPr>
            <w:tcW w:w="0" w:type="auto"/>
            <w:gridSpan w:val="3"/>
            <w:shd w:val="clear" w:color="auto" w:fill="auto"/>
            <w:vAlign w:val="bottom"/>
          </w:tcPr>
          <w:p w14:paraId="098A90F5" w14:textId="77777777" w:rsidR="00141CDF" w:rsidRDefault="00141CDF">
            <w:pPr>
              <w:rPr>
                <w:rFonts w:ascii="宋体"/>
                <w:vanish/>
              </w:rPr>
            </w:pPr>
          </w:p>
        </w:tc>
        <w:tc>
          <w:tcPr>
            <w:tcW w:w="0" w:type="auto"/>
            <w:gridSpan w:val="3"/>
            <w:shd w:val="clear" w:color="auto" w:fill="auto"/>
            <w:vAlign w:val="bottom"/>
          </w:tcPr>
          <w:p w14:paraId="098A90F6" w14:textId="77777777" w:rsidR="00141CDF" w:rsidRDefault="00141CDF">
            <w:pPr>
              <w:rPr>
                <w:rFonts w:ascii="宋体"/>
                <w:vanish/>
              </w:rPr>
            </w:pPr>
          </w:p>
        </w:tc>
        <w:tc>
          <w:tcPr>
            <w:tcW w:w="0" w:type="auto"/>
            <w:shd w:val="clear" w:color="auto" w:fill="auto"/>
            <w:vAlign w:val="bottom"/>
          </w:tcPr>
          <w:p w14:paraId="098A90F7" w14:textId="77777777" w:rsidR="00141CDF" w:rsidRDefault="00141CDF">
            <w:pPr>
              <w:rPr>
                <w:rFonts w:ascii="宋体"/>
                <w:vanish/>
              </w:rPr>
            </w:pPr>
          </w:p>
        </w:tc>
        <w:tc>
          <w:tcPr>
            <w:tcW w:w="0" w:type="auto"/>
            <w:shd w:val="clear" w:color="auto" w:fill="auto"/>
            <w:vAlign w:val="bottom"/>
          </w:tcPr>
          <w:p w14:paraId="098A90F8" w14:textId="77777777" w:rsidR="00141CDF" w:rsidRDefault="00141CDF">
            <w:pPr>
              <w:rPr>
                <w:rFonts w:ascii="宋体"/>
                <w:vanish/>
              </w:rPr>
            </w:pPr>
          </w:p>
        </w:tc>
        <w:tc>
          <w:tcPr>
            <w:tcW w:w="0" w:type="auto"/>
            <w:shd w:val="clear" w:color="auto" w:fill="auto"/>
            <w:vAlign w:val="bottom"/>
          </w:tcPr>
          <w:p w14:paraId="098A90F9" w14:textId="77777777" w:rsidR="00141CDF" w:rsidRDefault="00141CDF">
            <w:pPr>
              <w:rPr>
                <w:rFonts w:ascii="宋体"/>
                <w:vanish/>
              </w:rPr>
            </w:pPr>
          </w:p>
        </w:tc>
      </w:tr>
      <w:tr w:rsidR="00141CDF" w14:paraId="098A910E" w14:textId="77777777">
        <w:trPr>
          <w:jc w:val="center"/>
          <w:hidden/>
        </w:trPr>
        <w:tc>
          <w:tcPr>
            <w:tcW w:w="0" w:type="auto"/>
            <w:gridSpan w:val="3"/>
            <w:shd w:val="clear" w:color="auto" w:fill="auto"/>
            <w:vAlign w:val="bottom"/>
          </w:tcPr>
          <w:p w14:paraId="098A90FB" w14:textId="77777777" w:rsidR="00141CDF" w:rsidRDefault="00141CDF">
            <w:pPr>
              <w:rPr>
                <w:rFonts w:ascii="宋体"/>
                <w:vanish/>
              </w:rPr>
            </w:pPr>
          </w:p>
        </w:tc>
        <w:tc>
          <w:tcPr>
            <w:tcW w:w="0" w:type="auto"/>
            <w:gridSpan w:val="3"/>
            <w:shd w:val="clear" w:color="auto" w:fill="auto"/>
            <w:vAlign w:val="bottom"/>
          </w:tcPr>
          <w:p w14:paraId="098A90FC" w14:textId="77777777" w:rsidR="00141CDF" w:rsidRDefault="00141CDF">
            <w:pPr>
              <w:rPr>
                <w:rFonts w:ascii="宋体"/>
                <w:vanish/>
              </w:rPr>
            </w:pPr>
          </w:p>
        </w:tc>
        <w:tc>
          <w:tcPr>
            <w:tcW w:w="0" w:type="auto"/>
            <w:gridSpan w:val="3"/>
            <w:shd w:val="clear" w:color="auto" w:fill="auto"/>
            <w:vAlign w:val="bottom"/>
          </w:tcPr>
          <w:p w14:paraId="098A90FD" w14:textId="77777777" w:rsidR="00141CDF" w:rsidRDefault="00141CDF">
            <w:pPr>
              <w:rPr>
                <w:rFonts w:ascii="宋体"/>
                <w:vanish/>
              </w:rPr>
            </w:pPr>
          </w:p>
        </w:tc>
        <w:tc>
          <w:tcPr>
            <w:tcW w:w="0" w:type="auto"/>
            <w:gridSpan w:val="3"/>
            <w:shd w:val="clear" w:color="auto" w:fill="auto"/>
            <w:vAlign w:val="bottom"/>
          </w:tcPr>
          <w:p w14:paraId="098A90FE" w14:textId="77777777" w:rsidR="00141CDF" w:rsidRDefault="00141CDF">
            <w:pPr>
              <w:rPr>
                <w:rFonts w:ascii="宋体"/>
                <w:vanish/>
              </w:rPr>
            </w:pPr>
          </w:p>
        </w:tc>
        <w:tc>
          <w:tcPr>
            <w:tcW w:w="0" w:type="auto"/>
            <w:gridSpan w:val="3"/>
            <w:shd w:val="clear" w:color="auto" w:fill="auto"/>
            <w:vAlign w:val="bottom"/>
          </w:tcPr>
          <w:p w14:paraId="098A90FF" w14:textId="77777777" w:rsidR="00141CDF" w:rsidRDefault="00141CDF">
            <w:pPr>
              <w:rPr>
                <w:rFonts w:ascii="宋体"/>
                <w:vanish/>
              </w:rPr>
            </w:pPr>
          </w:p>
        </w:tc>
        <w:tc>
          <w:tcPr>
            <w:tcW w:w="0" w:type="auto"/>
            <w:gridSpan w:val="3"/>
            <w:shd w:val="clear" w:color="auto" w:fill="auto"/>
            <w:vAlign w:val="bottom"/>
          </w:tcPr>
          <w:p w14:paraId="098A9100" w14:textId="77777777" w:rsidR="00141CDF" w:rsidRDefault="00141CDF">
            <w:pPr>
              <w:rPr>
                <w:rFonts w:ascii="宋体"/>
                <w:vanish/>
              </w:rPr>
            </w:pPr>
          </w:p>
        </w:tc>
        <w:tc>
          <w:tcPr>
            <w:tcW w:w="0" w:type="auto"/>
            <w:gridSpan w:val="3"/>
            <w:shd w:val="clear" w:color="auto" w:fill="auto"/>
            <w:vAlign w:val="bottom"/>
          </w:tcPr>
          <w:p w14:paraId="098A9101" w14:textId="77777777" w:rsidR="00141CDF" w:rsidRDefault="00141CDF">
            <w:pPr>
              <w:rPr>
                <w:rFonts w:ascii="宋体"/>
                <w:vanish/>
              </w:rPr>
            </w:pPr>
          </w:p>
        </w:tc>
        <w:tc>
          <w:tcPr>
            <w:tcW w:w="0" w:type="auto"/>
            <w:gridSpan w:val="3"/>
            <w:shd w:val="clear" w:color="auto" w:fill="auto"/>
            <w:vAlign w:val="bottom"/>
          </w:tcPr>
          <w:p w14:paraId="098A9102" w14:textId="77777777" w:rsidR="00141CDF" w:rsidRDefault="00141CDF">
            <w:pPr>
              <w:rPr>
                <w:rFonts w:ascii="宋体"/>
                <w:vanish/>
              </w:rPr>
            </w:pPr>
          </w:p>
        </w:tc>
        <w:tc>
          <w:tcPr>
            <w:tcW w:w="0" w:type="auto"/>
            <w:gridSpan w:val="3"/>
            <w:shd w:val="clear" w:color="auto" w:fill="auto"/>
            <w:vAlign w:val="bottom"/>
          </w:tcPr>
          <w:p w14:paraId="098A9103" w14:textId="77777777" w:rsidR="00141CDF" w:rsidRDefault="00141CDF">
            <w:pPr>
              <w:rPr>
                <w:rFonts w:ascii="宋体"/>
                <w:vanish/>
              </w:rPr>
            </w:pPr>
          </w:p>
        </w:tc>
        <w:tc>
          <w:tcPr>
            <w:tcW w:w="0" w:type="auto"/>
            <w:gridSpan w:val="3"/>
            <w:shd w:val="clear" w:color="auto" w:fill="auto"/>
            <w:vAlign w:val="bottom"/>
          </w:tcPr>
          <w:p w14:paraId="098A9104" w14:textId="77777777" w:rsidR="00141CDF" w:rsidRDefault="00141CDF">
            <w:pPr>
              <w:rPr>
                <w:rFonts w:ascii="宋体"/>
                <w:vanish/>
              </w:rPr>
            </w:pPr>
          </w:p>
        </w:tc>
        <w:tc>
          <w:tcPr>
            <w:tcW w:w="0" w:type="auto"/>
            <w:gridSpan w:val="3"/>
            <w:shd w:val="clear" w:color="auto" w:fill="auto"/>
            <w:vAlign w:val="bottom"/>
          </w:tcPr>
          <w:p w14:paraId="098A9105" w14:textId="77777777" w:rsidR="00141CDF" w:rsidRDefault="00141CDF">
            <w:pPr>
              <w:rPr>
                <w:rFonts w:ascii="宋体"/>
                <w:vanish/>
              </w:rPr>
            </w:pPr>
          </w:p>
        </w:tc>
        <w:tc>
          <w:tcPr>
            <w:tcW w:w="0" w:type="auto"/>
            <w:gridSpan w:val="3"/>
            <w:shd w:val="clear" w:color="auto" w:fill="auto"/>
            <w:vAlign w:val="bottom"/>
          </w:tcPr>
          <w:p w14:paraId="098A9106" w14:textId="77777777" w:rsidR="00141CDF" w:rsidRDefault="00141CDF">
            <w:pPr>
              <w:rPr>
                <w:rFonts w:ascii="宋体"/>
                <w:vanish/>
              </w:rPr>
            </w:pPr>
          </w:p>
        </w:tc>
        <w:tc>
          <w:tcPr>
            <w:tcW w:w="0" w:type="auto"/>
            <w:gridSpan w:val="3"/>
            <w:shd w:val="clear" w:color="auto" w:fill="auto"/>
            <w:vAlign w:val="bottom"/>
          </w:tcPr>
          <w:p w14:paraId="098A9107" w14:textId="77777777" w:rsidR="00141CDF" w:rsidRDefault="00141CDF">
            <w:pPr>
              <w:rPr>
                <w:rFonts w:ascii="宋体"/>
                <w:vanish/>
              </w:rPr>
            </w:pPr>
          </w:p>
        </w:tc>
        <w:tc>
          <w:tcPr>
            <w:tcW w:w="0" w:type="auto"/>
            <w:gridSpan w:val="3"/>
            <w:shd w:val="clear" w:color="auto" w:fill="auto"/>
            <w:vAlign w:val="bottom"/>
          </w:tcPr>
          <w:p w14:paraId="098A9108" w14:textId="77777777" w:rsidR="00141CDF" w:rsidRDefault="00141CDF">
            <w:pPr>
              <w:rPr>
                <w:rFonts w:ascii="宋体"/>
                <w:vanish/>
              </w:rPr>
            </w:pPr>
          </w:p>
        </w:tc>
        <w:tc>
          <w:tcPr>
            <w:tcW w:w="0" w:type="auto"/>
            <w:gridSpan w:val="3"/>
            <w:shd w:val="clear" w:color="auto" w:fill="auto"/>
            <w:vAlign w:val="bottom"/>
          </w:tcPr>
          <w:p w14:paraId="098A9109" w14:textId="77777777" w:rsidR="00141CDF" w:rsidRDefault="00141CDF">
            <w:pPr>
              <w:rPr>
                <w:rFonts w:ascii="宋体"/>
                <w:vanish/>
              </w:rPr>
            </w:pPr>
          </w:p>
        </w:tc>
        <w:tc>
          <w:tcPr>
            <w:tcW w:w="0" w:type="auto"/>
            <w:gridSpan w:val="3"/>
            <w:shd w:val="clear" w:color="auto" w:fill="auto"/>
            <w:vAlign w:val="bottom"/>
          </w:tcPr>
          <w:p w14:paraId="098A910A" w14:textId="77777777" w:rsidR="00141CDF" w:rsidRDefault="00141CDF">
            <w:pPr>
              <w:rPr>
                <w:rFonts w:ascii="宋体"/>
                <w:vanish/>
              </w:rPr>
            </w:pPr>
          </w:p>
        </w:tc>
        <w:tc>
          <w:tcPr>
            <w:tcW w:w="0" w:type="auto"/>
            <w:shd w:val="clear" w:color="auto" w:fill="auto"/>
            <w:vAlign w:val="bottom"/>
          </w:tcPr>
          <w:p w14:paraId="098A910B" w14:textId="77777777" w:rsidR="00141CDF" w:rsidRDefault="00141CDF">
            <w:pPr>
              <w:rPr>
                <w:rFonts w:ascii="宋体"/>
                <w:vanish/>
              </w:rPr>
            </w:pPr>
          </w:p>
        </w:tc>
        <w:tc>
          <w:tcPr>
            <w:tcW w:w="0" w:type="auto"/>
            <w:shd w:val="clear" w:color="auto" w:fill="auto"/>
            <w:vAlign w:val="bottom"/>
          </w:tcPr>
          <w:p w14:paraId="098A910C" w14:textId="77777777" w:rsidR="00141CDF" w:rsidRDefault="00141CDF">
            <w:pPr>
              <w:rPr>
                <w:rFonts w:ascii="宋体"/>
                <w:vanish/>
              </w:rPr>
            </w:pPr>
          </w:p>
        </w:tc>
        <w:tc>
          <w:tcPr>
            <w:tcW w:w="0" w:type="auto"/>
            <w:shd w:val="clear" w:color="auto" w:fill="auto"/>
            <w:vAlign w:val="bottom"/>
          </w:tcPr>
          <w:p w14:paraId="098A910D" w14:textId="77777777" w:rsidR="00141CDF" w:rsidRDefault="00141CDF">
            <w:pPr>
              <w:rPr>
                <w:rFonts w:ascii="宋体"/>
                <w:vanish/>
              </w:rPr>
            </w:pPr>
          </w:p>
        </w:tc>
      </w:tr>
      <w:tr w:rsidR="00141CDF" w14:paraId="098A9122" w14:textId="77777777">
        <w:trPr>
          <w:jc w:val="center"/>
          <w:hidden/>
        </w:trPr>
        <w:tc>
          <w:tcPr>
            <w:tcW w:w="0" w:type="auto"/>
            <w:gridSpan w:val="3"/>
            <w:shd w:val="clear" w:color="auto" w:fill="auto"/>
            <w:vAlign w:val="bottom"/>
          </w:tcPr>
          <w:p w14:paraId="098A910F" w14:textId="77777777" w:rsidR="00141CDF" w:rsidRDefault="00141CDF">
            <w:pPr>
              <w:rPr>
                <w:rFonts w:ascii="宋体"/>
                <w:vanish/>
              </w:rPr>
            </w:pPr>
          </w:p>
        </w:tc>
        <w:tc>
          <w:tcPr>
            <w:tcW w:w="0" w:type="auto"/>
            <w:gridSpan w:val="3"/>
            <w:shd w:val="clear" w:color="auto" w:fill="auto"/>
            <w:vAlign w:val="bottom"/>
          </w:tcPr>
          <w:p w14:paraId="098A9110" w14:textId="77777777" w:rsidR="00141CDF" w:rsidRDefault="00141CDF">
            <w:pPr>
              <w:rPr>
                <w:rFonts w:ascii="宋体"/>
                <w:vanish/>
              </w:rPr>
            </w:pPr>
          </w:p>
        </w:tc>
        <w:tc>
          <w:tcPr>
            <w:tcW w:w="0" w:type="auto"/>
            <w:gridSpan w:val="3"/>
            <w:shd w:val="clear" w:color="auto" w:fill="auto"/>
            <w:vAlign w:val="bottom"/>
          </w:tcPr>
          <w:p w14:paraId="098A9111" w14:textId="77777777" w:rsidR="00141CDF" w:rsidRDefault="00141CDF">
            <w:pPr>
              <w:rPr>
                <w:rFonts w:ascii="宋体"/>
                <w:vanish/>
              </w:rPr>
            </w:pPr>
          </w:p>
        </w:tc>
        <w:tc>
          <w:tcPr>
            <w:tcW w:w="0" w:type="auto"/>
            <w:gridSpan w:val="3"/>
            <w:shd w:val="clear" w:color="auto" w:fill="auto"/>
            <w:vAlign w:val="bottom"/>
          </w:tcPr>
          <w:p w14:paraId="098A9112" w14:textId="77777777" w:rsidR="00141CDF" w:rsidRDefault="00141CDF">
            <w:pPr>
              <w:rPr>
                <w:rFonts w:ascii="宋体"/>
                <w:vanish/>
              </w:rPr>
            </w:pPr>
          </w:p>
        </w:tc>
        <w:tc>
          <w:tcPr>
            <w:tcW w:w="0" w:type="auto"/>
            <w:gridSpan w:val="3"/>
            <w:shd w:val="clear" w:color="auto" w:fill="auto"/>
            <w:vAlign w:val="bottom"/>
          </w:tcPr>
          <w:p w14:paraId="098A9113" w14:textId="77777777" w:rsidR="00141CDF" w:rsidRDefault="00141CDF">
            <w:pPr>
              <w:rPr>
                <w:rFonts w:ascii="宋体"/>
                <w:vanish/>
              </w:rPr>
            </w:pPr>
          </w:p>
        </w:tc>
        <w:tc>
          <w:tcPr>
            <w:tcW w:w="0" w:type="auto"/>
            <w:gridSpan w:val="3"/>
            <w:shd w:val="clear" w:color="auto" w:fill="auto"/>
            <w:vAlign w:val="bottom"/>
          </w:tcPr>
          <w:p w14:paraId="098A9114" w14:textId="77777777" w:rsidR="00141CDF" w:rsidRDefault="00141CDF">
            <w:pPr>
              <w:rPr>
                <w:rFonts w:ascii="宋体"/>
                <w:vanish/>
              </w:rPr>
            </w:pPr>
          </w:p>
        </w:tc>
        <w:tc>
          <w:tcPr>
            <w:tcW w:w="0" w:type="auto"/>
            <w:gridSpan w:val="3"/>
            <w:shd w:val="clear" w:color="auto" w:fill="auto"/>
            <w:vAlign w:val="bottom"/>
          </w:tcPr>
          <w:p w14:paraId="098A9115" w14:textId="77777777" w:rsidR="00141CDF" w:rsidRDefault="00141CDF">
            <w:pPr>
              <w:rPr>
                <w:rFonts w:ascii="宋体"/>
                <w:vanish/>
              </w:rPr>
            </w:pPr>
          </w:p>
        </w:tc>
        <w:tc>
          <w:tcPr>
            <w:tcW w:w="0" w:type="auto"/>
            <w:gridSpan w:val="3"/>
            <w:shd w:val="clear" w:color="auto" w:fill="auto"/>
            <w:vAlign w:val="bottom"/>
          </w:tcPr>
          <w:p w14:paraId="098A9116" w14:textId="77777777" w:rsidR="00141CDF" w:rsidRDefault="00141CDF">
            <w:pPr>
              <w:rPr>
                <w:rFonts w:ascii="宋体"/>
                <w:vanish/>
              </w:rPr>
            </w:pPr>
          </w:p>
        </w:tc>
        <w:tc>
          <w:tcPr>
            <w:tcW w:w="0" w:type="auto"/>
            <w:gridSpan w:val="3"/>
            <w:shd w:val="clear" w:color="auto" w:fill="auto"/>
            <w:vAlign w:val="bottom"/>
          </w:tcPr>
          <w:p w14:paraId="098A9117" w14:textId="77777777" w:rsidR="00141CDF" w:rsidRDefault="00141CDF">
            <w:pPr>
              <w:rPr>
                <w:rFonts w:ascii="宋体"/>
                <w:vanish/>
              </w:rPr>
            </w:pPr>
          </w:p>
        </w:tc>
        <w:tc>
          <w:tcPr>
            <w:tcW w:w="0" w:type="auto"/>
            <w:gridSpan w:val="3"/>
            <w:shd w:val="clear" w:color="auto" w:fill="auto"/>
            <w:vAlign w:val="bottom"/>
          </w:tcPr>
          <w:p w14:paraId="098A9118" w14:textId="77777777" w:rsidR="00141CDF" w:rsidRDefault="00141CDF">
            <w:pPr>
              <w:rPr>
                <w:rFonts w:ascii="宋体"/>
                <w:vanish/>
              </w:rPr>
            </w:pPr>
          </w:p>
        </w:tc>
        <w:tc>
          <w:tcPr>
            <w:tcW w:w="0" w:type="auto"/>
            <w:gridSpan w:val="3"/>
            <w:shd w:val="clear" w:color="auto" w:fill="auto"/>
            <w:vAlign w:val="bottom"/>
          </w:tcPr>
          <w:p w14:paraId="098A9119" w14:textId="77777777" w:rsidR="00141CDF" w:rsidRDefault="00141CDF">
            <w:pPr>
              <w:rPr>
                <w:rFonts w:ascii="宋体"/>
                <w:vanish/>
              </w:rPr>
            </w:pPr>
          </w:p>
        </w:tc>
        <w:tc>
          <w:tcPr>
            <w:tcW w:w="0" w:type="auto"/>
            <w:gridSpan w:val="3"/>
            <w:shd w:val="clear" w:color="auto" w:fill="auto"/>
            <w:vAlign w:val="bottom"/>
          </w:tcPr>
          <w:p w14:paraId="098A911A" w14:textId="77777777" w:rsidR="00141CDF" w:rsidRDefault="00141CDF">
            <w:pPr>
              <w:rPr>
                <w:rFonts w:ascii="宋体"/>
                <w:vanish/>
              </w:rPr>
            </w:pPr>
          </w:p>
        </w:tc>
        <w:tc>
          <w:tcPr>
            <w:tcW w:w="0" w:type="auto"/>
            <w:gridSpan w:val="3"/>
            <w:shd w:val="clear" w:color="auto" w:fill="auto"/>
            <w:vAlign w:val="bottom"/>
          </w:tcPr>
          <w:p w14:paraId="098A911B" w14:textId="77777777" w:rsidR="00141CDF" w:rsidRDefault="00141CDF">
            <w:pPr>
              <w:rPr>
                <w:rFonts w:ascii="宋体"/>
                <w:vanish/>
              </w:rPr>
            </w:pPr>
          </w:p>
        </w:tc>
        <w:tc>
          <w:tcPr>
            <w:tcW w:w="0" w:type="auto"/>
            <w:gridSpan w:val="3"/>
            <w:shd w:val="clear" w:color="auto" w:fill="auto"/>
            <w:vAlign w:val="bottom"/>
          </w:tcPr>
          <w:p w14:paraId="098A911C" w14:textId="77777777" w:rsidR="00141CDF" w:rsidRDefault="00141CDF">
            <w:pPr>
              <w:rPr>
                <w:rFonts w:ascii="宋体"/>
                <w:vanish/>
              </w:rPr>
            </w:pPr>
          </w:p>
        </w:tc>
        <w:tc>
          <w:tcPr>
            <w:tcW w:w="0" w:type="auto"/>
            <w:gridSpan w:val="3"/>
            <w:shd w:val="clear" w:color="auto" w:fill="auto"/>
            <w:vAlign w:val="bottom"/>
          </w:tcPr>
          <w:p w14:paraId="098A911D" w14:textId="77777777" w:rsidR="00141CDF" w:rsidRDefault="00141CDF">
            <w:pPr>
              <w:rPr>
                <w:rFonts w:ascii="宋体"/>
                <w:vanish/>
              </w:rPr>
            </w:pPr>
          </w:p>
        </w:tc>
        <w:tc>
          <w:tcPr>
            <w:tcW w:w="0" w:type="auto"/>
            <w:gridSpan w:val="3"/>
            <w:shd w:val="clear" w:color="auto" w:fill="auto"/>
            <w:vAlign w:val="bottom"/>
          </w:tcPr>
          <w:p w14:paraId="098A911E" w14:textId="77777777" w:rsidR="00141CDF" w:rsidRDefault="00141CDF">
            <w:pPr>
              <w:rPr>
                <w:rFonts w:ascii="宋体"/>
                <w:vanish/>
              </w:rPr>
            </w:pPr>
          </w:p>
        </w:tc>
        <w:tc>
          <w:tcPr>
            <w:tcW w:w="0" w:type="auto"/>
            <w:shd w:val="clear" w:color="auto" w:fill="auto"/>
            <w:vAlign w:val="bottom"/>
          </w:tcPr>
          <w:p w14:paraId="098A911F" w14:textId="77777777" w:rsidR="00141CDF" w:rsidRDefault="00141CDF">
            <w:pPr>
              <w:rPr>
                <w:rFonts w:ascii="宋体"/>
                <w:vanish/>
              </w:rPr>
            </w:pPr>
          </w:p>
        </w:tc>
        <w:tc>
          <w:tcPr>
            <w:tcW w:w="0" w:type="auto"/>
            <w:shd w:val="clear" w:color="auto" w:fill="auto"/>
            <w:vAlign w:val="bottom"/>
          </w:tcPr>
          <w:p w14:paraId="098A9120" w14:textId="77777777" w:rsidR="00141CDF" w:rsidRDefault="00141CDF">
            <w:pPr>
              <w:rPr>
                <w:rFonts w:ascii="宋体"/>
                <w:vanish/>
              </w:rPr>
            </w:pPr>
          </w:p>
        </w:tc>
        <w:tc>
          <w:tcPr>
            <w:tcW w:w="0" w:type="auto"/>
            <w:shd w:val="clear" w:color="auto" w:fill="auto"/>
            <w:vAlign w:val="bottom"/>
          </w:tcPr>
          <w:p w14:paraId="098A9121" w14:textId="77777777" w:rsidR="00141CDF" w:rsidRDefault="00141CDF">
            <w:pPr>
              <w:rPr>
                <w:rFonts w:ascii="宋体"/>
                <w:vanish/>
              </w:rPr>
            </w:pPr>
          </w:p>
        </w:tc>
      </w:tr>
      <w:tr w:rsidR="00141CDF" w14:paraId="098A9136" w14:textId="77777777">
        <w:trPr>
          <w:jc w:val="center"/>
          <w:hidden/>
        </w:trPr>
        <w:tc>
          <w:tcPr>
            <w:tcW w:w="0" w:type="auto"/>
            <w:gridSpan w:val="3"/>
            <w:shd w:val="clear" w:color="auto" w:fill="auto"/>
            <w:vAlign w:val="bottom"/>
          </w:tcPr>
          <w:p w14:paraId="098A9123" w14:textId="77777777" w:rsidR="00141CDF" w:rsidRDefault="00141CDF">
            <w:pPr>
              <w:rPr>
                <w:rFonts w:ascii="宋体"/>
                <w:vanish/>
              </w:rPr>
            </w:pPr>
          </w:p>
        </w:tc>
        <w:tc>
          <w:tcPr>
            <w:tcW w:w="0" w:type="auto"/>
            <w:gridSpan w:val="3"/>
            <w:shd w:val="clear" w:color="auto" w:fill="auto"/>
            <w:vAlign w:val="bottom"/>
          </w:tcPr>
          <w:p w14:paraId="098A9124" w14:textId="77777777" w:rsidR="00141CDF" w:rsidRDefault="00141CDF">
            <w:pPr>
              <w:rPr>
                <w:rFonts w:ascii="宋体"/>
                <w:vanish/>
              </w:rPr>
            </w:pPr>
          </w:p>
        </w:tc>
        <w:tc>
          <w:tcPr>
            <w:tcW w:w="0" w:type="auto"/>
            <w:gridSpan w:val="3"/>
            <w:shd w:val="clear" w:color="auto" w:fill="auto"/>
            <w:vAlign w:val="bottom"/>
          </w:tcPr>
          <w:p w14:paraId="098A9125" w14:textId="77777777" w:rsidR="00141CDF" w:rsidRDefault="00141CDF">
            <w:pPr>
              <w:rPr>
                <w:rFonts w:ascii="宋体"/>
                <w:vanish/>
              </w:rPr>
            </w:pPr>
          </w:p>
        </w:tc>
        <w:tc>
          <w:tcPr>
            <w:tcW w:w="0" w:type="auto"/>
            <w:gridSpan w:val="3"/>
            <w:shd w:val="clear" w:color="auto" w:fill="auto"/>
            <w:vAlign w:val="bottom"/>
          </w:tcPr>
          <w:p w14:paraId="098A9126" w14:textId="77777777" w:rsidR="00141CDF" w:rsidRDefault="00141CDF">
            <w:pPr>
              <w:rPr>
                <w:rFonts w:ascii="宋体"/>
                <w:vanish/>
              </w:rPr>
            </w:pPr>
          </w:p>
        </w:tc>
        <w:tc>
          <w:tcPr>
            <w:tcW w:w="0" w:type="auto"/>
            <w:gridSpan w:val="3"/>
            <w:shd w:val="clear" w:color="auto" w:fill="auto"/>
            <w:vAlign w:val="bottom"/>
          </w:tcPr>
          <w:p w14:paraId="098A9127" w14:textId="77777777" w:rsidR="00141CDF" w:rsidRDefault="00141CDF">
            <w:pPr>
              <w:rPr>
                <w:rFonts w:ascii="宋体"/>
                <w:vanish/>
              </w:rPr>
            </w:pPr>
          </w:p>
        </w:tc>
        <w:tc>
          <w:tcPr>
            <w:tcW w:w="0" w:type="auto"/>
            <w:gridSpan w:val="3"/>
            <w:shd w:val="clear" w:color="auto" w:fill="auto"/>
            <w:vAlign w:val="bottom"/>
          </w:tcPr>
          <w:p w14:paraId="098A9128" w14:textId="77777777" w:rsidR="00141CDF" w:rsidRDefault="00141CDF">
            <w:pPr>
              <w:rPr>
                <w:rFonts w:ascii="宋体"/>
                <w:vanish/>
              </w:rPr>
            </w:pPr>
          </w:p>
        </w:tc>
        <w:tc>
          <w:tcPr>
            <w:tcW w:w="0" w:type="auto"/>
            <w:gridSpan w:val="3"/>
            <w:shd w:val="clear" w:color="auto" w:fill="auto"/>
            <w:vAlign w:val="bottom"/>
          </w:tcPr>
          <w:p w14:paraId="098A9129" w14:textId="77777777" w:rsidR="00141CDF" w:rsidRDefault="00141CDF">
            <w:pPr>
              <w:rPr>
                <w:rFonts w:ascii="宋体"/>
                <w:vanish/>
              </w:rPr>
            </w:pPr>
          </w:p>
        </w:tc>
        <w:tc>
          <w:tcPr>
            <w:tcW w:w="0" w:type="auto"/>
            <w:gridSpan w:val="3"/>
            <w:shd w:val="clear" w:color="auto" w:fill="auto"/>
            <w:vAlign w:val="bottom"/>
          </w:tcPr>
          <w:p w14:paraId="098A912A" w14:textId="77777777" w:rsidR="00141CDF" w:rsidRDefault="00141CDF">
            <w:pPr>
              <w:rPr>
                <w:rFonts w:ascii="宋体"/>
                <w:vanish/>
              </w:rPr>
            </w:pPr>
          </w:p>
        </w:tc>
        <w:tc>
          <w:tcPr>
            <w:tcW w:w="0" w:type="auto"/>
            <w:gridSpan w:val="3"/>
            <w:shd w:val="clear" w:color="auto" w:fill="auto"/>
            <w:vAlign w:val="bottom"/>
          </w:tcPr>
          <w:p w14:paraId="098A912B" w14:textId="77777777" w:rsidR="00141CDF" w:rsidRDefault="00141CDF">
            <w:pPr>
              <w:rPr>
                <w:rFonts w:ascii="宋体"/>
                <w:vanish/>
              </w:rPr>
            </w:pPr>
          </w:p>
        </w:tc>
        <w:tc>
          <w:tcPr>
            <w:tcW w:w="0" w:type="auto"/>
            <w:gridSpan w:val="3"/>
            <w:shd w:val="clear" w:color="auto" w:fill="auto"/>
            <w:vAlign w:val="bottom"/>
          </w:tcPr>
          <w:p w14:paraId="098A912C" w14:textId="77777777" w:rsidR="00141CDF" w:rsidRDefault="00141CDF">
            <w:pPr>
              <w:rPr>
                <w:rFonts w:ascii="宋体"/>
                <w:vanish/>
              </w:rPr>
            </w:pPr>
          </w:p>
        </w:tc>
        <w:tc>
          <w:tcPr>
            <w:tcW w:w="0" w:type="auto"/>
            <w:gridSpan w:val="3"/>
            <w:shd w:val="clear" w:color="auto" w:fill="auto"/>
            <w:vAlign w:val="bottom"/>
          </w:tcPr>
          <w:p w14:paraId="098A912D" w14:textId="77777777" w:rsidR="00141CDF" w:rsidRDefault="00141CDF">
            <w:pPr>
              <w:rPr>
                <w:rFonts w:ascii="宋体"/>
                <w:vanish/>
              </w:rPr>
            </w:pPr>
          </w:p>
        </w:tc>
        <w:tc>
          <w:tcPr>
            <w:tcW w:w="0" w:type="auto"/>
            <w:gridSpan w:val="3"/>
            <w:shd w:val="clear" w:color="auto" w:fill="auto"/>
            <w:vAlign w:val="bottom"/>
          </w:tcPr>
          <w:p w14:paraId="098A912E" w14:textId="77777777" w:rsidR="00141CDF" w:rsidRDefault="00141CDF">
            <w:pPr>
              <w:rPr>
                <w:rFonts w:ascii="宋体"/>
                <w:vanish/>
              </w:rPr>
            </w:pPr>
          </w:p>
        </w:tc>
        <w:tc>
          <w:tcPr>
            <w:tcW w:w="0" w:type="auto"/>
            <w:gridSpan w:val="3"/>
            <w:shd w:val="clear" w:color="auto" w:fill="auto"/>
            <w:vAlign w:val="bottom"/>
          </w:tcPr>
          <w:p w14:paraId="098A912F" w14:textId="77777777" w:rsidR="00141CDF" w:rsidRDefault="00141CDF">
            <w:pPr>
              <w:rPr>
                <w:rFonts w:ascii="宋体"/>
                <w:vanish/>
              </w:rPr>
            </w:pPr>
          </w:p>
        </w:tc>
        <w:tc>
          <w:tcPr>
            <w:tcW w:w="0" w:type="auto"/>
            <w:gridSpan w:val="3"/>
            <w:shd w:val="clear" w:color="auto" w:fill="auto"/>
            <w:vAlign w:val="bottom"/>
          </w:tcPr>
          <w:p w14:paraId="098A9130" w14:textId="77777777" w:rsidR="00141CDF" w:rsidRDefault="00141CDF">
            <w:pPr>
              <w:rPr>
                <w:rFonts w:ascii="宋体"/>
                <w:vanish/>
              </w:rPr>
            </w:pPr>
          </w:p>
        </w:tc>
        <w:tc>
          <w:tcPr>
            <w:tcW w:w="0" w:type="auto"/>
            <w:gridSpan w:val="3"/>
            <w:shd w:val="clear" w:color="auto" w:fill="auto"/>
            <w:vAlign w:val="bottom"/>
          </w:tcPr>
          <w:p w14:paraId="098A9131" w14:textId="77777777" w:rsidR="00141CDF" w:rsidRDefault="00141CDF">
            <w:pPr>
              <w:rPr>
                <w:rFonts w:ascii="宋体"/>
                <w:vanish/>
              </w:rPr>
            </w:pPr>
          </w:p>
        </w:tc>
        <w:tc>
          <w:tcPr>
            <w:tcW w:w="0" w:type="auto"/>
            <w:gridSpan w:val="3"/>
            <w:shd w:val="clear" w:color="auto" w:fill="auto"/>
            <w:vAlign w:val="bottom"/>
          </w:tcPr>
          <w:p w14:paraId="098A9132" w14:textId="77777777" w:rsidR="00141CDF" w:rsidRDefault="00141CDF">
            <w:pPr>
              <w:rPr>
                <w:rFonts w:ascii="宋体"/>
                <w:vanish/>
              </w:rPr>
            </w:pPr>
          </w:p>
        </w:tc>
        <w:tc>
          <w:tcPr>
            <w:tcW w:w="0" w:type="auto"/>
            <w:shd w:val="clear" w:color="auto" w:fill="auto"/>
            <w:vAlign w:val="bottom"/>
          </w:tcPr>
          <w:p w14:paraId="098A9133" w14:textId="77777777" w:rsidR="00141CDF" w:rsidRDefault="00141CDF">
            <w:pPr>
              <w:rPr>
                <w:rFonts w:ascii="宋体"/>
                <w:vanish/>
              </w:rPr>
            </w:pPr>
          </w:p>
        </w:tc>
        <w:tc>
          <w:tcPr>
            <w:tcW w:w="0" w:type="auto"/>
            <w:shd w:val="clear" w:color="auto" w:fill="auto"/>
            <w:vAlign w:val="bottom"/>
          </w:tcPr>
          <w:p w14:paraId="098A9134" w14:textId="77777777" w:rsidR="00141CDF" w:rsidRDefault="00141CDF">
            <w:pPr>
              <w:rPr>
                <w:rFonts w:ascii="宋体"/>
                <w:vanish/>
              </w:rPr>
            </w:pPr>
          </w:p>
        </w:tc>
        <w:tc>
          <w:tcPr>
            <w:tcW w:w="0" w:type="auto"/>
            <w:shd w:val="clear" w:color="auto" w:fill="auto"/>
            <w:vAlign w:val="bottom"/>
          </w:tcPr>
          <w:p w14:paraId="098A9135" w14:textId="77777777" w:rsidR="00141CDF" w:rsidRDefault="00141CDF">
            <w:pPr>
              <w:rPr>
                <w:rFonts w:ascii="宋体"/>
                <w:vanish/>
              </w:rPr>
            </w:pPr>
          </w:p>
        </w:tc>
      </w:tr>
      <w:tr w:rsidR="00141CDF" w14:paraId="098A914A" w14:textId="77777777">
        <w:trPr>
          <w:jc w:val="center"/>
          <w:hidden/>
        </w:trPr>
        <w:tc>
          <w:tcPr>
            <w:tcW w:w="0" w:type="auto"/>
            <w:gridSpan w:val="3"/>
            <w:shd w:val="clear" w:color="auto" w:fill="auto"/>
            <w:vAlign w:val="bottom"/>
          </w:tcPr>
          <w:p w14:paraId="098A9137" w14:textId="77777777" w:rsidR="00141CDF" w:rsidRDefault="00141CDF">
            <w:pPr>
              <w:rPr>
                <w:rFonts w:ascii="宋体"/>
                <w:vanish/>
              </w:rPr>
            </w:pPr>
          </w:p>
        </w:tc>
        <w:tc>
          <w:tcPr>
            <w:tcW w:w="0" w:type="auto"/>
            <w:gridSpan w:val="3"/>
            <w:shd w:val="clear" w:color="auto" w:fill="auto"/>
            <w:vAlign w:val="bottom"/>
          </w:tcPr>
          <w:p w14:paraId="098A9138" w14:textId="77777777" w:rsidR="00141CDF" w:rsidRDefault="00141CDF">
            <w:pPr>
              <w:rPr>
                <w:rFonts w:ascii="宋体"/>
                <w:vanish/>
              </w:rPr>
            </w:pPr>
          </w:p>
        </w:tc>
        <w:tc>
          <w:tcPr>
            <w:tcW w:w="0" w:type="auto"/>
            <w:gridSpan w:val="3"/>
            <w:shd w:val="clear" w:color="auto" w:fill="auto"/>
            <w:vAlign w:val="bottom"/>
          </w:tcPr>
          <w:p w14:paraId="098A9139" w14:textId="77777777" w:rsidR="00141CDF" w:rsidRDefault="00141CDF">
            <w:pPr>
              <w:rPr>
                <w:rFonts w:ascii="宋体"/>
                <w:vanish/>
              </w:rPr>
            </w:pPr>
          </w:p>
        </w:tc>
        <w:tc>
          <w:tcPr>
            <w:tcW w:w="0" w:type="auto"/>
            <w:gridSpan w:val="3"/>
            <w:shd w:val="clear" w:color="auto" w:fill="auto"/>
            <w:vAlign w:val="bottom"/>
          </w:tcPr>
          <w:p w14:paraId="098A913A" w14:textId="77777777" w:rsidR="00141CDF" w:rsidRDefault="00141CDF">
            <w:pPr>
              <w:rPr>
                <w:rFonts w:ascii="宋体"/>
                <w:vanish/>
              </w:rPr>
            </w:pPr>
          </w:p>
        </w:tc>
        <w:tc>
          <w:tcPr>
            <w:tcW w:w="0" w:type="auto"/>
            <w:gridSpan w:val="3"/>
            <w:shd w:val="clear" w:color="auto" w:fill="auto"/>
            <w:vAlign w:val="bottom"/>
          </w:tcPr>
          <w:p w14:paraId="098A913B" w14:textId="77777777" w:rsidR="00141CDF" w:rsidRDefault="00141CDF">
            <w:pPr>
              <w:rPr>
                <w:rFonts w:ascii="宋体"/>
                <w:vanish/>
              </w:rPr>
            </w:pPr>
          </w:p>
        </w:tc>
        <w:tc>
          <w:tcPr>
            <w:tcW w:w="0" w:type="auto"/>
            <w:gridSpan w:val="3"/>
            <w:shd w:val="clear" w:color="auto" w:fill="auto"/>
            <w:vAlign w:val="bottom"/>
          </w:tcPr>
          <w:p w14:paraId="098A913C" w14:textId="77777777" w:rsidR="00141CDF" w:rsidRDefault="00141CDF">
            <w:pPr>
              <w:rPr>
                <w:rFonts w:ascii="宋体"/>
                <w:vanish/>
              </w:rPr>
            </w:pPr>
          </w:p>
        </w:tc>
        <w:tc>
          <w:tcPr>
            <w:tcW w:w="0" w:type="auto"/>
            <w:gridSpan w:val="3"/>
            <w:shd w:val="clear" w:color="auto" w:fill="auto"/>
            <w:vAlign w:val="bottom"/>
          </w:tcPr>
          <w:p w14:paraId="098A913D" w14:textId="77777777" w:rsidR="00141CDF" w:rsidRDefault="00141CDF">
            <w:pPr>
              <w:rPr>
                <w:rFonts w:ascii="宋体"/>
                <w:vanish/>
              </w:rPr>
            </w:pPr>
          </w:p>
        </w:tc>
        <w:tc>
          <w:tcPr>
            <w:tcW w:w="0" w:type="auto"/>
            <w:gridSpan w:val="3"/>
            <w:shd w:val="clear" w:color="auto" w:fill="auto"/>
            <w:vAlign w:val="bottom"/>
          </w:tcPr>
          <w:p w14:paraId="098A913E" w14:textId="77777777" w:rsidR="00141CDF" w:rsidRDefault="00141CDF">
            <w:pPr>
              <w:rPr>
                <w:rFonts w:ascii="宋体"/>
                <w:vanish/>
              </w:rPr>
            </w:pPr>
          </w:p>
        </w:tc>
        <w:tc>
          <w:tcPr>
            <w:tcW w:w="0" w:type="auto"/>
            <w:gridSpan w:val="3"/>
            <w:shd w:val="clear" w:color="auto" w:fill="auto"/>
            <w:vAlign w:val="bottom"/>
          </w:tcPr>
          <w:p w14:paraId="098A913F" w14:textId="77777777" w:rsidR="00141CDF" w:rsidRDefault="00141CDF">
            <w:pPr>
              <w:rPr>
                <w:rFonts w:ascii="宋体"/>
                <w:vanish/>
              </w:rPr>
            </w:pPr>
          </w:p>
        </w:tc>
        <w:tc>
          <w:tcPr>
            <w:tcW w:w="0" w:type="auto"/>
            <w:gridSpan w:val="3"/>
            <w:shd w:val="clear" w:color="auto" w:fill="auto"/>
            <w:vAlign w:val="bottom"/>
          </w:tcPr>
          <w:p w14:paraId="098A9140" w14:textId="77777777" w:rsidR="00141CDF" w:rsidRDefault="00141CDF">
            <w:pPr>
              <w:rPr>
                <w:rFonts w:ascii="宋体"/>
                <w:vanish/>
              </w:rPr>
            </w:pPr>
          </w:p>
        </w:tc>
        <w:tc>
          <w:tcPr>
            <w:tcW w:w="0" w:type="auto"/>
            <w:gridSpan w:val="3"/>
            <w:shd w:val="clear" w:color="auto" w:fill="auto"/>
            <w:vAlign w:val="bottom"/>
          </w:tcPr>
          <w:p w14:paraId="098A9141" w14:textId="77777777" w:rsidR="00141CDF" w:rsidRDefault="00141CDF">
            <w:pPr>
              <w:rPr>
                <w:rFonts w:ascii="宋体"/>
                <w:vanish/>
              </w:rPr>
            </w:pPr>
          </w:p>
        </w:tc>
        <w:tc>
          <w:tcPr>
            <w:tcW w:w="0" w:type="auto"/>
            <w:gridSpan w:val="3"/>
            <w:shd w:val="clear" w:color="auto" w:fill="auto"/>
            <w:vAlign w:val="bottom"/>
          </w:tcPr>
          <w:p w14:paraId="098A9142" w14:textId="77777777" w:rsidR="00141CDF" w:rsidRDefault="00141CDF">
            <w:pPr>
              <w:rPr>
                <w:rFonts w:ascii="宋体"/>
                <w:vanish/>
              </w:rPr>
            </w:pPr>
          </w:p>
        </w:tc>
        <w:tc>
          <w:tcPr>
            <w:tcW w:w="0" w:type="auto"/>
            <w:gridSpan w:val="3"/>
            <w:shd w:val="clear" w:color="auto" w:fill="auto"/>
            <w:vAlign w:val="bottom"/>
          </w:tcPr>
          <w:p w14:paraId="098A9143" w14:textId="77777777" w:rsidR="00141CDF" w:rsidRDefault="00141CDF">
            <w:pPr>
              <w:rPr>
                <w:rFonts w:ascii="宋体"/>
                <w:vanish/>
              </w:rPr>
            </w:pPr>
          </w:p>
        </w:tc>
        <w:tc>
          <w:tcPr>
            <w:tcW w:w="0" w:type="auto"/>
            <w:gridSpan w:val="3"/>
            <w:shd w:val="clear" w:color="auto" w:fill="auto"/>
            <w:vAlign w:val="bottom"/>
          </w:tcPr>
          <w:p w14:paraId="098A9144" w14:textId="77777777" w:rsidR="00141CDF" w:rsidRDefault="00141CDF">
            <w:pPr>
              <w:rPr>
                <w:rFonts w:ascii="宋体"/>
                <w:vanish/>
              </w:rPr>
            </w:pPr>
          </w:p>
        </w:tc>
        <w:tc>
          <w:tcPr>
            <w:tcW w:w="0" w:type="auto"/>
            <w:gridSpan w:val="3"/>
            <w:shd w:val="clear" w:color="auto" w:fill="auto"/>
            <w:vAlign w:val="bottom"/>
          </w:tcPr>
          <w:p w14:paraId="098A9145" w14:textId="77777777" w:rsidR="00141CDF" w:rsidRDefault="00141CDF">
            <w:pPr>
              <w:rPr>
                <w:rFonts w:ascii="宋体"/>
                <w:vanish/>
              </w:rPr>
            </w:pPr>
          </w:p>
        </w:tc>
        <w:tc>
          <w:tcPr>
            <w:tcW w:w="0" w:type="auto"/>
            <w:gridSpan w:val="3"/>
            <w:shd w:val="clear" w:color="auto" w:fill="auto"/>
            <w:vAlign w:val="bottom"/>
          </w:tcPr>
          <w:p w14:paraId="098A9146" w14:textId="77777777" w:rsidR="00141CDF" w:rsidRDefault="00141CDF">
            <w:pPr>
              <w:rPr>
                <w:rFonts w:ascii="宋体"/>
                <w:vanish/>
              </w:rPr>
            </w:pPr>
          </w:p>
        </w:tc>
        <w:tc>
          <w:tcPr>
            <w:tcW w:w="0" w:type="auto"/>
            <w:shd w:val="clear" w:color="auto" w:fill="auto"/>
            <w:vAlign w:val="bottom"/>
          </w:tcPr>
          <w:p w14:paraId="098A9147" w14:textId="77777777" w:rsidR="00141CDF" w:rsidRDefault="00141CDF">
            <w:pPr>
              <w:rPr>
                <w:rFonts w:ascii="宋体"/>
                <w:vanish/>
              </w:rPr>
            </w:pPr>
          </w:p>
        </w:tc>
        <w:tc>
          <w:tcPr>
            <w:tcW w:w="0" w:type="auto"/>
            <w:shd w:val="clear" w:color="auto" w:fill="auto"/>
            <w:vAlign w:val="bottom"/>
          </w:tcPr>
          <w:p w14:paraId="098A9148" w14:textId="77777777" w:rsidR="00141CDF" w:rsidRDefault="00141CDF">
            <w:pPr>
              <w:rPr>
                <w:rFonts w:ascii="宋体"/>
                <w:vanish/>
              </w:rPr>
            </w:pPr>
          </w:p>
        </w:tc>
        <w:tc>
          <w:tcPr>
            <w:tcW w:w="0" w:type="auto"/>
            <w:shd w:val="clear" w:color="auto" w:fill="auto"/>
            <w:vAlign w:val="bottom"/>
          </w:tcPr>
          <w:p w14:paraId="098A9149" w14:textId="77777777" w:rsidR="00141CDF" w:rsidRDefault="00141CDF">
            <w:pPr>
              <w:rPr>
                <w:rFonts w:ascii="宋体"/>
                <w:vanish/>
              </w:rPr>
            </w:pPr>
          </w:p>
        </w:tc>
      </w:tr>
      <w:tr w:rsidR="00141CDF" w14:paraId="098A915E" w14:textId="77777777">
        <w:trPr>
          <w:jc w:val="center"/>
          <w:hidden/>
        </w:trPr>
        <w:tc>
          <w:tcPr>
            <w:tcW w:w="0" w:type="auto"/>
            <w:gridSpan w:val="3"/>
            <w:shd w:val="clear" w:color="auto" w:fill="auto"/>
            <w:vAlign w:val="bottom"/>
          </w:tcPr>
          <w:p w14:paraId="098A914B" w14:textId="77777777" w:rsidR="00141CDF" w:rsidRDefault="00141CDF">
            <w:pPr>
              <w:rPr>
                <w:rFonts w:ascii="宋体"/>
                <w:vanish/>
              </w:rPr>
            </w:pPr>
          </w:p>
        </w:tc>
        <w:tc>
          <w:tcPr>
            <w:tcW w:w="0" w:type="auto"/>
            <w:gridSpan w:val="3"/>
            <w:shd w:val="clear" w:color="auto" w:fill="auto"/>
            <w:vAlign w:val="bottom"/>
          </w:tcPr>
          <w:p w14:paraId="098A914C" w14:textId="77777777" w:rsidR="00141CDF" w:rsidRDefault="00141CDF">
            <w:pPr>
              <w:rPr>
                <w:rFonts w:ascii="宋体"/>
                <w:vanish/>
              </w:rPr>
            </w:pPr>
          </w:p>
        </w:tc>
        <w:tc>
          <w:tcPr>
            <w:tcW w:w="0" w:type="auto"/>
            <w:gridSpan w:val="3"/>
            <w:shd w:val="clear" w:color="auto" w:fill="auto"/>
            <w:vAlign w:val="bottom"/>
          </w:tcPr>
          <w:p w14:paraId="098A914D" w14:textId="77777777" w:rsidR="00141CDF" w:rsidRDefault="00141CDF">
            <w:pPr>
              <w:rPr>
                <w:rFonts w:ascii="宋体"/>
                <w:vanish/>
              </w:rPr>
            </w:pPr>
          </w:p>
        </w:tc>
        <w:tc>
          <w:tcPr>
            <w:tcW w:w="0" w:type="auto"/>
            <w:gridSpan w:val="3"/>
            <w:shd w:val="clear" w:color="auto" w:fill="auto"/>
            <w:vAlign w:val="bottom"/>
          </w:tcPr>
          <w:p w14:paraId="098A914E" w14:textId="77777777" w:rsidR="00141CDF" w:rsidRDefault="00141CDF">
            <w:pPr>
              <w:rPr>
                <w:rFonts w:ascii="宋体"/>
                <w:vanish/>
              </w:rPr>
            </w:pPr>
          </w:p>
        </w:tc>
        <w:tc>
          <w:tcPr>
            <w:tcW w:w="0" w:type="auto"/>
            <w:gridSpan w:val="3"/>
            <w:shd w:val="clear" w:color="auto" w:fill="auto"/>
            <w:vAlign w:val="bottom"/>
          </w:tcPr>
          <w:p w14:paraId="098A914F" w14:textId="77777777" w:rsidR="00141CDF" w:rsidRDefault="00141CDF">
            <w:pPr>
              <w:rPr>
                <w:rFonts w:ascii="宋体"/>
                <w:vanish/>
              </w:rPr>
            </w:pPr>
          </w:p>
        </w:tc>
        <w:tc>
          <w:tcPr>
            <w:tcW w:w="0" w:type="auto"/>
            <w:gridSpan w:val="3"/>
            <w:shd w:val="clear" w:color="auto" w:fill="auto"/>
            <w:vAlign w:val="bottom"/>
          </w:tcPr>
          <w:p w14:paraId="098A9150" w14:textId="77777777" w:rsidR="00141CDF" w:rsidRDefault="00141CDF">
            <w:pPr>
              <w:rPr>
                <w:rFonts w:ascii="宋体"/>
                <w:vanish/>
              </w:rPr>
            </w:pPr>
          </w:p>
        </w:tc>
        <w:tc>
          <w:tcPr>
            <w:tcW w:w="0" w:type="auto"/>
            <w:gridSpan w:val="3"/>
            <w:shd w:val="clear" w:color="auto" w:fill="auto"/>
            <w:vAlign w:val="bottom"/>
          </w:tcPr>
          <w:p w14:paraId="098A9151" w14:textId="77777777" w:rsidR="00141CDF" w:rsidRDefault="00141CDF">
            <w:pPr>
              <w:rPr>
                <w:rFonts w:ascii="宋体"/>
                <w:vanish/>
              </w:rPr>
            </w:pPr>
          </w:p>
        </w:tc>
        <w:tc>
          <w:tcPr>
            <w:tcW w:w="0" w:type="auto"/>
            <w:gridSpan w:val="3"/>
            <w:shd w:val="clear" w:color="auto" w:fill="auto"/>
            <w:vAlign w:val="bottom"/>
          </w:tcPr>
          <w:p w14:paraId="098A9152" w14:textId="77777777" w:rsidR="00141CDF" w:rsidRDefault="00141CDF">
            <w:pPr>
              <w:rPr>
                <w:rFonts w:ascii="宋体"/>
                <w:vanish/>
              </w:rPr>
            </w:pPr>
          </w:p>
        </w:tc>
        <w:tc>
          <w:tcPr>
            <w:tcW w:w="0" w:type="auto"/>
            <w:gridSpan w:val="3"/>
            <w:shd w:val="clear" w:color="auto" w:fill="auto"/>
            <w:vAlign w:val="bottom"/>
          </w:tcPr>
          <w:p w14:paraId="098A9153" w14:textId="77777777" w:rsidR="00141CDF" w:rsidRDefault="00141CDF">
            <w:pPr>
              <w:rPr>
                <w:rFonts w:ascii="宋体"/>
                <w:vanish/>
              </w:rPr>
            </w:pPr>
          </w:p>
        </w:tc>
        <w:tc>
          <w:tcPr>
            <w:tcW w:w="0" w:type="auto"/>
            <w:gridSpan w:val="3"/>
            <w:shd w:val="clear" w:color="auto" w:fill="auto"/>
            <w:vAlign w:val="bottom"/>
          </w:tcPr>
          <w:p w14:paraId="098A9154" w14:textId="77777777" w:rsidR="00141CDF" w:rsidRDefault="00141CDF">
            <w:pPr>
              <w:rPr>
                <w:rFonts w:ascii="宋体"/>
                <w:vanish/>
              </w:rPr>
            </w:pPr>
          </w:p>
        </w:tc>
        <w:tc>
          <w:tcPr>
            <w:tcW w:w="0" w:type="auto"/>
            <w:gridSpan w:val="3"/>
            <w:shd w:val="clear" w:color="auto" w:fill="auto"/>
            <w:vAlign w:val="bottom"/>
          </w:tcPr>
          <w:p w14:paraId="098A9155" w14:textId="77777777" w:rsidR="00141CDF" w:rsidRDefault="00141CDF">
            <w:pPr>
              <w:rPr>
                <w:rFonts w:ascii="宋体"/>
                <w:vanish/>
              </w:rPr>
            </w:pPr>
          </w:p>
        </w:tc>
        <w:tc>
          <w:tcPr>
            <w:tcW w:w="0" w:type="auto"/>
            <w:gridSpan w:val="3"/>
            <w:shd w:val="clear" w:color="auto" w:fill="auto"/>
            <w:vAlign w:val="bottom"/>
          </w:tcPr>
          <w:p w14:paraId="098A9156" w14:textId="77777777" w:rsidR="00141CDF" w:rsidRDefault="00141CDF">
            <w:pPr>
              <w:rPr>
                <w:rFonts w:ascii="宋体"/>
                <w:vanish/>
              </w:rPr>
            </w:pPr>
          </w:p>
        </w:tc>
        <w:tc>
          <w:tcPr>
            <w:tcW w:w="0" w:type="auto"/>
            <w:gridSpan w:val="3"/>
            <w:shd w:val="clear" w:color="auto" w:fill="auto"/>
            <w:vAlign w:val="bottom"/>
          </w:tcPr>
          <w:p w14:paraId="098A9157" w14:textId="77777777" w:rsidR="00141CDF" w:rsidRDefault="00141CDF">
            <w:pPr>
              <w:rPr>
                <w:rFonts w:ascii="宋体"/>
                <w:vanish/>
              </w:rPr>
            </w:pPr>
          </w:p>
        </w:tc>
        <w:tc>
          <w:tcPr>
            <w:tcW w:w="0" w:type="auto"/>
            <w:gridSpan w:val="3"/>
            <w:shd w:val="clear" w:color="auto" w:fill="auto"/>
            <w:vAlign w:val="bottom"/>
          </w:tcPr>
          <w:p w14:paraId="098A9158" w14:textId="77777777" w:rsidR="00141CDF" w:rsidRDefault="00141CDF">
            <w:pPr>
              <w:rPr>
                <w:rFonts w:ascii="宋体"/>
                <w:vanish/>
              </w:rPr>
            </w:pPr>
          </w:p>
        </w:tc>
        <w:tc>
          <w:tcPr>
            <w:tcW w:w="0" w:type="auto"/>
            <w:gridSpan w:val="3"/>
            <w:shd w:val="clear" w:color="auto" w:fill="auto"/>
            <w:vAlign w:val="bottom"/>
          </w:tcPr>
          <w:p w14:paraId="098A9159" w14:textId="77777777" w:rsidR="00141CDF" w:rsidRDefault="00141CDF">
            <w:pPr>
              <w:rPr>
                <w:rFonts w:ascii="宋体"/>
                <w:vanish/>
              </w:rPr>
            </w:pPr>
          </w:p>
        </w:tc>
        <w:tc>
          <w:tcPr>
            <w:tcW w:w="0" w:type="auto"/>
            <w:gridSpan w:val="3"/>
            <w:shd w:val="clear" w:color="auto" w:fill="auto"/>
            <w:vAlign w:val="bottom"/>
          </w:tcPr>
          <w:p w14:paraId="098A915A" w14:textId="77777777" w:rsidR="00141CDF" w:rsidRDefault="00141CDF">
            <w:pPr>
              <w:rPr>
                <w:rFonts w:ascii="宋体"/>
                <w:vanish/>
              </w:rPr>
            </w:pPr>
          </w:p>
        </w:tc>
        <w:tc>
          <w:tcPr>
            <w:tcW w:w="0" w:type="auto"/>
            <w:shd w:val="clear" w:color="auto" w:fill="auto"/>
            <w:vAlign w:val="bottom"/>
          </w:tcPr>
          <w:p w14:paraId="098A915B" w14:textId="77777777" w:rsidR="00141CDF" w:rsidRDefault="00141CDF">
            <w:pPr>
              <w:rPr>
                <w:rFonts w:ascii="宋体"/>
                <w:vanish/>
              </w:rPr>
            </w:pPr>
          </w:p>
        </w:tc>
        <w:tc>
          <w:tcPr>
            <w:tcW w:w="0" w:type="auto"/>
            <w:shd w:val="clear" w:color="auto" w:fill="auto"/>
            <w:vAlign w:val="bottom"/>
          </w:tcPr>
          <w:p w14:paraId="098A915C" w14:textId="77777777" w:rsidR="00141CDF" w:rsidRDefault="00141CDF">
            <w:pPr>
              <w:rPr>
                <w:rFonts w:ascii="宋体"/>
                <w:vanish/>
              </w:rPr>
            </w:pPr>
          </w:p>
        </w:tc>
        <w:tc>
          <w:tcPr>
            <w:tcW w:w="0" w:type="auto"/>
            <w:shd w:val="clear" w:color="auto" w:fill="auto"/>
            <w:vAlign w:val="bottom"/>
          </w:tcPr>
          <w:p w14:paraId="098A915D" w14:textId="77777777" w:rsidR="00141CDF" w:rsidRDefault="00141CDF">
            <w:pPr>
              <w:rPr>
                <w:rFonts w:ascii="宋体"/>
                <w:vanish/>
              </w:rPr>
            </w:pPr>
          </w:p>
        </w:tc>
      </w:tr>
      <w:tr w:rsidR="00141CDF" w14:paraId="098A9172" w14:textId="77777777">
        <w:trPr>
          <w:jc w:val="center"/>
          <w:hidden/>
        </w:trPr>
        <w:tc>
          <w:tcPr>
            <w:tcW w:w="0" w:type="auto"/>
            <w:gridSpan w:val="3"/>
            <w:shd w:val="clear" w:color="auto" w:fill="auto"/>
            <w:vAlign w:val="bottom"/>
          </w:tcPr>
          <w:p w14:paraId="098A915F" w14:textId="77777777" w:rsidR="00141CDF" w:rsidRDefault="00141CDF">
            <w:pPr>
              <w:rPr>
                <w:rFonts w:ascii="宋体"/>
                <w:vanish/>
              </w:rPr>
            </w:pPr>
          </w:p>
        </w:tc>
        <w:tc>
          <w:tcPr>
            <w:tcW w:w="0" w:type="auto"/>
            <w:gridSpan w:val="3"/>
            <w:shd w:val="clear" w:color="auto" w:fill="auto"/>
            <w:vAlign w:val="bottom"/>
          </w:tcPr>
          <w:p w14:paraId="098A9160" w14:textId="77777777" w:rsidR="00141CDF" w:rsidRDefault="00141CDF">
            <w:pPr>
              <w:rPr>
                <w:rFonts w:ascii="宋体"/>
                <w:vanish/>
              </w:rPr>
            </w:pPr>
          </w:p>
        </w:tc>
        <w:tc>
          <w:tcPr>
            <w:tcW w:w="0" w:type="auto"/>
            <w:gridSpan w:val="3"/>
            <w:shd w:val="clear" w:color="auto" w:fill="auto"/>
            <w:vAlign w:val="bottom"/>
          </w:tcPr>
          <w:p w14:paraId="098A9161" w14:textId="77777777" w:rsidR="00141CDF" w:rsidRDefault="00141CDF">
            <w:pPr>
              <w:rPr>
                <w:rFonts w:ascii="宋体"/>
                <w:vanish/>
              </w:rPr>
            </w:pPr>
          </w:p>
        </w:tc>
        <w:tc>
          <w:tcPr>
            <w:tcW w:w="0" w:type="auto"/>
            <w:gridSpan w:val="3"/>
            <w:shd w:val="clear" w:color="auto" w:fill="auto"/>
            <w:vAlign w:val="bottom"/>
          </w:tcPr>
          <w:p w14:paraId="098A9162" w14:textId="77777777" w:rsidR="00141CDF" w:rsidRDefault="00141CDF">
            <w:pPr>
              <w:rPr>
                <w:rFonts w:ascii="宋体"/>
                <w:vanish/>
              </w:rPr>
            </w:pPr>
          </w:p>
        </w:tc>
        <w:tc>
          <w:tcPr>
            <w:tcW w:w="0" w:type="auto"/>
            <w:gridSpan w:val="3"/>
            <w:shd w:val="clear" w:color="auto" w:fill="auto"/>
            <w:vAlign w:val="bottom"/>
          </w:tcPr>
          <w:p w14:paraId="098A9163" w14:textId="77777777" w:rsidR="00141CDF" w:rsidRDefault="00141CDF">
            <w:pPr>
              <w:rPr>
                <w:rFonts w:ascii="宋体"/>
                <w:vanish/>
              </w:rPr>
            </w:pPr>
          </w:p>
        </w:tc>
        <w:tc>
          <w:tcPr>
            <w:tcW w:w="0" w:type="auto"/>
            <w:gridSpan w:val="3"/>
            <w:shd w:val="clear" w:color="auto" w:fill="auto"/>
            <w:vAlign w:val="bottom"/>
          </w:tcPr>
          <w:p w14:paraId="098A9164" w14:textId="77777777" w:rsidR="00141CDF" w:rsidRDefault="00141CDF">
            <w:pPr>
              <w:rPr>
                <w:rFonts w:ascii="宋体"/>
                <w:vanish/>
              </w:rPr>
            </w:pPr>
          </w:p>
        </w:tc>
        <w:tc>
          <w:tcPr>
            <w:tcW w:w="0" w:type="auto"/>
            <w:gridSpan w:val="3"/>
            <w:shd w:val="clear" w:color="auto" w:fill="auto"/>
            <w:vAlign w:val="bottom"/>
          </w:tcPr>
          <w:p w14:paraId="098A9165" w14:textId="77777777" w:rsidR="00141CDF" w:rsidRDefault="00141CDF">
            <w:pPr>
              <w:rPr>
                <w:rFonts w:ascii="宋体"/>
                <w:vanish/>
              </w:rPr>
            </w:pPr>
          </w:p>
        </w:tc>
        <w:tc>
          <w:tcPr>
            <w:tcW w:w="0" w:type="auto"/>
            <w:gridSpan w:val="3"/>
            <w:shd w:val="clear" w:color="auto" w:fill="auto"/>
            <w:vAlign w:val="bottom"/>
          </w:tcPr>
          <w:p w14:paraId="098A9166" w14:textId="77777777" w:rsidR="00141CDF" w:rsidRDefault="00141CDF">
            <w:pPr>
              <w:rPr>
                <w:rFonts w:ascii="宋体"/>
                <w:vanish/>
              </w:rPr>
            </w:pPr>
          </w:p>
        </w:tc>
        <w:tc>
          <w:tcPr>
            <w:tcW w:w="0" w:type="auto"/>
            <w:gridSpan w:val="3"/>
            <w:shd w:val="clear" w:color="auto" w:fill="auto"/>
            <w:vAlign w:val="bottom"/>
          </w:tcPr>
          <w:p w14:paraId="098A9167" w14:textId="77777777" w:rsidR="00141CDF" w:rsidRDefault="00141CDF">
            <w:pPr>
              <w:rPr>
                <w:rFonts w:ascii="宋体"/>
                <w:vanish/>
              </w:rPr>
            </w:pPr>
          </w:p>
        </w:tc>
        <w:tc>
          <w:tcPr>
            <w:tcW w:w="0" w:type="auto"/>
            <w:gridSpan w:val="3"/>
            <w:shd w:val="clear" w:color="auto" w:fill="auto"/>
            <w:vAlign w:val="bottom"/>
          </w:tcPr>
          <w:p w14:paraId="098A9168" w14:textId="77777777" w:rsidR="00141CDF" w:rsidRDefault="00141CDF">
            <w:pPr>
              <w:rPr>
                <w:rFonts w:ascii="宋体"/>
                <w:vanish/>
              </w:rPr>
            </w:pPr>
          </w:p>
        </w:tc>
        <w:tc>
          <w:tcPr>
            <w:tcW w:w="0" w:type="auto"/>
            <w:gridSpan w:val="3"/>
            <w:shd w:val="clear" w:color="auto" w:fill="auto"/>
            <w:vAlign w:val="bottom"/>
          </w:tcPr>
          <w:p w14:paraId="098A9169" w14:textId="77777777" w:rsidR="00141CDF" w:rsidRDefault="00141CDF">
            <w:pPr>
              <w:rPr>
                <w:rFonts w:ascii="宋体"/>
                <w:vanish/>
              </w:rPr>
            </w:pPr>
          </w:p>
        </w:tc>
        <w:tc>
          <w:tcPr>
            <w:tcW w:w="0" w:type="auto"/>
            <w:gridSpan w:val="3"/>
            <w:shd w:val="clear" w:color="auto" w:fill="auto"/>
            <w:vAlign w:val="bottom"/>
          </w:tcPr>
          <w:p w14:paraId="098A916A" w14:textId="77777777" w:rsidR="00141CDF" w:rsidRDefault="00141CDF">
            <w:pPr>
              <w:rPr>
                <w:rFonts w:ascii="宋体"/>
                <w:vanish/>
              </w:rPr>
            </w:pPr>
          </w:p>
        </w:tc>
        <w:tc>
          <w:tcPr>
            <w:tcW w:w="0" w:type="auto"/>
            <w:gridSpan w:val="3"/>
            <w:shd w:val="clear" w:color="auto" w:fill="auto"/>
            <w:vAlign w:val="bottom"/>
          </w:tcPr>
          <w:p w14:paraId="098A916B" w14:textId="77777777" w:rsidR="00141CDF" w:rsidRDefault="00141CDF">
            <w:pPr>
              <w:rPr>
                <w:rFonts w:ascii="宋体"/>
                <w:vanish/>
              </w:rPr>
            </w:pPr>
          </w:p>
        </w:tc>
        <w:tc>
          <w:tcPr>
            <w:tcW w:w="0" w:type="auto"/>
            <w:gridSpan w:val="3"/>
            <w:shd w:val="clear" w:color="auto" w:fill="auto"/>
            <w:vAlign w:val="bottom"/>
          </w:tcPr>
          <w:p w14:paraId="098A916C" w14:textId="77777777" w:rsidR="00141CDF" w:rsidRDefault="00141CDF">
            <w:pPr>
              <w:rPr>
                <w:rFonts w:ascii="宋体"/>
                <w:vanish/>
              </w:rPr>
            </w:pPr>
          </w:p>
        </w:tc>
        <w:tc>
          <w:tcPr>
            <w:tcW w:w="0" w:type="auto"/>
            <w:gridSpan w:val="3"/>
            <w:shd w:val="clear" w:color="auto" w:fill="auto"/>
            <w:vAlign w:val="bottom"/>
          </w:tcPr>
          <w:p w14:paraId="098A916D" w14:textId="77777777" w:rsidR="00141CDF" w:rsidRDefault="00141CDF">
            <w:pPr>
              <w:rPr>
                <w:rFonts w:ascii="宋体"/>
                <w:vanish/>
              </w:rPr>
            </w:pPr>
          </w:p>
        </w:tc>
        <w:tc>
          <w:tcPr>
            <w:tcW w:w="0" w:type="auto"/>
            <w:gridSpan w:val="3"/>
            <w:shd w:val="clear" w:color="auto" w:fill="auto"/>
            <w:vAlign w:val="bottom"/>
          </w:tcPr>
          <w:p w14:paraId="098A916E" w14:textId="77777777" w:rsidR="00141CDF" w:rsidRDefault="00141CDF">
            <w:pPr>
              <w:rPr>
                <w:rFonts w:ascii="宋体"/>
                <w:vanish/>
              </w:rPr>
            </w:pPr>
          </w:p>
        </w:tc>
        <w:tc>
          <w:tcPr>
            <w:tcW w:w="0" w:type="auto"/>
            <w:shd w:val="clear" w:color="auto" w:fill="auto"/>
            <w:vAlign w:val="bottom"/>
          </w:tcPr>
          <w:p w14:paraId="098A916F" w14:textId="77777777" w:rsidR="00141CDF" w:rsidRDefault="00141CDF">
            <w:pPr>
              <w:rPr>
                <w:rFonts w:ascii="宋体"/>
                <w:vanish/>
              </w:rPr>
            </w:pPr>
          </w:p>
        </w:tc>
        <w:tc>
          <w:tcPr>
            <w:tcW w:w="0" w:type="auto"/>
            <w:shd w:val="clear" w:color="auto" w:fill="auto"/>
            <w:vAlign w:val="bottom"/>
          </w:tcPr>
          <w:p w14:paraId="098A9170" w14:textId="77777777" w:rsidR="00141CDF" w:rsidRDefault="00141CDF">
            <w:pPr>
              <w:rPr>
                <w:rFonts w:ascii="宋体"/>
                <w:vanish/>
              </w:rPr>
            </w:pPr>
          </w:p>
        </w:tc>
        <w:tc>
          <w:tcPr>
            <w:tcW w:w="0" w:type="auto"/>
            <w:shd w:val="clear" w:color="auto" w:fill="auto"/>
            <w:vAlign w:val="bottom"/>
          </w:tcPr>
          <w:p w14:paraId="098A9171" w14:textId="77777777" w:rsidR="00141CDF" w:rsidRDefault="00141CDF">
            <w:pPr>
              <w:rPr>
                <w:rFonts w:ascii="宋体"/>
                <w:vanish/>
              </w:rPr>
            </w:pPr>
          </w:p>
        </w:tc>
      </w:tr>
      <w:tr w:rsidR="00141CDF" w14:paraId="098A9186" w14:textId="77777777">
        <w:trPr>
          <w:jc w:val="center"/>
          <w:hidden/>
        </w:trPr>
        <w:tc>
          <w:tcPr>
            <w:tcW w:w="0" w:type="auto"/>
            <w:gridSpan w:val="3"/>
            <w:shd w:val="clear" w:color="auto" w:fill="auto"/>
            <w:vAlign w:val="bottom"/>
          </w:tcPr>
          <w:p w14:paraId="098A9173" w14:textId="77777777" w:rsidR="00141CDF" w:rsidRDefault="00141CDF">
            <w:pPr>
              <w:rPr>
                <w:rFonts w:ascii="宋体"/>
                <w:vanish/>
              </w:rPr>
            </w:pPr>
          </w:p>
        </w:tc>
        <w:tc>
          <w:tcPr>
            <w:tcW w:w="0" w:type="auto"/>
            <w:gridSpan w:val="3"/>
            <w:shd w:val="clear" w:color="auto" w:fill="auto"/>
            <w:vAlign w:val="bottom"/>
          </w:tcPr>
          <w:p w14:paraId="098A9174" w14:textId="77777777" w:rsidR="00141CDF" w:rsidRDefault="00141CDF">
            <w:pPr>
              <w:rPr>
                <w:rFonts w:ascii="宋体"/>
                <w:vanish/>
              </w:rPr>
            </w:pPr>
          </w:p>
        </w:tc>
        <w:tc>
          <w:tcPr>
            <w:tcW w:w="0" w:type="auto"/>
            <w:gridSpan w:val="3"/>
            <w:shd w:val="clear" w:color="auto" w:fill="auto"/>
            <w:vAlign w:val="bottom"/>
          </w:tcPr>
          <w:p w14:paraId="098A9175" w14:textId="77777777" w:rsidR="00141CDF" w:rsidRDefault="00141CDF">
            <w:pPr>
              <w:rPr>
                <w:rFonts w:ascii="宋体"/>
                <w:vanish/>
              </w:rPr>
            </w:pPr>
          </w:p>
        </w:tc>
        <w:tc>
          <w:tcPr>
            <w:tcW w:w="0" w:type="auto"/>
            <w:gridSpan w:val="3"/>
            <w:shd w:val="clear" w:color="auto" w:fill="auto"/>
            <w:vAlign w:val="bottom"/>
          </w:tcPr>
          <w:p w14:paraId="098A9176" w14:textId="77777777" w:rsidR="00141CDF" w:rsidRDefault="00141CDF">
            <w:pPr>
              <w:rPr>
                <w:rFonts w:ascii="宋体"/>
                <w:vanish/>
              </w:rPr>
            </w:pPr>
          </w:p>
        </w:tc>
        <w:tc>
          <w:tcPr>
            <w:tcW w:w="0" w:type="auto"/>
            <w:gridSpan w:val="3"/>
            <w:shd w:val="clear" w:color="auto" w:fill="auto"/>
            <w:vAlign w:val="bottom"/>
          </w:tcPr>
          <w:p w14:paraId="098A9177" w14:textId="77777777" w:rsidR="00141CDF" w:rsidRDefault="00141CDF">
            <w:pPr>
              <w:rPr>
                <w:rFonts w:ascii="宋体"/>
                <w:vanish/>
              </w:rPr>
            </w:pPr>
          </w:p>
        </w:tc>
        <w:tc>
          <w:tcPr>
            <w:tcW w:w="0" w:type="auto"/>
            <w:gridSpan w:val="3"/>
            <w:shd w:val="clear" w:color="auto" w:fill="auto"/>
            <w:vAlign w:val="bottom"/>
          </w:tcPr>
          <w:p w14:paraId="098A9178" w14:textId="77777777" w:rsidR="00141CDF" w:rsidRDefault="00141CDF">
            <w:pPr>
              <w:rPr>
                <w:rFonts w:ascii="宋体"/>
                <w:vanish/>
              </w:rPr>
            </w:pPr>
          </w:p>
        </w:tc>
        <w:tc>
          <w:tcPr>
            <w:tcW w:w="0" w:type="auto"/>
            <w:gridSpan w:val="3"/>
            <w:shd w:val="clear" w:color="auto" w:fill="auto"/>
            <w:vAlign w:val="bottom"/>
          </w:tcPr>
          <w:p w14:paraId="098A9179" w14:textId="77777777" w:rsidR="00141CDF" w:rsidRDefault="00141CDF">
            <w:pPr>
              <w:rPr>
                <w:rFonts w:ascii="宋体"/>
                <w:vanish/>
              </w:rPr>
            </w:pPr>
          </w:p>
        </w:tc>
        <w:tc>
          <w:tcPr>
            <w:tcW w:w="0" w:type="auto"/>
            <w:gridSpan w:val="3"/>
            <w:shd w:val="clear" w:color="auto" w:fill="auto"/>
            <w:vAlign w:val="bottom"/>
          </w:tcPr>
          <w:p w14:paraId="098A917A" w14:textId="77777777" w:rsidR="00141CDF" w:rsidRDefault="00141CDF">
            <w:pPr>
              <w:rPr>
                <w:rFonts w:ascii="宋体"/>
                <w:vanish/>
              </w:rPr>
            </w:pPr>
          </w:p>
        </w:tc>
        <w:tc>
          <w:tcPr>
            <w:tcW w:w="0" w:type="auto"/>
            <w:gridSpan w:val="3"/>
            <w:shd w:val="clear" w:color="auto" w:fill="auto"/>
            <w:vAlign w:val="bottom"/>
          </w:tcPr>
          <w:p w14:paraId="098A917B" w14:textId="77777777" w:rsidR="00141CDF" w:rsidRDefault="00141CDF">
            <w:pPr>
              <w:rPr>
                <w:rFonts w:ascii="宋体"/>
                <w:vanish/>
              </w:rPr>
            </w:pPr>
          </w:p>
        </w:tc>
        <w:tc>
          <w:tcPr>
            <w:tcW w:w="0" w:type="auto"/>
            <w:gridSpan w:val="3"/>
            <w:shd w:val="clear" w:color="auto" w:fill="auto"/>
            <w:vAlign w:val="bottom"/>
          </w:tcPr>
          <w:p w14:paraId="098A917C" w14:textId="77777777" w:rsidR="00141CDF" w:rsidRDefault="00141CDF">
            <w:pPr>
              <w:rPr>
                <w:rFonts w:ascii="宋体"/>
                <w:vanish/>
              </w:rPr>
            </w:pPr>
          </w:p>
        </w:tc>
        <w:tc>
          <w:tcPr>
            <w:tcW w:w="0" w:type="auto"/>
            <w:gridSpan w:val="3"/>
            <w:shd w:val="clear" w:color="auto" w:fill="auto"/>
            <w:vAlign w:val="bottom"/>
          </w:tcPr>
          <w:p w14:paraId="098A917D" w14:textId="77777777" w:rsidR="00141CDF" w:rsidRDefault="00141CDF">
            <w:pPr>
              <w:rPr>
                <w:rFonts w:ascii="宋体"/>
                <w:vanish/>
              </w:rPr>
            </w:pPr>
          </w:p>
        </w:tc>
        <w:tc>
          <w:tcPr>
            <w:tcW w:w="0" w:type="auto"/>
            <w:gridSpan w:val="3"/>
            <w:shd w:val="clear" w:color="auto" w:fill="auto"/>
            <w:vAlign w:val="bottom"/>
          </w:tcPr>
          <w:p w14:paraId="098A917E" w14:textId="77777777" w:rsidR="00141CDF" w:rsidRDefault="00141CDF">
            <w:pPr>
              <w:rPr>
                <w:rFonts w:ascii="宋体"/>
                <w:vanish/>
              </w:rPr>
            </w:pPr>
          </w:p>
        </w:tc>
        <w:tc>
          <w:tcPr>
            <w:tcW w:w="0" w:type="auto"/>
            <w:gridSpan w:val="3"/>
            <w:shd w:val="clear" w:color="auto" w:fill="auto"/>
            <w:vAlign w:val="bottom"/>
          </w:tcPr>
          <w:p w14:paraId="098A917F" w14:textId="77777777" w:rsidR="00141CDF" w:rsidRDefault="00141CDF">
            <w:pPr>
              <w:rPr>
                <w:rFonts w:ascii="宋体"/>
                <w:vanish/>
              </w:rPr>
            </w:pPr>
          </w:p>
        </w:tc>
        <w:tc>
          <w:tcPr>
            <w:tcW w:w="0" w:type="auto"/>
            <w:gridSpan w:val="3"/>
            <w:shd w:val="clear" w:color="auto" w:fill="auto"/>
            <w:vAlign w:val="bottom"/>
          </w:tcPr>
          <w:p w14:paraId="098A9180" w14:textId="77777777" w:rsidR="00141CDF" w:rsidRDefault="00141CDF">
            <w:pPr>
              <w:rPr>
                <w:rFonts w:ascii="宋体"/>
                <w:vanish/>
              </w:rPr>
            </w:pPr>
          </w:p>
        </w:tc>
        <w:tc>
          <w:tcPr>
            <w:tcW w:w="0" w:type="auto"/>
            <w:gridSpan w:val="3"/>
            <w:shd w:val="clear" w:color="auto" w:fill="auto"/>
            <w:vAlign w:val="bottom"/>
          </w:tcPr>
          <w:p w14:paraId="098A9181" w14:textId="77777777" w:rsidR="00141CDF" w:rsidRDefault="00141CDF">
            <w:pPr>
              <w:rPr>
                <w:rFonts w:ascii="宋体"/>
                <w:vanish/>
              </w:rPr>
            </w:pPr>
          </w:p>
        </w:tc>
        <w:tc>
          <w:tcPr>
            <w:tcW w:w="0" w:type="auto"/>
            <w:gridSpan w:val="3"/>
            <w:shd w:val="clear" w:color="auto" w:fill="auto"/>
            <w:vAlign w:val="bottom"/>
          </w:tcPr>
          <w:p w14:paraId="098A9182" w14:textId="77777777" w:rsidR="00141CDF" w:rsidRDefault="00141CDF">
            <w:pPr>
              <w:rPr>
                <w:rFonts w:ascii="宋体"/>
                <w:vanish/>
              </w:rPr>
            </w:pPr>
          </w:p>
        </w:tc>
        <w:tc>
          <w:tcPr>
            <w:tcW w:w="0" w:type="auto"/>
            <w:shd w:val="clear" w:color="auto" w:fill="auto"/>
            <w:vAlign w:val="bottom"/>
          </w:tcPr>
          <w:p w14:paraId="098A9183" w14:textId="77777777" w:rsidR="00141CDF" w:rsidRDefault="00141CDF">
            <w:pPr>
              <w:rPr>
                <w:rFonts w:ascii="宋体"/>
                <w:vanish/>
              </w:rPr>
            </w:pPr>
          </w:p>
        </w:tc>
        <w:tc>
          <w:tcPr>
            <w:tcW w:w="0" w:type="auto"/>
            <w:shd w:val="clear" w:color="auto" w:fill="auto"/>
            <w:vAlign w:val="bottom"/>
          </w:tcPr>
          <w:p w14:paraId="098A9184" w14:textId="77777777" w:rsidR="00141CDF" w:rsidRDefault="00141CDF">
            <w:pPr>
              <w:rPr>
                <w:rFonts w:ascii="宋体"/>
                <w:vanish/>
              </w:rPr>
            </w:pPr>
          </w:p>
        </w:tc>
        <w:tc>
          <w:tcPr>
            <w:tcW w:w="0" w:type="auto"/>
            <w:shd w:val="clear" w:color="auto" w:fill="auto"/>
            <w:vAlign w:val="bottom"/>
          </w:tcPr>
          <w:p w14:paraId="098A9185" w14:textId="77777777" w:rsidR="00141CDF" w:rsidRDefault="00141CDF">
            <w:pPr>
              <w:rPr>
                <w:rFonts w:ascii="宋体"/>
                <w:vanish/>
              </w:rPr>
            </w:pPr>
          </w:p>
        </w:tc>
      </w:tr>
      <w:tr w:rsidR="00141CDF" w14:paraId="098A919A" w14:textId="77777777">
        <w:trPr>
          <w:jc w:val="center"/>
          <w:hidden/>
        </w:trPr>
        <w:tc>
          <w:tcPr>
            <w:tcW w:w="0" w:type="auto"/>
            <w:gridSpan w:val="3"/>
            <w:shd w:val="clear" w:color="auto" w:fill="auto"/>
            <w:vAlign w:val="bottom"/>
          </w:tcPr>
          <w:p w14:paraId="098A9187" w14:textId="77777777" w:rsidR="00141CDF" w:rsidRDefault="00141CDF">
            <w:pPr>
              <w:rPr>
                <w:rFonts w:ascii="宋体"/>
                <w:vanish/>
              </w:rPr>
            </w:pPr>
          </w:p>
        </w:tc>
        <w:tc>
          <w:tcPr>
            <w:tcW w:w="0" w:type="auto"/>
            <w:gridSpan w:val="3"/>
            <w:shd w:val="clear" w:color="auto" w:fill="auto"/>
            <w:vAlign w:val="bottom"/>
          </w:tcPr>
          <w:p w14:paraId="098A9188" w14:textId="77777777" w:rsidR="00141CDF" w:rsidRDefault="00141CDF">
            <w:pPr>
              <w:rPr>
                <w:rFonts w:ascii="宋体"/>
                <w:vanish/>
              </w:rPr>
            </w:pPr>
          </w:p>
        </w:tc>
        <w:tc>
          <w:tcPr>
            <w:tcW w:w="0" w:type="auto"/>
            <w:gridSpan w:val="3"/>
            <w:shd w:val="clear" w:color="auto" w:fill="auto"/>
            <w:vAlign w:val="bottom"/>
          </w:tcPr>
          <w:p w14:paraId="098A9189" w14:textId="77777777" w:rsidR="00141CDF" w:rsidRDefault="00141CDF">
            <w:pPr>
              <w:rPr>
                <w:rFonts w:ascii="宋体"/>
                <w:vanish/>
              </w:rPr>
            </w:pPr>
          </w:p>
        </w:tc>
        <w:tc>
          <w:tcPr>
            <w:tcW w:w="0" w:type="auto"/>
            <w:gridSpan w:val="3"/>
            <w:shd w:val="clear" w:color="auto" w:fill="auto"/>
            <w:vAlign w:val="bottom"/>
          </w:tcPr>
          <w:p w14:paraId="098A918A" w14:textId="77777777" w:rsidR="00141CDF" w:rsidRDefault="00141CDF">
            <w:pPr>
              <w:rPr>
                <w:rFonts w:ascii="宋体"/>
                <w:vanish/>
              </w:rPr>
            </w:pPr>
          </w:p>
        </w:tc>
        <w:tc>
          <w:tcPr>
            <w:tcW w:w="0" w:type="auto"/>
            <w:gridSpan w:val="3"/>
            <w:shd w:val="clear" w:color="auto" w:fill="auto"/>
            <w:vAlign w:val="bottom"/>
          </w:tcPr>
          <w:p w14:paraId="098A918B" w14:textId="77777777" w:rsidR="00141CDF" w:rsidRDefault="00141CDF">
            <w:pPr>
              <w:rPr>
                <w:rFonts w:ascii="宋体"/>
                <w:vanish/>
              </w:rPr>
            </w:pPr>
          </w:p>
        </w:tc>
        <w:tc>
          <w:tcPr>
            <w:tcW w:w="0" w:type="auto"/>
            <w:gridSpan w:val="3"/>
            <w:shd w:val="clear" w:color="auto" w:fill="auto"/>
            <w:vAlign w:val="bottom"/>
          </w:tcPr>
          <w:p w14:paraId="098A918C" w14:textId="77777777" w:rsidR="00141CDF" w:rsidRDefault="00141CDF">
            <w:pPr>
              <w:rPr>
                <w:rFonts w:ascii="宋体"/>
                <w:vanish/>
              </w:rPr>
            </w:pPr>
          </w:p>
        </w:tc>
        <w:tc>
          <w:tcPr>
            <w:tcW w:w="0" w:type="auto"/>
            <w:gridSpan w:val="3"/>
            <w:shd w:val="clear" w:color="auto" w:fill="auto"/>
            <w:vAlign w:val="bottom"/>
          </w:tcPr>
          <w:p w14:paraId="098A918D" w14:textId="77777777" w:rsidR="00141CDF" w:rsidRDefault="00141CDF">
            <w:pPr>
              <w:rPr>
                <w:rFonts w:ascii="宋体"/>
                <w:vanish/>
              </w:rPr>
            </w:pPr>
          </w:p>
        </w:tc>
        <w:tc>
          <w:tcPr>
            <w:tcW w:w="0" w:type="auto"/>
            <w:gridSpan w:val="3"/>
            <w:shd w:val="clear" w:color="auto" w:fill="auto"/>
            <w:vAlign w:val="bottom"/>
          </w:tcPr>
          <w:p w14:paraId="098A918E" w14:textId="77777777" w:rsidR="00141CDF" w:rsidRDefault="00141CDF">
            <w:pPr>
              <w:rPr>
                <w:rFonts w:ascii="宋体"/>
                <w:vanish/>
              </w:rPr>
            </w:pPr>
          </w:p>
        </w:tc>
        <w:tc>
          <w:tcPr>
            <w:tcW w:w="0" w:type="auto"/>
            <w:gridSpan w:val="3"/>
            <w:shd w:val="clear" w:color="auto" w:fill="auto"/>
            <w:vAlign w:val="bottom"/>
          </w:tcPr>
          <w:p w14:paraId="098A918F" w14:textId="77777777" w:rsidR="00141CDF" w:rsidRDefault="00141CDF">
            <w:pPr>
              <w:rPr>
                <w:rFonts w:ascii="宋体"/>
                <w:vanish/>
              </w:rPr>
            </w:pPr>
          </w:p>
        </w:tc>
        <w:tc>
          <w:tcPr>
            <w:tcW w:w="0" w:type="auto"/>
            <w:gridSpan w:val="3"/>
            <w:shd w:val="clear" w:color="auto" w:fill="auto"/>
            <w:vAlign w:val="bottom"/>
          </w:tcPr>
          <w:p w14:paraId="098A9190" w14:textId="77777777" w:rsidR="00141CDF" w:rsidRDefault="00141CDF">
            <w:pPr>
              <w:rPr>
                <w:rFonts w:ascii="宋体"/>
                <w:vanish/>
              </w:rPr>
            </w:pPr>
          </w:p>
        </w:tc>
        <w:tc>
          <w:tcPr>
            <w:tcW w:w="0" w:type="auto"/>
            <w:gridSpan w:val="3"/>
            <w:shd w:val="clear" w:color="auto" w:fill="auto"/>
            <w:vAlign w:val="bottom"/>
          </w:tcPr>
          <w:p w14:paraId="098A9191" w14:textId="77777777" w:rsidR="00141CDF" w:rsidRDefault="00141CDF">
            <w:pPr>
              <w:rPr>
                <w:rFonts w:ascii="宋体"/>
                <w:vanish/>
              </w:rPr>
            </w:pPr>
          </w:p>
        </w:tc>
        <w:tc>
          <w:tcPr>
            <w:tcW w:w="0" w:type="auto"/>
            <w:gridSpan w:val="3"/>
            <w:shd w:val="clear" w:color="auto" w:fill="auto"/>
            <w:vAlign w:val="bottom"/>
          </w:tcPr>
          <w:p w14:paraId="098A9192" w14:textId="77777777" w:rsidR="00141CDF" w:rsidRDefault="00141CDF">
            <w:pPr>
              <w:rPr>
                <w:rFonts w:ascii="宋体"/>
                <w:vanish/>
              </w:rPr>
            </w:pPr>
          </w:p>
        </w:tc>
        <w:tc>
          <w:tcPr>
            <w:tcW w:w="0" w:type="auto"/>
            <w:gridSpan w:val="3"/>
            <w:shd w:val="clear" w:color="auto" w:fill="auto"/>
            <w:vAlign w:val="bottom"/>
          </w:tcPr>
          <w:p w14:paraId="098A9193" w14:textId="77777777" w:rsidR="00141CDF" w:rsidRDefault="00141CDF">
            <w:pPr>
              <w:rPr>
                <w:rFonts w:ascii="宋体"/>
                <w:vanish/>
              </w:rPr>
            </w:pPr>
          </w:p>
        </w:tc>
        <w:tc>
          <w:tcPr>
            <w:tcW w:w="0" w:type="auto"/>
            <w:gridSpan w:val="3"/>
            <w:shd w:val="clear" w:color="auto" w:fill="auto"/>
            <w:vAlign w:val="bottom"/>
          </w:tcPr>
          <w:p w14:paraId="098A9194" w14:textId="77777777" w:rsidR="00141CDF" w:rsidRDefault="00141CDF">
            <w:pPr>
              <w:rPr>
                <w:rFonts w:ascii="宋体"/>
                <w:vanish/>
              </w:rPr>
            </w:pPr>
          </w:p>
        </w:tc>
        <w:tc>
          <w:tcPr>
            <w:tcW w:w="0" w:type="auto"/>
            <w:gridSpan w:val="3"/>
            <w:shd w:val="clear" w:color="auto" w:fill="auto"/>
            <w:vAlign w:val="bottom"/>
          </w:tcPr>
          <w:p w14:paraId="098A9195" w14:textId="77777777" w:rsidR="00141CDF" w:rsidRDefault="00141CDF">
            <w:pPr>
              <w:rPr>
                <w:rFonts w:ascii="宋体"/>
                <w:vanish/>
              </w:rPr>
            </w:pPr>
          </w:p>
        </w:tc>
        <w:tc>
          <w:tcPr>
            <w:tcW w:w="0" w:type="auto"/>
            <w:gridSpan w:val="3"/>
            <w:shd w:val="clear" w:color="auto" w:fill="auto"/>
            <w:vAlign w:val="bottom"/>
          </w:tcPr>
          <w:p w14:paraId="098A9196" w14:textId="77777777" w:rsidR="00141CDF" w:rsidRDefault="00141CDF">
            <w:pPr>
              <w:rPr>
                <w:rFonts w:ascii="宋体"/>
                <w:vanish/>
              </w:rPr>
            </w:pPr>
          </w:p>
        </w:tc>
        <w:tc>
          <w:tcPr>
            <w:tcW w:w="0" w:type="auto"/>
            <w:shd w:val="clear" w:color="auto" w:fill="auto"/>
            <w:vAlign w:val="bottom"/>
          </w:tcPr>
          <w:p w14:paraId="098A9197" w14:textId="77777777" w:rsidR="00141CDF" w:rsidRDefault="00141CDF">
            <w:pPr>
              <w:rPr>
                <w:rFonts w:ascii="宋体"/>
                <w:vanish/>
              </w:rPr>
            </w:pPr>
          </w:p>
        </w:tc>
        <w:tc>
          <w:tcPr>
            <w:tcW w:w="0" w:type="auto"/>
            <w:shd w:val="clear" w:color="auto" w:fill="auto"/>
            <w:vAlign w:val="bottom"/>
          </w:tcPr>
          <w:p w14:paraId="098A9198" w14:textId="77777777" w:rsidR="00141CDF" w:rsidRDefault="00141CDF">
            <w:pPr>
              <w:rPr>
                <w:rFonts w:ascii="宋体"/>
                <w:vanish/>
              </w:rPr>
            </w:pPr>
          </w:p>
        </w:tc>
        <w:tc>
          <w:tcPr>
            <w:tcW w:w="0" w:type="auto"/>
            <w:shd w:val="clear" w:color="auto" w:fill="auto"/>
            <w:vAlign w:val="bottom"/>
          </w:tcPr>
          <w:p w14:paraId="098A9199" w14:textId="77777777" w:rsidR="00141CDF" w:rsidRDefault="00141CDF">
            <w:pPr>
              <w:rPr>
                <w:rFonts w:ascii="宋体"/>
                <w:vanish/>
              </w:rPr>
            </w:pPr>
          </w:p>
        </w:tc>
      </w:tr>
      <w:tr w:rsidR="00141CDF" w14:paraId="098A91AE" w14:textId="77777777">
        <w:trPr>
          <w:jc w:val="center"/>
          <w:hidden/>
        </w:trPr>
        <w:tc>
          <w:tcPr>
            <w:tcW w:w="0" w:type="auto"/>
            <w:gridSpan w:val="3"/>
            <w:shd w:val="clear" w:color="auto" w:fill="auto"/>
            <w:vAlign w:val="bottom"/>
          </w:tcPr>
          <w:p w14:paraId="098A919B" w14:textId="77777777" w:rsidR="00141CDF" w:rsidRDefault="00141CDF">
            <w:pPr>
              <w:rPr>
                <w:rFonts w:ascii="宋体"/>
                <w:vanish/>
              </w:rPr>
            </w:pPr>
          </w:p>
        </w:tc>
        <w:tc>
          <w:tcPr>
            <w:tcW w:w="0" w:type="auto"/>
            <w:gridSpan w:val="3"/>
            <w:shd w:val="clear" w:color="auto" w:fill="auto"/>
            <w:vAlign w:val="bottom"/>
          </w:tcPr>
          <w:p w14:paraId="098A919C" w14:textId="77777777" w:rsidR="00141CDF" w:rsidRDefault="00141CDF">
            <w:pPr>
              <w:rPr>
                <w:rFonts w:ascii="宋体"/>
                <w:vanish/>
              </w:rPr>
            </w:pPr>
          </w:p>
        </w:tc>
        <w:tc>
          <w:tcPr>
            <w:tcW w:w="0" w:type="auto"/>
            <w:gridSpan w:val="3"/>
            <w:shd w:val="clear" w:color="auto" w:fill="auto"/>
            <w:vAlign w:val="bottom"/>
          </w:tcPr>
          <w:p w14:paraId="098A919D" w14:textId="77777777" w:rsidR="00141CDF" w:rsidRDefault="00141CDF">
            <w:pPr>
              <w:rPr>
                <w:rFonts w:ascii="宋体"/>
                <w:vanish/>
              </w:rPr>
            </w:pPr>
          </w:p>
        </w:tc>
        <w:tc>
          <w:tcPr>
            <w:tcW w:w="0" w:type="auto"/>
            <w:gridSpan w:val="3"/>
            <w:shd w:val="clear" w:color="auto" w:fill="auto"/>
            <w:vAlign w:val="bottom"/>
          </w:tcPr>
          <w:p w14:paraId="098A919E" w14:textId="77777777" w:rsidR="00141CDF" w:rsidRDefault="00141CDF">
            <w:pPr>
              <w:rPr>
                <w:rFonts w:ascii="宋体"/>
                <w:vanish/>
              </w:rPr>
            </w:pPr>
          </w:p>
        </w:tc>
        <w:tc>
          <w:tcPr>
            <w:tcW w:w="0" w:type="auto"/>
            <w:gridSpan w:val="3"/>
            <w:shd w:val="clear" w:color="auto" w:fill="auto"/>
            <w:vAlign w:val="bottom"/>
          </w:tcPr>
          <w:p w14:paraId="098A919F" w14:textId="77777777" w:rsidR="00141CDF" w:rsidRDefault="00141CDF">
            <w:pPr>
              <w:rPr>
                <w:rFonts w:ascii="宋体"/>
                <w:vanish/>
              </w:rPr>
            </w:pPr>
          </w:p>
        </w:tc>
        <w:tc>
          <w:tcPr>
            <w:tcW w:w="0" w:type="auto"/>
            <w:gridSpan w:val="3"/>
            <w:shd w:val="clear" w:color="auto" w:fill="auto"/>
            <w:vAlign w:val="bottom"/>
          </w:tcPr>
          <w:p w14:paraId="098A91A0" w14:textId="77777777" w:rsidR="00141CDF" w:rsidRDefault="00141CDF">
            <w:pPr>
              <w:rPr>
                <w:rFonts w:ascii="宋体"/>
                <w:vanish/>
              </w:rPr>
            </w:pPr>
          </w:p>
        </w:tc>
        <w:tc>
          <w:tcPr>
            <w:tcW w:w="0" w:type="auto"/>
            <w:gridSpan w:val="3"/>
            <w:shd w:val="clear" w:color="auto" w:fill="auto"/>
            <w:vAlign w:val="bottom"/>
          </w:tcPr>
          <w:p w14:paraId="098A91A1" w14:textId="77777777" w:rsidR="00141CDF" w:rsidRDefault="00141CDF">
            <w:pPr>
              <w:rPr>
                <w:rFonts w:ascii="宋体"/>
                <w:vanish/>
              </w:rPr>
            </w:pPr>
          </w:p>
        </w:tc>
        <w:tc>
          <w:tcPr>
            <w:tcW w:w="0" w:type="auto"/>
            <w:gridSpan w:val="3"/>
            <w:shd w:val="clear" w:color="auto" w:fill="auto"/>
            <w:vAlign w:val="bottom"/>
          </w:tcPr>
          <w:p w14:paraId="098A91A2" w14:textId="77777777" w:rsidR="00141CDF" w:rsidRDefault="00141CDF">
            <w:pPr>
              <w:rPr>
                <w:rFonts w:ascii="宋体"/>
                <w:vanish/>
              </w:rPr>
            </w:pPr>
          </w:p>
        </w:tc>
        <w:tc>
          <w:tcPr>
            <w:tcW w:w="0" w:type="auto"/>
            <w:gridSpan w:val="3"/>
            <w:shd w:val="clear" w:color="auto" w:fill="auto"/>
            <w:vAlign w:val="bottom"/>
          </w:tcPr>
          <w:p w14:paraId="098A91A3" w14:textId="77777777" w:rsidR="00141CDF" w:rsidRDefault="00141CDF">
            <w:pPr>
              <w:rPr>
                <w:rFonts w:ascii="宋体"/>
                <w:vanish/>
              </w:rPr>
            </w:pPr>
          </w:p>
        </w:tc>
        <w:tc>
          <w:tcPr>
            <w:tcW w:w="0" w:type="auto"/>
            <w:gridSpan w:val="3"/>
            <w:shd w:val="clear" w:color="auto" w:fill="auto"/>
            <w:vAlign w:val="bottom"/>
          </w:tcPr>
          <w:p w14:paraId="098A91A4" w14:textId="77777777" w:rsidR="00141CDF" w:rsidRDefault="00141CDF">
            <w:pPr>
              <w:rPr>
                <w:rFonts w:ascii="宋体"/>
                <w:vanish/>
              </w:rPr>
            </w:pPr>
          </w:p>
        </w:tc>
        <w:tc>
          <w:tcPr>
            <w:tcW w:w="0" w:type="auto"/>
            <w:gridSpan w:val="3"/>
            <w:shd w:val="clear" w:color="auto" w:fill="auto"/>
            <w:vAlign w:val="bottom"/>
          </w:tcPr>
          <w:p w14:paraId="098A91A5" w14:textId="77777777" w:rsidR="00141CDF" w:rsidRDefault="00141CDF">
            <w:pPr>
              <w:rPr>
                <w:rFonts w:ascii="宋体"/>
                <w:vanish/>
              </w:rPr>
            </w:pPr>
          </w:p>
        </w:tc>
        <w:tc>
          <w:tcPr>
            <w:tcW w:w="0" w:type="auto"/>
            <w:gridSpan w:val="3"/>
            <w:shd w:val="clear" w:color="auto" w:fill="auto"/>
            <w:vAlign w:val="bottom"/>
          </w:tcPr>
          <w:p w14:paraId="098A91A6" w14:textId="77777777" w:rsidR="00141CDF" w:rsidRDefault="00141CDF">
            <w:pPr>
              <w:rPr>
                <w:rFonts w:ascii="宋体"/>
                <w:vanish/>
              </w:rPr>
            </w:pPr>
          </w:p>
        </w:tc>
        <w:tc>
          <w:tcPr>
            <w:tcW w:w="0" w:type="auto"/>
            <w:gridSpan w:val="3"/>
            <w:shd w:val="clear" w:color="auto" w:fill="auto"/>
            <w:vAlign w:val="bottom"/>
          </w:tcPr>
          <w:p w14:paraId="098A91A7" w14:textId="77777777" w:rsidR="00141CDF" w:rsidRDefault="00141CDF">
            <w:pPr>
              <w:rPr>
                <w:rFonts w:ascii="宋体"/>
                <w:vanish/>
              </w:rPr>
            </w:pPr>
          </w:p>
        </w:tc>
        <w:tc>
          <w:tcPr>
            <w:tcW w:w="0" w:type="auto"/>
            <w:gridSpan w:val="3"/>
            <w:shd w:val="clear" w:color="auto" w:fill="auto"/>
            <w:vAlign w:val="bottom"/>
          </w:tcPr>
          <w:p w14:paraId="098A91A8" w14:textId="77777777" w:rsidR="00141CDF" w:rsidRDefault="00141CDF">
            <w:pPr>
              <w:rPr>
                <w:rFonts w:ascii="宋体"/>
                <w:vanish/>
              </w:rPr>
            </w:pPr>
          </w:p>
        </w:tc>
        <w:tc>
          <w:tcPr>
            <w:tcW w:w="0" w:type="auto"/>
            <w:gridSpan w:val="3"/>
            <w:shd w:val="clear" w:color="auto" w:fill="auto"/>
            <w:vAlign w:val="bottom"/>
          </w:tcPr>
          <w:p w14:paraId="098A91A9" w14:textId="77777777" w:rsidR="00141CDF" w:rsidRDefault="00141CDF">
            <w:pPr>
              <w:rPr>
                <w:rFonts w:ascii="宋体"/>
                <w:vanish/>
              </w:rPr>
            </w:pPr>
          </w:p>
        </w:tc>
        <w:tc>
          <w:tcPr>
            <w:tcW w:w="0" w:type="auto"/>
            <w:gridSpan w:val="3"/>
            <w:shd w:val="clear" w:color="auto" w:fill="auto"/>
            <w:vAlign w:val="bottom"/>
          </w:tcPr>
          <w:p w14:paraId="098A91AA" w14:textId="77777777" w:rsidR="00141CDF" w:rsidRDefault="00141CDF">
            <w:pPr>
              <w:rPr>
                <w:rFonts w:ascii="宋体"/>
                <w:vanish/>
              </w:rPr>
            </w:pPr>
          </w:p>
        </w:tc>
        <w:tc>
          <w:tcPr>
            <w:tcW w:w="0" w:type="auto"/>
            <w:shd w:val="clear" w:color="auto" w:fill="auto"/>
            <w:vAlign w:val="bottom"/>
          </w:tcPr>
          <w:p w14:paraId="098A91AB" w14:textId="77777777" w:rsidR="00141CDF" w:rsidRDefault="00141CDF">
            <w:pPr>
              <w:rPr>
                <w:rFonts w:ascii="宋体"/>
                <w:vanish/>
              </w:rPr>
            </w:pPr>
          </w:p>
        </w:tc>
        <w:tc>
          <w:tcPr>
            <w:tcW w:w="0" w:type="auto"/>
            <w:shd w:val="clear" w:color="auto" w:fill="auto"/>
            <w:vAlign w:val="bottom"/>
          </w:tcPr>
          <w:p w14:paraId="098A91AC" w14:textId="77777777" w:rsidR="00141CDF" w:rsidRDefault="00141CDF">
            <w:pPr>
              <w:rPr>
                <w:rFonts w:ascii="宋体"/>
                <w:vanish/>
              </w:rPr>
            </w:pPr>
          </w:p>
        </w:tc>
        <w:tc>
          <w:tcPr>
            <w:tcW w:w="0" w:type="auto"/>
            <w:shd w:val="clear" w:color="auto" w:fill="auto"/>
            <w:vAlign w:val="bottom"/>
          </w:tcPr>
          <w:p w14:paraId="098A91AD" w14:textId="77777777" w:rsidR="00141CDF" w:rsidRDefault="00141CDF">
            <w:pPr>
              <w:rPr>
                <w:rFonts w:ascii="宋体"/>
                <w:vanish/>
              </w:rPr>
            </w:pPr>
          </w:p>
        </w:tc>
      </w:tr>
      <w:tr w:rsidR="00141CDF" w14:paraId="098A91C2" w14:textId="77777777">
        <w:trPr>
          <w:jc w:val="center"/>
          <w:hidden/>
        </w:trPr>
        <w:tc>
          <w:tcPr>
            <w:tcW w:w="0" w:type="auto"/>
            <w:gridSpan w:val="3"/>
            <w:shd w:val="clear" w:color="auto" w:fill="auto"/>
            <w:vAlign w:val="bottom"/>
          </w:tcPr>
          <w:p w14:paraId="098A91AF" w14:textId="77777777" w:rsidR="00141CDF" w:rsidRDefault="00141CDF">
            <w:pPr>
              <w:rPr>
                <w:rFonts w:ascii="宋体"/>
                <w:vanish/>
              </w:rPr>
            </w:pPr>
          </w:p>
        </w:tc>
        <w:tc>
          <w:tcPr>
            <w:tcW w:w="0" w:type="auto"/>
            <w:gridSpan w:val="3"/>
            <w:shd w:val="clear" w:color="auto" w:fill="auto"/>
            <w:vAlign w:val="bottom"/>
          </w:tcPr>
          <w:p w14:paraId="098A91B0" w14:textId="77777777" w:rsidR="00141CDF" w:rsidRDefault="00141CDF">
            <w:pPr>
              <w:rPr>
                <w:rFonts w:ascii="宋体"/>
                <w:vanish/>
              </w:rPr>
            </w:pPr>
          </w:p>
        </w:tc>
        <w:tc>
          <w:tcPr>
            <w:tcW w:w="0" w:type="auto"/>
            <w:gridSpan w:val="3"/>
            <w:shd w:val="clear" w:color="auto" w:fill="auto"/>
            <w:vAlign w:val="bottom"/>
          </w:tcPr>
          <w:p w14:paraId="098A91B1" w14:textId="77777777" w:rsidR="00141CDF" w:rsidRDefault="00141CDF">
            <w:pPr>
              <w:rPr>
                <w:rFonts w:ascii="宋体"/>
                <w:vanish/>
              </w:rPr>
            </w:pPr>
          </w:p>
        </w:tc>
        <w:tc>
          <w:tcPr>
            <w:tcW w:w="0" w:type="auto"/>
            <w:gridSpan w:val="3"/>
            <w:shd w:val="clear" w:color="auto" w:fill="auto"/>
            <w:vAlign w:val="bottom"/>
          </w:tcPr>
          <w:p w14:paraId="098A91B2" w14:textId="77777777" w:rsidR="00141CDF" w:rsidRDefault="00141CDF">
            <w:pPr>
              <w:rPr>
                <w:rFonts w:ascii="宋体"/>
                <w:vanish/>
              </w:rPr>
            </w:pPr>
          </w:p>
        </w:tc>
        <w:tc>
          <w:tcPr>
            <w:tcW w:w="0" w:type="auto"/>
            <w:gridSpan w:val="3"/>
            <w:shd w:val="clear" w:color="auto" w:fill="auto"/>
            <w:vAlign w:val="bottom"/>
          </w:tcPr>
          <w:p w14:paraId="098A91B3" w14:textId="77777777" w:rsidR="00141CDF" w:rsidRDefault="00141CDF">
            <w:pPr>
              <w:rPr>
                <w:rFonts w:ascii="宋体"/>
                <w:vanish/>
              </w:rPr>
            </w:pPr>
          </w:p>
        </w:tc>
        <w:tc>
          <w:tcPr>
            <w:tcW w:w="0" w:type="auto"/>
            <w:gridSpan w:val="3"/>
            <w:shd w:val="clear" w:color="auto" w:fill="auto"/>
            <w:vAlign w:val="bottom"/>
          </w:tcPr>
          <w:p w14:paraId="098A91B4" w14:textId="77777777" w:rsidR="00141CDF" w:rsidRDefault="00141CDF">
            <w:pPr>
              <w:rPr>
                <w:rFonts w:ascii="宋体"/>
                <w:vanish/>
              </w:rPr>
            </w:pPr>
          </w:p>
        </w:tc>
        <w:tc>
          <w:tcPr>
            <w:tcW w:w="0" w:type="auto"/>
            <w:gridSpan w:val="3"/>
            <w:shd w:val="clear" w:color="auto" w:fill="auto"/>
            <w:vAlign w:val="bottom"/>
          </w:tcPr>
          <w:p w14:paraId="098A91B5" w14:textId="77777777" w:rsidR="00141CDF" w:rsidRDefault="00141CDF">
            <w:pPr>
              <w:rPr>
                <w:rFonts w:ascii="宋体"/>
                <w:vanish/>
              </w:rPr>
            </w:pPr>
          </w:p>
        </w:tc>
        <w:tc>
          <w:tcPr>
            <w:tcW w:w="0" w:type="auto"/>
            <w:gridSpan w:val="3"/>
            <w:shd w:val="clear" w:color="auto" w:fill="auto"/>
            <w:vAlign w:val="bottom"/>
          </w:tcPr>
          <w:p w14:paraId="098A91B6" w14:textId="77777777" w:rsidR="00141CDF" w:rsidRDefault="00141CDF">
            <w:pPr>
              <w:rPr>
                <w:rFonts w:ascii="宋体"/>
                <w:vanish/>
              </w:rPr>
            </w:pPr>
          </w:p>
        </w:tc>
        <w:tc>
          <w:tcPr>
            <w:tcW w:w="0" w:type="auto"/>
            <w:gridSpan w:val="3"/>
            <w:shd w:val="clear" w:color="auto" w:fill="auto"/>
            <w:vAlign w:val="bottom"/>
          </w:tcPr>
          <w:p w14:paraId="098A91B7" w14:textId="77777777" w:rsidR="00141CDF" w:rsidRDefault="00141CDF">
            <w:pPr>
              <w:rPr>
                <w:rFonts w:ascii="宋体"/>
                <w:vanish/>
              </w:rPr>
            </w:pPr>
          </w:p>
        </w:tc>
        <w:tc>
          <w:tcPr>
            <w:tcW w:w="0" w:type="auto"/>
            <w:gridSpan w:val="3"/>
            <w:shd w:val="clear" w:color="auto" w:fill="auto"/>
            <w:vAlign w:val="bottom"/>
          </w:tcPr>
          <w:p w14:paraId="098A91B8" w14:textId="77777777" w:rsidR="00141CDF" w:rsidRDefault="00141CDF">
            <w:pPr>
              <w:rPr>
                <w:rFonts w:ascii="宋体"/>
                <w:vanish/>
              </w:rPr>
            </w:pPr>
          </w:p>
        </w:tc>
        <w:tc>
          <w:tcPr>
            <w:tcW w:w="0" w:type="auto"/>
            <w:gridSpan w:val="3"/>
            <w:shd w:val="clear" w:color="auto" w:fill="auto"/>
            <w:vAlign w:val="bottom"/>
          </w:tcPr>
          <w:p w14:paraId="098A91B9" w14:textId="77777777" w:rsidR="00141CDF" w:rsidRDefault="00141CDF">
            <w:pPr>
              <w:rPr>
                <w:rFonts w:ascii="宋体"/>
                <w:vanish/>
              </w:rPr>
            </w:pPr>
          </w:p>
        </w:tc>
        <w:tc>
          <w:tcPr>
            <w:tcW w:w="0" w:type="auto"/>
            <w:gridSpan w:val="3"/>
            <w:shd w:val="clear" w:color="auto" w:fill="auto"/>
            <w:vAlign w:val="bottom"/>
          </w:tcPr>
          <w:p w14:paraId="098A91BA" w14:textId="77777777" w:rsidR="00141CDF" w:rsidRDefault="00141CDF">
            <w:pPr>
              <w:rPr>
                <w:rFonts w:ascii="宋体"/>
                <w:vanish/>
              </w:rPr>
            </w:pPr>
          </w:p>
        </w:tc>
        <w:tc>
          <w:tcPr>
            <w:tcW w:w="0" w:type="auto"/>
            <w:gridSpan w:val="3"/>
            <w:shd w:val="clear" w:color="auto" w:fill="auto"/>
            <w:vAlign w:val="bottom"/>
          </w:tcPr>
          <w:p w14:paraId="098A91BB" w14:textId="77777777" w:rsidR="00141CDF" w:rsidRDefault="00141CDF">
            <w:pPr>
              <w:rPr>
                <w:rFonts w:ascii="宋体"/>
                <w:vanish/>
              </w:rPr>
            </w:pPr>
          </w:p>
        </w:tc>
        <w:tc>
          <w:tcPr>
            <w:tcW w:w="0" w:type="auto"/>
            <w:gridSpan w:val="3"/>
            <w:shd w:val="clear" w:color="auto" w:fill="auto"/>
            <w:vAlign w:val="bottom"/>
          </w:tcPr>
          <w:p w14:paraId="098A91BC" w14:textId="77777777" w:rsidR="00141CDF" w:rsidRDefault="00141CDF">
            <w:pPr>
              <w:rPr>
                <w:rFonts w:ascii="宋体"/>
                <w:vanish/>
              </w:rPr>
            </w:pPr>
          </w:p>
        </w:tc>
        <w:tc>
          <w:tcPr>
            <w:tcW w:w="0" w:type="auto"/>
            <w:gridSpan w:val="3"/>
            <w:shd w:val="clear" w:color="auto" w:fill="auto"/>
            <w:vAlign w:val="bottom"/>
          </w:tcPr>
          <w:p w14:paraId="098A91BD" w14:textId="77777777" w:rsidR="00141CDF" w:rsidRDefault="00141CDF">
            <w:pPr>
              <w:rPr>
                <w:rFonts w:ascii="宋体"/>
                <w:vanish/>
              </w:rPr>
            </w:pPr>
          </w:p>
        </w:tc>
        <w:tc>
          <w:tcPr>
            <w:tcW w:w="0" w:type="auto"/>
            <w:gridSpan w:val="3"/>
            <w:shd w:val="clear" w:color="auto" w:fill="auto"/>
            <w:vAlign w:val="bottom"/>
          </w:tcPr>
          <w:p w14:paraId="098A91BE" w14:textId="77777777" w:rsidR="00141CDF" w:rsidRDefault="00141CDF">
            <w:pPr>
              <w:rPr>
                <w:rFonts w:ascii="宋体"/>
                <w:vanish/>
              </w:rPr>
            </w:pPr>
          </w:p>
        </w:tc>
        <w:tc>
          <w:tcPr>
            <w:tcW w:w="0" w:type="auto"/>
            <w:shd w:val="clear" w:color="auto" w:fill="auto"/>
            <w:vAlign w:val="bottom"/>
          </w:tcPr>
          <w:p w14:paraId="098A91BF" w14:textId="77777777" w:rsidR="00141CDF" w:rsidRDefault="00141CDF">
            <w:pPr>
              <w:rPr>
                <w:rFonts w:ascii="宋体"/>
                <w:vanish/>
              </w:rPr>
            </w:pPr>
          </w:p>
        </w:tc>
        <w:tc>
          <w:tcPr>
            <w:tcW w:w="0" w:type="auto"/>
            <w:shd w:val="clear" w:color="auto" w:fill="auto"/>
            <w:vAlign w:val="bottom"/>
          </w:tcPr>
          <w:p w14:paraId="098A91C0" w14:textId="77777777" w:rsidR="00141CDF" w:rsidRDefault="00141CDF">
            <w:pPr>
              <w:rPr>
                <w:rFonts w:ascii="宋体"/>
                <w:vanish/>
              </w:rPr>
            </w:pPr>
          </w:p>
        </w:tc>
        <w:tc>
          <w:tcPr>
            <w:tcW w:w="0" w:type="auto"/>
            <w:shd w:val="clear" w:color="auto" w:fill="auto"/>
            <w:vAlign w:val="bottom"/>
          </w:tcPr>
          <w:p w14:paraId="098A91C1" w14:textId="77777777" w:rsidR="00141CDF" w:rsidRDefault="00141CDF">
            <w:pPr>
              <w:rPr>
                <w:rFonts w:ascii="宋体"/>
                <w:vanish/>
              </w:rPr>
            </w:pPr>
          </w:p>
        </w:tc>
      </w:tr>
      <w:tr w:rsidR="00141CDF" w14:paraId="098A91D6" w14:textId="77777777">
        <w:trPr>
          <w:jc w:val="center"/>
          <w:hidden/>
        </w:trPr>
        <w:tc>
          <w:tcPr>
            <w:tcW w:w="0" w:type="auto"/>
            <w:gridSpan w:val="3"/>
            <w:shd w:val="clear" w:color="auto" w:fill="auto"/>
            <w:vAlign w:val="bottom"/>
          </w:tcPr>
          <w:p w14:paraId="098A91C3" w14:textId="77777777" w:rsidR="00141CDF" w:rsidRDefault="00141CDF">
            <w:pPr>
              <w:rPr>
                <w:rFonts w:ascii="宋体"/>
                <w:vanish/>
              </w:rPr>
            </w:pPr>
          </w:p>
        </w:tc>
        <w:tc>
          <w:tcPr>
            <w:tcW w:w="0" w:type="auto"/>
            <w:gridSpan w:val="3"/>
            <w:shd w:val="clear" w:color="auto" w:fill="auto"/>
            <w:vAlign w:val="bottom"/>
          </w:tcPr>
          <w:p w14:paraId="098A91C4" w14:textId="77777777" w:rsidR="00141CDF" w:rsidRDefault="00141CDF">
            <w:pPr>
              <w:rPr>
                <w:rFonts w:ascii="宋体"/>
                <w:vanish/>
              </w:rPr>
            </w:pPr>
          </w:p>
        </w:tc>
        <w:tc>
          <w:tcPr>
            <w:tcW w:w="0" w:type="auto"/>
            <w:gridSpan w:val="3"/>
            <w:shd w:val="clear" w:color="auto" w:fill="auto"/>
            <w:vAlign w:val="bottom"/>
          </w:tcPr>
          <w:p w14:paraId="098A91C5" w14:textId="77777777" w:rsidR="00141CDF" w:rsidRDefault="00141CDF">
            <w:pPr>
              <w:rPr>
                <w:rFonts w:ascii="宋体"/>
                <w:vanish/>
              </w:rPr>
            </w:pPr>
          </w:p>
        </w:tc>
        <w:tc>
          <w:tcPr>
            <w:tcW w:w="0" w:type="auto"/>
            <w:gridSpan w:val="3"/>
            <w:shd w:val="clear" w:color="auto" w:fill="auto"/>
            <w:vAlign w:val="bottom"/>
          </w:tcPr>
          <w:p w14:paraId="098A91C6" w14:textId="77777777" w:rsidR="00141CDF" w:rsidRDefault="00141CDF">
            <w:pPr>
              <w:rPr>
                <w:rFonts w:ascii="宋体"/>
                <w:vanish/>
              </w:rPr>
            </w:pPr>
          </w:p>
        </w:tc>
        <w:tc>
          <w:tcPr>
            <w:tcW w:w="0" w:type="auto"/>
            <w:gridSpan w:val="3"/>
            <w:shd w:val="clear" w:color="auto" w:fill="auto"/>
            <w:vAlign w:val="bottom"/>
          </w:tcPr>
          <w:p w14:paraId="098A91C7" w14:textId="77777777" w:rsidR="00141CDF" w:rsidRDefault="00141CDF">
            <w:pPr>
              <w:rPr>
                <w:rFonts w:ascii="宋体"/>
                <w:vanish/>
              </w:rPr>
            </w:pPr>
          </w:p>
        </w:tc>
        <w:tc>
          <w:tcPr>
            <w:tcW w:w="0" w:type="auto"/>
            <w:gridSpan w:val="3"/>
            <w:shd w:val="clear" w:color="auto" w:fill="auto"/>
            <w:vAlign w:val="bottom"/>
          </w:tcPr>
          <w:p w14:paraId="098A91C8" w14:textId="77777777" w:rsidR="00141CDF" w:rsidRDefault="00141CDF">
            <w:pPr>
              <w:rPr>
                <w:rFonts w:ascii="宋体"/>
                <w:vanish/>
              </w:rPr>
            </w:pPr>
          </w:p>
        </w:tc>
        <w:tc>
          <w:tcPr>
            <w:tcW w:w="0" w:type="auto"/>
            <w:gridSpan w:val="3"/>
            <w:shd w:val="clear" w:color="auto" w:fill="auto"/>
            <w:vAlign w:val="bottom"/>
          </w:tcPr>
          <w:p w14:paraId="098A91C9" w14:textId="77777777" w:rsidR="00141CDF" w:rsidRDefault="00141CDF">
            <w:pPr>
              <w:rPr>
                <w:rFonts w:ascii="宋体"/>
                <w:vanish/>
              </w:rPr>
            </w:pPr>
          </w:p>
        </w:tc>
        <w:tc>
          <w:tcPr>
            <w:tcW w:w="0" w:type="auto"/>
            <w:gridSpan w:val="3"/>
            <w:shd w:val="clear" w:color="auto" w:fill="auto"/>
            <w:vAlign w:val="bottom"/>
          </w:tcPr>
          <w:p w14:paraId="098A91CA" w14:textId="77777777" w:rsidR="00141CDF" w:rsidRDefault="00141CDF">
            <w:pPr>
              <w:rPr>
                <w:rFonts w:ascii="宋体"/>
                <w:vanish/>
              </w:rPr>
            </w:pPr>
          </w:p>
        </w:tc>
        <w:tc>
          <w:tcPr>
            <w:tcW w:w="0" w:type="auto"/>
            <w:gridSpan w:val="3"/>
            <w:shd w:val="clear" w:color="auto" w:fill="auto"/>
            <w:vAlign w:val="bottom"/>
          </w:tcPr>
          <w:p w14:paraId="098A91CB" w14:textId="77777777" w:rsidR="00141CDF" w:rsidRDefault="00141CDF">
            <w:pPr>
              <w:rPr>
                <w:rFonts w:ascii="宋体"/>
                <w:vanish/>
              </w:rPr>
            </w:pPr>
          </w:p>
        </w:tc>
        <w:tc>
          <w:tcPr>
            <w:tcW w:w="0" w:type="auto"/>
            <w:gridSpan w:val="3"/>
            <w:shd w:val="clear" w:color="auto" w:fill="auto"/>
            <w:vAlign w:val="bottom"/>
          </w:tcPr>
          <w:p w14:paraId="098A91CC" w14:textId="77777777" w:rsidR="00141CDF" w:rsidRDefault="00141CDF">
            <w:pPr>
              <w:rPr>
                <w:rFonts w:ascii="宋体"/>
                <w:vanish/>
              </w:rPr>
            </w:pPr>
          </w:p>
        </w:tc>
        <w:tc>
          <w:tcPr>
            <w:tcW w:w="0" w:type="auto"/>
            <w:gridSpan w:val="3"/>
            <w:shd w:val="clear" w:color="auto" w:fill="auto"/>
            <w:vAlign w:val="bottom"/>
          </w:tcPr>
          <w:p w14:paraId="098A91CD" w14:textId="77777777" w:rsidR="00141CDF" w:rsidRDefault="00141CDF">
            <w:pPr>
              <w:rPr>
                <w:rFonts w:ascii="宋体"/>
                <w:vanish/>
              </w:rPr>
            </w:pPr>
          </w:p>
        </w:tc>
        <w:tc>
          <w:tcPr>
            <w:tcW w:w="0" w:type="auto"/>
            <w:gridSpan w:val="3"/>
            <w:shd w:val="clear" w:color="auto" w:fill="auto"/>
            <w:vAlign w:val="bottom"/>
          </w:tcPr>
          <w:p w14:paraId="098A91CE" w14:textId="77777777" w:rsidR="00141CDF" w:rsidRDefault="00141CDF">
            <w:pPr>
              <w:rPr>
                <w:rFonts w:ascii="宋体"/>
                <w:vanish/>
              </w:rPr>
            </w:pPr>
          </w:p>
        </w:tc>
        <w:tc>
          <w:tcPr>
            <w:tcW w:w="0" w:type="auto"/>
            <w:gridSpan w:val="3"/>
            <w:shd w:val="clear" w:color="auto" w:fill="auto"/>
            <w:vAlign w:val="bottom"/>
          </w:tcPr>
          <w:p w14:paraId="098A91CF" w14:textId="77777777" w:rsidR="00141CDF" w:rsidRDefault="00141CDF">
            <w:pPr>
              <w:rPr>
                <w:rFonts w:ascii="宋体"/>
                <w:vanish/>
              </w:rPr>
            </w:pPr>
          </w:p>
        </w:tc>
        <w:tc>
          <w:tcPr>
            <w:tcW w:w="0" w:type="auto"/>
            <w:gridSpan w:val="3"/>
            <w:shd w:val="clear" w:color="auto" w:fill="auto"/>
            <w:vAlign w:val="bottom"/>
          </w:tcPr>
          <w:p w14:paraId="098A91D0" w14:textId="77777777" w:rsidR="00141CDF" w:rsidRDefault="00141CDF">
            <w:pPr>
              <w:rPr>
                <w:rFonts w:ascii="宋体"/>
                <w:vanish/>
              </w:rPr>
            </w:pPr>
          </w:p>
        </w:tc>
        <w:tc>
          <w:tcPr>
            <w:tcW w:w="0" w:type="auto"/>
            <w:gridSpan w:val="3"/>
            <w:shd w:val="clear" w:color="auto" w:fill="auto"/>
            <w:vAlign w:val="bottom"/>
          </w:tcPr>
          <w:p w14:paraId="098A91D1" w14:textId="77777777" w:rsidR="00141CDF" w:rsidRDefault="00141CDF">
            <w:pPr>
              <w:rPr>
                <w:rFonts w:ascii="宋体"/>
                <w:vanish/>
              </w:rPr>
            </w:pPr>
          </w:p>
        </w:tc>
        <w:tc>
          <w:tcPr>
            <w:tcW w:w="0" w:type="auto"/>
            <w:gridSpan w:val="3"/>
            <w:shd w:val="clear" w:color="auto" w:fill="auto"/>
            <w:vAlign w:val="bottom"/>
          </w:tcPr>
          <w:p w14:paraId="098A91D2" w14:textId="77777777" w:rsidR="00141CDF" w:rsidRDefault="00141CDF">
            <w:pPr>
              <w:rPr>
                <w:rFonts w:ascii="宋体"/>
                <w:vanish/>
              </w:rPr>
            </w:pPr>
          </w:p>
        </w:tc>
        <w:tc>
          <w:tcPr>
            <w:tcW w:w="0" w:type="auto"/>
            <w:shd w:val="clear" w:color="auto" w:fill="auto"/>
            <w:vAlign w:val="bottom"/>
          </w:tcPr>
          <w:p w14:paraId="098A91D3" w14:textId="77777777" w:rsidR="00141CDF" w:rsidRDefault="00141CDF">
            <w:pPr>
              <w:rPr>
                <w:rFonts w:ascii="宋体"/>
                <w:vanish/>
              </w:rPr>
            </w:pPr>
          </w:p>
        </w:tc>
        <w:tc>
          <w:tcPr>
            <w:tcW w:w="0" w:type="auto"/>
            <w:shd w:val="clear" w:color="auto" w:fill="auto"/>
            <w:vAlign w:val="bottom"/>
          </w:tcPr>
          <w:p w14:paraId="098A91D4" w14:textId="77777777" w:rsidR="00141CDF" w:rsidRDefault="00141CDF">
            <w:pPr>
              <w:rPr>
                <w:rFonts w:ascii="宋体"/>
                <w:vanish/>
              </w:rPr>
            </w:pPr>
          </w:p>
        </w:tc>
        <w:tc>
          <w:tcPr>
            <w:tcW w:w="0" w:type="auto"/>
            <w:shd w:val="clear" w:color="auto" w:fill="auto"/>
            <w:vAlign w:val="bottom"/>
          </w:tcPr>
          <w:p w14:paraId="098A91D5" w14:textId="77777777" w:rsidR="00141CDF" w:rsidRDefault="00141CDF">
            <w:pPr>
              <w:rPr>
                <w:rFonts w:ascii="宋体"/>
                <w:vanish/>
              </w:rPr>
            </w:pPr>
          </w:p>
        </w:tc>
      </w:tr>
      <w:tr w:rsidR="00141CDF" w14:paraId="098A91EA" w14:textId="77777777">
        <w:trPr>
          <w:jc w:val="center"/>
          <w:hidden/>
        </w:trPr>
        <w:tc>
          <w:tcPr>
            <w:tcW w:w="0" w:type="auto"/>
            <w:gridSpan w:val="3"/>
            <w:shd w:val="clear" w:color="auto" w:fill="auto"/>
            <w:vAlign w:val="bottom"/>
          </w:tcPr>
          <w:p w14:paraId="098A91D7" w14:textId="77777777" w:rsidR="00141CDF" w:rsidRDefault="00141CDF">
            <w:pPr>
              <w:rPr>
                <w:rFonts w:ascii="宋体"/>
                <w:vanish/>
              </w:rPr>
            </w:pPr>
          </w:p>
        </w:tc>
        <w:tc>
          <w:tcPr>
            <w:tcW w:w="0" w:type="auto"/>
            <w:gridSpan w:val="3"/>
            <w:shd w:val="clear" w:color="auto" w:fill="auto"/>
            <w:vAlign w:val="bottom"/>
          </w:tcPr>
          <w:p w14:paraId="098A91D8" w14:textId="77777777" w:rsidR="00141CDF" w:rsidRDefault="00141CDF">
            <w:pPr>
              <w:rPr>
                <w:rFonts w:ascii="宋体"/>
                <w:vanish/>
              </w:rPr>
            </w:pPr>
          </w:p>
        </w:tc>
        <w:tc>
          <w:tcPr>
            <w:tcW w:w="0" w:type="auto"/>
            <w:gridSpan w:val="3"/>
            <w:shd w:val="clear" w:color="auto" w:fill="auto"/>
            <w:vAlign w:val="bottom"/>
          </w:tcPr>
          <w:p w14:paraId="098A91D9" w14:textId="77777777" w:rsidR="00141CDF" w:rsidRDefault="00141CDF">
            <w:pPr>
              <w:rPr>
                <w:rFonts w:ascii="宋体"/>
                <w:vanish/>
              </w:rPr>
            </w:pPr>
          </w:p>
        </w:tc>
        <w:tc>
          <w:tcPr>
            <w:tcW w:w="0" w:type="auto"/>
            <w:gridSpan w:val="3"/>
            <w:shd w:val="clear" w:color="auto" w:fill="auto"/>
            <w:vAlign w:val="bottom"/>
          </w:tcPr>
          <w:p w14:paraId="098A91DA" w14:textId="77777777" w:rsidR="00141CDF" w:rsidRDefault="00141CDF">
            <w:pPr>
              <w:rPr>
                <w:rFonts w:ascii="宋体"/>
                <w:vanish/>
              </w:rPr>
            </w:pPr>
          </w:p>
        </w:tc>
        <w:tc>
          <w:tcPr>
            <w:tcW w:w="0" w:type="auto"/>
            <w:gridSpan w:val="3"/>
            <w:shd w:val="clear" w:color="auto" w:fill="auto"/>
            <w:vAlign w:val="bottom"/>
          </w:tcPr>
          <w:p w14:paraId="098A91DB" w14:textId="77777777" w:rsidR="00141CDF" w:rsidRDefault="00141CDF">
            <w:pPr>
              <w:rPr>
                <w:rFonts w:ascii="宋体"/>
                <w:vanish/>
              </w:rPr>
            </w:pPr>
          </w:p>
        </w:tc>
        <w:tc>
          <w:tcPr>
            <w:tcW w:w="0" w:type="auto"/>
            <w:gridSpan w:val="3"/>
            <w:shd w:val="clear" w:color="auto" w:fill="auto"/>
            <w:vAlign w:val="bottom"/>
          </w:tcPr>
          <w:p w14:paraId="098A91DC" w14:textId="77777777" w:rsidR="00141CDF" w:rsidRDefault="00141CDF">
            <w:pPr>
              <w:rPr>
                <w:rFonts w:ascii="宋体"/>
                <w:vanish/>
              </w:rPr>
            </w:pPr>
          </w:p>
        </w:tc>
        <w:tc>
          <w:tcPr>
            <w:tcW w:w="0" w:type="auto"/>
            <w:gridSpan w:val="3"/>
            <w:shd w:val="clear" w:color="auto" w:fill="auto"/>
            <w:vAlign w:val="bottom"/>
          </w:tcPr>
          <w:p w14:paraId="098A91DD" w14:textId="77777777" w:rsidR="00141CDF" w:rsidRDefault="00141CDF">
            <w:pPr>
              <w:rPr>
                <w:rFonts w:ascii="宋体"/>
                <w:vanish/>
              </w:rPr>
            </w:pPr>
          </w:p>
        </w:tc>
        <w:tc>
          <w:tcPr>
            <w:tcW w:w="0" w:type="auto"/>
            <w:gridSpan w:val="3"/>
            <w:shd w:val="clear" w:color="auto" w:fill="auto"/>
            <w:vAlign w:val="bottom"/>
          </w:tcPr>
          <w:p w14:paraId="098A91DE" w14:textId="77777777" w:rsidR="00141CDF" w:rsidRDefault="00141CDF">
            <w:pPr>
              <w:rPr>
                <w:rFonts w:ascii="宋体"/>
                <w:vanish/>
              </w:rPr>
            </w:pPr>
          </w:p>
        </w:tc>
        <w:tc>
          <w:tcPr>
            <w:tcW w:w="0" w:type="auto"/>
            <w:gridSpan w:val="3"/>
            <w:shd w:val="clear" w:color="auto" w:fill="auto"/>
            <w:vAlign w:val="bottom"/>
          </w:tcPr>
          <w:p w14:paraId="098A91DF" w14:textId="77777777" w:rsidR="00141CDF" w:rsidRDefault="00141CDF">
            <w:pPr>
              <w:rPr>
                <w:rFonts w:ascii="宋体"/>
                <w:vanish/>
              </w:rPr>
            </w:pPr>
          </w:p>
        </w:tc>
        <w:tc>
          <w:tcPr>
            <w:tcW w:w="0" w:type="auto"/>
            <w:gridSpan w:val="3"/>
            <w:shd w:val="clear" w:color="auto" w:fill="auto"/>
            <w:vAlign w:val="bottom"/>
          </w:tcPr>
          <w:p w14:paraId="098A91E0" w14:textId="77777777" w:rsidR="00141CDF" w:rsidRDefault="00141CDF">
            <w:pPr>
              <w:rPr>
                <w:rFonts w:ascii="宋体"/>
                <w:vanish/>
              </w:rPr>
            </w:pPr>
          </w:p>
        </w:tc>
        <w:tc>
          <w:tcPr>
            <w:tcW w:w="0" w:type="auto"/>
            <w:gridSpan w:val="3"/>
            <w:shd w:val="clear" w:color="auto" w:fill="auto"/>
            <w:vAlign w:val="bottom"/>
          </w:tcPr>
          <w:p w14:paraId="098A91E1" w14:textId="77777777" w:rsidR="00141CDF" w:rsidRDefault="00141CDF">
            <w:pPr>
              <w:rPr>
                <w:rFonts w:ascii="宋体"/>
                <w:vanish/>
              </w:rPr>
            </w:pPr>
          </w:p>
        </w:tc>
        <w:tc>
          <w:tcPr>
            <w:tcW w:w="0" w:type="auto"/>
            <w:gridSpan w:val="3"/>
            <w:shd w:val="clear" w:color="auto" w:fill="auto"/>
            <w:vAlign w:val="bottom"/>
          </w:tcPr>
          <w:p w14:paraId="098A91E2" w14:textId="77777777" w:rsidR="00141CDF" w:rsidRDefault="00141CDF">
            <w:pPr>
              <w:rPr>
                <w:rFonts w:ascii="宋体"/>
                <w:vanish/>
              </w:rPr>
            </w:pPr>
          </w:p>
        </w:tc>
        <w:tc>
          <w:tcPr>
            <w:tcW w:w="0" w:type="auto"/>
            <w:gridSpan w:val="3"/>
            <w:shd w:val="clear" w:color="auto" w:fill="auto"/>
            <w:vAlign w:val="bottom"/>
          </w:tcPr>
          <w:p w14:paraId="098A91E3" w14:textId="77777777" w:rsidR="00141CDF" w:rsidRDefault="00141CDF">
            <w:pPr>
              <w:rPr>
                <w:rFonts w:ascii="宋体"/>
                <w:vanish/>
              </w:rPr>
            </w:pPr>
          </w:p>
        </w:tc>
        <w:tc>
          <w:tcPr>
            <w:tcW w:w="0" w:type="auto"/>
            <w:gridSpan w:val="3"/>
            <w:shd w:val="clear" w:color="auto" w:fill="auto"/>
            <w:vAlign w:val="bottom"/>
          </w:tcPr>
          <w:p w14:paraId="098A91E4" w14:textId="77777777" w:rsidR="00141CDF" w:rsidRDefault="00141CDF">
            <w:pPr>
              <w:rPr>
                <w:rFonts w:ascii="宋体"/>
                <w:vanish/>
              </w:rPr>
            </w:pPr>
          </w:p>
        </w:tc>
        <w:tc>
          <w:tcPr>
            <w:tcW w:w="0" w:type="auto"/>
            <w:gridSpan w:val="3"/>
            <w:shd w:val="clear" w:color="auto" w:fill="auto"/>
            <w:vAlign w:val="bottom"/>
          </w:tcPr>
          <w:p w14:paraId="098A91E5" w14:textId="77777777" w:rsidR="00141CDF" w:rsidRDefault="00141CDF">
            <w:pPr>
              <w:rPr>
                <w:rFonts w:ascii="宋体"/>
                <w:vanish/>
              </w:rPr>
            </w:pPr>
          </w:p>
        </w:tc>
        <w:tc>
          <w:tcPr>
            <w:tcW w:w="0" w:type="auto"/>
            <w:gridSpan w:val="3"/>
            <w:shd w:val="clear" w:color="auto" w:fill="auto"/>
            <w:vAlign w:val="bottom"/>
          </w:tcPr>
          <w:p w14:paraId="098A91E6" w14:textId="77777777" w:rsidR="00141CDF" w:rsidRDefault="00141CDF">
            <w:pPr>
              <w:rPr>
                <w:rFonts w:ascii="宋体"/>
                <w:vanish/>
              </w:rPr>
            </w:pPr>
          </w:p>
        </w:tc>
        <w:tc>
          <w:tcPr>
            <w:tcW w:w="0" w:type="auto"/>
            <w:shd w:val="clear" w:color="auto" w:fill="auto"/>
            <w:vAlign w:val="bottom"/>
          </w:tcPr>
          <w:p w14:paraId="098A91E7" w14:textId="77777777" w:rsidR="00141CDF" w:rsidRDefault="00141CDF">
            <w:pPr>
              <w:rPr>
                <w:rFonts w:ascii="宋体"/>
                <w:vanish/>
              </w:rPr>
            </w:pPr>
          </w:p>
        </w:tc>
        <w:tc>
          <w:tcPr>
            <w:tcW w:w="0" w:type="auto"/>
            <w:shd w:val="clear" w:color="auto" w:fill="auto"/>
            <w:vAlign w:val="bottom"/>
          </w:tcPr>
          <w:p w14:paraId="098A91E8" w14:textId="77777777" w:rsidR="00141CDF" w:rsidRDefault="00141CDF">
            <w:pPr>
              <w:rPr>
                <w:rFonts w:ascii="宋体"/>
                <w:vanish/>
              </w:rPr>
            </w:pPr>
          </w:p>
        </w:tc>
        <w:tc>
          <w:tcPr>
            <w:tcW w:w="0" w:type="auto"/>
            <w:shd w:val="clear" w:color="auto" w:fill="auto"/>
            <w:vAlign w:val="bottom"/>
          </w:tcPr>
          <w:p w14:paraId="098A91E9" w14:textId="77777777" w:rsidR="00141CDF" w:rsidRDefault="00141CDF">
            <w:pPr>
              <w:rPr>
                <w:rFonts w:ascii="宋体"/>
                <w:vanish/>
              </w:rPr>
            </w:pPr>
          </w:p>
        </w:tc>
      </w:tr>
      <w:tr w:rsidR="00141CDF" w14:paraId="098A91FE" w14:textId="77777777">
        <w:trPr>
          <w:jc w:val="center"/>
          <w:hidden/>
        </w:trPr>
        <w:tc>
          <w:tcPr>
            <w:tcW w:w="0" w:type="auto"/>
            <w:gridSpan w:val="3"/>
            <w:shd w:val="clear" w:color="auto" w:fill="auto"/>
            <w:vAlign w:val="bottom"/>
          </w:tcPr>
          <w:p w14:paraId="098A91EB" w14:textId="77777777" w:rsidR="00141CDF" w:rsidRDefault="00141CDF">
            <w:pPr>
              <w:rPr>
                <w:rFonts w:ascii="宋体"/>
                <w:vanish/>
              </w:rPr>
            </w:pPr>
          </w:p>
        </w:tc>
        <w:tc>
          <w:tcPr>
            <w:tcW w:w="0" w:type="auto"/>
            <w:gridSpan w:val="3"/>
            <w:shd w:val="clear" w:color="auto" w:fill="auto"/>
            <w:vAlign w:val="bottom"/>
          </w:tcPr>
          <w:p w14:paraId="098A91EC" w14:textId="77777777" w:rsidR="00141CDF" w:rsidRDefault="00141CDF">
            <w:pPr>
              <w:rPr>
                <w:rFonts w:ascii="宋体"/>
                <w:vanish/>
              </w:rPr>
            </w:pPr>
          </w:p>
        </w:tc>
        <w:tc>
          <w:tcPr>
            <w:tcW w:w="0" w:type="auto"/>
            <w:gridSpan w:val="3"/>
            <w:shd w:val="clear" w:color="auto" w:fill="auto"/>
            <w:vAlign w:val="bottom"/>
          </w:tcPr>
          <w:p w14:paraId="098A91ED" w14:textId="77777777" w:rsidR="00141CDF" w:rsidRDefault="00141CDF">
            <w:pPr>
              <w:rPr>
                <w:rFonts w:ascii="宋体"/>
                <w:vanish/>
              </w:rPr>
            </w:pPr>
          </w:p>
        </w:tc>
        <w:tc>
          <w:tcPr>
            <w:tcW w:w="0" w:type="auto"/>
            <w:gridSpan w:val="3"/>
            <w:shd w:val="clear" w:color="auto" w:fill="auto"/>
            <w:vAlign w:val="bottom"/>
          </w:tcPr>
          <w:p w14:paraId="098A91EE" w14:textId="77777777" w:rsidR="00141CDF" w:rsidRDefault="00141CDF">
            <w:pPr>
              <w:rPr>
                <w:rFonts w:ascii="宋体"/>
                <w:vanish/>
              </w:rPr>
            </w:pPr>
          </w:p>
        </w:tc>
        <w:tc>
          <w:tcPr>
            <w:tcW w:w="0" w:type="auto"/>
            <w:gridSpan w:val="3"/>
            <w:shd w:val="clear" w:color="auto" w:fill="auto"/>
            <w:vAlign w:val="bottom"/>
          </w:tcPr>
          <w:p w14:paraId="098A91EF" w14:textId="77777777" w:rsidR="00141CDF" w:rsidRDefault="00141CDF">
            <w:pPr>
              <w:rPr>
                <w:rFonts w:ascii="宋体"/>
                <w:vanish/>
              </w:rPr>
            </w:pPr>
          </w:p>
        </w:tc>
        <w:tc>
          <w:tcPr>
            <w:tcW w:w="0" w:type="auto"/>
            <w:gridSpan w:val="3"/>
            <w:shd w:val="clear" w:color="auto" w:fill="auto"/>
            <w:vAlign w:val="bottom"/>
          </w:tcPr>
          <w:p w14:paraId="098A91F0" w14:textId="77777777" w:rsidR="00141CDF" w:rsidRDefault="00141CDF">
            <w:pPr>
              <w:rPr>
                <w:rFonts w:ascii="宋体"/>
                <w:vanish/>
              </w:rPr>
            </w:pPr>
          </w:p>
        </w:tc>
        <w:tc>
          <w:tcPr>
            <w:tcW w:w="0" w:type="auto"/>
            <w:gridSpan w:val="3"/>
            <w:shd w:val="clear" w:color="auto" w:fill="auto"/>
            <w:vAlign w:val="bottom"/>
          </w:tcPr>
          <w:p w14:paraId="098A91F1" w14:textId="77777777" w:rsidR="00141CDF" w:rsidRDefault="00141CDF">
            <w:pPr>
              <w:rPr>
                <w:rFonts w:ascii="宋体"/>
                <w:vanish/>
              </w:rPr>
            </w:pPr>
          </w:p>
        </w:tc>
        <w:tc>
          <w:tcPr>
            <w:tcW w:w="0" w:type="auto"/>
            <w:gridSpan w:val="3"/>
            <w:shd w:val="clear" w:color="auto" w:fill="auto"/>
            <w:vAlign w:val="bottom"/>
          </w:tcPr>
          <w:p w14:paraId="098A91F2" w14:textId="77777777" w:rsidR="00141CDF" w:rsidRDefault="00141CDF">
            <w:pPr>
              <w:rPr>
                <w:rFonts w:ascii="宋体"/>
                <w:vanish/>
              </w:rPr>
            </w:pPr>
          </w:p>
        </w:tc>
        <w:tc>
          <w:tcPr>
            <w:tcW w:w="0" w:type="auto"/>
            <w:gridSpan w:val="3"/>
            <w:shd w:val="clear" w:color="auto" w:fill="auto"/>
            <w:vAlign w:val="bottom"/>
          </w:tcPr>
          <w:p w14:paraId="098A91F3" w14:textId="77777777" w:rsidR="00141CDF" w:rsidRDefault="00141CDF">
            <w:pPr>
              <w:rPr>
                <w:rFonts w:ascii="宋体"/>
                <w:vanish/>
              </w:rPr>
            </w:pPr>
          </w:p>
        </w:tc>
        <w:tc>
          <w:tcPr>
            <w:tcW w:w="0" w:type="auto"/>
            <w:gridSpan w:val="3"/>
            <w:shd w:val="clear" w:color="auto" w:fill="auto"/>
            <w:vAlign w:val="bottom"/>
          </w:tcPr>
          <w:p w14:paraId="098A91F4" w14:textId="77777777" w:rsidR="00141CDF" w:rsidRDefault="00141CDF">
            <w:pPr>
              <w:rPr>
                <w:rFonts w:ascii="宋体"/>
                <w:vanish/>
              </w:rPr>
            </w:pPr>
          </w:p>
        </w:tc>
        <w:tc>
          <w:tcPr>
            <w:tcW w:w="0" w:type="auto"/>
            <w:gridSpan w:val="3"/>
            <w:shd w:val="clear" w:color="auto" w:fill="auto"/>
            <w:vAlign w:val="bottom"/>
          </w:tcPr>
          <w:p w14:paraId="098A91F5" w14:textId="77777777" w:rsidR="00141CDF" w:rsidRDefault="00141CDF">
            <w:pPr>
              <w:rPr>
                <w:rFonts w:ascii="宋体"/>
                <w:vanish/>
              </w:rPr>
            </w:pPr>
          </w:p>
        </w:tc>
        <w:tc>
          <w:tcPr>
            <w:tcW w:w="0" w:type="auto"/>
            <w:gridSpan w:val="3"/>
            <w:shd w:val="clear" w:color="auto" w:fill="auto"/>
            <w:vAlign w:val="bottom"/>
          </w:tcPr>
          <w:p w14:paraId="098A91F6" w14:textId="77777777" w:rsidR="00141CDF" w:rsidRDefault="00141CDF">
            <w:pPr>
              <w:rPr>
                <w:rFonts w:ascii="宋体"/>
                <w:vanish/>
              </w:rPr>
            </w:pPr>
          </w:p>
        </w:tc>
        <w:tc>
          <w:tcPr>
            <w:tcW w:w="0" w:type="auto"/>
            <w:gridSpan w:val="3"/>
            <w:shd w:val="clear" w:color="auto" w:fill="auto"/>
            <w:vAlign w:val="bottom"/>
          </w:tcPr>
          <w:p w14:paraId="098A91F7" w14:textId="77777777" w:rsidR="00141CDF" w:rsidRDefault="00141CDF">
            <w:pPr>
              <w:rPr>
                <w:rFonts w:ascii="宋体"/>
                <w:vanish/>
              </w:rPr>
            </w:pPr>
          </w:p>
        </w:tc>
        <w:tc>
          <w:tcPr>
            <w:tcW w:w="0" w:type="auto"/>
            <w:gridSpan w:val="3"/>
            <w:shd w:val="clear" w:color="auto" w:fill="auto"/>
            <w:vAlign w:val="bottom"/>
          </w:tcPr>
          <w:p w14:paraId="098A91F8" w14:textId="77777777" w:rsidR="00141CDF" w:rsidRDefault="00141CDF">
            <w:pPr>
              <w:rPr>
                <w:rFonts w:ascii="宋体"/>
                <w:vanish/>
              </w:rPr>
            </w:pPr>
          </w:p>
        </w:tc>
        <w:tc>
          <w:tcPr>
            <w:tcW w:w="0" w:type="auto"/>
            <w:gridSpan w:val="3"/>
            <w:shd w:val="clear" w:color="auto" w:fill="auto"/>
            <w:vAlign w:val="bottom"/>
          </w:tcPr>
          <w:p w14:paraId="098A91F9" w14:textId="77777777" w:rsidR="00141CDF" w:rsidRDefault="00141CDF">
            <w:pPr>
              <w:rPr>
                <w:rFonts w:ascii="宋体"/>
                <w:vanish/>
              </w:rPr>
            </w:pPr>
          </w:p>
        </w:tc>
        <w:tc>
          <w:tcPr>
            <w:tcW w:w="0" w:type="auto"/>
            <w:gridSpan w:val="3"/>
            <w:shd w:val="clear" w:color="auto" w:fill="auto"/>
            <w:vAlign w:val="bottom"/>
          </w:tcPr>
          <w:p w14:paraId="098A91FA" w14:textId="77777777" w:rsidR="00141CDF" w:rsidRDefault="00141CDF">
            <w:pPr>
              <w:rPr>
                <w:rFonts w:ascii="宋体"/>
                <w:vanish/>
              </w:rPr>
            </w:pPr>
          </w:p>
        </w:tc>
        <w:tc>
          <w:tcPr>
            <w:tcW w:w="0" w:type="auto"/>
            <w:shd w:val="clear" w:color="auto" w:fill="auto"/>
            <w:vAlign w:val="bottom"/>
          </w:tcPr>
          <w:p w14:paraId="098A91FB" w14:textId="77777777" w:rsidR="00141CDF" w:rsidRDefault="00141CDF">
            <w:pPr>
              <w:rPr>
                <w:rFonts w:ascii="宋体"/>
                <w:vanish/>
              </w:rPr>
            </w:pPr>
          </w:p>
        </w:tc>
        <w:tc>
          <w:tcPr>
            <w:tcW w:w="0" w:type="auto"/>
            <w:shd w:val="clear" w:color="auto" w:fill="auto"/>
            <w:vAlign w:val="bottom"/>
          </w:tcPr>
          <w:p w14:paraId="098A91FC" w14:textId="77777777" w:rsidR="00141CDF" w:rsidRDefault="00141CDF">
            <w:pPr>
              <w:rPr>
                <w:rFonts w:ascii="宋体"/>
                <w:vanish/>
              </w:rPr>
            </w:pPr>
          </w:p>
        </w:tc>
        <w:tc>
          <w:tcPr>
            <w:tcW w:w="0" w:type="auto"/>
            <w:shd w:val="clear" w:color="auto" w:fill="auto"/>
            <w:vAlign w:val="bottom"/>
          </w:tcPr>
          <w:p w14:paraId="098A91FD" w14:textId="77777777" w:rsidR="00141CDF" w:rsidRDefault="00141CDF">
            <w:pPr>
              <w:rPr>
                <w:rFonts w:ascii="宋体"/>
                <w:vanish/>
              </w:rPr>
            </w:pPr>
          </w:p>
        </w:tc>
      </w:tr>
      <w:tr w:rsidR="00141CDF" w14:paraId="098A9212" w14:textId="77777777">
        <w:trPr>
          <w:jc w:val="center"/>
          <w:hidden/>
        </w:trPr>
        <w:tc>
          <w:tcPr>
            <w:tcW w:w="0" w:type="auto"/>
            <w:gridSpan w:val="3"/>
            <w:shd w:val="clear" w:color="auto" w:fill="auto"/>
            <w:vAlign w:val="bottom"/>
          </w:tcPr>
          <w:p w14:paraId="098A91FF" w14:textId="77777777" w:rsidR="00141CDF" w:rsidRDefault="00141CDF">
            <w:pPr>
              <w:rPr>
                <w:rFonts w:ascii="宋体"/>
                <w:vanish/>
              </w:rPr>
            </w:pPr>
          </w:p>
        </w:tc>
        <w:tc>
          <w:tcPr>
            <w:tcW w:w="0" w:type="auto"/>
            <w:gridSpan w:val="3"/>
            <w:shd w:val="clear" w:color="auto" w:fill="auto"/>
            <w:vAlign w:val="bottom"/>
          </w:tcPr>
          <w:p w14:paraId="098A9200" w14:textId="77777777" w:rsidR="00141CDF" w:rsidRDefault="00141CDF">
            <w:pPr>
              <w:rPr>
                <w:rFonts w:ascii="宋体"/>
                <w:vanish/>
              </w:rPr>
            </w:pPr>
          </w:p>
        </w:tc>
        <w:tc>
          <w:tcPr>
            <w:tcW w:w="0" w:type="auto"/>
            <w:gridSpan w:val="3"/>
            <w:shd w:val="clear" w:color="auto" w:fill="auto"/>
            <w:vAlign w:val="bottom"/>
          </w:tcPr>
          <w:p w14:paraId="098A9201" w14:textId="77777777" w:rsidR="00141CDF" w:rsidRDefault="00141CDF">
            <w:pPr>
              <w:rPr>
                <w:rFonts w:ascii="宋体"/>
                <w:vanish/>
              </w:rPr>
            </w:pPr>
          </w:p>
        </w:tc>
        <w:tc>
          <w:tcPr>
            <w:tcW w:w="0" w:type="auto"/>
            <w:gridSpan w:val="3"/>
            <w:shd w:val="clear" w:color="auto" w:fill="auto"/>
            <w:vAlign w:val="bottom"/>
          </w:tcPr>
          <w:p w14:paraId="098A9202" w14:textId="77777777" w:rsidR="00141CDF" w:rsidRDefault="00141CDF">
            <w:pPr>
              <w:rPr>
                <w:rFonts w:ascii="宋体"/>
                <w:vanish/>
              </w:rPr>
            </w:pPr>
          </w:p>
        </w:tc>
        <w:tc>
          <w:tcPr>
            <w:tcW w:w="0" w:type="auto"/>
            <w:gridSpan w:val="3"/>
            <w:shd w:val="clear" w:color="auto" w:fill="auto"/>
            <w:vAlign w:val="bottom"/>
          </w:tcPr>
          <w:p w14:paraId="098A9203" w14:textId="77777777" w:rsidR="00141CDF" w:rsidRDefault="00141CDF">
            <w:pPr>
              <w:rPr>
                <w:rFonts w:ascii="宋体"/>
                <w:vanish/>
              </w:rPr>
            </w:pPr>
          </w:p>
        </w:tc>
        <w:tc>
          <w:tcPr>
            <w:tcW w:w="0" w:type="auto"/>
            <w:gridSpan w:val="3"/>
            <w:shd w:val="clear" w:color="auto" w:fill="auto"/>
            <w:vAlign w:val="bottom"/>
          </w:tcPr>
          <w:p w14:paraId="098A9204" w14:textId="77777777" w:rsidR="00141CDF" w:rsidRDefault="00141CDF">
            <w:pPr>
              <w:rPr>
                <w:rFonts w:ascii="宋体"/>
                <w:vanish/>
              </w:rPr>
            </w:pPr>
          </w:p>
        </w:tc>
        <w:tc>
          <w:tcPr>
            <w:tcW w:w="0" w:type="auto"/>
            <w:gridSpan w:val="3"/>
            <w:shd w:val="clear" w:color="auto" w:fill="auto"/>
            <w:vAlign w:val="bottom"/>
          </w:tcPr>
          <w:p w14:paraId="098A9205" w14:textId="77777777" w:rsidR="00141CDF" w:rsidRDefault="00141CDF">
            <w:pPr>
              <w:rPr>
                <w:rFonts w:ascii="宋体"/>
                <w:vanish/>
              </w:rPr>
            </w:pPr>
          </w:p>
        </w:tc>
        <w:tc>
          <w:tcPr>
            <w:tcW w:w="0" w:type="auto"/>
            <w:gridSpan w:val="3"/>
            <w:shd w:val="clear" w:color="auto" w:fill="auto"/>
            <w:vAlign w:val="bottom"/>
          </w:tcPr>
          <w:p w14:paraId="098A9206" w14:textId="77777777" w:rsidR="00141CDF" w:rsidRDefault="00141CDF">
            <w:pPr>
              <w:rPr>
                <w:rFonts w:ascii="宋体"/>
                <w:vanish/>
              </w:rPr>
            </w:pPr>
          </w:p>
        </w:tc>
        <w:tc>
          <w:tcPr>
            <w:tcW w:w="0" w:type="auto"/>
            <w:gridSpan w:val="3"/>
            <w:shd w:val="clear" w:color="auto" w:fill="auto"/>
            <w:vAlign w:val="bottom"/>
          </w:tcPr>
          <w:p w14:paraId="098A9207" w14:textId="77777777" w:rsidR="00141CDF" w:rsidRDefault="00141CDF">
            <w:pPr>
              <w:rPr>
                <w:rFonts w:ascii="宋体"/>
                <w:vanish/>
              </w:rPr>
            </w:pPr>
          </w:p>
        </w:tc>
        <w:tc>
          <w:tcPr>
            <w:tcW w:w="0" w:type="auto"/>
            <w:gridSpan w:val="3"/>
            <w:shd w:val="clear" w:color="auto" w:fill="auto"/>
            <w:vAlign w:val="bottom"/>
          </w:tcPr>
          <w:p w14:paraId="098A9208" w14:textId="77777777" w:rsidR="00141CDF" w:rsidRDefault="00141CDF">
            <w:pPr>
              <w:rPr>
                <w:rFonts w:ascii="宋体"/>
                <w:vanish/>
              </w:rPr>
            </w:pPr>
          </w:p>
        </w:tc>
        <w:tc>
          <w:tcPr>
            <w:tcW w:w="0" w:type="auto"/>
            <w:gridSpan w:val="3"/>
            <w:shd w:val="clear" w:color="auto" w:fill="auto"/>
            <w:vAlign w:val="bottom"/>
          </w:tcPr>
          <w:p w14:paraId="098A9209" w14:textId="77777777" w:rsidR="00141CDF" w:rsidRDefault="00141CDF">
            <w:pPr>
              <w:rPr>
                <w:rFonts w:ascii="宋体"/>
                <w:vanish/>
              </w:rPr>
            </w:pPr>
          </w:p>
        </w:tc>
        <w:tc>
          <w:tcPr>
            <w:tcW w:w="0" w:type="auto"/>
            <w:gridSpan w:val="3"/>
            <w:shd w:val="clear" w:color="auto" w:fill="auto"/>
            <w:vAlign w:val="bottom"/>
          </w:tcPr>
          <w:p w14:paraId="098A920A" w14:textId="77777777" w:rsidR="00141CDF" w:rsidRDefault="00141CDF">
            <w:pPr>
              <w:rPr>
                <w:rFonts w:ascii="宋体"/>
                <w:vanish/>
              </w:rPr>
            </w:pPr>
          </w:p>
        </w:tc>
        <w:tc>
          <w:tcPr>
            <w:tcW w:w="0" w:type="auto"/>
            <w:gridSpan w:val="3"/>
            <w:shd w:val="clear" w:color="auto" w:fill="auto"/>
            <w:vAlign w:val="bottom"/>
          </w:tcPr>
          <w:p w14:paraId="098A920B" w14:textId="77777777" w:rsidR="00141CDF" w:rsidRDefault="00141CDF">
            <w:pPr>
              <w:rPr>
                <w:rFonts w:ascii="宋体"/>
                <w:vanish/>
              </w:rPr>
            </w:pPr>
          </w:p>
        </w:tc>
        <w:tc>
          <w:tcPr>
            <w:tcW w:w="0" w:type="auto"/>
            <w:gridSpan w:val="3"/>
            <w:shd w:val="clear" w:color="auto" w:fill="auto"/>
            <w:vAlign w:val="bottom"/>
          </w:tcPr>
          <w:p w14:paraId="098A920C" w14:textId="77777777" w:rsidR="00141CDF" w:rsidRDefault="00141CDF">
            <w:pPr>
              <w:rPr>
                <w:rFonts w:ascii="宋体"/>
                <w:vanish/>
              </w:rPr>
            </w:pPr>
          </w:p>
        </w:tc>
        <w:tc>
          <w:tcPr>
            <w:tcW w:w="0" w:type="auto"/>
            <w:gridSpan w:val="3"/>
            <w:shd w:val="clear" w:color="auto" w:fill="auto"/>
            <w:vAlign w:val="bottom"/>
          </w:tcPr>
          <w:p w14:paraId="098A920D" w14:textId="77777777" w:rsidR="00141CDF" w:rsidRDefault="00141CDF">
            <w:pPr>
              <w:rPr>
                <w:rFonts w:ascii="宋体"/>
                <w:vanish/>
              </w:rPr>
            </w:pPr>
          </w:p>
        </w:tc>
        <w:tc>
          <w:tcPr>
            <w:tcW w:w="0" w:type="auto"/>
            <w:gridSpan w:val="3"/>
            <w:shd w:val="clear" w:color="auto" w:fill="auto"/>
            <w:vAlign w:val="bottom"/>
          </w:tcPr>
          <w:p w14:paraId="098A920E" w14:textId="77777777" w:rsidR="00141CDF" w:rsidRDefault="00141CDF">
            <w:pPr>
              <w:rPr>
                <w:rFonts w:ascii="宋体"/>
                <w:vanish/>
              </w:rPr>
            </w:pPr>
          </w:p>
        </w:tc>
        <w:tc>
          <w:tcPr>
            <w:tcW w:w="0" w:type="auto"/>
            <w:shd w:val="clear" w:color="auto" w:fill="auto"/>
            <w:vAlign w:val="bottom"/>
          </w:tcPr>
          <w:p w14:paraId="098A920F" w14:textId="77777777" w:rsidR="00141CDF" w:rsidRDefault="00141CDF">
            <w:pPr>
              <w:rPr>
                <w:rFonts w:ascii="宋体"/>
                <w:vanish/>
              </w:rPr>
            </w:pPr>
          </w:p>
        </w:tc>
        <w:tc>
          <w:tcPr>
            <w:tcW w:w="0" w:type="auto"/>
            <w:shd w:val="clear" w:color="auto" w:fill="auto"/>
            <w:vAlign w:val="bottom"/>
          </w:tcPr>
          <w:p w14:paraId="098A9210" w14:textId="77777777" w:rsidR="00141CDF" w:rsidRDefault="00141CDF">
            <w:pPr>
              <w:rPr>
                <w:rFonts w:ascii="宋体"/>
                <w:vanish/>
              </w:rPr>
            </w:pPr>
          </w:p>
        </w:tc>
        <w:tc>
          <w:tcPr>
            <w:tcW w:w="0" w:type="auto"/>
            <w:shd w:val="clear" w:color="auto" w:fill="auto"/>
            <w:vAlign w:val="bottom"/>
          </w:tcPr>
          <w:p w14:paraId="098A9211" w14:textId="77777777" w:rsidR="00141CDF" w:rsidRDefault="00141CDF">
            <w:pPr>
              <w:rPr>
                <w:rFonts w:ascii="宋体"/>
                <w:vanish/>
              </w:rPr>
            </w:pPr>
          </w:p>
        </w:tc>
      </w:tr>
      <w:tr w:rsidR="00141CDF" w14:paraId="098A9226" w14:textId="77777777">
        <w:trPr>
          <w:jc w:val="center"/>
          <w:hidden/>
        </w:trPr>
        <w:tc>
          <w:tcPr>
            <w:tcW w:w="0" w:type="auto"/>
            <w:gridSpan w:val="3"/>
            <w:shd w:val="clear" w:color="auto" w:fill="auto"/>
            <w:vAlign w:val="bottom"/>
          </w:tcPr>
          <w:p w14:paraId="098A9213" w14:textId="77777777" w:rsidR="00141CDF" w:rsidRDefault="00141CDF">
            <w:pPr>
              <w:rPr>
                <w:rFonts w:ascii="宋体"/>
                <w:vanish/>
              </w:rPr>
            </w:pPr>
          </w:p>
        </w:tc>
        <w:tc>
          <w:tcPr>
            <w:tcW w:w="0" w:type="auto"/>
            <w:gridSpan w:val="3"/>
            <w:shd w:val="clear" w:color="auto" w:fill="auto"/>
            <w:vAlign w:val="bottom"/>
          </w:tcPr>
          <w:p w14:paraId="098A9214" w14:textId="77777777" w:rsidR="00141CDF" w:rsidRDefault="00141CDF">
            <w:pPr>
              <w:rPr>
                <w:rFonts w:ascii="宋体"/>
                <w:vanish/>
              </w:rPr>
            </w:pPr>
          </w:p>
        </w:tc>
        <w:tc>
          <w:tcPr>
            <w:tcW w:w="0" w:type="auto"/>
            <w:gridSpan w:val="3"/>
            <w:shd w:val="clear" w:color="auto" w:fill="auto"/>
            <w:vAlign w:val="bottom"/>
          </w:tcPr>
          <w:p w14:paraId="098A9215" w14:textId="77777777" w:rsidR="00141CDF" w:rsidRDefault="00141CDF">
            <w:pPr>
              <w:rPr>
                <w:rFonts w:ascii="宋体"/>
                <w:vanish/>
              </w:rPr>
            </w:pPr>
          </w:p>
        </w:tc>
        <w:tc>
          <w:tcPr>
            <w:tcW w:w="0" w:type="auto"/>
            <w:gridSpan w:val="3"/>
            <w:shd w:val="clear" w:color="auto" w:fill="auto"/>
            <w:vAlign w:val="bottom"/>
          </w:tcPr>
          <w:p w14:paraId="098A9216" w14:textId="77777777" w:rsidR="00141CDF" w:rsidRDefault="00141CDF">
            <w:pPr>
              <w:rPr>
                <w:rFonts w:ascii="宋体"/>
                <w:vanish/>
              </w:rPr>
            </w:pPr>
          </w:p>
        </w:tc>
        <w:tc>
          <w:tcPr>
            <w:tcW w:w="0" w:type="auto"/>
            <w:gridSpan w:val="3"/>
            <w:shd w:val="clear" w:color="auto" w:fill="auto"/>
            <w:vAlign w:val="bottom"/>
          </w:tcPr>
          <w:p w14:paraId="098A9217" w14:textId="77777777" w:rsidR="00141CDF" w:rsidRDefault="00141CDF">
            <w:pPr>
              <w:rPr>
                <w:rFonts w:ascii="宋体"/>
                <w:vanish/>
              </w:rPr>
            </w:pPr>
          </w:p>
        </w:tc>
        <w:tc>
          <w:tcPr>
            <w:tcW w:w="0" w:type="auto"/>
            <w:gridSpan w:val="3"/>
            <w:shd w:val="clear" w:color="auto" w:fill="auto"/>
            <w:vAlign w:val="bottom"/>
          </w:tcPr>
          <w:p w14:paraId="098A9218" w14:textId="77777777" w:rsidR="00141CDF" w:rsidRDefault="00141CDF">
            <w:pPr>
              <w:rPr>
                <w:rFonts w:ascii="宋体"/>
                <w:vanish/>
              </w:rPr>
            </w:pPr>
          </w:p>
        </w:tc>
        <w:tc>
          <w:tcPr>
            <w:tcW w:w="0" w:type="auto"/>
            <w:gridSpan w:val="3"/>
            <w:shd w:val="clear" w:color="auto" w:fill="auto"/>
            <w:vAlign w:val="bottom"/>
          </w:tcPr>
          <w:p w14:paraId="098A9219" w14:textId="77777777" w:rsidR="00141CDF" w:rsidRDefault="00141CDF">
            <w:pPr>
              <w:rPr>
                <w:rFonts w:ascii="宋体"/>
                <w:vanish/>
              </w:rPr>
            </w:pPr>
          </w:p>
        </w:tc>
        <w:tc>
          <w:tcPr>
            <w:tcW w:w="0" w:type="auto"/>
            <w:gridSpan w:val="3"/>
            <w:shd w:val="clear" w:color="auto" w:fill="auto"/>
            <w:vAlign w:val="bottom"/>
          </w:tcPr>
          <w:p w14:paraId="098A921A" w14:textId="77777777" w:rsidR="00141CDF" w:rsidRDefault="00141CDF">
            <w:pPr>
              <w:rPr>
                <w:rFonts w:ascii="宋体"/>
                <w:vanish/>
              </w:rPr>
            </w:pPr>
          </w:p>
        </w:tc>
        <w:tc>
          <w:tcPr>
            <w:tcW w:w="0" w:type="auto"/>
            <w:gridSpan w:val="3"/>
            <w:shd w:val="clear" w:color="auto" w:fill="auto"/>
            <w:vAlign w:val="bottom"/>
          </w:tcPr>
          <w:p w14:paraId="098A921B" w14:textId="77777777" w:rsidR="00141CDF" w:rsidRDefault="00141CDF">
            <w:pPr>
              <w:rPr>
                <w:rFonts w:ascii="宋体"/>
                <w:vanish/>
              </w:rPr>
            </w:pPr>
          </w:p>
        </w:tc>
        <w:tc>
          <w:tcPr>
            <w:tcW w:w="0" w:type="auto"/>
            <w:gridSpan w:val="3"/>
            <w:shd w:val="clear" w:color="auto" w:fill="auto"/>
            <w:vAlign w:val="bottom"/>
          </w:tcPr>
          <w:p w14:paraId="098A921C" w14:textId="77777777" w:rsidR="00141CDF" w:rsidRDefault="00141CDF">
            <w:pPr>
              <w:rPr>
                <w:rFonts w:ascii="宋体"/>
                <w:vanish/>
              </w:rPr>
            </w:pPr>
          </w:p>
        </w:tc>
        <w:tc>
          <w:tcPr>
            <w:tcW w:w="0" w:type="auto"/>
            <w:gridSpan w:val="3"/>
            <w:shd w:val="clear" w:color="auto" w:fill="auto"/>
            <w:vAlign w:val="bottom"/>
          </w:tcPr>
          <w:p w14:paraId="098A921D" w14:textId="77777777" w:rsidR="00141CDF" w:rsidRDefault="00141CDF">
            <w:pPr>
              <w:rPr>
                <w:rFonts w:ascii="宋体"/>
                <w:vanish/>
              </w:rPr>
            </w:pPr>
          </w:p>
        </w:tc>
        <w:tc>
          <w:tcPr>
            <w:tcW w:w="0" w:type="auto"/>
            <w:gridSpan w:val="3"/>
            <w:shd w:val="clear" w:color="auto" w:fill="auto"/>
            <w:vAlign w:val="bottom"/>
          </w:tcPr>
          <w:p w14:paraId="098A921E" w14:textId="77777777" w:rsidR="00141CDF" w:rsidRDefault="00141CDF">
            <w:pPr>
              <w:rPr>
                <w:rFonts w:ascii="宋体"/>
                <w:vanish/>
              </w:rPr>
            </w:pPr>
          </w:p>
        </w:tc>
        <w:tc>
          <w:tcPr>
            <w:tcW w:w="0" w:type="auto"/>
            <w:gridSpan w:val="3"/>
            <w:shd w:val="clear" w:color="auto" w:fill="auto"/>
            <w:vAlign w:val="bottom"/>
          </w:tcPr>
          <w:p w14:paraId="098A921F" w14:textId="77777777" w:rsidR="00141CDF" w:rsidRDefault="00141CDF">
            <w:pPr>
              <w:rPr>
                <w:rFonts w:ascii="宋体"/>
                <w:vanish/>
              </w:rPr>
            </w:pPr>
          </w:p>
        </w:tc>
        <w:tc>
          <w:tcPr>
            <w:tcW w:w="0" w:type="auto"/>
            <w:gridSpan w:val="3"/>
            <w:shd w:val="clear" w:color="auto" w:fill="auto"/>
            <w:vAlign w:val="bottom"/>
          </w:tcPr>
          <w:p w14:paraId="098A9220" w14:textId="77777777" w:rsidR="00141CDF" w:rsidRDefault="00141CDF">
            <w:pPr>
              <w:rPr>
                <w:rFonts w:ascii="宋体"/>
                <w:vanish/>
              </w:rPr>
            </w:pPr>
          </w:p>
        </w:tc>
        <w:tc>
          <w:tcPr>
            <w:tcW w:w="0" w:type="auto"/>
            <w:gridSpan w:val="3"/>
            <w:shd w:val="clear" w:color="auto" w:fill="auto"/>
            <w:vAlign w:val="bottom"/>
          </w:tcPr>
          <w:p w14:paraId="098A9221" w14:textId="77777777" w:rsidR="00141CDF" w:rsidRDefault="00141CDF">
            <w:pPr>
              <w:rPr>
                <w:rFonts w:ascii="宋体"/>
                <w:vanish/>
              </w:rPr>
            </w:pPr>
          </w:p>
        </w:tc>
        <w:tc>
          <w:tcPr>
            <w:tcW w:w="0" w:type="auto"/>
            <w:gridSpan w:val="3"/>
            <w:shd w:val="clear" w:color="auto" w:fill="auto"/>
            <w:vAlign w:val="bottom"/>
          </w:tcPr>
          <w:p w14:paraId="098A9222" w14:textId="77777777" w:rsidR="00141CDF" w:rsidRDefault="00141CDF">
            <w:pPr>
              <w:rPr>
                <w:rFonts w:ascii="宋体"/>
                <w:vanish/>
              </w:rPr>
            </w:pPr>
          </w:p>
        </w:tc>
        <w:tc>
          <w:tcPr>
            <w:tcW w:w="0" w:type="auto"/>
            <w:shd w:val="clear" w:color="auto" w:fill="auto"/>
            <w:vAlign w:val="bottom"/>
          </w:tcPr>
          <w:p w14:paraId="098A9223" w14:textId="77777777" w:rsidR="00141CDF" w:rsidRDefault="00141CDF">
            <w:pPr>
              <w:rPr>
                <w:rFonts w:ascii="宋体"/>
                <w:vanish/>
              </w:rPr>
            </w:pPr>
          </w:p>
        </w:tc>
        <w:tc>
          <w:tcPr>
            <w:tcW w:w="0" w:type="auto"/>
            <w:shd w:val="clear" w:color="auto" w:fill="auto"/>
            <w:vAlign w:val="bottom"/>
          </w:tcPr>
          <w:p w14:paraId="098A9224" w14:textId="77777777" w:rsidR="00141CDF" w:rsidRDefault="00141CDF">
            <w:pPr>
              <w:rPr>
                <w:rFonts w:ascii="宋体"/>
                <w:vanish/>
              </w:rPr>
            </w:pPr>
          </w:p>
        </w:tc>
        <w:tc>
          <w:tcPr>
            <w:tcW w:w="0" w:type="auto"/>
            <w:shd w:val="clear" w:color="auto" w:fill="auto"/>
            <w:vAlign w:val="bottom"/>
          </w:tcPr>
          <w:p w14:paraId="098A9225" w14:textId="77777777" w:rsidR="00141CDF" w:rsidRDefault="00141CDF">
            <w:pPr>
              <w:rPr>
                <w:rFonts w:ascii="宋体"/>
                <w:vanish/>
              </w:rPr>
            </w:pPr>
          </w:p>
        </w:tc>
      </w:tr>
      <w:tr w:rsidR="00141CDF" w14:paraId="098A923A" w14:textId="77777777">
        <w:trPr>
          <w:jc w:val="center"/>
          <w:hidden/>
        </w:trPr>
        <w:tc>
          <w:tcPr>
            <w:tcW w:w="0" w:type="auto"/>
            <w:gridSpan w:val="3"/>
            <w:shd w:val="clear" w:color="auto" w:fill="auto"/>
            <w:vAlign w:val="bottom"/>
          </w:tcPr>
          <w:p w14:paraId="098A9227" w14:textId="77777777" w:rsidR="00141CDF" w:rsidRDefault="00141CDF">
            <w:pPr>
              <w:rPr>
                <w:rFonts w:ascii="宋体"/>
                <w:vanish/>
              </w:rPr>
            </w:pPr>
          </w:p>
        </w:tc>
        <w:tc>
          <w:tcPr>
            <w:tcW w:w="0" w:type="auto"/>
            <w:gridSpan w:val="3"/>
            <w:shd w:val="clear" w:color="auto" w:fill="auto"/>
            <w:vAlign w:val="bottom"/>
          </w:tcPr>
          <w:p w14:paraId="098A9228" w14:textId="77777777" w:rsidR="00141CDF" w:rsidRDefault="00141CDF">
            <w:pPr>
              <w:rPr>
                <w:rFonts w:ascii="宋体"/>
                <w:vanish/>
              </w:rPr>
            </w:pPr>
          </w:p>
        </w:tc>
        <w:tc>
          <w:tcPr>
            <w:tcW w:w="0" w:type="auto"/>
            <w:gridSpan w:val="3"/>
            <w:shd w:val="clear" w:color="auto" w:fill="auto"/>
            <w:vAlign w:val="bottom"/>
          </w:tcPr>
          <w:p w14:paraId="098A9229" w14:textId="77777777" w:rsidR="00141CDF" w:rsidRDefault="00141CDF">
            <w:pPr>
              <w:rPr>
                <w:rFonts w:ascii="宋体"/>
                <w:vanish/>
              </w:rPr>
            </w:pPr>
          </w:p>
        </w:tc>
        <w:tc>
          <w:tcPr>
            <w:tcW w:w="0" w:type="auto"/>
            <w:gridSpan w:val="3"/>
            <w:shd w:val="clear" w:color="auto" w:fill="auto"/>
            <w:vAlign w:val="bottom"/>
          </w:tcPr>
          <w:p w14:paraId="098A922A" w14:textId="77777777" w:rsidR="00141CDF" w:rsidRDefault="00141CDF">
            <w:pPr>
              <w:rPr>
                <w:rFonts w:ascii="宋体"/>
                <w:vanish/>
              </w:rPr>
            </w:pPr>
          </w:p>
        </w:tc>
        <w:tc>
          <w:tcPr>
            <w:tcW w:w="0" w:type="auto"/>
            <w:gridSpan w:val="3"/>
            <w:shd w:val="clear" w:color="auto" w:fill="auto"/>
            <w:vAlign w:val="bottom"/>
          </w:tcPr>
          <w:p w14:paraId="098A922B" w14:textId="77777777" w:rsidR="00141CDF" w:rsidRDefault="00141CDF">
            <w:pPr>
              <w:rPr>
                <w:rFonts w:ascii="宋体"/>
                <w:vanish/>
              </w:rPr>
            </w:pPr>
          </w:p>
        </w:tc>
        <w:tc>
          <w:tcPr>
            <w:tcW w:w="0" w:type="auto"/>
            <w:gridSpan w:val="3"/>
            <w:shd w:val="clear" w:color="auto" w:fill="auto"/>
            <w:vAlign w:val="bottom"/>
          </w:tcPr>
          <w:p w14:paraId="098A922C" w14:textId="77777777" w:rsidR="00141CDF" w:rsidRDefault="00141CDF">
            <w:pPr>
              <w:rPr>
                <w:rFonts w:ascii="宋体"/>
                <w:vanish/>
              </w:rPr>
            </w:pPr>
          </w:p>
        </w:tc>
        <w:tc>
          <w:tcPr>
            <w:tcW w:w="0" w:type="auto"/>
            <w:gridSpan w:val="3"/>
            <w:shd w:val="clear" w:color="auto" w:fill="auto"/>
            <w:vAlign w:val="bottom"/>
          </w:tcPr>
          <w:p w14:paraId="098A922D" w14:textId="77777777" w:rsidR="00141CDF" w:rsidRDefault="00141CDF">
            <w:pPr>
              <w:rPr>
                <w:rFonts w:ascii="宋体"/>
                <w:vanish/>
              </w:rPr>
            </w:pPr>
          </w:p>
        </w:tc>
        <w:tc>
          <w:tcPr>
            <w:tcW w:w="0" w:type="auto"/>
            <w:gridSpan w:val="3"/>
            <w:shd w:val="clear" w:color="auto" w:fill="auto"/>
            <w:vAlign w:val="bottom"/>
          </w:tcPr>
          <w:p w14:paraId="098A922E" w14:textId="77777777" w:rsidR="00141CDF" w:rsidRDefault="00141CDF">
            <w:pPr>
              <w:rPr>
                <w:rFonts w:ascii="宋体"/>
                <w:vanish/>
              </w:rPr>
            </w:pPr>
          </w:p>
        </w:tc>
        <w:tc>
          <w:tcPr>
            <w:tcW w:w="0" w:type="auto"/>
            <w:gridSpan w:val="3"/>
            <w:shd w:val="clear" w:color="auto" w:fill="auto"/>
            <w:vAlign w:val="bottom"/>
          </w:tcPr>
          <w:p w14:paraId="098A922F" w14:textId="77777777" w:rsidR="00141CDF" w:rsidRDefault="00141CDF">
            <w:pPr>
              <w:rPr>
                <w:rFonts w:ascii="宋体"/>
                <w:vanish/>
              </w:rPr>
            </w:pPr>
          </w:p>
        </w:tc>
        <w:tc>
          <w:tcPr>
            <w:tcW w:w="0" w:type="auto"/>
            <w:gridSpan w:val="3"/>
            <w:shd w:val="clear" w:color="auto" w:fill="auto"/>
            <w:vAlign w:val="bottom"/>
          </w:tcPr>
          <w:p w14:paraId="098A9230" w14:textId="77777777" w:rsidR="00141CDF" w:rsidRDefault="00141CDF">
            <w:pPr>
              <w:rPr>
                <w:rFonts w:ascii="宋体"/>
                <w:vanish/>
              </w:rPr>
            </w:pPr>
          </w:p>
        </w:tc>
        <w:tc>
          <w:tcPr>
            <w:tcW w:w="0" w:type="auto"/>
            <w:gridSpan w:val="3"/>
            <w:shd w:val="clear" w:color="auto" w:fill="auto"/>
            <w:vAlign w:val="bottom"/>
          </w:tcPr>
          <w:p w14:paraId="098A9231" w14:textId="77777777" w:rsidR="00141CDF" w:rsidRDefault="00141CDF">
            <w:pPr>
              <w:rPr>
                <w:rFonts w:ascii="宋体"/>
                <w:vanish/>
              </w:rPr>
            </w:pPr>
          </w:p>
        </w:tc>
        <w:tc>
          <w:tcPr>
            <w:tcW w:w="0" w:type="auto"/>
            <w:gridSpan w:val="3"/>
            <w:shd w:val="clear" w:color="auto" w:fill="auto"/>
            <w:vAlign w:val="bottom"/>
          </w:tcPr>
          <w:p w14:paraId="098A9232" w14:textId="77777777" w:rsidR="00141CDF" w:rsidRDefault="00141CDF">
            <w:pPr>
              <w:rPr>
                <w:rFonts w:ascii="宋体"/>
                <w:vanish/>
              </w:rPr>
            </w:pPr>
          </w:p>
        </w:tc>
        <w:tc>
          <w:tcPr>
            <w:tcW w:w="0" w:type="auto"/>
            <w:gridSpan w:val="3"/>
            <w:shd w:val="clear" w:color="auto" w:fill="auto"/>
            <w:vAlign w:val="bottom"/>
          </w:tcPr>
          <w:p w14:paraId="098A9233" w14:textId="77777777" w:rsidR="00141CDF" w:rsidRDefault="00141CDF">
            <w:pPr>
              <w:rPr>
                <w:rFonts w:ascii="宋体"/>
                <w:vanish/>
              </w:rPr>
            </w:pPr>
          </w:p>
        </w:tc>
        <w:tc>
          <w:tcPr>
            <w:tcW w:w="0" w:type="auto"/>
            <w:gridSpan w:val="3"/>
            <w:shd w:val="clear" w:color="auto" w:fill="auto"/>
            <w:vAlign w:val="bottom"/>
          </w:tcPr>
          <w:p w14:paraId="098A9234" w14:textId="77777777" w:rsidR="00141CDF" w:rsidRDefault="00141CDF">
            <w:pPr>
              <w:rPr>
                <w:rFonts w:ascii="宋体"/>
                <w:vanish/>
              </w:rPr>
            </w:pPr>
          </w:p>
        </w:tc>
        <w:tc>
          <w:tcPr>
            <w:tcW w:w="0" w:type="auto"/>
            <w:gridSpan w:val="3"/>
            <w:shd w:val="clear" w:color="auto" w:fill="auto"/>
            <w:vAlign w:val="bottom"/>
          </w:tcPr>
          <w:p w14:paraId="098A9235" w14:textId="77777777" w:rsidR="00141CDF" w:rsidRDefault="00141CDF">
            <w:pPr>
              <w:rPr>
                <w:rFonts w:ascii="宋体"/>
                <w:vanish/>
              </w:rPr>
            </w:pPr>
          </w:p>
        </w:tc>
        <w:tc>
          <w:tcPr>
            <w:tcW w:w="0" w:type="auto"/>
            <w:gridSpan w:val="3"/>
            <w:shd w:val="clear" w:color="auto" w:fill="auto"/>
            <w:vAlign w:val="bottom"/>
          </w:tcPr>
          <w:p w14:paraId="098A9236" w14:textId="77777777" w:rsidR="00141CDF" w:rsidRDefault="00141CDF">
            <w:pPr>
              <w:rPr>
                <w:rFonts w:ascii="宋体"/>
                <w:vanish/>
              </w:rPr>
            </w:pPr>
          </w:p>
        </w:tc>
        <w:tc>
          <w:tcPr>
            <w:tcW w:w="0" w:type="auto"/>
            <w:shd w:val="clear" w:color="auto" w:fill="auto"/>
            <w:vAlign w:val="bottom"/>
          </w:tcPr>
          <w:p w14:paraId="098A9237" w14:textId="77777777" w:rsidR="00141CDF" w:rsidRDefault="00141CDF">
            <w:pPr>
              <w:rPr>
                <w:rFonts w:ascii="宋体"/>
                <w:vanish/>
              </w:rPr>
            </w:pPr>
          </w:p>
        </w:tc>
        <w:tc>
          <w:tcPr>
            <w:tcW w:w="0" w:type="auto"/>
            <w:shd w:val="clear" w:color="auto" w:fill="auto"/>
            <w:vAlign w:val="bottom"/>
          </w:tcPr>
          <w:p w14:paraId="098A9238" w14:textId="77777777" w:rsidR="00141CDF" w:rsidRDefault="00141CDF">
            <w:pPr>
              <w:rPr>
                <w:rFonts w:ascii="宋体"/>
                <w:vanish/>
              </w:rPr>
            </w:pPr>
          </w:p>
        </w:tc>
        <w:tc>
          <w:tcPr>
            <w:tcW w:w="0" w:type="auto"/>
            <w:shd w:val="clear" w:color="auto" w:fill="auto"/>
            <w:vAlign w:val="bottom"/>
          </w:tcPr>
          <w:p w14:paraId="098A9239" w14:textId="77777777" w:rsidR="00141CDF" w:rsidRDefault="00141CDF">
            <w:pPr>
              <w:rPr>
                <w:rFonts w:ascii="宋体"/>
                <w:vanish/>
              </w:rPr>
            </w:pPr>
          </w:p>
        </w:tc>
      </w:tr>
    </w:tbl>
    <w:p w14:paraId="098A923B" w14:textId="77777777" w:rsidR="00141CDF" w:rsidRDefault="00DF45E0">
      <w:pPr>
        <w:spacing w:before="80"/>
      </w:pPr>
      <w:r>
        <w:rPr>
          <w:rFonts w:ascii="Times New Roman" w:eastAsia="宋体" w:hAnsi="Times New Roman"/>
          <w:i/>
          <w:iCs/>
          <w:color w:val="000000"/>
          <w:sz w:val="16"/>
          <w:szCs w:val="16"/>
        </w:rPr>
        <w:t xml:space="preserve">See accompanying notes. </w:t>
      </w:r>
    </w:p>
    <w:p w14:paraId="098A923C" w14:textId="77777777" w:rsidR="00141CDF" w:rsidRDefault="00DF45E0">
      <w:pPr>
        <w:jc w:val="center"/>
      </w:pPr>
      <w:r>
        <w:rPr>
          <w:rFonts w:ascii="Times New Roman" w:eastAsia="宋体" w:hAnsi="Times New Roman"/>
          <w:color w:val="000000"/>
          <w:sz w:val="20"/>
          <w:szCs w:val="20"/>
        </w:rPr>
        <w:t>6</w:t>
      </w:r>
    </w:p>
    <w:p w14:paraId="098A923D" w14:textId="77777777" w:rsidR="00141CDF" w:rsidRDefault="00DF45E0">
      <w:r>
        <w:pict w14:anchorId="098AA654">
          <v:rect id="_x0000_i1030" style="width:415.3pt;height:1.5pt" o:hralign="center" o:hrstd="t" o:hr="t" fillcolor="#a0a0a0" stroked="f"/>
        </w:pict>
      </w:r>
    </w:p>
    <w:p w14:paraId="098A923E" w14:textId="77777777" w:rsidR="00141CDF" w:rsidRDefault="00DF45E0">
      <w:hyperlink r:id="rId49" w:anchor="i24a2f296795646fa8b5ba32fd1359591_7" w:history="1">
        <w:r>
          <w:rPr>
            <w:rStyle w:val="a5"/>
            <w:rFonts w:ascii="Times New Roman" w:eastAsia="宋体" w:hAnsi="Times New Roman"/>
            <w:sz w:val="20"/>
            <w:szCs w:val="20"/>
          </w:rPr>
          <w:t xml:space="preserve">Table of </w:t>
        </w:r>
      </w:hyperlink>
      <w:hyperlink r:id="rId50" w:anchor="i24a2f296795646fa8b5ba32fd1359591_7" w:history="1">
        <w:r>
          <w:rPr>
            <w:rStyle w:val="a5"/>
            <w:rFonts w:ascii="Times New Roman" w:eastAsia="宋体" w:hAnsi="Times New Roman"/>
            <w:sz w:val="20"/>
            <w:szCs w:val="20"/>
          </w:rPr>
          <w:t>Contents</w:t>
        </w:r>
      </w:hyperlink>
    </w:p>
    <w:p w14:paraId="098A923F" w14:textId="77777777" w:rsidR="00141CDF" w:rsidRDefault="00DF45E0">
      <w:pPr>
        <w:jc w:val="center"/>
      </w:pPr>
      <w:r>
        <w:rPr>
          <w:rFonts w:ascii="Times New Roman" w:eastAsia="宋体" w:hAnsi="Times New Roman"/>
          <w:b/>
          <w:bCs/>
          <w:color w:val="000000"/>
          <w:sz w:val="20"/>
          <w:szCs w:val="20"/>
        </w:rPr>
        <w:t>Walmart Inc.</w:t>
      </w:r>
    </w:p>
    <w:p w14:paraId="098A9240" w14:textId="77777777" w:rsidR="00141CDF" w:rsidRDefault="00DF45E0">
      <w:pPr>
        <w:spacing w:before="60"/>
        <w:jc w:val="center"/>
      </w:pPr>
      <w:r>
        <w:rPr>
          <w:rFonts w:ascii="Times New Roman" w:eastAsia="宋体" w:hAnsi="Times New Roman"/>
          <w:b/>
          <w:bCs/>
          <w:color w:val="000000"/>
          <w:sz w:val="20"/>
          <w:szCs w:val="20"/>
        </w:rPr>
        <w:t>Condensed Consolidated Statements of Cash Flows</w:t>
      </w:r>
    </w:p>
    <w:p w14:paraId="098A9241" w14:textId="77777777" w:rsidR="00141CDF" w:rsidRDefault="00DF45E0">
      <w:pPr>
        <w:spacing w:before="60"/>
        <w:jc w:val="center"/>
      </w:pPr>
      <w:r>
        <w:rPr>
          <w:rFonts w:ascii="Times New Roman" w:eastAsia="宋体" w:hAnsi="Times New Roman"/>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4"/>
        <w:gridCol w:w="6155"/>
        <w:gridCol w:w="39"/>
        <w:gridCol w:w="36"/>
        <w:gridCol w:w="36"/>
        <w:gridCol w:w="36"/>
        <w:gridCol w:w="100"/>
        <w:gridCol w:w="756"/>
        <w:gridCol w:w="36"/>
        <w:gridCol w:w="36"/>
        <w:gridCol w:w="36"/>
        <w:gridCol w:w="36"/>
        <w:gridCol w:w="100"/>
        <w:gridCol w:w="782"/>
        <w:gridCol w:w="36"/>
        <w:gridCol w:w="36"/>
        <w:gridCol w:w="36"/>
      </w:tblGrid>
      <w:tr w:rsidR="00141CDF" w14:paraId="098A9253" w14:textId="77777777">
        <w:tc>
          <w:tcPr>
            <w:tcW w:w="50" w:type="pct"/>
            <w:shd w:val="clear" w:color="auto" w:fill="auto"/>
            <w:vAlign w:val="bottom"/>
          </w:tcPr>
          <w:p w14:paraId="098A9242" w14:textId="77777777" w:rsidR="00141CDF" w:rsidRDefault="00141CDF">
            <w:pPr>
              <w:rPr>
                <w:rFonts w:ascii="宋体"/>
              </w:rPr>
            </w:pPr>
          </w:p>
        </w:tc>
        <w:tc>
          <w:tcPr>
            <w:tcW w:w="3746" w:type="pct"/>
            <w:shd w:val="clear" w:color="auto" w:fill="auto"/>
            <w:vAlign w:val="bottom"/>
          </w:tcPr>
          <w:p w14:paraId="098A9243" w14:textId="77777777" w:rsidR="00141CDF" w:rsidRDefault="00141CDF">
            <w:pPr>
              <w:rPr>
                <w:rFonts w:ascii="宋体"/>
              </w:rPr>
            </w:pPr>
          </w:p>
        </w:tc>
        <w:tc>
          <w:tcPr>
            <w:tcW w:w="5" w:type="pct"/>
            <w:shd w:val="clear" w:color="auto" w:fill="auto"/>
            <w:vAlign w:val="bottom"/>
          </w:tcPr>
          <w:p w14:paraId="098A9244" w14:textId="77777777" w:rsidR="00141CDF" w:rsidRDefault="00141CDF">
            <w:pPr>
              <w:rPr>
                <w:rFonts w:ascii="宋体"/>
              </w:rPr>
            </w:pPr>
          </w:p>
        </w:tc>
        <w:tc>
          <w:tcPr>
            <w:tcW w:w="5" w:type="pct"/>
            <w:shd w:val="clear" w:color="auto" w:fill="auto"/>
            <w:vAlign w:val="bottom"/>
          </w:tcPr>
          <w:p w14:paraId="098A9245" w14:textId="77777777" w:rsidR="00141CDF" w:rsidRDefault="00141CDF">
            <w:pPr>
              <w:rPr>
                <w:rFonts w:ascii="宋体"/>
              </w:rPr>
            </w:pPr>
          </w:p>
        </w:tc>
        <w:tc>
          <w:tcPr>
            <w:tcW w:w="26" w:type="pct"/>
            <w:shd w:val="clear" w:color="auto" w:fill="auto"/>
            <w:vAlign w:val="bottom"/>
          </w:tcPr>
          <w:p w14:paraId="098A9246" w14:textId="77777777" w:rsidR="00141CDF" w:rsidRDefault="00141CDF">
            <w:pPr>
              <w:rPr>
                <w:rFonts w:ascii="宋体"/>
              </w:rPr>
            </w:pPr>
          </w:p>
        </w:tc>
        <w:tc>
          <w:tcPr>
            <w:tcW w:w="5" w:type="pct"/>
            <w:shd w:val="clear" w:color="auto" w:fill="auto"/>
            <w:vAlign w:val="bottom"/>
          </w:tcPr>
          <w:p w14:paraId="098A9247" w14:textId="77777777" w:rsidR="00141CDF" w:rsidRDefault="00141CDF">
            <w:pPr>
              <w:rPr>
                <w:rFonts w:ascii="宋体"/>
              </w:rPr>
            </w:pPr>
          </w:p>
        </w:tc>
        <w:tc>
          <w:tcPr>
            <w:tcW w:w="50" w:type="pct"/>
            <w:shd w:val="clear" w:color="auto" w:fill="auto"/>
            <w:vAlign w:val="bottom"/>
          </w:tcPr>
          <w:p w14:paraId="098A9248" w14:textId="77777777" w:rsidR="00141CDF" w:rsidRDefault="00141CDF">
            <w:pPr>
              <w:rPr>
                <w:rFonts w:ascii="宋体"/>
              </w:rPr>
            </w:pPr>
          </w:p>
        </w:tc>
        <w:tc>
          <w:tcPr>
            <w:tcW w:w="500" w:type="pct"/>
            <w:shd w:val="clear" w:color="auto" w:fill="auto"/>
            <w:vAlign w:val="bottom"/>
          </w:tcPr>
          <w:p w14:paraId="098A9249" w14:textId="77777777" w:rsidR="00141CDF" w:rsidRDefault="00141CDF">
            <w:pPr>
              <w:rPr>
                <w:rFonts w:ascii="宋体"/>
              </w:rPr>
            </w:pPr>
          </w:p>
        </w:tc>
        <w:tc>
          <w:tcPr>
            <w:tcW w:w="5" w:type="pct"/>
            <w:shd w:val="clear" w:color="auto" w:fill="auto"/>
            <w:vAlign w:val="bottom"/>
          </w:tcPr>
          <w:p w14:paraId="098A924A" w14:textId="77777777" w:rsidR="00141CDF" w:rsidRDefault="00141CDF">
            <w:pPr>
              <w:rPr>
                <w:rFonts w:ascii="宋体"/>
              </w:rPr>
            </w:pPr>
          </w:p>
        </w:tc>
        <w:tc>
          <w:tcPr>
            <w:tcW w:w="5" w:type="pct"/>
            <w:shd w:val="clear" w:color="auto" w:fill="auto"/>
            <w:vAlign w:val="bottom"/>
          </w:tcPr>
          <w:p w14:paraId="098A924B" w14:textId="77777777" w:rsidR="00141CDF" w:rsidRDefault="00141CDF">
            <w:pPr>
              <w:rPr>
                <w:rFonts w:ascii="宋体"/>
              </w:rPr>
            </w:pPr>
          </w:p>
        </w:tc>
        <w:tc>
          <w:tcPr>
            <w:tcW w:w="41" w:type="pct"/>
            <w:shd w:val="clear" w:color="auto" w:fill="auto"/>
            <w:vAlign w:val="bottom"/>
          </w:tcPr>
          <w:p w14:paraId="098A924C" w14:textId="77777777" w:rsidR="00141CDF" w:rsidRDefault="00141CDF">
            <w:pPr>
              <w:rPr>
                <w:rFonts w:ascii="宋体"/>
              </w:rPr>
            </w:pPr>
          </w:p>
        </w:tc>
        <w:tc>
          <w:tcPr>
            <w:tcW w:w="5" w:type="pct"/>
            <w:shd w:val="clear" w:color="auto" w:fill="auto"/>
            <w:vAlign w:val="bottom"/>
          </w:tcPr>
          <w:p w14:paraId="098A924D" w14:textId="77777777" w:rsidR="00141CDF" w:rsidRDefault="00141CDF">
            <w:pPr>
              <w:rPr>
                <w:rFonts w:ascii="宋体"/>
              </w:rPr>
            </w:pPr>
          </w:p>
        </w:tc>
        <w:tc>
          <w:tcPr>
            <w:tcW w:w="50" w:type="pct"/>
            <w:shd w:val="clear" w:color="auto" w:fill="auto"/>
            <w:vAlign w:val="bottom"/>
          </w:tcPr>
          <w:p w14:paraId="098A924E" w14:textId="77777777" w:rsidR="00141CDF" w:rsidRDefault="00141CDF">
            <w:pPr>
              <w:rPr>
                <w:rFonts w:ascii="宋体"/>
              </w:rPr>
            </w:pPr>
          </w:p>
        </w:tc>
        <w:tc>
          <w:tcPr>
            <w:tcW w:w="500" w:type="pct"/>
            <w:shd w:val="clear" w:color="auto" w:fill="auto"/>
            <w:vAlign w:val="bottom"/>
          </w:tcPr>
          <w:p w14:paraId="098A924F" w14:textId="77777777" w:rsidR="00141CDF" w:rsidRDefault="00141CDF">
            <w:pPr>
              <w:rPr>
                <w:rFonts w:ascii="宋体"/>
              </w:rPr>
            </w:pPr>
          </w:p>
        </w:tc>
        <w:tc>
          <w:tcPr>
            <w:tcW w:w="5" w:type="pct"/>
            <w:shd w:val="clear" w:color="auto" w:fill="auto"/>
            <w:vAlign w:val="bottom"/>
          </w:tcPr>
          <w:p w14:paraId="098A9250" w14:textId="77777777" w:rsidR="00141CDF" w:rsidRDefault="00141CDF">
            <w:pPr>
              <w:rPr>
                <w:rFonts w:ascii="宋体"/>
              </w:rPr>
            </w:pPr>
          </w:p>
        </w:tc>
        <w:tc>
          <w:tcPr>
            <w:tcW w:w="0" w:type="auto"/>
            <w:shd w:val="clear" w:color="auto" w:fill="auto"/>
            <w:vAlign w:val="bottom"/>
          </w:tcPr>
          <w:p w14:paraId="098A9251" w14:textId="77777777" w:rsidR="00141CDF" w:rsidRDefault="00141CDF">
            <w:pPr>
              <w:rPr>
                <w:rFonts w:ascii="宋体"/>
                <w:vanish/>
              </w:rPr>
            </w:pPr>
          </w:p>
        </w:tc>
        <w:tc>
          <w:tcPr>
            <w:tcW w:w="0" w:type="auto"/>
            <w:shd w:val="clear" w:color="auto" w:fill="auto"/>
            <w:vAlign w:val="bottom"/>
          </w:tcPr>
          <w:p w14:paraId="098A9252" w14:textId="77777777" w:rsidR="00141CDF" w:rsidRDefault="00141CDF">
            <w:pPr>
              <w:rPr>
                <w:rFonts w:ascii="宋体"/>
                <w:vanish/>
              </w:rPr>
            </w:pPr>
          </w:p>
        </w:tc>
      </w:tr>
      <w:tr w:rsidR="00141CDF" w14:paraId="098A9259" w14:textId="77777777">
        <w:tc>
          <w:tcPr>
            <w:tcW w:w="0" w:type="auto"/>
            <w:gridSpan w:val="3"/>
            <w:shd w:val="clear" w:color="auto" w:fill="auto"/>
            <w:tcMar>
              <w:top w:w="0" w:type="dxa"/>
              <w:left w:w="20" w:type="dxa"/>
              <w:bottom w:w="0" w:type="dxa"/>
              <w:right w:w="20" w:type="dxa"/>
            </w:tcMar>
            <w:vAlign w:val="bottom"/>
          </w:tcPr>
          <w:p w14:paraId="098A9254"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9255" w14:textId="77777777" w:rsidR="00141CDF" w:rsidRDefault="00141CDF">
            <w:pPr>
              <w:rPr>
                <w:rFonts w:ascii="宋体"/>
              </w:rPr>
            </w:pPr>
          </w:p>
        </w:tc>
        <w:tc>
          <w:tcPr>
            <w:tcW w:w="0" w:type="auto"/>
            <w:gridSpan w:val="9"/>
            <w:shd w:val="clear" w:color="auto" w:fill="auto"/>
            <w:tcMar>
              <w:top w:w="40" w:type="dxa"/>
              <w:left w:w="20" w:type="dxa"/>
              <w:bottom w:w="40" w:type="dxa"/>
              <w:right w:w="20" w:type="dxa"/>
            </w:tcMar>
            <w:vAlign w:val="bottom"/>
          </w:tcPr>
          <w:p w14:paraId="098A9256" w14:textId="77777777" w:rsidR="00141CDF" w:rsidRDefault="00DF45E0">
            <w:pPr>
              <w:jc w:val="center"/>
              <w:textAlignment w:val="bottom"/>
            </w:pPr>
            <w:r>
              <w:rPr>
                <w:rFonts w:ascii="Times New Roman" w:eastAsia="宋体" w:hAnsi="Times New Roman"/>
                <w:b/>
                <w:bCs/>
                <w:color w:val="000000"/>
                <w:sz w:val="16"/>
                <w:szCs w:val="16"/>
              </w:rPr>
              <w:t>Six Months Ended July 31,</w:t>
            </w:r>
          </w:p>
        </w:tc>
        <w:tc>
          <w:tcPr>
            <w:tcW w:w="0" w:type="auto"/>
            <w:shd w:val="clear" w:color="auto" w:fill="auto"/>
            <w:vAlign w:val="bottom"/>
          </w:tcPr>
          <w:p w14:paraId="098A9257" w14:textId="77777777" w:rsidR="00141CDF" w:rsidRDefault="00141CDF">
            <w:pPr>
              <w:rPr>
                <w:rFonts w:ascii="宋体"/>
                <w:vanish/>
              </w:rPr>
            </w:pPr>
          </w:p>
        </w:tc>
        <w:tc>
          <w:tcPr>
            <w:tcW w:w="0" w:type="auto"/>
            <w:shd w:val="clear" w:color="auto" w:fill="auto"/>
            <w:vAlign w:val="bottom"/>
          </w:tcPr>
          <w:p w14:paraId="098A9258" w14:textId="77777777" w:rsidR="00141CDF" w:rsidRDefault="00141CDF">
            <w:pPr>
              <w:rPr>
                <w:rFonts w:ascii="宋体"/>
                <w:vanish/>
              </w:rPr>
            </w:pPr>
          </w:p>
        </w:tc>
      </w:tr>
      <w:tr w:rsidR="00141CDF" w14:paraId="098A9261" w14:textId="77777777">
        <w:tc>
          <w:tcPr>
            <w:tcW w:w="0" w:type="auto"/>
            <w:gridSpan w:val="3"/>
            <w:shd w:val="clear" w:color="auto" w:fill="auto"/>
            <w:tcMar>
              <w:top w:w="40" w:type="dxa"/>
              <w:left w:w="20" w:type="dxa"/>
              <w:bottom w:w="40" w:type="dxa"/>
              <w:right w:w="20" w:type="dxa"/>
            </w:tcMar>
            <w:vAlign w:val="bottom"/>
          </w:tcPr>
          <w:p w14:paraId="098A925A" w14:textId="77777777" w:rsidR="00141CDF" w:rsidRDefault="00DF45E0">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098A925B"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98A925C" w14:textId="77777777" w:rsidR="00141CDF" w:rsidRDefault="00DF45E0">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925D"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98A925E" w14:textId="77777777" w:rsidR="00141CDF" w:rsidRDefault="00DF45E0">
            <w:pPr>
              <w:jc w:val="center"/>
              <w:textAlignment w:val="bottom"/>
            </w:pPr>
            <w:r>
              <w:rPr>
                <w:rFonts w:ascii="Times New Roman" w:eastAsia="宋体" w:hAnsi="Times New Roman"/>
                <w:b/>
                <w:bCs/>
                <w:color w:val="000000"/>
                <w:sz w:val="16"/>
                <w:szCs w:val="16"/>
              </w:rPr>
              <w:t>2021</w:t>
            </w:r>
          </w:p>
        </w:tc>
        <w:tc>
          <w:tcPr>
            <w:tcW w:w="0" w:type="auto"/>
            <w:shd w:val="clear" w:color="auto" w:fill="auto"/>
            <w:vAlign w:val="bottom"/>
          </w:tcPr>
          <w:p w14:paraId="098A925F" w14:textId="77777777" w:rsidR="00141CDF" w:rsidRDefault="00141CDF">
            <w:pPr>
              <w:rPr>
                <w:rFonts w:ascii="宋体"/>
                <w:vanish/>
              </w:rPr>
            </w:pPr>
          </w:p>
        </w:tc>
        <w:tc>
          <w:tcPr>
            <w:tcW w:w="0" w:type="auto"/>
            <w:shd w:val="clear" w:color="auto" w:fill="auto"/>
            <w:vAlign w:val="bottom"/>
          </w:tcPr>
          <w:p w14:paraId="098A9260" w14:textId="77777777" w:rsidR="00141CDF" w:rsidRDefault="00141CDF">
            <w:pPr>
              <w:rPr>
                <w:rFonts w:ascii="宋体"/>
                <w:vanish/>
              </w:rPr>
            </w:pPr>
          </w:p>
        </w:tc>
      </w:tr>
      <w:tr w:rsidR="00141CDF" w14:paraId="098A9269" w14:textId="77777777">
        <w:tc>
          <w:tcPr>
            <w:tcW w:w="0" w:type="auto"/>
            <w:gridSpan w:val="3"/>
            <w:shd w:val="clear" w:color="auto" w:fill="auto"/>
            <w:tcMar>
              <w:top w:w="40" w:type="dxa"/>
              <w:left w:w="20" w:type="dxa"/>
              <w:bottom w:w="40" w:type="dxa"/>
              <w:right w:w="20" w:type="dxa"/>
            </w:tcMar>
            <w:vAlign w:val="center"/>
          </w:tcPr>
          <w:p w14:paraId="098A9262" w14:textId="77777777" w:rsidR="00141CDF" w:rsidRDefault="00DF45E0">
            <w:pPr>
              <w:textAlignment w:val="center"/>
            </w:pPr>
            <w:r>
              <w:rPr>
                <w:rFonts w:ascii="Times New Roman" w:eastAsia="宋体" w:hAnsi="Times New Roman"/>
                <w:b/>
                <w:bCs/>
                <w:color w:val="000000"/>
                <w:sz w:val="16"/>
                <w:szCs w:val="16"/>
              </w:rPr>
              <w:t xml:space="preserve">Cash flows from </w:t>
            </w:r>
            <w:r>
              <w:rPr>
                <w:rFonts w:ascii="Times New Roman" w:eastAsia="宋体" w:hAnsi="Times New Roman"/>
                <w:b/>
                <w:bCs/>
                <w:color w:val="000000"/>
                <w:sz w:val="16"/>
                <w:szCs w:val="16"/>
              </w:rPr>
              <w:t>operating activities:</w:t>
            </w:r>
          </w:p>
        </w:tc>
        <w:tc>
          <w:tcPr>
            <w:tcW w:w="0" w:type="auto"/>
            <w:gridSpan w:val="3"/>
            <w:shd w:val="clear" w:color="auto" w:fill="auto"/>
            <w:tcMar>
              <w:top w:w="0" w:type="dxa"/>
              <w:left w:w="20" w:type="dxa"/>
              <w:bottom w:w="0" w:type="dxa"/>
              <w:right w:w="20" w:type="dxa"/>
            </w:tcMar>
            <w:vAlign w:val="bottom"/>
          </w:tcPr>
          <w:p w14:paraId="098A9263" w14:textId="77777777" w:rsidR="00141CDF" w:rsidRDefault="00141CD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9264"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9265" w14:textId="77777777" w:rsidR="00141CDF" w:rsidRDefault="00141CD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9266" w14:textId="77777777" w:rsidR="00141CDF" w:rsidRDefault="00141CDF">
            <w:pPr>
              <w:rPr>
                <w:rFonts w:ascii="宋体"/>
              </w:rPr>
            </w:pPr>
          </w:p>
        </w:tc>
        <w:tc>
          <w:tcPr>
            <w:tcW w:w="0" w:type="auto"/>
            <w:shd w:val="clear" w:color="auto" w:fill="auto"/>
            <w:vAlign w:val="bottom"/>
          </w:tcPr>
          <w:p w14:paraId="098A9267" w14:textId="77777777" w:rsidR="00141CDF" w:rsidRDefault="00141CDF">
            <w:pPr>
              <w:rPr>
                <w:rFonts w:ascii="宋体"/>
                <w:vanish/>
              </w:rPr>
            </w:pPr>
          </w:p>
        </w:tc>
        <w:tc>
          <w:tcPr>
            <w:tcW w:w="0" w:type="auto"/>
            <w:shd w:val="clear" w:color="auto" w:fill="auto"/>
            <w:vAlign w:val="bottom"/>
          </w:tcPr>
          <w:p w14:paraId="098A9268" w14:textId="77777777" w:rsidR="00141CDF" w:rsidRDefault="00141CDF">
            <w:pPr>
              <w:rPr>
                <w:rFonts w:ascii="宋体"/>
                <w:vanish/>
              </w:rPr>
            </w:pPr>
          </w:p>
        </w:tc>
      </w:tr>
      <w:tr w:rsidR="00141CDF" w14:paraId="098A9275" w14:textId="77777777">
        <w:tc>
          <w:tcPr>
            <w:tcW w:w="0" w:type="auto"/>
            <w:gridSpan w:val="3"/>
            <w:shd w:val="clear" w:color="auto" w:fill="CCEEFF"/>
            <w:tcMar>
              <w:top w:w="40" w:type="dxa"/>
              <w:left w:w="380" w:type="dxa"/>
              <w:bottom w:w="40" w:type="dxa"/>
              <w:right w:w="20" w:type="dxa"/>
            </w:tcMar>
            <w:vAlign w:val="center"/>
          </w:tcPr>
          <w:p w14:paraId="098A926A" w14:textId="77777777" w:rsidR="00141CDF" w:rsidRDefault="00DF45E0">
            <w:pPr>
              <w:textAlignment w:val="center"/>
            </w:pPr>
            <w:r>
              <w:rPr>
                <w:rFonts w:ascii="Times New Roman" w:eastAsia="宋体" w:hAnsi="Times New Roman"/>
                <w:color w:val="000000"/>
                <w:sz w:val="16"/>
                <w:szCs w:val="16"/>
              </w:rPr>
              <w:t>Consolidated net income</w:t>
            </w:r>
          </w:p>
        </w:tc>
        <w:tc>
          <w:tcPr>
            <w:tcW w:w="0" w:type="auto"/>
            <w:gridSpan w:val="3"/>
            <w:shd w:val="clear" w:color="auto" w:fill="CCEEFF"/>
            <w:tcMar>
              <w:top w:w="0" w:type="dxa"/>
              <w:left w:w="20" w:type="dxa"/>
              <w:bottom w:w="0" w:type="dxa"/>
              <w:right w:w="20" w:type="dxa"/>
            </w:tcMar>
            <w:vAlign w:val="bottom"/>
          </w:tcPr>
          <w:p w14:paraId="098A926B"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926C"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926D" w14:textId="77777777" w:rsidR="00141CDF" w:rsidRDefault="00DF45E0">
            <w:pPr>
              <w:jc w:val="right"/>
              <w:textAlignment w:val="center"/>
            </w:pPr>
            <w:r>
              <w:rPr>
                <w:rFonts w:ascii="Times New Roman" w:eastAsia="宋体" w:hAnsi="Times New Roman"/>
                <w:color w:val="000000"/>
                <w:sz w:val="16"/>
                <w:szCs w:val="16"/>
              </w:rPr>
              <w:t>7,250 </w:t>
            </w:r>
          </w:p>
        </w:tc>
        <w:tc>
          <w:tcPr>
            <w:tcW w:w="0" w:type="auto"/>
            <w:shd w:val="clear" w:color="auto" w:fill="CCEEFF"/>
            <w:tcMar>
              <w:top w:w="40" w:type="dxa"/>
              <w:left w:w="0" w:type="dxa"/>
              <w:bottom w:w="40" w:type="dxa"/>
              <w:right w:w="20" w:type="dxa"/>
            </w:tcMar>
            <w:vAlign w:val="center"/>
          </w:tcPr>
          <w:p w14:paraId="098A926E"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26F"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9270"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9271" w14:textId="77777777" w:rsidR="00141CDF" w:rsidRDefault="00DF45E0">
            <w:pPr>
              <w:jc w:val="right"/>
              <w:textAlignment w:val="center"/>
            </w:pPr>
            <w:r>
              <w:rPr>
                <w:rFonts w:ascii="Times New Roman" w:eastAsia="宋体" w:hAnsi="Times New Roman"/>
                <w:color w:val="000000"/>
                <w:sz w:val="16"/>
                <w:szCs w:val="16"/>
              </w:rPr>
              <w:t>7,175 </w:t>
            </w:r>
          </w:p>
        </w:tc>
        <w:tc>
          <w:tcPr>
            <w:tcW w:w="0" w:type="auto"/>
            <w:shd w:val="clear" w:color="auto" w:fill="CCEEFF"/>
            <w:tcMar>
              <w:top w:w="40" w:type="dxa"/>
              <w:left w:w="0" w:type="dxa"/>
              <w:bottom w:w="40" w:type="dxa"/>
              <w:right w:w="20" w:type="dxa"/>
            </w:tcMar>
            <w:vAlign w:val="center"/>
          </w:tcPr>
          <w:p w14:paraId="098A9272" w14:textId="77777777" w:rsidR="00141CDF" w:rsidRDefault="00141CDF">
            <w:pPr>
              <w:jc w:val="right"/>
              <w:rPr>
                <w:rFonts w:ascii="宋体"/>
              </w:rPr>
            </w:pPr>
          </w:p>
        </w:tc>
        <w:tc>
          <w:tcPr>
            <w:tcW w:w="0" w:type="auto"/>
            <w:shd w:val="clear" w:color="auto" w:fill="auto"/>
            <w:vAlign w:val="bottom"/>
          </w:tcPr>
          <w:p w14:paraId="098A9273" w14:textId="77777777" w:rsidR="00141CDF" w:rsidRDefault="00141CDF">
            <w:pPr>
              <w:rPr>
                <w:rFonts w:ascii="宋体"/>
                <w:vanish/>
              </w:rPr>
            </w:pPr>
          </w:p>
        </w:tc>
        <w:tc>
          <w:tcPr>
            <w:tcW w:w="0" w:type="auto"/>
            <w:shd w:val="clear" w:color="auto" w:fill="auto"/>
            <w:vAlign w:val="bottom"/>
          </w:tcPr>
          <w:p w14:paraId="098A9274" w14:textId="77777777" w:rsidR="00141CDF" w:rsidRDefault="00141CDF">
            <w:pPr>
              <w:rPr>
                <w:rFonts w:ascii="宋体"/>
                <w:vanish/>
              </w:rPr>
            </w:pPr>
          </w:p>
        </w:tc>
      </w:tr>
      <w:tr w:rsidR="00141CDF" w14:paraId="098A927D" w14:textId="77777777">
        <w:trPr>
          <w:hidden/>
        </w:trPr>
        <w:tc>
          <w:tcPr>
            <w:tcW w:w="0" w:type="auto"/>
            <w:gridSpan w:val="3"/>
            <w:shd w:val="clear" w:color="auto" w:fill="auto"/>
            <w:vAlign w:val="bottom"/>
          </w:tcPr>
          <w:p w14:paraId="098A9276" w14:textId="77777777" w:rsidR="00141CDF" w:rsidRDefault="00141CDF">
            <w:pPr>
              <w:rPr>
                <w:rFonts w:ascii="宋体"/>
                <w:vanish/>
              </w:rPr>
            </w:pPr>
          </w:p>
        </w:tc>
        <w:tc>
          <w:tcPr>
            <w:tcW w:w="0" w:type="auto"/>
            <w:gridSpan w:val="3"/>
            <w:shd w:val="clear" w:color="auto" w:fill="auto"/>
            <w:vAlign w:val="bottom"/>
          </w:tcPr>
          <w:p w14:paraId="098A9277" w14:textId="77777777" w:rsidR="00141CDF" w:rsidRDefault="00141CDF">
            <w:pPr>
              <w:rPr>
                <w:rFonts w:ascii="宋体"/>
                <w:vanish/>
              </w:rPr>
            </w:pPr>
          </w:p>
        </w:tc>
        <w:tc>
          <w:tcPr>
            <w:tcW w:w="0" w:type="auto"/>
            <w:gridSpan w:val="3"/>
            <w:shd w:val="clear" w:color="auto" w:fill="auto"/>
            <w:vAlign w:val="bottom"/>
          </w:tcPr>
          <w:p w14:paraId="098A9278" w14:textId="77777777" w:rsidR="00141CDF" w:rsidRDefault="00141CDF">
            <w:pPr>
              <w:rPr>
                <w:rFonts w:ascii="宋体"/>
                <w:vanish/>
              </w:rPr>
            </w:pPr>
          </w:p>
        </w:tc>
        <w:tc>
          <w:tcPr>
            <w:tcW w:w="0" w:type="auto"/>
            <w:gridSpan w:val="3"/>
            <w:shd w:val="clear" w:color="auto" w:fill="auto"/>
            <w:vAlign w:val="bottom"/>
          </w:tcPr>
          <w:p w14:paraId="098A9279" w14:textId="77777777" w:rsidR="00141CDF" w:rsidRDefault="00141CDF">
            <w:pPr>
              <w:rPr>
                <w:rFonts w:ascii="宋体"/>
                <w:vanish/>
              </w:rPr>
            </w:pPr>
          </w:p>
        </w:tc>
        <w:tc>
          <w:tcPr>
            <w:tcW w:w="0" w:type="auto"/>
            <w:gridSpan w:val="3"/>
            <w:shd w:val="clear" w:color="auto" w:fill="auto"/>
            <w:vAlign w:val="bottom"/>
          </w:tcPr>
          <w:p w14:paraId="098A927A" w14:textId="77777777" w:rsidR="00141CDF" w:rsidRDefault="00141CDF">
            <w:pPr>
              <w:rPr>
                <w:rFonts w:ascii="宋体"/>
                <w:vanish/>
              </w:rPr>
            </w:pPr>
          </w:p>
        </w:tc>
        <w:tc>
          <w:tcPr>
            <w:tcW w:w="0" w:type="auto"/>
            <w:shd w:val="clear" w:color="auto" w:fill="auto"/>
            <w:vAlign w:val="bottom"/>
          </w:tcPr>
          <w:p w14:paraId="098A927B" w14:textId="77777777" w:rsidR="00141CDF" w:rsidRDefault="00141CDF">
            <w:pPr>
              <w:rPr>
                <w:rFonts w:ascii="宋体"/>
                <w:vanish/>
              </w:rPr>
            </w:pPr>
          </w:p>
        </w:tc>
        <w:tc>
          <w:tcPr>
            <w:tcW w:w="0" w:type="auto"/>
            <w:shd w:val="clear" w:color="auto" w:fill="auto"/>
            <w:vAlign w:val="bottom"/>
          </w:tcPr>
          <w:p w14:paraId="098A927C" w14:textId="77777777" w:rsidR="00141CDF" w:rsidRDefault="00141CDF">
            <w:pPr>
              <w:rPr>
                <w:rFonts w:ascii="宋体"/>
                <w:vanish/>
              </w:rPr>
            </w:pPr>
          </w:p>
        </w:tc>
      </w:tr>
      <w:tr w:rsidR="00141CDF" w14:paraId="098A9285" w14:textId="77777777">
        <w:trPr>
          <w:hidden/>
        </w:trPr>
        <w:tc>
          <w:tcPr>
            <w:tcW w:w="0" w:type="auto"/>
            <w:gridSpan w:val="3"/>
            <w:shd w:val="clear" w:color="auto" w:fill="auto"/>
            <w:vAlign w:val="bottom"/>
          </w:tcPr>
          <w:p w14:paraId="098A927E" w14:textId="77777777" w:rsidR="00141CDF" w:rsidRDefault="00141CDF">
            <w:pPr>
              <w:rPr>
                <w:rFonts w:ascii="宋体"/>
                <w:vanish/>
              </w:rPr>
            </w:pPr>
          </w:p>
        </w:tc>
        <w:tc>
          <w:tcPr>
            <w:tcW w:w="0" w:type="auto"/>
            <w:gridSpan w:val="3"/>
            <w:shd w:val="clear" w:color="auto" w:fill="auto"/>
            <w:vAlign w:val="bottom"/>
          </w:tcPr>
          <w:p w14:paraId="098A927F" w14:textId="77777777" w:rsidR="00141CDF" w:rsidRDefault="00141CDF">
            <w:pPr>
              <w:rPr>
                <w:rFonts w:ascii="宋体"/>
                <w:vanish/>
              </w:rPr>
            </w:pPr>
          </w:p>
        </w:tc>
        <w:tc>
          <w:tcPr>
            <w:tcW w:w="0" w:type="auto"/>
            <w:gridSpan w:val="3"/>
            <w:shd w:val="clear" w:color="auto" w:fill="auto"/>
            <w:vAlign w:val="bottom"/>
          </w:tcPr>
          <w:p w14:paraId="098A9280" w14:textId="77777777" w:rsidR="00141CDF" w:rsidRDefault="00141CDF">
            <w:pPr>
              <w:rPr>
                <w:rFonts w:ascii="宋体"/>
                <w:vanish/>
              </w:rPr>
            </w:pPr>
          </w:p>
        </w:tc>
        <w:tc>
          <w:tcPr>
            <w:tcW w:w="0" w:type="auto"/>
            <w:gridSpan w:val="3"/>
            <w:shd w:val="clear" w:color="auto" w:fill="auto"/>
            <w:vAlign w:val="bottom"/>
          </w:tcPr>
          <w:p w14:paraId="098A9281" w14:textId="77777777" w:rsidR="00141CDF" w:rsidRDefault="00141CDF">
            <w:pPr>
              <w:rPr>
                <w:rFonts w:ascii="宋体"/>
                <w:vanish/>
              </w:rPr>
            </w:pPr>
          </w:p>
        </w:tc>
        <w:tc>
          <w:tcPr>
            <w:tcW w:w="0" w:type="auto"/>
            <w:gridSpan w:val="3"/>
            <w:shd w:val="clear" w:color="auto" w:fill="auto"/>
            <w:vAlign w:val="bottom"/>
          </w:tcPr>
          <w:p w14:paraId="098A9282" w14:textId="77777777" w:rsidR="00141CDF" w:rsidRDefault="00141CDF">
            <w:pPr>
              <w:rPr>
                <w:rFonts w:ascii="宋体"/>
                <w:vanish/>
              </w:rPr>
            </w:pPr>
          </w:p>
        </w:tc>
        <w:tc>
          <w:tcPr>
            <w:tcW w:w="0" w:type="auto"/>
            <w:shd w:val="clear" w:color="auto" w:fill="auto"/>
            <w:vAlign w:val="bottom"/>
          </w:tcPr>
          <w:p w14:paraId="098A9283" w14:textId="77777777" w:rsidR="00141CDF" w:rsidRDefault="00141CDF">
            <w:pPr>
              <w:rPr>
                <w:rFonts w:ascii="宋体"/>
                <w:vanish/>
              </w:rPr>
            </w:pPr>
          </w:p>
        </w:tc>
        <w:tc>
          <w:tcPr>
            <w:tcW w:w="0" w:type="auto"/>
            <w:shd w:val="clear" w:color="auto" w:fill="auto"/>
            <w:vAlign w:val="bottom"/>
          </w:tcPr>
          <w:p w14:paraId="098A9284" w14:textId="77777777" w:rsidR="00141CDF" w:rsidRDefault="00141CDF">
            <w:pPr>
              <w:rPr>
                <w:rFonts w:ascii="宋体"/>
                <w:vanish/>
              </w:rPr>
            </w:pPr>
          </w:p>
        </w:tc>
      </w:tr>
      <w:tr w:rsidR="00141CDF" w14:paraId="098A928D" w14:textId="77777777">
        <w:tc>
          <w:tcPr>
            <w:tcW w:w="0" w:type="auto"/>
            <w:gridSpan w:val="3"/>
            <w:shd w:val="clear" w:color="auto" w:fill="FFFFFF"/>
            <w:tcMar>
              <w:top w:w="40" w:type="dxa"/>
              <w:left w:w="380" w:type="dxa"/>
              <w:bottom w:w="40" w:type="dxa"/>
              <w:right w:w="20" w:type="dxa"/>
            </w:tcMar>
            <w:vAlign w:val="center"/>
          </w:tcPr>
          <w:p w14:paraId="098A9286" w14:textId="77777777" w:rsidR="00141CDF" w:rsidRDefault="00DF45E0">
            <w:pPr>
              <w:textAlignment w:val="center"/>
            </w:pPr>
            <w:r>
              <w:rPr>
                <w:rFonts w:ascii="Times New Roman" w:eastAsia="宋体" w:hAnsi="Times New Roman"/>
                <w:color w:val="000000"/>
                <w:sz w:val="16"/>
                <w:szCs w:val="16"/>
              </w:rPr>
              <w:t>Adjustments to reconcile consolidated net income to net cash provided by operating activities:</w:t>
            </w:r>
          </w:p>
        </w:tc>
        <w:tc>
          <w:tcPr>
            <w:tcW w:w="0" w:type="auto"/>
            <w:gridSpan w:val="3"/>
            <w:shd w:val="clear" w:color="auto" w:fill="FFFFFF"/>
            <w:tcMar>
              <w:top w:w="0" w:type="dxa"/>
              <w:left w:w="20" w:type="dxa"/>
              <w:bottom w:w="0" w:type="dxa"/>
              <w:right w:w="20" w:type="dxa"/>
            </w:tcMar>
            <w:vAlign w:val="bottom"/>
          </w:tcPr>
          <w:p w14:paraId="098A9287"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9288"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9289"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928A" w14:textId="77777777" w:rsidR="00141CDF" w:rsidRDefault="00141CDF">
            <w:pPr>
              <w:rPr>
                <w:rFonts w:ascii="宋体"/>
              </w:rPr>
            </w:pPr>
          </w:p>
        </w:tc>
        <w:tc>
          <w:tcPr>
            <w:tcW w:w="0" w:type="auto"/>
            <w:shd w:val="clear" w:color="auto" w:fill="auto"/>
            <w:vAlign w:val="bottom"/>
          </w:tcPr>
          <w:p w14:paraId="098A928B" w14:textId="77777777" w:rsidR="00141CDF" w:rsidRDefault="00141CDF">
            <w:pPr>
              <w:rPr>
                <w:rFonts w:ascii="宋体"/>
                <w:vanish/>
              </w:rPr>
            </w:pPr>
          </w:p>
        </w:tc>
        <w:tc>
          <w:tcPr>
            <w:tcW w:w="0" w:type="auto"/>
            <w:shd w:val="clear" w:color="auto" w:fill="auto"/>
            <w:vAlign w:val="bottom"/>
          </w:tcPr>
          <w:p w14:paraId="098A928C" w14:textId="77777777" w:rsidR="00141CDF" w:rsidRDefault="00141CDF">
            <w:pPr>
              <w:rPr>
                <w:rFonts w:ascii="宋体"/>
                <w:vanish/>
              </w:rPr>
            </w:pPr>
          </w:p>
        </w:tc>
      </w:tr>
      <w:tr w:rsidR="00141CDF" w14:paraId="098A9297" w14:textId="77777777">
        <w:tc>
          <w:tcPr>
            <w:tcW w:w="0" w:type="auto"/>
            <w:gridSpan w:val="3"/>
            <w:shd w:val="clear" w:color="auto" w:fill="CCEEFF"/>
            <w:tcMar>
              <w:top w:w="40" w:type="dxa"/>
              <w:left w:w="740" w:type="dxa"/>
              <w:bottom w:w="40" w:type="dxa"/>
              <w:right w:w="20" w:type="dxa"/>
            </w:tcMar>
            <w:vAlign w:val="center"/>
          </w:tcPr>
          <w:p w14:paraId="098A928E" w14:textId="77777777" w:rsidR="00141CDF" w:rsidRDefault="00DF45E0">
            <w:pPr>
              <w:textAlignment w:val="center"/>
            </w:pPr>
            <w:r>
              <w:rPr>
                <w:rFonts w:ascii="Times New Roman" w:eastAsia="宋体" w:hAnsi="Times New Roman"/>
                <w:color w:val="000000"/>
                <w:sz w:val="16"/>
                <w:szCs w:val="16"/>
              </w:rPr>
              <w:t>Depreciation and amortization</w:t>
            </w:r>
          </w:p>
        </w:tc>
        <w:tc>
          <w:tcPr>
            <w:tcW w:w="0" w:type="auto"/>
            <w:gridSpan w:val="3"/>
            <w:shd w:val="clear" w:color="auto" w:fill="CCEEFF"/>
            <w:tcMar>
              <w:top w:w="0" w:type="dxa"/>
              <w:left w:w="20" w:type="dxa"/>
              <w:bottom w:w="0" w:type="dxa"/>
              <w:right w:w="20" w:type="dxa"/>
            </w:tcMar>
            <w:vAlign w:val="bottom"/>
          </w:tcPr>
          <w:p w14:paraId="098A928F"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290" w14:textId="77777777" w:rsidR="00141CDF" w:rsidRDefault="00DF45E0">
            <w:pPr>
              <w:jc w:val="right"/>
              <w:textAlignment w:val="center"/>
            </w:pPr>
            <w:r>
              <w:rPr>
                <w:rFonts w:ascii="Times New Roman" w:eastAsia="宋体" w:hAnsi="Times New Roman"/>
                <w:color w:val="000000"/>
                <w:sz w:val="16"/>
                <w:szCs w:val="16"/>
              </w:rPr>
              <w:t>5,379 </w:t>
            </w:r>
          </w:p>
        </w:tc>
        <w:tc>
          <w:tcPr>
            <w:tcW w:w="0" w:type="auto"/>
            <w:shd w:val="clear" w:color="auto" w:fill="CCEEFF"/>
            <w:tcMar>
              <w:top w:w="40" w:type="dxa"/>
              <w:left w:w="0" w:type="dxa"/>
              <w:bottom w:w="40" w:type="dxa"/>
              <w:right w:w="20" w:type="dxa"/>
            </w:tcMar>
            <w:vAlign w:val="center"/>
          </w:tcPr>
          <w:p w14:paraId="098A9291"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292"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293" w14:textId="77777777" w:rsidR="00141CDF" w:rsidRDefault="00DF45E0">
            <w:pPr>
              <w:jc w:val="right"/>
              <w:textAlignment w:val="center"/>
            </w:pPr>
            <w:r>
              <w:rPr>
                <w:rFonts w:ascii="Times New Roman" w:eastAsia="宋体" w:hAnsi="Times New Roman"/>
                <w:color w:val="000000"/>
                <w:sz w:val="16"/>
                <w:szCs w:val="16"/>
              </w:rPr>
              <w:t>5,302 </w:t>
            </w:r>
          </w:p>
        </w:tc>
        <w:tc>
          <w:tcPr>
            <w:tcW w:w="0" w:type="auto"/>
            <w:shd w:val="clear" w:color="auto" w:fill="CCEEFF"/>
            <w:tcMar>
              <w:top w:w="40" w:type="dxa"/>
              <w:left w:w="0" w:type="dxa"/>
              <w:bottom w:w="40" w:type="dxa"/>
              <w:right w:w="20" w:type="dxa"/>
            </w:tcMar>
            <w:vAlign w:val="center"/>
          </w:tcPr>
          <w:p w14:paraId="098A9294" w14:textId="77777777" w:rsidR="00141CDF" w:rsidRDefault="00141CDF">
            <w:pPr>
              <w:jc w:val="right"/>
              <w:rPr>
                <w:rFonts w:ascii="宋体"/>
              </w:rPr>
            </w:pPr>
          </w:p>
        </w:tc>
        <w:tc>
          <w:tcPr>
            <w:tcW w:w="0" w:type="auto"/>
            <w:shd w:val="clear" w:color="auto" w:fill="auto"/>
            <w:vAlign w:val="bottom"/>
          </w:tcPr>
          <w:p w14:paraId="098A9295" w14:textId="77777777" w:rsidR="00141CDF" w:rsidRDefault="00141CDF">
            <w:pPr>
              <w:rPr>
                <w:rFonts w:ascii="宋体"/>
                <w:vanish/>
              </w:rPr>
            </w:pPr>
          </w:p>
        </w:tc>
        <w:tc>
          <w:tcPr>
            <w:tcW w:w="0" w:type="auto"/>
            <w:shd w:val="clear" w:color="auto" w:fill="auto"/>
            <w:vAlign w:val="bottom"/>
          </w:tcPr>
          <w:p w14:paraId="098A9296" w14:textId="77777777" w:rsidR="00141CDF" w:rsidRDefault="00141CDF">
            <w:pPr>
              <w:rPr>
                <w:rFonts w:ascii="宋体"/>
                <w:vanish/>
              </w:rPr>
            </w:pPr>
          </w:p>
        </w:tc>
      </w:tr>
      <w:tr w:rsidR="00141CDF" w14:paraId="098A92A1" w14:textId="77777777">
        <w:tc>
          <w:tcPr>
            <w:tcW w:w="0" w:type="auto"/>
            <w:gridSpan w:val="3"/>
            <w:shd w:val="clear" w:color="auto" w:fill="FFFFFF"/>
            <w:tcMar>
              <w:top w:w="40" w:type="dxa"/>
              <w:left w:w="740" w:type="dxa"/>
              <w:bottom w:w="40" w:type="dxa"/>
              <w:right w:w="20" w:type="dxa"/>
            </w:tcMar>
            <w:vAlign w:val="center"/>
          </w:tcPr>
          <w:p w14:paraId="098A9298" w14:textId="77777777" w:rsidR="00141CDF" w:rsidRDefault="00DF45E0">
            <w:pPr>
              <w:textAlignment w:val="center"/>
            </w:pPr>
            <w:r>
              <w:rPr>
                <w:rFonts w:ascii="Times New Roman" w:eastAsia="宋体" w:hAnsi="Times New Roman"/>
                <w:color w:val="000000"/>
                <w:sz w:val="16"/>
                <w:szCs w:val="16"/>
              </w:rPr>
              <w:t xml:space="preserve">Net </w:t>
            </w:r>
            <w:r>
              <w:rPr>
                <w:rFonts w:ascii="Times New Roman" w:eastAsia="宋体" w:hAnsi="Times New Roman"/>
                <w:color w:val="000000"/>
                <w:sz w:val="16"/>
                <w:szCs w:val="16"/>
              </w:rPr>
              <w:t>unrealized and realized (gains) and losses</w:t>
            </w:r>
          </w:p>
        </w:tc>
        <w:tc>
          <w:tcPr>
            <w:tcW w:w="0" w:type="auto"/>
            <w:gridSpan w:val="3"/>
            <w:shd w:val="clear" w:color="auto" w:fill="FFFFFF"/>
            <w:tcMar>
              <w:top w:w="0" w:type="dxa"/>
              <w:left w:w="20" w:type="dxa"/>
              <w:bottom w:w="0" w:type="dxa"/>
              <w:right w:w="20" w:type="dxa"/>
            </w:tcMar>
            <w:vAlign w:val="bottom"/>
          </w:tcPr>
          <w:p w14:paraId="098A9299"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29A" w14:textId="77777777" w:rsidR="00141CDF" w:rsidRDefault="00DF45E0">
            <w:pPr>
              <w:jc w:val="right"/>
              <w:textAlignment w:val="center"/>
            </w:pPr>
            <w:r>
              <w:rPr>
                <w:rFonts w:ascii="Times New Roman" w:eastAsia="宋体" w:hAnsi="Times New Roman"/>
                <w:color w:val="000000"/>
                <w:sz w:val="16"/>
                <w:szCs w:val="16"/>
              </w:rPr>
              <w:t>1,988 </w:t>
            </w:r>
          </w:p>
        </w:tc>
        <w:tc>
          <w:tcPr>
            <w:tcW w:w="0" w:type="auto"/>
            <w:shd w:val="clear" w:color="auto" w:fill="FFFFFF"/>
            <w:tcMar>
              <w:top w:w="40" w:type="dxa"/>
              <w:left w:w="0" w:type="dxa"/>
              <w:bottom w:w="40" w:type="dxa"/>
              <w:right w:w="20" w:type="dxa"/>
            </w:tcMar>
            <w:vAlign w:val="center"/>
          </w:tcPr>
          <w:p w14:paraId="098A929B"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29C"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29D" w14:textId="77777777" w:rsidR="00141CDF" w:rsidRDefault="00DF45E0">
            <w:pPr>
              <w:jc w:val="right"/>
              <w:textAlignment w:val="center"/>
            </w:pPr>
            <w:r>
              <w:rPr>
                <w:rFonts w:ascii="Times New Roman" w:eastAsia="宋体" w:hAnsi="Times New Roman"/>
                <w:color w:val="000000"/>
                <w:sz w:val="16"/>
                <w:szCs w:val="16"/>
              </w:rPr>
              <w:t>3,019 </w:t>
            </w:r>
          </w:p>
        </w:tc>
        <w:tc>
          <w:tcPr>
            <w:tcW w:w="0" w:type="auto"/>
            <w:shd w:val="clear" w:color="auto" w:fill="FFFFFF"/>
            <w:tcMar>
              <w:top w:w="40" w:type="dxa"/>
              <w:left w:w="0" w:type="dxa"/>
              <w:bottom w:w="40" w:type="dxa"/>
              <w:right w:w="20" w:type="dxa"/>
            </w:tcMar>
            <w:vAlign w:val="center"/>
          </w:tcPr>
          <w:p w14:paraId="098A929E" w14:textId="77777777" w:rsidR="00141CDF" w:rsidRDefault="00141CDF">
            <w:pPr>
              <w:jc w:val="right"/>
              <w:rPr>
                <w:rFonts w:ascii="宋体"/>
              </w:rPr>
            </w:pPr>
          </w:p>
        </w:tc>
        <w:tc>
          <w:tcPr>
            <w:tcW w:w="0" w:type="auto"/>
            <w:shd w:val="clear" w:color="auto" w:fill="auto"/>
            <w:vAlign w:val="bottom"/>
          </w:tcPr>
          <w:p w14:paraId="098A929F" w14:textId="77777777" w:rsidR="00141CDF" w:rsidRDefault="00141CDF">
            <w:pPr>
              <w:rPr>
                <w:rFonts w:ascii="宋体"/>
                <w:vanish/>
              </w:rPr>
            </w:pPr>
          </w:p>
        </w:tc>
        <w:tc>
          <w:tcPr>
            <w:tcW w:w="0" w:type="auto"/>
            <w:shd w:val="clear" w:color="auto" w:fill="auto"/>
            <w:vAlign w:val="bottom"/>
          </w:tcPr>
          <w:p w14:paraId="098A92A0" w14:textId="77777777" w:rsidR="00141CDF" w:rsidRDefault="00141CDF">
            <w:pPr>
              <w:rPr>
                <w:rFonts w:ascii="宋体"/>
                <w:vanish/>
              </w:rPr>
            </w:pPr>
          </w:p>
        </w:tc>
      </w:tr>
      <w:tr w:rsidR="00141CDF" w14:paraId="098A92AB" w14:textId="77777777">
        <w:tc>
          <w:tcPr>
            <w:tcW w:w="0" w:type="auto"/>
            <w:gridSpan w:val="3"/>
            <w:shd w:val="clear" w:color="auto" w:fill="CCEEFF"/>
            <w:tcMar>
              <w:top w:w="40" w:type="dxa"/>
              <w:left w:w="740" w:type="dxa"/>
              <w:bottom w:w="40" w:type="dxa"/>
              <w:right w:w="20" w:type="dxa"/>
            </w:tcMar>
            <w:vAlign w:val="center"/>
          </w:tcPr>
          <w:p w14:paraId="098A92A2" w14:textId="77777777" w:rsidR="00141CDF" w:rsidRDefault="00DF45E0">
            <w:pPr>
              <w:textAlignment w:val="center"/>
            </w:pPr>
            <w:r>
              <w:rPr>
                <w:rFonts w:ascii="Times New Roman" w:eastAsia="宋体" w:hAnsi="Times New Roman"/>
                <w:color w:val="000000"/>
                <w:sz w:val="16"/>
                <w:szCs w:val="16"/>
              </w:rPr>
              <w:t>Losses on disposal of business operations</w:t>
            </w:r>
          </w:p>
        </w:tc>
        <w:tc>
          <w:tcPr>
            <w:tcW w:w="0" w:type="auto"/>
            <w:gridSpan w:val="3"/>
            <w:shd w:val="clear" w:color="auto" w:fill="CCEEFF"/>
            <w:tcMar>
              <w:top w:w="0" w:type="dxa"/>
              <w:left w:w="20" w:type="dxa"/>
              <w:bottom w:w="0" w:type="dxa"/>
              <w:right w:w="20" w:type="dxa"/>
            </w:tcMar>
            <w:vAlign w:val="bottom"/>
          </w:tcPr>
          <w:p w14:paraId="098A92A3"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2A4"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098A92A5"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2A6"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2A7" w14:textId="77777777" w:rsidR="00141CDF" w:rsidRDefault="00DF45E0">
            <w:pPr>
              <w:jc w:val="right"/>
              <w:textAlignment w:val="center"/>
            </w:pPr>
            <w:r>
              <w:rPr>
                <w:rFonts w:ascii="Times New Roman" w:eastAsia="宋体" w:hAnsi="Times New Roman"/>
                <w:color w:val="000000"/>
                <w:sz w:val="16"/>
                <w:szCs w:val="16"/>
              </w:rPr>
              <w:t>433 </w:t>
            </w:r>
          </w:p>
        </w:tc>
        <w:tc>
          <w:tcPr>
            <w:tcW w:w="0" w:type="auto"/>
            <w:shd w:val="clear" w:color="auto" w:fill="CCEEFF"/>
            <w:tcMar>
              <w:top w:w="40" w:type="dxa"/>
              <w:left w:w="0" w:type="dxa"/>
              <w:bottom w:w="40" w:type="dxa"/>
              <w:right w:w="20" w:type="dxa"/>
            </w:tcMar>
            <w:vAlign w:val="center"/>
          </w:tcPr>
          <w:p w14:paraId="098A92A8" w14:textId="77777777" w:rsidR="00141CDF" w:rsidRDefault="00141CDF">
            <w:pPr>
              <w:jc w:val="right"/>
              <w:rPr>
                <w:rFonts w:ascii="宋体"/>
              </w:rPr>
            </w:pPr>
          </w:p>
        </w:tc>
        <w:tc>
          <w:tcPr>
            <w:tcW w:w="0" w:type="auto"/>
            <w:shd w:val="clear" w:color="auto" w:fill="auto"/>
            <w:vAlign w:val="bottom"/>
          </w:tcPr>
          <w:p w14:paraId="098A92A9" w14:textId="77777777" w:rsidR="00141CDF" w:rsidRDefault="00141CDF">
            <w:pPr>
              <w:rPr>
                <w:rFonts w:ascii="宋体"/>
                <w:vanish/>
              </w:rPr>
            </w:pPr>
          </w:p>
        </w:tc>
        <w:tc>
          <w:tcPr>
            <w:tcW w:w="0" w:type="auto"/>
            <w:shd w:val="clear" w:color="auto" w:fill="auto"/>
            <w:vAlign w:val="bottom"/>
          </w:tcPr>
          <w:p w14:paraId="098A92AA" w14:textId="77777777" w:rsidR="00141CDF" w:rsidRDefault="00141CDF">
            <w:pPr>
              <w:rPr>
                <w:rFonts w:ascii="宋体"/>
                <w:vanish/>
              </w:rPr>
            </w:pPr>
          </w:p>
        </w:tc>
      </w:tr>
      <w:tr w:rsidR="00141CDF" w14:paraId="098A92B5" w14:textId="77777777">
        <w:tc>
          <w:tcPr>
            <w:tcW w:w="0" w:type="auto"/>
            <w:gridSpan w:val="3"/>
            <w:shd w:val="clear" w:color="auto" w:fill="FFFFFF"/>
            <w:tcMar>
              <w:top w:w="40" w:type="dxa"/>
              <w:left w:w="740" w:type="dxa"/>
              <w:bottom w:w="40" w:type="dxa"/>
              <w:right w:w="20" w:type="dxa"/>
            </w:tcMar>
            <w:vAlign w:val="center"/>
          </w:tcPr>
          <w:p w14:paraId="098A92AC" w14:textId="77777777" w:rsidR="00141CDF" w:rsidRDefault="00DF45E0">
            <w:pPr>
              <w:textAlignment w:val="center"/>
            </w:pPr>
            <w:r>
              <w:rPr>
                <w:rFonts w:ascii="Times New Roman" w:eastAsia="宋体" w:hAnsi="Times New Roman"/>
                <w:color w:val="000000"/>
                <w:sz w:val="16"/>
                <w:szCs w:val="16"/>
              </w:rPr>
              <w:t>Deferred income taxes</w:t>
            </w:r>
          </w:p>
        </w:tc>
        <w:tc>
          <w:tcPr>
            <w:tcW w:w="0" w:type="auto"/>
            <w:gridSpan w:val="3"/>
            <w:shd w:val="clear" w:color="auto" w:fill="FFFFFF"/>
            <w:tcMar>
              <w:top w:w="0" w:type="dxa"/>
              <w:left w:w="20" w:type="dxa"/>
              <w:bottom w:w="0" w:type="dxa"/>
              <w:right w:w="20" w:type="dxa"/>
            </w:tcMar>
            <w:vAlign w:val="bottom"/>
          </w:tcPr>
          <w:p w14:paraId="098A92AD"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2AE" w14:textId="77777777" w:rsidR="00141CDF" w:rsidRDefault="00DF45E0">
            <w:pPr>
              <w:jc w:val="right"/>
              <w:textAlignment w:val="center"/>
            </w:pPr>
            <w:r>
              <w:rPr>
                <w:rFonts w:ascii="Times New Roman" w:eastAsia="宋体" w:hAnsi="Times New Roman"/>
                <w:color w:val="000000"/>
                <w:sz w:val="16"/>
                <w:szCs w:val="16"/>
              </w:rPr>
              <w:t>111 </w:t>
            </w:r>
          </w:p>
        </w:tc>
        <w:tc>
          <w:tcPr>
            <w:tcW w:w="0" w:type="auto"/>
            <w:shd w:val="clear" w:color="auto" w:fill="FFFFFF"/>
            <w:tcMar>
              <w:top w:w="40" w:type="dxa"/>
              <w:left w:w="0" w:type="dxa"/>
              <w:bottom w:w="40" w:type="dxa"/>
              <w:right w:w="20" w:type="dxa"/>
            </w:tcMar>
            <w:vAlign w:val="center"/>
          </w:tcPr>
          <w:p w14:paraId="098A92AF"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2B0"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2B1" w14:textId="77777777" w:rsidR="00141CDF" w:rsidRDefault="00DF45E0">
            <w:pPr>
              <w:jc w:val="right"/>
              <w:textAlignment w:val="center"/>
            </w:pPr>
            <w:r>
              <w:rPr>
                <w:rFonts w:ascii="Times New Roman" w:eastAsia="宋体" w:hAnsi="Times New Roman"/>
                <w:color w:val="000000"/>
                <w:sz w:val="16"/>
                <w:szCs w:val="16"/>
              </w:rPr>
              <w:t>(385)</w:t>
            </w:r>
          </w:p>
        </w:tc>
        <w:tc>
          <w:tcPr>
            <w:tcW w:w="0" w:type="auto"/>
            <w:shd w:val="clear" w:color="auto" w:fill="FFFFFF"/>
            <w:tcMar>
              <w:top w:w="40" w:type="dxa"/>
              <w:left w:w="0" w:type="dxa"/>
              <w:bottom w:w="40" w:type="dxa"/>
              <w:right w:w="20" w:type="dxa"/>
            </w:tcMar>
            <w:vAlign w:val="center"/>
          </w:tcPr>
          <w:p w14:paraId="098A92B2" w14:textId="77777777" w:rsidR="00141CDF" w:rsidRDefault="00141CDF">
            <w:pPr>
              <w:jc w:val="right"/>
              <w:rPr>
                <w:rFonts w:ascii="宋体"/>
              </w:rPr>
            </w:pPr>
          </w:p>
        </w:tc>
        <w:tc>
          <w:tcPr>
            <w:tcW w:w="0" w:type="auto"/>
            <w:shd w:val="clear" w:color="auto" w:fill="auto"/>
            <w:vAlign w:val="bottom"/>
          </w:tcPr>
          <w:p w14:paraId="098A92B3" w14:textId="77777777" w:rsidR="00141CDF" w:rsidRDefault="00141CDF">
            <w:pPr>
              <w:rPr>
                <w:rFonts w:ascii="宋体"/>
                <w:vanish/>
              </w:rPr>
            </w:pPr>
          </w:p>
        </w:tc>
        <w:tc>
          <w:tcPr>
            <w:tcW w:w="0" w:type="auto"/>
            <w:shd w:val="clear" w:color="auto" w:fill="auto"/>
            <w:vAlign w:val="bottom"/>
          </w:tcPr>
          <w:p w14:paraId="098A92B4" w14:textId="77777777" w:rsidR="00141CDF" w:rsidRDefault="00141CDF">
            <w:pPr>
              <w:rPr>
                <w:rFonts w:ascii="宋体"/>
                <w:vanish/>
              </w:rPr>
            </w:pPr>
          </w:p>
        </w:tc>
      </w:tr>
      <w:tr w:rsidR="00141CDF" w14:paraId="098A92BD" w14:textId="77777777">
        <w:trPr>
          <w:hidden/>
        </w:trPr>
        <w:tc>
          <w:tcPr>
            <w:tcW w:w="0" w:type="auto"/>
            <w:gridSpan w:val="3"/>
            <w:shd w:val="clear" w:color="auto" w:fill="auto"/>
            <w:vAlign w:val="bottom"/>
          </w:tcPr>
          <w:p w14:paraId="098A92B6" w14:textId="77777777" w:rsidR="00141CDF" w:rsidRDefault="00141CDF">
            <w:pPr>
              <w:rPr>
                <w:rFonts w:ascii="宋体"/>
                <w:vanish/>
              </w:rPr>
            </w:pPr>
          </w:p>
        </w:tc>
        <w:tc>
          <w:tcPr>
            <w:tcW w:w="0" w:type="auto"/>
            <w:gridSpan w:val="3"/>
            <w:shd w:val="clear" w:color="auto" w:fill="auto"/>
            <w:vAlign w:val="bottom"/>
          </w:tcPr>
          <w:p w14:paraId="098A92B7" w14:textId="77777777" w:rsidR="00141CDF" w:rsidRDefault="00141CDF">
            <w:pPr>
              <w:rPr>
                <w:rFonts w:ascii="宋体"/>
                <w:vanish/>
              </w:rPr>
            </w:pPr>
          </w:p>
        </w:tc>
        <w:tc>
          <w:tcPr>
            <w:tcW w:w="0" w:type="auto"/>
            <w:gridSpan w:val="3"/>
            <w:shd w:val="clear" w:color="auto" w:fill="auto"/>
            <w:vAlign w:val="bottom"/>
          </w:tcPr>
          <w:p w14:paraId="098A92B8" w14:textId="77777777" w:rsidR="00141CDF" w:rsidRDefault="00141CDF">
            <w:pPr>
              <w:rPr>
                <w:rFonts w:ascii="宋体"/>
                <w:vanish/>
              </w:rPr>
            </w:pPr>
          </w:p>
        </w:tc>
        <w:tc>
          <w:tcPr>
            <w:tcW w:w="0" w:type="auto"/>
            <w:gridSpan w:val="3"/>
            <w:shd w:val="clear" w:color="auto" w:fill="auto"/>
            <w:vAlign w:val="bottom"/>
          </w:tcPr>
          <w:p w14:paraId="098A92B9" w14:textId="77777777" w:rsidR="00141CDF" w:rsidRDefault="00141CDF">
            <w:pPr>
              <w:rPr>
                <w:rFonts w:ascii="宋体"/>
                <w:vanish/>
              </w:rPr>
            </w:pPr>
          </w:p>
        </w:tc>
        <w:tc>
          <w:tcPr>
            <w:tcW w:w="0" w:type="auto"/>
            <w:gridSpan w:val="3"/>
            <w:shd w:val="clear" w:color="auto" w:fill="auto"/>
            <w:vAlign w:val="bottom"/>
          </w:tcPr>
          <w:p w14:paraId="098A92BA" w14:textId="77777777" w:rsidR="00141CDF" w:rsidRDefault="00141CDF">
            <w:pPr>
              <w:rPr>
                <w:rFonts w:ascii="宋体"/>
                <w:vanish/>
              </w:rPr>
            </w:pPr>
          </w:p>
        </w:tc>
        <w:tc>
          <w:tcPr>
            <w:tcW w:w="0" w:type="auto"/>
            <w:shd w:val="clear" w:color="auto" w:fill="auto"/>
            <w:vAlign w:val="bottom"/>
          </w:tcPr>
          <w:p w14:paraId="098A92BB" w14:textId="77777777" w:rsidR="00141CDF" w:rsidRDefault="00141CDF">
            <w:pPr>
              <w:rPr>
                <w:rFonts w:ascii="宋体"/>
                <w:vanish/>
              </w:rPr>
            </w:pPr>
          </w:p>
        </w:tc>
        <w:tc>
          <w:tcPr>
            <w:tcW w:w="0" w:type="auto"/>
            <w:shd w:val="clear" w:color="auto" w:fill="auto"/>
            <w:vAlign w:val="bottom"/>
          </w:tcPr>
          <w:p w14:paraId="098A92BC" w14:textId="77777777" w:rsidR="00141CDF" w:rsidRDefault="00141CDF">
            <w:pPr>
              <w:rPr>
                <w:rFonts w:ascii="宋体"/>
                <w:vanish/>
              </w:rPr>
            </w:pPr>
          </w:p>
        </w:tc>
      </w:tr>
      <w:tr w:rsidR="00141CDF" w14:paraId="098A92C7" w14:textId="77777777">
        <w:tc>
          <w:tcPr>
            <w:tcW w:w="0" w:type="auto"/>
            <w:gridSpan w:val="3"/>
            <w:shd w:val="clear" w:color="auto" w:fill="CCEEFF"/>
            <w:tcMar>
              <w:top w:w="40" w:type="dxa"/>
              <w:left w:w="740" w:type="dxa"/>
              <w:bottom w:w="40" w:type="dxa"/>
              <w:right w:w="20" w:type="dxa"/>
            </w:tcMar>
            <w:vAlign w:val="center"/>
          </w:tcPr>
          <w:p w14:paraId="098A92BE" w14:textId="77777777" w:rsidR="00141CDF" w:rsidRDefault="00DF45E0">
            <w:pPr>
              <w:textAlignment w:val="center"/>
            </w:pPr>
            <w:r>
              <w:rPr>
                <w:rFonts w:ascii="Times New Roman" w:eastAsia="宋体" w:hAnsi="Times New Roman"/>
                <w:color w:val="000000"/>
                <w:sz w:val="16"/>
                <w:szCs w:val="16"/>
              </w:rPr>
              <w:t>Other operating activities</w:t>
            </w:r>
          </w:p>
        </w:tc>
        <w:tc>
          <w:tcPr>
            <w:tcW w:w="0" w:type="auto"/>
            <w:gridSpan w:val="3"/>
            <w:shd w:val="clear" w:color="auto" w:fill="CCEEFF"/>
            <w:tcMar>
              <w:top w:w="0" w:type="dxa"/>
              <w:left w:w="20" w:type="dxa"/>
              <w:bottom w:w="0" w:type="dxa"/>
              <w:right w:w="20" w:type="dxa"/>
            </w:tcMar>
            <w:vAlign w:val="bottom"/>
          </w:tcPr>
          <w:p w14:paraId="098A92BF"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2C0" w14:textId="77777777" w:rsidR="00141CDF" w:rsidRDefault="00DF45E0">
            <w:pPr>
              <w:jc w:val="right"/>
              <w:textAlignment w:val="center"/>
            </w:pPr>
            <w:r>
              <w:rPr>
                <w:rFonts w:ascii="Times New Roman" w:eastAsia="宋体" w:hAnsi="Times New Roman"/>
                <w:color w:val="000000"/>
                <w:sz w:val="16"/>
                <w:szCs w:val="16"/>
              </w:rPr>
              <w:t>244 </w:t>
            </w:r>
          </w:p>
        </w:tc>
        <w:tc>
          <w:tcPr>
            <w:tcW w:w="0" w:type="auto"/>
            <w:shd w:val="clear" w:color="auto" w:fill="CCEEFF"/>
            <w:tcMar>
              <w:top w:w="40" w:type="dxa"/>
              <w:left w:w="0" w:type="dxa"/>
              <w:bottom w:w="40" w:type="dxa"/>
              <w:right w:w="20" w:type="dxa"/>
            </w:tcMar>
            <w:vAlign w:val="center"/>
          </w:tcPr>
          <w:p w14:paraId="098A92C1"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2C2"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2C3" w14:textId="77777777" w:rsidR="00141CDF" w:rsidRDefault="00DF45E0">
            <w:pPr>
              <w:jc w:val="right"/>
              <w:textAlignment w:val="center"/>
            </w:pPr>
            <w:r>
              <w:rPr>
                <w:rFonts w:ascii="Times New Roman" w:eastAsia="宋体" w:hAnsi="Times New Roman"/>
                <w:color w:val="000000"/>
                <w:sz w:val="16"/>
                <w:szCs w:val="16"/>
              </w:rPr>
              <w:t>606 </w:t>
            </w:r>
          </w:p>
        </w:tc>
        <w:tc>
          <w:tcPr>
            <w:tcW w:w="0" w:type="auto"/>
            <w:shd w:val="clear" w:color="auto" w:fill="CCEEFF"/>
            <w:tcMar>
              <w:top w:w="40" w:type="dxa"/>
              <w:left w:w="0" w:type="dxa"/>
              <w:bottom w:w="40" w:type="dxa"/>
              <w:right w:w="20" w:type="dxa"/>
            </w:tcMar>
            <w:vAlign w:val="center"/>
          </w:tcPr>
          <w:p w14:paraId="098A92C4" w14:textId="77777777" w:rsidR="00141CDF" w:rsidRDefault="00141CDF">
            <w:pPr>
              <w:jc w:val="right"/>
              <w:rPr>
                <w:rFonts w:ascii="宋体"/>
              </w:rPr>
            </w:pPr>
          </w:p>
        </w:tc>
        <w:tc>
          <w:tcPr>
            <w:tcW w:w="0" w:type="auto"/>
            <w:shd w:val="clear" w:color="auto" w:fill="auto"/>
            <w:vAlign w:val="bottom"/>
          </w:tcPr>
          <w:p w14:paraId="098A92C5" w14:textId="77777777" w:rsidR="00141CDF" w:rsidRDefault="00141CDF">
            <w:pPr>
              <w:rPr>
                <w:rFonts w:ascii="宋体"/>
                <w:vanish/>
              </w:rPr>
            </w:pPr>
          </w:p>
        </w:tc>
        <w:tc>
          <w:tcPr>
            <w:tcW w:w="0" w:type="auto"/>
            <w:shd w:val="clear" w:color="auto" w:fill="auto"/>
            <w:vAlign w:val="bottom"/>
          </w:tcPr>
          <w:p w14:paraId="098A92C6" w14:textId="77777777" w:rsidR="00141CDF" w:rsidRDefault="00141CDF">
            <w:pPr>
              <w:rPr>
                <w:rFonts w:ascii="宋体"/>
                <w:vanish/>
              </w:rPr>
            </w:pPr>
          </w:p>
        </w:tc>
      </w:tr>
      <w:tr w:rsidR="00141CDF" w14:paraId="098A92CF" w14:textId="77777777">
        <w:tc>
          <w:tcPr>
            <w:tcW w:w="0" w:type="auto"/>
            <w:gridSpan w:val="3"/>
            <w:shd w:val="clear" w:color="auto" w:fill="FFFFFF"/>
            <w:tcMar>
              <w:top w:w="40" w:type="dxa"/>
              <w:left w:w="740" w:type="dxa"/>
              <w:bottom w:w="40" w:type="dxa"/>
              <w:right w:w="20" w:type="dxa"/>
            </w:tcMar>
            <w:vAlign w:val="center"/>
          </w:tcPr>
          <w:p w14:paraId="098A92C8" w14:textId="77777777" w:rsidR="00141CDF" w:rsidRDefault="00DF45E0">
            <w:pPr>
              <w:textAlignment w:val="center"/>
            </w:pPr>
            <w:r>
              <w:rPr>
                <w:rFonts w:ascii="Times New Roman" w:eastAsia="宋体" w:hAnsi="Times New Roman"/>
                <w:color w:val="000000"/>
                <w:sz w:val="16"/>
                <w:szCs w:val="16"/>
              </w:rPr>
              <w:t xml:space="preserve">Changes in certain assets and </w:t>
            </w:r>
            <w:r>
              <w:rPr>
                <w:rFonts w:ascii="Times New Roman" w:eastAsia="宋体" w:hAnsi="Times New Roman"/>
                <w:color w:val="000000"/>
                <w:sz w:val="16"/>
                <w:szCs w:val="16"/>
              </w:rPr>
              <w:t>liabilities, net of effects of acquisitions and dispositions:</w:t>
            </w:r>
          </w:p>
        </w:tc>
        <w:tc>
          <w:tcPr>
            <w:tcW w:w="0" w:type="auto"/>
            <w:gridSpan w:val="3"/>
            <w:shd w:val="clear" w:color="auto" w:fill="FFFFFF"/>
            <w:tcMar>
              <w:top w:w="0" w:type="dxa"/>
              <w:left w:w="20" w:type="dxa"/>
              <w:bottom w:w="0" w:type="dxa"/>
              <w:right w:w="20" w:type="dxa"/>
            </w:tcMar>
            <w:vAlign w:val="bottom"/>
          </w:tcPr>
          <w:p w14:paraId="098A92C9"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92CA"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92CB"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92CC" w14:textId="77777777" w:rsidR="00141CDF" w:rsidRDefault="00141CDF">
            <w:pPr>
              <w:rPr>
                <w:rFonts w:ascii="宋体"/>
              </w:rPr>
            </w:pPr>
          </w:p>
        </w:tc>
        <w:tc>
          <w:tcPr>
            <w:tcW w:w="0" w:type="auto"/>
            <w:shd w:val="clear" w:color="auto" w:fill="auto"/>
            <w:vAlign w:val="bottom"/>
          </w:tcPr>
          <w:p w14:paraId="098A92CD" w14:textId="77777777" w:rsidR="00141CDF" w:rsidRDefault="00141CDF">
            <w:pPr>
              <w:rPr>
                <w:rFonts w:ascii="宋体"/>
                <w:vanish/>
              </w:rPr>
            </w:pPr>
          </w:p>
        </w:tc>
        <w:tc>
          <w:tcPr>
            <w:tcW w:w="0" w:type="auto"/>
            <w:shd w:val="clear" w:color="auto" w:fill="auto"/>
            <w:vAlign w:val="bottom"/>
          </w:tcPr>
          <w:p w14:paraId="098A92CE" w14:textId="77777777" w:rsidR="00141CDF" w:rsidRDefault="00141CDF">
            <w:pPr>
              <w:rPr>
                <w:rFonts w:ascii="宋体"/>
                <w:vanish/>
              </w:rPr>
            </w:pPr>
          </w:p>
        </w:tc>
      </w:tr>
      <w:tr w:rsidR="00141CDF" w14:paraId="098A92D9" w14:textId="77777777">
        <w:tc>
          <w:tcPr>
            <w:tcW w:w="0" w:type="auto"/>
            <w:gridSpan w:val="3"/>
            <w:shd w:val="clear" w:color="auto" w:fill="CCEEFF"/>
            <w:tcMar>
              <w:top w:w="40" w:type="dxa"/>
              <w:left w:w="1235" w:type="dxa"/>
              <w:bottom w:w="40" w:type="dxa"/>
              <w:right w:w="20" w:type="dxa"/>
            </w:tcMar>
            <w:vAlign w:val="center"/>
          </w:tcPr>
          <w:p w14:paraId="098A92D0" w14:textId="77777777" w:rsidR="00141CDF" w:rsidRDefault="00DF45E0">
            <w:pPr>
              <w:textAlignment w:val="center"/>
            </w:pPr>
            <w:r>
              <w:rPr>
                <w:rFonts w:ascii="Times New Roman" w:eastAsia="宋体" w:hAnsi="Times New Roman"/>
                <w:color w:val="000000"/>
                <w:sz w:val="16"/>
                <w:szCs w:val="16"/>
              </w:rPr>
              <w:t>Receivables, net</w:t>
            </w:r>
          </w:p>
        </w:tc>
        <w:tc>
          <w:tcPr>
            <w:tcW w:w="0" w:type="auto"/>
            <w:gridSpan w:val="3"/>
            <w:shd w:val="clear" w:color="auto" w:fill="CCEEFF"/>
            <w:tcMar>
              <w:top w:w="0" w:type="dxa"/>
              <w:left w:w="20" w:type="dxa"/>
              <w:bottom w:w="0" w:type="dxa"/>
              <w:right w:w="20" w:type="dxa"/>
            </w:tcMar>
            <w:vAlign w:val="bottom"/>
          </w:tcPr>
          <w:p w14:paraId="098A92D1"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2D2" w14:textId="77777777" w:rsidR="00141CDF" w:rsidRDefault="00DF45E0">
            <w:pPr>
              <w:jc w:val="right"/>
              <w:textAlignment w:val="center"/>
            </w:pPr>
            <w:r>
              <w:rPr>
                <w:rFonts w:ascii="Times New Roman" w:eastAsia="宋体" w:hAnsi="Times New Roman"/>
                <w:color w:val="000000"/>
                <w:sz w:val="16"/>
                <w:szCs w:val="16"/>
              </w:rPr>
              <w:t>874 </w:t>
            </w:r>
          </w:p>
        </w:tc>
        <w:tc>
          <w:tcPr>
            <w:tcW w:w="0" w:type="auto"/>
            <w:shd w:val="clear" w:color="auto" w:fill="CCEEFF"/>
            <w:tcMar>
              <w:top w:w="40" w:type="dxa"/>
              <w:left w:w="0" w:type="dxa"/>
              <w:bottom w:w="40" w:type="dxa"/>
              <w:right w:w="20" w:type="dxa"/>
            </w:tcMar>
            <w:vAlign w:val="center"/>
          </w:tcPr>
          <w:p w14:paraId="098A92D3"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2D4"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2D5" w14:textId="77777777" w:rsidR="00141CDF" w:rsidRDefault="00DF45E0">
            <w:pPr>
              <w:jc w:val="right"/>
              <w:textAlignment w:val="center"/>
            </w:pPr>
            <w:r>
              <w:rPr>
                <w:rFonts w:ascii="Times New Roman" w:eastAsia="宋体" w:hAnsi="Times New Roman"/>
                <w:color w:val="000000"/>
                <w:sz w:val="16"/>
                <w:szCs w:val="16"/>
              </w:rPr>
              <w:t>452 </w:t>
            </w:r>
          </w:p>
        </w:tc>
        <w:tc>
          <w:tcPr>
            <w:tcW w:w="0" w:type="auto"/>
            <w:shd w:val="clear" w:color="auto" w:fill="CCEEFF"/>
            <w:tcMar>
              <w:top w:w="40" w:type="dxa"/>
              <w:left w:w="0" w:type="dxa"/>
              <w:bottom w:w="40" w:type="dxa"/>
              <w:right w:w="20" w:type="dxa"/>
            </w:tcMar>
            <w:vAlign w:val="center"/>
          </w:tcPr>
          <w:p w14:paraId="098A92D6" w14:textId="77777777" w:rsidR="00141CDF" w:rsidRDefault="00141CDF">
            <w:pPr>
              <w:jc w:val="right"/>
              <w:rPr>
                <w:rFonts w:ascii="宋体"/>
              </w:rPr>
            </w:pPr>
          </w:p>
        </w:tc>
        <w:tc>
          <w:tcPr>
            <w:tcW w:w="0" w:type="auto"/>
            <w:shd w:val="clear" w:color="auto" w:fill="auto"/>
            <w:vAlign w:val="bottom"/>
          </w:tcPr>
          <w:p w14:paraId="098A92D7" w14:textId="77777777" w:rsidR="00141CDF" w:rsidRDefault="00141CDF">
            <w:pPr>
              <w:rPr>
                <w:rFonts w:ascii="宋体"/>
                <w:vanish/>
              </w:rPr>
            </w:pPr>
          </w:p>
        </w:tc>
        <w:tc>
          <w:tcPr>
            <w:tcW w:w="0" w:type="auto"/>
            <w:shd w:val="clear" w:color="auto" w:fill="auto"/>
            <w:vAlign w:val="bottom"/>
          </w:tcPr>
          <w:p w14:paraId="098A92D8" w14:textId="77777777" w:rsidR="00141CDF" w:rsidRDefault="00141CDF">
            <w:pPr>
              <w:rPr>
                <w:rFonts w:ascii="宋体"/>
                <w:vanish/>
              </w:rPr>
            </w:pPr>
          </w:p>
        </w:tc>
      </w:tr>
      <w:tr w:rsidR="00141CDF" w14:paraId="098A92E3" w14:textId="77777777">
        <w:tc>
          <w:tcPr>
            <w:tcW w:w="0" w:type="auto"/>
            <w:gridSpan w:val="3"/>
            <w:shd w:val="clear" w:color="auto" w:fill="FFFFFF"/>
            <w:tcMar>
              <w:top w:w="40" w:type="dxa"/>
              <w:left w:w="1235" w:type="dxa"/>
              <w:bottom w:w="40" w:type="dxa"/>
              <w:right w:w="20" w:type="dxa"/>
            </w:tcMar>
            <w:vAlign w:val="center"/>
          </w:tcPr>
          <w:p w14:paraId="098A92DA" w14:textId="77777777" w:rsidR="00141CDF" w:rsidRDefault="00DF45E0">
            <w:pPr>
              <w:textAlignment w:val="center"/>
            </w:pPr>
            <w:r>
              <w:rPr>
                <w:rFonts w:ascii="Times New Roman" w:eastAsia="宋体" w:hAnsi="Times New Roman"/>
                <w:color w:val="000000"/>
                <w:sz w:val="16"/>
                <w:szCs w:val="16"/>
              </w:rPr>
              <w:t>Inventories</w:t>
            </w:r>
          </w:p>
        </w:tc>
        <w:tc>
          <w:tcPr>
            <w:tcW w:w="0" w:type="auto"/>
            <w:gridSpan w:val="3"/>
            <w:shd w:val="clear" w:color="auto" w:fill="FFFFFF"/>
            <w:tcMar>
              <w:top w:w="0" w:type="dxa"/>
              <w:left w:w="20" w:type="dxa"/>
              <w:bottom w:w="0" w:type="dxa"/>
              <w:right w:w="20" w:type="dxa"/>
            </w:tcMar>
            <w:vAlign w:val="bottom"/>
          </w:tcPr>
          <w:p w14:paraId="098A92DB"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2DC" w14:textId="77777777" w:rsidR="00141CDF" w:rsidRDefault="00DF45E0">
            <w:pPr>
              <w:jc w:val="right"/>
              <w:textAlignment w:val="center"/>
            </w:pPr>
            <w:r>
              <w:rPr>
                <w:rFonts w:ascii="Times New Roman" w:eastAsia="宋体" w:hAnsi="Times New Roman"/>
                <w:color w:val="000000"/>
                <w:sz w:val="16"/>
                <w:szCs w:val="16"/>
              </w:rPr>
              <w:t>(3,730)</w:t>
            </w:r>
          </w:p>
        </w:tc>
        <w:tc>
          <w:tcPr>
            <w:tcW w:w="0" w:type="auto"/>
            <w:shd w:val="clear" w:color="auto" w:fill="FFFFFF"/>
            <w:tcMar>
              <w:top w:w="40" w:type="dxa"/>
              <w:left w:w="0" w:type="dxa"/>
              <w:bottom w:w="40" w:type="dxa"/>
              <w:right w:w="20" w:type="dxa"/>
            </w:tcMar>
            <w:vAlign w:val="center"/>
          </w:tcPr>
          <w:p w14:paraId="098A92DD"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2DE"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2DF" w14:textId="77777777" w:rsidR="00141CDF" w:rsidRDefault="00DF45E0">
            <w:pPr>
              <w:jc w:val="right"/>
              <w:textAlignment w:val="center"/>
            </w:pPr>
            <w:r>
              <w:rPr>
                <w:rFonts w:ascii="Times New Roman" w:eastAsia="宋体" w:hAnsi="Times New Roman"/>
                <w:color w:val="000000"/>
                <w:sz w:val="16"/>
                <w:szCs w:val="16"/>
              </w:rPr>
              <w:t>(2,725)</w:t>
            </w:r>
          </w:p>
        </w:tc>
        <w:tc>
          <w:tcPr>
            <w:tcW w:w="0" w:type="auto"/>
            <w:shd w:val="clear" w:color="auto" w:fill="FFFFFF"/>
            <w:tcMar>
              <w:top w:w="40" w:type="dxa"/>
              <w:left w:w="0" w:type="dxa"/>
              <w:bottom w:w="40" w:type="dxa"/>
              <w:right w:w="20" w:type="dxa"/>
            </w:tcMar>
            <w:vAlign w:val="center"/>
          </w:tcPr>
          <w:p w14:paraId="098A92E0" w14:textId="77777777" w:rsidR="00141CDF" w:rsidRDefault="00141CDF">
            <w:pPr>
              <w:jc w:val="right"/>
              <w:rPr>
                <w:rFonts w:ascii="宋体"/>
              </w:rPr>
            </w:pPr>
          </w:p>
        </w:tc>
        <w:tc>
          <w:tcPr>
            <w:tcW w:w="0" w:type="auto"/>
            <w:shd w:val="clear" w:color="auto" w:fill="auto"/>
            <w:vAlign w:val="bottom"/>
          </w:tcPr>
          <w:p w14:paraId="098A92E1" w14:textId="77777777" w:rsidR="00141CDF" w:rsidRDefault="00141CDF">
            <w:pPr>
              <w:rPr>
                <w:rFonts w:ascii="宋体"/>
                <w:vanish/>
              </w:rPr>
            </w:pPr>
          </w:p>
        </w:tc>
        <w:tc>
          <w:tcPr>
            <w:tcW w:w="0" w:type="auto"/>
            <w:shd w:val="clear" w:color="auto" w:fill="auto"/>
            <w:vAlign w:val="bottom"/>
          </w:tcPr>
          <w:p w14:paraId="098A92E2" w14:textId="77777777" w:rsidR="00141CDF" w:rsidRDefault="00141CDF">
            <w:pPr>
              <w:rPr>
                <w:rFonts w:ascii="宋体"/>
                <w:vanish/>
              </w:rPr>
            </w:pPr>
          </w:p>
        </w:tc>
      </w:tr>
      <w:tr w:rsidR="00141CDF" w14:paraId="098A92ED" w14:textId="77777777">
        <w:tc>
          <w:tcPr>
            <w:tcW w:w="0" w:type="auto"/>
            <w:gridSpan w:val="3"/>
            <w:shd w:val="clear" w:color="auto" w:fill="CCEEFF"/>
            <w:tcMar>
              <w:top w:w="40" w:type="dxa"/>
              <w:left w:w="1235" w:type="dxa"/>
              <w:bottom w:w="40" w:type="dxa"/>
              <w:right w:w="20" w:type="dxa"/>
            </w:tcMar>
            <w:vAlign w:val="center"/>
          </w:tcPr>
          <w:p w14:paraId="098A92E4" w14:textId="77777777" w:rsidR="00141CDF" w:rsidRDefault="00DF45E0">
            <w:pPr>
              <w:textAlignment w:val="center"/>
            </w:pPr>
            <w:r>
              <w:rPr>
                <w:rFonts w:ascii="Times New Roman" w:eastAsia="宋体" w:hAnsi="Times New Roman"/>
                <w:color w:val="000000"/>
                <w:sz w:val="16"/>
                <w:szCs w:val="16"/>
              </w:rPr>
              <w:t>Accounts payable</w:t>
            </w:r>
          </w:p>
        </w:tc>
        <w:tc>
          <w:tcPr>
            <w:tcW w:w="0" w:type="auto"/>
            <w:gridSpan w:val="3"/>
            <w:shd w:val="clear" w:color="auto" w:fill="CCEEFF"/>
            <w:tcMar>
              <w:top w:w="0" w:type="dxa"/>
              <w:left w:w="20" w:type="dxa"/>
              <w:bottom w:w="0" w:type="dxa"/>
              <w:right w:w="20" w:type="dxa"/>
            </w:tcMar>
            <w:vAlign w:val="bottom"/>
          </w:tcPr>
          <w:p w14:paraId="098A92E5"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2E6" w14:textId="77777777" w:rsidR="00141CDF" w:rsidRDefault="00DF45E0">
            <w:pPr>
              <w:jc w:val="right"/>
              <w:textAlignment w:val="center"/>
            </w:pPr>
            <w:r>
              <w:rPr>
                <w:rFonts w:ascii="Times New Roman" w:eastAsia="宋体" w:hAnsi="Times New Roman"/>
                <w:color w:val="000000"/>
                <w:sz w:val="16"/>
                <w:szCs w:val="16"/>
              </w:rPr>
              <w:t>(453)</w:t>
            </w:r>
          </w:p>
        </w:tc>
        <w:tc>
          <w:tcPr>
            <w:tcW w:w="0" w:type="auto"/>
            <w:shd w:val="clear" w:color="auto" w:fill="CCEEFF"/>
            <w:tcMar>
              <w:top w:w="40" w:type="dxa"/>
              <w:left w:w="0" w:type="dxa"/>
              <w:bottom w:w="40" w:type="dxa"/>
              <w:right w:w="20" w:type="dxa"/>
            </w:tcMar>
            <w:vAlign w:val="center"/>
          </w:tcPr>
          <w:p w14:paraId="098A92E7"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2E8"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2E9" w14:textId="77777777" w:rsidR="00141CDF" w:rsidRDefault="00DF45E0">
            <w:pPr>
              <w:jc w:val="right"/>
              <w:textAlignment w:val="center"/>
            </w:pPr>
            <w:r>
              <w:rPr>
                <w:rFonts w:ascii="Times New Roman" w:eastAsia="宋体" w:hAnsi="Times New Roman"/>
                <w:color w:val="000000"/>
                <w:sz w:val="16"/>
                <w:szCs w:val="16"/>
              </w:rPr>
              <w:t>119 </w:t>
            </w:r>
          </w:p>
        </w:tc>
        <w:tc>
          <w:tcPr>
            <w:tcW w:w="0" w:type="auto"/>
            <w:shd w:val="clear" w:color="auto" w:fill="CCEEFF"/>
            <w:tcMar>
              <w:top w:w="40" w:type="dxa"/>
              <w:left w:w="0" w:type="dxa"/>
              <w:bottom w:w="40" w:type="dxa"/>
              <w:right w:w="20" w:type="dxa"/>
            </w:tcMar>
            <w:vAlign w:val="center"/>
          </w:tcPr>
          <w:p w14:paraId="098A92EA" w14:textId="77777777" w:rsidR="00141CDF" w:rsidRDefault="00141CDF">
            <w:pPr>
              <w:jc w:val="right"/>
              <w:rPr>
                <w:rFonts w:ascii="宋体"/>
              </w:rPr>
            </w:pPr>
          </w:p>
        </w:tc>
        <w:tc>
          <w:tcPr>
            <w:tcW w:w="0" w:type="auto"/>
            <w:shd w:val="clear" w:color="auto" w:fill="auto"/>
            <w:vAlign w:val="bottom"/>
          </w:tcPr>
          <w:p w14:paraId="098A92EB" w14:textId="77777777" w:rsidR="00141CDF" w:rsidRDefault="00141CDF">
            <w:pPr>
              <w:rPr>
                <w:rFonts w:ascii="宋体"/>
                <w:vanish/>
              </w:rPr>
            </w:pPr>
          </w:p>
        </w:tc>
        <w:tc>
          <w:tcPr>
            <w:tcW w:w="0" w:type="auto"/>
            <w:shd w:val="clear" w:color="auto" w:fill="auto"/>
            <w:vAlign w:val="bottom"/>
          </w:tcPr>
          <w:p w14:paraId="098A92EC" w14:textId="77777777" w:rsidR="00141CDF" w:rsidRDefault="00141CDF">
            <w:pPr>
              <w:rPr>
                <w:rFonts w:ascii="宋体"/>
                <w:vanish/>
              </w:rPr>
            </w:pPr>
          </w:p>
        </w:tc>
      </w:tr>
      <w:tr w:rsidR="00141CDF" w14:paraId="098A92F7" w14:textId="77777777">
        <w:tc>
          <w:tcPr>
            <w:tcW w:w="0" w:type="auto"/>
            <w:gridSpan w:val="3"/>
            <w:shd w:val="clear" w:color="auto" w:fill="FFFFFF"/>
            <w:tcMar>
              <w:top w:w="40" w:type="dxa"/>
              <w:left w:w="1235" w:type="dxa"/>
              <w:bottom w:w="40" w:type="dxa"/>
              <w:right w:w="20" w:type="dxa"/>
            </w:tcMar>
            <w:vAlign w:val="center"/>
          </w:tcPr>
          <w:p w14:paraId="098A92EE" w14:textId="77777777" w:rsidR="00141CDF" w:rsidRDefault="00DF45E0">
            <w:pPr>
              <w:textAlignment w:val="center"/>
            </w:pPr>
            <w:r>
              <w:rPr>
                <w:rFonts w:ascii="Times New Roman" w:eastAsia="宋体" w:hAnsi="Times New Roman"/>
                <w:color w:val="000000"/>
                <w:sz w:val="16"/>
                <w:szCs w:val="16"/>
              </w:rPr>
              <w:t>Accrued liabilities</w:t>
            </w:r>
          </w:p>
        </w:tc>
        <w:tc>
          <w:tcPr>
            <w:tcW w:w="0" w:type="auto"/>
            <w:gridSpan w:val="3"/>
            <w:shd w:val="clear" w:color="auto" w:fill="FFFFFF"/>
            <w:tcMar>
              <w:top w:w="0" w:type="dxa"/>
              <w:left w:w="20" w:type="dxa"/>
              <w:bottom w:w="0" w:type="dxa"/>
              <w:right w:w="20" w:type="dxa"/>
            </w:tcMar>
            <w:vAlign w:val="bottom"/>
          </w:tcPr>
          <w:p w14:paraId="098A92EF"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2F0" w14:textId="77777777" w:rsidR="00141CDF" w:rsidRDefault="00DF45E0">
            <w:pPr>
              <w:jc w:val="right"/>
              <w:textAlignment w:val="center"/>
            </w:pPr>
            <w:r>
              <w:rPr>
                <w:rFonts w:ascii="Times New Roman" w:eastAsia="宋体" w:hAnsi="Times New Roman"/>
                <w:color w:val="000000"/>
                <w:sz w:val="16"/>
                <w:szCs w:val="16"/>
              </w:rPr>
              <w:t>(2,439)</w:t>
            </w:r>
          </w:p>
        </w:tc>
        <w:tc>
          <w:tcPr>
            <w:tcW w:w="0" w:type="auto"/>
            <w:shd w:val="clear" w:color="auto" w:fill="FFFFFF"/>
            <w:tcMar>
              <w:top w:w="40" w:type="dxa"/>
              <w:left w:w="0" w:type="dxa"/>
              <w:bottom w:w="40" w:type="dxa"/>
              <w:right w:w="20" w:type="dxa"/>
            </w:tcMar>
            <w:vAlign w:val="center"/>
          </w:tcPr>
          <w:p w14:paraId="098A92F1"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2F2"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2F3" w14:textId="77777777" w:rsidR="00141CDF" w:rsidRDefault="00DF45E0">
            <w:pPr>
              <w:jc w:val="right"/>
              <w:textAlignment w:val="center"/>
            </w:pPr>
            <w:r>
              <w:rPr>
                <w:rFonts w:ascii="Times New Roman" w:eastAsia="宋体" w:hAnsi="Times New Roman"/>
                <w:color w:val="000000"/>
                <w:sz w:val="16"/>
                <w:szCs w:val="16"/>
              </w:rPr>
              <w:t>(1,412)</w:t>
            </w:r>
          </w:p>
        </w:tc>
        <w:tc>
          <w:tcPr>
            <w:tcW w:w="0" w:type="auto"/>
            <w:shd w:val="clear" w:color="auto" w:fill="FFFFFF"/>
            <w:tcMar>
              <w:top w:w="40" w:type="dxa"/>
              <w:left w:w="0" w:type="dxa"/>
              <w:bottom w:w="40" w:type="dxa"/>
              <w:right w:w="20" w:type="dxa"/>
            </w:tcMar>
            <w:vAlign w:val="center"/>
          </w:tcPr>
          <w:p w14:paraId="098A92F4" w14:textId="77777777" w:rsidR="00141CDF" w:rsidRDefault="00141CDF">
            <w:pPr>
              <w:jc w:val="right"/>
              <w:rPr>
                <w:rFonts w:ascii="宋体"/>
              </w:rPr>
            </w:pPr>
          </w:p>
        </w:tc>
        <w:tc>
          <w:tcPr>
            <w:tcW w:w="0" w:type="auto"/>
            <w:shd w:val="clear" w:color="auto" w:fill="auto"/>
            <w:vAlign w:val="bottom"/>
          </w:tcPr>
          <w:p w14:paraId="098A92F5" w14:textId="77777777" w:rsidR="00141CDF" w:rsidRDefault="00141CDF">
            <w:pPr>
              <w:rPr>
                <w:rFonts w:ascii="宋体"/>
                <w:vanish/>
              </w:rPr>
            </w:pPr>
          </w:p>
        </w:tc>
        <w:tc>
          <w:tcPr>
            <w:tcW w:w="0" w:type="auto"/>
            <w:shd w:val="clear" w:color="auto" w:fill="auto"/>
            <w:vAlign w:val="bottom"/>
          </w:tcPr>
          <w:p w14:paraId="098A92F6" w14:textId="77777777" w:rsidR="00141CDF" w:rsidRDefault="00141CDF">
            <w:pPr>
              <w:rPr>
                <w:rFonts w:ascii="宋体"/>
                <w:vanish/>
              </w:rPr>
            </w:pPr>
          </w:p>
        </w:tc>
      </w:tr>
      <w:tr w:rsidR="00141CDF" w14:paraId="098A9301" w14:textId="77777777">
        <w:tc>
          <w:tcPr>
            <w:tcW w:w="0" w:type="auto"/>
            <w:gridSpan w:val="3"/>
            <w:shd w:val="clear" w:color="auto" w:fill="CCEEFF"/>
            <w:tcMar>
              <w:top w:w="40" w:type="dxa"/>
              <w:left w:w="1235" w:type="dxa"/>
              <w:bottom w:w="40" w:type="dxa"/>
              <w:right w:w="20" w:type="dxa"/>
            </w:tcMar>
            <w:vAlign w:val="center"/>
          </w:tcPr>
          <w:p w14:paraId="098A92F8" w14:textId="77777777" w:rsidR="00141CDF" w:rsidRDefault="00DF45E0">
            <w:pPr>
              <w:textAlignment w:val="center"/>
            </w:pPr>
            <w:r>
              <w:rPr>
                <w:rFonts w:ascii="Times New Roman" w:eastAsia="宋体" w:hAnsi="Times New Roman"/>
                <w:color w:val="000000"/>
                <w:sz w:val="16"/>
                <w:szCs w:val="16"/>
              </w:rPr>
              <w:t>Accrued income taxes</w:t>
            </w:r>
          </w:p>
        </w:tc>
        <w:tc>
          <w:tcPr>
            <w:tcW w:w="0" w:type="auto"/>
            <w:gridSpan w:val="3"/>
            <w:shd w:val="clear" w:color="auto" w:fill="CCEEFF"/>
            <w:tcMar>
              <w:top w:w="0" w:type="dxa"/>
              <w:left w:w="20" w:type="dxa"/>
              <w:bottom w:w="0" w:type="dxa"/>
              <w:right w:w="20" w:type="dxa"/>
            </w:tcMar>
            <w:vAlign w:val="bottom"/>
          </w:tcPr>
          <w:p w14:paraId="098A92F9"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2FA" w14:textId="77777777" w:rsidR="00141CDF" w:rsidRDefault="00DF45E0">
            <w:pPr>
              <w:jc w:val="right"/>
              <w:textAlignment w:val="center"/>
            </w:pPr>
            <w:r>
              <w:rPr>
                <w:rFonts w:ascii="Times New Roman" w:eastAsia="宋体" w:hAnsi="Times New Roman"/>
                <w:color w:val="000000"/>
                <w:sz w:val="16"/>
                <w:szCs w:val="16"/>
              </w:rPr>
              <w:t>16 </w:t>
            </w:r>
          </w:p>
        </w:tc>
        <w:tc>
          <w:tcPr>
            <w:tcW w:w="0" w:type="auto"/>
            <w:shd w:val="clear" w:color="auto" w:fill="CCEEFF"/>
            <w:tcMar>
              <w:top w:w="40" w:type="dxa"/>
              <w:left w:w="0" w:type="dxa"/>
              <w:bottom w:w="40" w:type="dxa"/>
              <w:right w:w="20" w:type="dxa"/>
            </w:tcMar>
            <w:vAlign w:val="center"/>
          </w:tcPr>
          <w:p w14:paraId="098A92FB"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2FC"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2FD" w14:textId="77777777" w:rsidR="00141CDF" w:rsidRDefault="00DF45E0">
            <w:pPr>
              <w:jc w:val="right"/>
              <w:textAlignment w:val="center"/>
            </w:pPr>
            <w:r>
              <w:rPr>
                <w:rFonts w:ascii="Times New Roman" w:eastAsia="宋体" w:hAnsi="Times New Roman"/>
                <w:color w:val="000000"/>
                <w:sz w:val="16"/>
                <w:szCs w:val="16"/>
              </w:rPr>
              <w:t>(161)</w:t>
            </w:r>
          </w:p>
        </w:tc>
        <w:tc>
          <w:tcPr>
            <w:tcW w:w="0" w:type="auto"/>
            <w:shd w:val="clear" w:color="auto" w:fill="CCEEFF"/>
            <w:tcMar>
              <w:top w:w="40" w:type="dxa"/>
              <w:left w:w="0" w:type="dxa"/>
              <w:bottom w:w="40" w:type="dxa"/>
              <w:right w:w="20" w:type="dxa"/>
            </w:tcMar>
            <w:vAlign w:val="center"/>
          </w:tcPr>
          <w:p w14:paraId="098A92FE" w14:textId="77777777" w:rsidR="00141CDF" w:rsidRDefault="00141CDF">
            <w:pPr>
              <w:jc w:val="right"/>
              <w:rPr>
                <w:rFonts w:ascii="宋体"/>
              </w:rPr>
            </w:pPr>
          </w:p>
        </w:tc>
        <w:tc>
          <w:tcPr>
            <w:tcW w:w="0" w:type="auto"/>
            <w:shd w:val="clear" w:color="auto" w:fill="auto"/>
            <w:vAlign w:val="bottom"/>
          </w:tcPr>
          <w:p w14:paraId="098A92FF" w14:textId="77777777" w:rsidR="00141CDF" w:rsidRDefault="00141CDF">
            <w:pPr>
              <w:rPr>
                <w:rFonts w:ascii="宋体"/>
                <w:vanish/>
              </w:rPr>
            </w:pPr>
          </w:p>
        </w:tc>
        <w:tc>
          <w:tcPr>
            <w:tcW w:w="0" w:type="auto"/>
            <w:shd w:val="clear" w:color="auto" w:fill="auto"/>
            <w:vAlign w:val="bottom"/>
          </w:tcPr>
          <w:p w14:paraId="098A9300" w14:textId="77777777" w:rsidR="00141CDF" w:rsidRDefault="00141CDF">
            <w:pPr>
              <w:rPr>
                <w:rFonts w:ascii="宋体"/>
                <w:vanish/>
              </w:rPr>
            </w:pPr>
          </w:p>
        </w:tc>
      </w:tr>
      <w:tr w:rsidR="00141CDF" w14:paraId="098A930B" w14:textId="77777777">
        <w:tc>
          <w:tcPr>
            <w:tcW w:w="0" w:type="auto"/>
            <w:gridSpan w:val="3"/>
            <w:shd w:val="clear" w:color="auto" w:fill="FFFFFF"/>
            <w:tcMar>
              <w:top w:w="40" w:type="dxa"/>
              <w:left w:w="20" w:type="dxa"/>
              <w:bottom w:w="40" w:type="dxa"/>
              <w:right w:w="20" w:type="dxa"/>
            </w:tcMar>
            <w:vAlign w:val="center"/>
          </w:tcPr>
          <w:p w14:paraId="098A9302" w14:textId="77777777" w:rsidR="00141CDF" w:rsidRDefault="00DF45E0">
            <w:pPr>
              <w:textAlignment w:val="center"/>
            </w:pPr>
            <w:r>
              <w:rPr>
                <w:rFonts w:ascii="Times New Roman" w:eastAsia="宋体" w:hAnsi="Times New Roman"/>
                <w:color w:val="000000"/>
                <w:sz w:val="16"/>
                <w:szCs w:val="16"/>
              </w:rPr>
              <w:t>Net cash provided by operating activities</w:t>
            </w:r>
          </w:p>
        </w:tc>
        <w:tc>
          <w:tcPr>
            <w:tcW w:w="0" w:type="auto"/>
            <w:gridSpan w:val="3"/>
            <w:shd w:val="clear" w:color="auto" w:fill="FFFFFF"/>
            <w:tcMar>
              <w:top w:w="0" w:type="dxa"/>
              <w:left w:w="20" w:type="dxa"/>
              <w:bottom w:w="0" w:type="dxa"/>
              <w:right w:w="20" w:type="dxa"/>
            </w:tcMar>
            <w:vAlign w:val="bottom"/>
          </w:tcPr>
          <w:p w14:paraId="098A9303" w14:textId="77777777" w:rsidR="00141CDF" w:rsidRDefault="00141C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98A9304" w14:textId="77777777" w:rsidR="00141CDF" w:rsidRDefault="00DF45E0">
            <w:pPr>
              <w:jc w:val="right"/>
              <w:textAlignment w:val="center"/>
            </w:pPr>
            <w:r>
              <w:rPr>
                <w:rFonts w:ascii="Times New Roman" w:eastAsia="宋体" w:hAnsi="Times New Roman"/>
                <w:color w:val="000000"/>
                <w:sz w:val="16"/>
                <w:szCs w:val="16"/>
              </w:rPr>
              <w:t>9,240 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9305"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306" w14:textId="77777777" w:rsidR="00141CDF" w:rsidRDefault="00141C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98A9307" w14:textId="77777777" w:rsidR="00141CDF" w:rsidRDefault="00DF45E0">
            <w:pPr>
              <w:jc w:val="right"/>
              <w:textAlignment w:val="center"/>
            </w:pPr>
            <w:r>
              <w:rPr>
                <w:rFonts w:ascii="Times New Roman" w:eastAsia="宋体" w:hAnsi="Times New Roman"/>
                <w:color w:val="000000"/>
                <w:sz w:val="16"/>
                <w:szCs w:val="16"/>
              </w:rPr>
              <w:t>12,423 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9308" w14:textId="77777777" w:rsidR="00141CDF" w:rsidRDefault="00141CDF">
            <w:pPr>
              <w:jc w:val="right"/>
              <w:rPr>
                <w:rFonts w:ascii="宋体"/>
              </w:rPr>
            </w:pPr>
          </w:p>
        </w:tc>
        <w:tc>
          <w:tcPr>
            <w:tcW w:w="0" w:type="auto"/>
            <w:shd w:val="clear" w:color="auto" w:fill="auto"/>
            <w:vAlign w:val="bottom"/>
          </w:tcPr>
          <w:p w14:paraId="098A9309" w14:textId="77777777" w:rsidR="00141CDF" w:rsidRDefault="00141CDF">
            <w:pPr>
              <w:rPr>
                <w:rFonts w:ascii="宋体"/>
                <w:vanish/>
              </w:rPr>
            </w:pPr>
          </w:p>
        </w:tc>
        <w:tc>
          <w:tcPr>
            <w:tcW w:w="0" w:type="auto"/>
            <w:shd w:val="clear" w:color="auto" w:fill="auto"/>
            <w:vAlign w:val="bottom"/>
          </w:tcPr>
          <w:p w14:paraId="098A930A" w14:textId="77777777" w:rsidR="00141CDF" w:rsidRDefault="00141CDF">
            <w:pPr>
              <w:rPr>
                <w:rFonts w:ascii="宋体"/>
                <w:vanish/>
              </w:rPr>
            </w:pPr>
          </w:p>
        </w:tc>
      </w:tr>
      <w:tr w:rsidR="00141CDF" w14:paraId="098A9313" w14:textId="77777777">
        <w:trPr>
          <w:trHeight w:val="220"/>
        </w:trPr>
        <w:tc>
          <w:tcPr>
            <w:tcW w:w="0" w:type="auto"/>
            <w:gridSpan w:val="3"/>
            <w:shd w:val="clear" w:color="auto" w:fill="CCEEFF"/>
            <w:tcMar>
              <w:top w:w="0" w:type="dxa"/>
              <w:left w:w="20" w:type="dxa"/>
              <w:bottom w:w="0" w:type="dxa"/>
              <w:right w:w="20" w:type="dxa"/>
            </w:tcMar>
            <w:vAlign w:val="bottom"/>
          </w:tcPr>
          <w:p w14:paraId="098A930C"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930D"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930E"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930F"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9310" w14:textId="77777777" w:rsidR="00141CDF" w:rsidRDefault="00141CDF">
            <w:pPr>
              <w:rPr>
                <w:rFonts w:ascii="宋体"/>
              </w:rPr>
            </w:pPr>
          </w:p>
        </w:tc>
        <w:tc>
          <w:tcPr>
            <w:tcW w:w="0" w:type="auto"/>
            <w:shd w:val="clear" w:color="auto" w:fill="auto"/>
            <w:vAlign w:val="bottom"/>
          </w:tcPr>
          <w:p w14:paraId="098A9311" w14:textId="77777777" w:rsidR="00141CDF" w:rsidRDefault="00141CDF">
            <w:pPr>
              <w:rPr>
                <w:rFonts w:ascii="宋体"/>
                <w:vanish/>
              </w:rPr>
            </w:pPr>
          </w:p>
        </w:tc>
        <w:tc>
          <w:tcPr>
            <w:tcW w:w="0" w:type="auto"/>
            <w:shd w:val="clear" w:color="auto" w:fill="auto"/>
            <w:vAlign w:val="bottom"/>
          </w:tcPr>
          <w:p w14:paraId="098A9312" w14:textId="77777777" w:rsidR="00141CDF" w:rsidRDefault="00141CDF">
            <w:pPr>
              <w:rPr>
                <w:rFonts w:ascii="宋体"/>
                <w:vanish/>
              </w:rPr>
            </w:pPr>
          </w:p>
        </w:tc>
      </w:tr>
      <w:tr w:rsidR="00141CDF" w14:paraId="098A931B" w14:textId="77777777">
        <w:tc>
          <w:tcPr>
            <w:tcW w:w="0" w:type="auto"/>
            <w:gridSpan w:val="3"/>
            <w:shd w:val="clear" w:color="auto" w:fill="FFFFFF"/>
            <w:tcMar>
              <w:top w:w="40" w:type="dxa"/>
              <w:left w:w="20" w:type="dxa"/>
              <w:bottom w:w="40" w:type="dxa"/>
              <w:right w:w="20" w:type="dxa"/>
            </w:tcMar>
            <w:vAlign w:val="center"/>
          </w:tcPr>
          <w:p w14:paraId="098A9314" w14:textId="77777777" w:rsidR="00141CDF" w:rsidRDefault="00DF45E0">
            <w:pPr>
              <w:textAlignment w:val="center"/>
            </w:pPr>
            <w:r>
              <w:rPr>
                <w:rFonts w:ascii="Times New Roman" w:eastAsia="宋体" w:hAnsi="Times New Roman"/>
                <w:b/>
                <w:bCs/>
                <w:color w:val="000000"/>
                <w:sz w:val="16"/>
                <w:szCs w:val="16"/>
              </w:rPr>
              <w:t>Cash flows from investing activities:</w:t>
            </w:r>
          </w:p>
        </w:tc>
        <w:tc>
          <w:tcPr>
            <w:tcW w:w="0" w:type="auto"/>
            <w:gridSpan w:val="3"/>
            <w:shd w:val="clear" w:color="auto" w:fill="FFFFFF"/>
            <w:tcMar>
              <w:top w:w="0" w:type="dxa"/>
              <w:left w:w="20" w:type="dxa"/>
              <w:bottom w:w="0" w:type="dxa"/>
              <w:right w:w="20" w:type="dxa"/>
            </w:tcMar>
            <w:vAlign w:val="bottom"/>
          </w:tcPr>
          <w:p w14:paraId="098A9315"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9316"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9317"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9318" w14:textId="77777777" w:rsidR="00141CDF" w:rsidRDefault="00141CDF">
            <w:pPr>
              <w:rPr>
                <w:rFonts w:ascii="宋体"/>
              </w:rPr>
            </w:pPr>
          </w:p>
        </w:tc>
        <w:tc>
          <w:tcPr>
            <w:tcW w:w="0" w:type="auto"/>
            <w:shd w:val="clear" w:color="auto" w:fill="auto"/>
            <w:vAlign w:val="bottom"/>
          </w:tcPr>
          <w:p w14:paraId="098A9319" w14:textId="77777777" w:rsidR="00141CDF" w:rsidRDefault="00141CDF">
            <w:pPr>
              <w:rPr>
                <w:rFonts w:ascii="宋体"/>
                <w:vanish/>
              </w:rPr>
            </w:pPr>
          </w:p>
        </w:tc>
        <w:tc>
          <w:tcPr>
            <w:tcW w:w="0" w:type="auto"/>
            <w:shd w:val="clear" w:color="auto" w:fill="auto"/>
            <w:vAlign w:val="bottom"/>
          </w:tcPr>
          <w:p w14:paraId="098A931A" w14:textId="77777777" w:rsidR="00141CDF" w:rsidRDefault="00141CDF">
            <w:pPr>
              <w:rPr>
                <w:rFonts w:ascii="宋体"/>
                <w:vanish/>
              </w:rPr>
            </w:pPr>
          </w:p>
        </w:tc>
      </w:tr>
      <w:tr w:rsidR="00141CDF" w14:paraId="098A9325" w14:textId="77777777">
        <w:tc>
          <w:tcPr>
            <w:tcW w:w="0" w:type="auto"/>
            <w:gridSpan w:val="3"/>
            <w:shd w:val="clear" w:color="auto" w:fill="CCEEFF"/>
            <w:tcMar>
              <w:top w:w="40" w:type="dxa"/>
              <w:left w:w="380" w:type="dxa"/>
              <w:bottom w:w="40" w:type="dxa"/>
              <w:right w:w="20" w:type="dxa"/>
            </w:tcMar>
            <w:vAlign w:val="center"/>
          </w:tcPr>
          <w:p w14:paraId="098A931C" w14:textId="77777777" w:rsidR="00141CDF" w:rsidRDefault="00DF45E0">
            <w:pPr>
              <w:textAlignment w:val="center"/>
            </w:pPr>
            <w:r>
              <w:rPr>
                <w:rFonts w:ascii="Times New Roman" w:eastAsia="宋体" w:hAnsi="Times New Roman"/>
                <w:color w:val="000000"/>
                <w:sz w:val="16"/>
                <w:szCs w:val="16"/>
              </w:rPr>
              <w:t>Payments for property and equipment</w:t>
            </w:r>
          </w:p>
        </w:tc>
        <w:tc>
          <w:tcPr>
            <w:tcW w:w="0" w:type="auto"/>
            <w:gridSpan w:val="3"/>
            <w:shd w:val="clear" w:color="auto" w:fill="CCEEFF"/>
            <w:tcMar>
              <w:top w:w="0" w:type="dxa"/>
              <w:left w:w="20" w:type="dxa"/>
              <w:bottom w:w="0" w:type="dxa"/>
              <w:right w:w="20" w:type="dxa"/>
            </w:tcMar>
            <w:vAlign w:val="bottom"/>
          </w:tcPr>
          <w:p w14:paraId="098A931D"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31E" w14:textId="77777777" w:rsidR="00141CDF" w:rsidRDefault="00DF45E0">
            <w:pPr>
              <w:jc w:val="right"/>
              <w:textAlignment w:val="center"/>
            </w:pPr>
            <w:r>
              <w:rPr>
                <w:rFonts w:ascii="Times New Roman" w:eastAsia="宋体" w:hAnsi="Times New Roman"/>
                <w:color w:val="000000"/>
                <w:sz w:val="16"/>
                <w:szCs w:val="16"/>
              </w:rPr>
              <w:t>(7,492)</w:t>
            </w:r>
          </w:p>
        </w:tc>
        <w:tc>
          <w:tcPr>
            <w:tcW w:w="0" w:type="auto"/>
            <w:shd w:val="clear" w:color="auto" w:fill="CCEEFF"/>
            <w:tcMar>
              <w:top w:w="40" w:type="dxa"/>
              <w:left w:w="0" w:type="dxa"/>
              <w:bottom w:w="40" w:type="dxa"/>
              <w:right w:w="20" w:type="dxa"/>
            </w:tcMar>
            <w:vAlign w:val="center"/>
          </w:tcPr>
          <w:p w14:paraId="098A931F"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320"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321" w14:textId="77777777" w:rsidR="00141CDF" w:rsidRDefault="00DF45E0">
            <w:pPr>
              <w:jc w:val="right"/>
              <w:textAlignment w:val="center"/>
            </w:pPr>
            <w:r>
              <w:rPr>
                <w:rFonts w:ascii="Times New Roman" w:eastAsia="宋体" w:hAnsi="Times New Roman"/>
                <w:color w:val="000000"/>
                <w:sz w:val="16"/>
                <w:szCs w:val="16"/>
              </w:rPr>
              <w:t>(5,019)</w:t>
            </w:r>
          </w:p>
        </w:tc>
        <w:tc>
          <w:tcPr>
            <w:tcW w:w="0" w:type="auto"/>
            <w:shd w:val="clear" w:color="auto" w:fill="CCEEFF"/>
            <w:tcMar>
              <w:top w:w="40" w:type="dxa"/>
              <w:left w:w="0" w:type="dxa"/>
              <w:bottom w:w="40" w:type="dxa"/>
              <w:right w:w="20" w:type="dxa"/>
            </w:tcMar>
            <w:vAlign w:val="center"/>
          </w:tcPr>
          <w:p w14:paraId="098A9322" w14:textId="77777777" w:rsidR="00141CDF" w:rsidRDefault="00141CDF">
            <w:pPr>
              <w:jc w:val="right"/>
              <w:rPr>
                <w:rFonts w:ascii="宋体"/>
              </w:rPr>
            </w:pPr>
          </w:p>
        </w:tc>
        <w:tc>
          <w:tcPr>
            <w:tcW w:w="0" w:type="auto"/>
            <w:shd w:val="clear" w:color="auto" w:fill="auto"/>
            <w:vAlign w:val="bottom"/>
          </w:tcPr>
          <w:p w14:paraId="098A9323" w14:textId="77777777" w:rsidR="00141CDF" w:rsidRDefault="00141CDF">
            <w:pPr>
              <w:rPr>
                <w:rFonts w:ascii="宋体"/>
                <w:vanish/>
              </w:rPr>
            </w:pPr>
          </w:p>
        </w:tc>
        <w:tc>
          <w:tcPr>
            <w:tcW w:w="0" w:type="auto"/>
            <w:shd w:val="clear" w:color="auto" w:fill="auto"/>
            <w:vAlign w:val="bottom"/>
          </w:tcPr>
          <w:p w14:paraId="098A9324" w14:textId="77777777" w:rsidR="00141CDF" w:rsidRDefault="00141CDF">
            <w:pPr>
              <w:rPr>
                <w:rFonts w:ascii="宋体"/>
                <w:vanish/>
              </w:rPr>
            </w:pPr>
          </w:p>
        </w:tc>
      </w:tr>
      <w:tr w:rsidR="00141CDF" w14:paraId="098A932F" w14:textId="77777777">
        <w:tc>
          <w:tcPr>
            <w:tcW w:w="0" w:type="auto"/>
            <w:gridSpan w:val="3"/>
            <w:shd w:val="clear" w:color="auto" w:fill="FFFFFF"/>
            <w:tcMar>
              <w:top w:w="40" w:type="dxa"/>
              <w:left w:w="380" w:type="dxa"/>
              <w:bottom w:w="40" w:type="dxa"/>
              <w:right w:w="20" w:type="dxa"/>
            </w:tcMar>
            <w:vAlign w:val="center"/>
          </w:tcPr>
          <w:p w14:paraId="098A9326" w14:textId="77777777" w:rsidR="00141CDF" w:rsidRDefault="00DF45E0">
            <w:pPr>
              <w:textAlignment w:val="center"/>
            </w:pPr>
            <w:r>
              <w:rPr>
                <w:rFonts w:ascii="Times New Roman" w:eastAsia="宋体" w:hAnsi="Times New Roman"/>
                <w:color w:val="000000"/>
                <w:sz w:val="16"/>
                <w:szCs w:val="16"/>
              </w:rPr>
              <w:t>Proceeds from the disposal of property and equipment</w:t>
            </w:r>
          </w:p>
        </w:tc>
        <w:tc>
          <w:tcPr>
            <w:tcW w:w="0" w:type="auto"/>
            <w:gridSpan w:val="3"/>
            <w:shd w:val="clear" w:color="auto" w:fill="FFFFFF"/>
            <w:tcMar>
              <w:top w:w="0" w:type="dxa"/>
              <w:left w:w="20" w:type="dxa"/>
              <w:bottom w:w="0" w:type="dxa"/>
              <w:right w:w="20" w:type="dxa"/>
            </w:tcMar>
            <w:vAlign w:val="bottom"/>
          </w:tcPr>
          <w:p w14:paraId="098A9327"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328" w14:textId="77777777" w:rsidR="00141CDF" w:rsidRDefault="00DF45E0">
            <w:pPr>
              <w:jc w:val="right"/>
              <w:textAlignment w:val="center"/>
            </w:pPr>
            <w:r>
              <w:rPr>
                <w:rFonts w:ascii="Times New Roman" w:eastAsia="宋体" w:hAnsi="Times New Roman"/>
                <w:color w:val="000000"/>
                <w:sz w:val="16"/>
                <w:szCs w:val="16"/>
              </w:rPr>
              <w:t>72 </w:t>
            </w:r>
          </w:p>
        </w:tc>
        <w:tc>
          <w:tcPr>
            <w:tcW w:w="0" w:type="auto"/>
            <w:shd w:val="clear" w:color="auto" w:fill="FFFFFF"/>
            <w:tcMar>
              <w:top w:w="40" w:type="dxa"/>
              <w:left w:w="0" w:type="dxa"/>
              <w:bottom w:w="40" w:type="dxa"/>
              <w:right w:w="20" w:type="dxa"/>
            </w:tcMar>
            <w:vAlign w:val="center"/>
          </w:tcPr>
          <w:p w14:paraId="098A9329"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32A"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32B" w14:textId="77777777" w:rsidR="00141CDF" w:rsidRDefault="00DF45E0">
            <w:pPr>
              <w:jc w:val="right"/>
              <w:textAlignment w:val="center"/>
            </w:pPr>
            <w:r>
              <w:rPr>
                <w:rFonts w:ascii="Times New Roman" w:eastAsia="宋体" w:hAnsi="Times New Roman"/>
                <w:color w:val="000000"/>
                <w:sz w:val="16"/>
                <w:szCs w:val="16"/>
              </w:rPr>
              <w:t>176 </w:t>
            </w:r>
          </w:p>
        </w:tc>
        <w:tc>
          <w:tcPr>
            <w:tcW w:w="0" w:type="auto"/>
            <w:shd w:val="clear" w:color="auto" w:fill="FFFFFF"/>
            <w:tcMar>
              <w:top w:w="40" w:type="dxa"/>
              <w:left w:w="0" w:type="dxa"/>
              <w:bottom w:w="40" w:type="dxa"/>
              <w:right w:w="20" w:type="dxa"/>
            </w:tcMar>
            <w:vAlign w:val="center"/>
          </w:tcPr>
          <w:p w14:paraId="098A932C" w14:textId="77777777" w:rsidR="00141CDF" w:rsidRDefault="00141CDF">
            <w:pPr>
              <w:jc w:val="right"/>
              <w:rPr>
                <w:rFonts w:ascii="宋体"/>
              </w:rPr>
            </w:pPr>
          </w:p>
        </w:tc>
        <w:tc>
          <w:tcPr>
            <w:tcW w:w="0" w:type="auto"/>
            <w:shd w:val="clear" w:color="auto" w:fill="auto"/>
            <w:vAlign w:val="bottom"/>
          </w:tcPr>
          <w:p w14:paraId="098A932D" w14:textId="77777777" w:rsidR="00141CDF" w:rsidRDefault="00141CDF">
            <w:pPr>
              <w:rPr>
                <w:rFonts w:ascii="宋体"/>
                <w:vanish/>
              </w:rPr>
            </w:pPr>
          </w:p>
        </w:tc>
        <w:tc>
          <w:tcPr>
            <w:tcW w:w="0" w:type="auto"/>
            <w:shd w:val="clear" w:color="auto" w:fill="auto"/>
            <w:vAlign w:val="bottom"/>
          </w:tcPr>
          <w:p w14:paraId="098A932E" w14:textId="77777777" w:rsidR="00141CDF" w:rsidRDefault="00141CDF">
            <w:pPr>
              <w:rPr>
                <w:rFonts w:ascii="宋体"/>
                <w:vanish/>
              </w:rPr>
            </w:pPr>
          </w:p>
        </w:tc>
      </w:tr>
      <w:tr w:rsidR="00141CDF" w14:paraId="098A9339" w14:textId="77777777">
        <w:tc>
          <w:tcPr>
            <w:tcW w:w="0" w:type="auto"/>
            <w:gridSpan w:val="3"/>
            <w:shd w:val="clear" w:color="auto" w:fill="CCEEFF"/>
            <w:tcMar>
              <w:top w:w="40" w:type="dxa"/>
              <w:left w:w="380" w:type="dxa"/>
              <w:bottom w:w="40" w:type="dxa"/>
              <w:right w:w="20" w:type="dxa"/>
            </w:tcMar>
            <w:vAlign w:val="center"/>
          </w:tcPr>
          <w:p w14:paraId="098A9330" w14:textId="77777777" w:rsidR="00141CDF" w:rsidRDefault="00DF45E0">
            <w:pPr>
              <w:textAlignment w:val="center"/>
            </w:pPr>
            <w:r>
              <w:rPr>
                <w:rFonts w:ascii="Times New Roman" w:eastAsia="宋体" w:hAnsi="Times New Roman"/>
                <w:color w:val="000000"/>
                <w:sz w:val="16"/>
                <w:szCs w:val="16"/>
              </w:rPr>
              <w:t>Proceeds from disposal of certain operations, net of divested cash</w:t>
            </w:r>
          </w:p>
        </w:tc>
        <w:tc>
          <w:tcPr>
            <w:tcW w:w="0" w:type="auto"/>
            <w:gridSpan w:val="3"/>
            <w:shd w:val="clear" w:color="auto" w:fill="CCEEFF"/>
            <w:tcMar>
              <w:top w:w="0" w:type="dxa"/>
              <w:left w:w="20" w:type="dxa"/>
              <w:bottom w:w="0" w:type="dxa"/>
              <w:right w:w="20" w:type="dxa"/>
            </w:tcMar>
            <w:vAlign w:val="bottom"/>
          </w:tcPr>
          <w:p w14:paraId="098A9331"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332"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098A9333"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334"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335" w14:textId="77777777" w:rsidR="00141CDF" w:rsidRDefault="00DF45E0">
            <w:pPr>
              <w:jc w:val="right"/>
              <w:textAlignment w:val="center"/>
            </w:pPr>
            <w:r>
              <w:rPr>
                <w:rFonts w:ascii="Times New Roman" w:eastAsia="宋体" w:hAnsi="Times New Roman"/>
                <w:color w:val="000000"/>
                <w:sz w:val="16"/>
                <w:szCs w:val="16"/>
              </w:rPr>
              <w:t>7,935 </w:t>
            </w:r>
          </w:p>
        </w:tc>
        <w:tc>
          <w:tcPr>
            <w:tcW w:w="0" w:type="auto"/>
            <w:shd w:val="clear" w:color="auto" w:fill="CCEEFF"/>
            <w:tcMar>
              <w:top w:w="40" w:type="dxa"/>
              <w:left w:w="0" w:type="dxa"/>
              <w:bottom w:w="40" w:type="dxa"/>
              <w:right w:w="20" w:type="dxa"/>
            </w:tcMar>
            <w:vAlign w:val="center"/>
          </w:tcPr>
          <w:p w14:paraId="098A9336" w14:textId="77777777" w:rsidR="00141CDF" w:rsidRDefault="00141CDF">
            <w:pPr>
              <w:jc w:val="right"/>
              <w:rPr>
                <w:rFonts w:ascii="宋体"/>
              </w:rPr>
            </w:pPr>
          </w:p>
        </w:tc>
        <w:tc>
          <w:tcPr>
            <w:tcW w:w="0" w:type="auto"/>
            <w:shd w:val="clear" w:color="auto" w:fill="auto"/>
            <w:vAlign w:val="bottom"/>
          </w:tcPr>
          <w:p w14:paraId="098A9337" w14:textId="77777777" w:rsidR="00141CDF" w:rsidRDefault="00141CDF">
            <w:pPr>
              <w:rPr>
                <w:rFonts w:ascii="宋体"/>
                <w:vanish/>
              </w:rPr>
            </w:pPr>
          </w:p>
        </w:tc>
        <w:tc>
          <w:tcPr>
            <w:tcW w:w="0" w:type="auto"/>
            <w:shd w:val="clear" w:color="auto" w:fill="auto"/>
            <w:vAlign w:val="bottom"/>
          </w:tcPr>
          <w:p w14:paraId="098A9338" w14:textId="77777777" w:rsidR="00141CDF" w:rsidRDefault="00141CDF">
            <w:pPr>
              <w:rPr>
                <w:rFonts w:ascii="宋体"/>
                <w:vanish/>
              </w:rPr>
            </w:pPr>
          </w:p>
        </w:tc>
      </w:tr>
      <w:tr w:rsidR="00141CDF" w14:paraId="098A9341" w14:textId="77777777">
        <w:trPr>
          <w:hidden/>
        </w:trPr>
        <w:tc>
          <w:tcPr>
            <w:tcW w:w="0" w:type="auto"/>
            <w:gridSpan w:val="3"/>
            <w:shd w:val="clear" w:color="auto" w:fill="auto"/>
            <w:vAlign w:val="bottom"/>
          </w:tcPr>
          <w:p w14:paraId="098A933A" w14:textId="77777777" w:rsidR="00141CDF" w:rsidRDefault="00141CDF">
            <w:pPr>
              <w:rPr>
                <w:rFonts w:ascii="宋体"/>
                <w:vanish/>
              </w:rPr>
            </w:pPr>
          </w:p>
        </w:tc>
        <w:tc>
          <w:tcPr>
            <w:tcW w:w="0" w:type="auto"/>
            <w:gridSpan w:val="3"/>
            <w:shd w:val="clear" w:color="auto" w:fill="auto"/>
            <w:vAlign w:val="bottom"/>
          </w:tcPr>
          <w:p w14:paraId="098A933B" w14:textId="77777777" w:rsidR="00141CDF" w:rsidRDefault="00141CDF">
            <w:pPr>
              <w:rPr>
                <w:rFonts w:ascii="宋体"/>
                <w:vanish/>
              </w:rPr>
            </w:pPr>
          </w:p>
        </w:tc>
        <w:tc>
          <w:tcPr>
            <w:tcW w:w="0" w:type="auto"/>
            <w:gridSpan w:val="3"/>
            <w:shd w:val="clear" w:color="auto" w:fill="auto"/>
            <w:vAlign w:val="bottom"/>
          </w:tcPr>
          <w:p w14:paraId="098A933C" w14:textId="77777777" w:rsidR="00141CDF" w:rsidRDefault="00141CDF">
            <w:pPr>
              <w:rPr>
                <w:rFonts w:ascii="宋体"/>
                <w:vanish/>
              </w:rPr>
            </w:pPr>
          </w:p>
        </w:tc>
        <w:tc>
          <w:tcPr>
            <w:tcW w:w="0" w:type="auto"/>
            <w:gridSpan w:val="3"/>
            <w:shd w:val="clear" w:color="auto" w:fill="auto"/>
            <w:vAlign w:val="bottom"/>
          </w:tcPr>
          <w:p w14:paraId="098A933D" w14:textId="77777777" w:rsidR="00141CDF" w:rsidRDefault="00141CDF">
            <w:pPr>
              <w:rPr>
                <w:rFonts w:ascii="宋体"/>
                <w:vanish/>
              </w:rPr>
            </w:pPr>
          </w:p>
        </w:tc>
        <w:tc>
          <w:tcPr>
            <w:tcW w:w="0" w:type="auto"/>
            <w:gridSpan w:val="3"/>
            <w:shd w:val="clear" w:color="auto" w:fill="auto"/>
            <w:vAlign w:val="bottom"/>
          </w:tcPr>
          <w:p w14:paraId="098A933E" w14:textId="77777777" w:rsidR="00141CDF" w:rsidRDefault="00141CDF">
            <w:pPr>
              <w:rPr>
                <w:rFonts w:ascii="宋体"/>
                <w:vanish/>
              </w:rPr>
            </w:pPr>
          </w:p>
        </w:tc>
        <w:tc>
          <w:tcPr>
            <w:tcW w:w="0" w:type="auto"/>
            <w:shd w:val="clear" w:color="auto" w:fill="auto"/>
            <w:vAlign w:val="bottom"/>
          </w:tcPr>
          <w:p w14:paraId="098A933F" w14:textId="77777777" w:rsidR="00141CDF" w:rsidRDefault="00141CDF">
            <w:pPr>
              <w:rPr>
                <w:rFonts w:ascii="宋体"/>
                <w:vanish/>
              </w:rPr>
            </w:pPr>
          </w:p>
        </w:tc>
        <w:tc>
          <w:tcPr>
            <w:tcW w:w="0" w:type="auto"/>
            <w:shd w:val="clear" w:color="auto" w:fill="auto"/>
            <w:vAlign w:val="bottom"/>
          </w:tcPr>
          <w:p w14:paraId="098A9340" w14:textId="77777777" w:rsidR="00141CDF" w:rsidRDefault="00141CDF">
            <w:pPr>
              <w:rPr>
                <w:rFonts w:ascii="宋体"/>
                <w:vanish/>
              </w:rPr>
            </w:pPr>
          </w:p>
        </w:tc>
      </w:tr>
      <w:tr w:rsidR="00141CDF" w14:paraId="098A934B" w14:textId="77777777">
        <w:tc>
          <w:tcPr>
            <w:tcW w:w="0" w:type="auto"/>
            <w:gridSpan w:val="3"/>
            <w:shd w:val="clear" w:color="auto" w:fill="FFFFFF"/>
            <w:tcMar>
              <w:top w:w="40" w:type="dxa"/>
              <w:left w:w="380" w:type="dxa"/>
              <w:bottom w:w="40" w:type="dxa"/>
              <w:right w:w="20" w:type="dxa"/>
            </w:tcMar>
            <w:vAlign w:val="center"/>
          </w:tcPr>
          <w:p w14:paraId="098A9342" w14:textId="77777777" w:rsidR="00141CDF" w:rsidRDefault="00DF45E0">
            <w:pPr>
              <w:textAlignment w:val="center"/>
            </w:pPr>
            <w:r>
              <w:rPr>
                <w:rFonts w:ascii="Times New Roman" w:eastAsia="宋体" w:hAnsi="Times New Roman"/>
                <w:color w:val="000000"/>
                <w:sz w:val="16"/>
                <w:szCs w:val="16"/>
              </w:rPr>
              <w:t>Payments for business acquisitions, net of cash acquired</w:t>
            </w:r>
          </w:p>
        </w:tc>
        <w:tc>
          <w:tcPr>
            <w:tcW w:w="0" w:type="auto"/>
            <w:gridSpan w:val="3"/>
            <w:shd w:val="clear" w:color="auto" w:fill="FFFFFF"/>
            <w:tcMar>
              <w:top w:w="0" w:type="dxa"/>
              <w:left w:w="20" w:type="dxa"/>
              <w:bottom w:w="0" w:type="dxa"/>
              <w:right w:w="20" w:type="dxa"/>
            </w:tcMar>
            <w:vAlign w:val="bottom"/>
          </w:tcPr>
          <w:p w14:paraId="098A9343"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bottom"/>
          </w:tcPr>
          <w:p w14:paraId="098A9344" w14:textId="77777777" w:rsidR="00141CDF" w:rsidRDefault="00DF45E0">
            <w:pPr>
              <w:jc w:val="right"/>
              <w:textAlignment w:val="bottom"/>
            </w:pPr>
            <w:r>
              <w:rPr>
                <w:rFonts w:ascii="Times New Roman" w:eastAsia="宋体" w:hAnsi="Times New Roman"/>
                <w:color w:val="000000"/>
                <w:sz w:val="16"/>
                <w:szCs w:val="16"/>
              </w:rPr>
              <w:t>(616)</w:t>
            </w:r>
          </w:p>
        </w:tc>
        <w:tc>
          <w:tcPr>
            <w:tcW w:w="0" w:type="auto"/>
            <w:shd w:val="clear" w:color="auto" w:fill="FFFFFF"/>
            <w:tcMar>
              <w:top w:w="40" w:type="dxa"/>
              <w:left w:w="0" w:type="dxa"/>
              <w:bottom w:w="40" w:type="dxa"/>
              <w:right w:w="20" w:type="dxa"/>
            </w:tcMar>
            <w:vAlign w:val="bottom"/>
          </w:tcPr>
          <w:p w14:paraId="098A9345"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346"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bottom"/>
          </w:tcPr>
          <w:p w14:paraId="098A9347" w14:textId="77777777" w:rsidR="00141CDF" w:rsidRDefault="00DF45E0">
            <w:pPr>
              <w:jc w:val="right"/>
              <w:textAlignment w:val="bottom"/>
            </w:pPr>
            <w:r>
              <w:rPr>
                <w:rFonts w:ascii="Times New Roman" w:eastAsia="宋体" w:hAnsi="Times New Roman"/>
                <w:color w:val="000000"/>
                <w:sz w:val="16"/>
                <w:szCs w:val="16"/>
              </w:rPr>
              <w:t>(248)</w:t>
            </w:r>
          </w:p>
        </w:tc>
        <w:tc>
          <w:tcPr>
            <w:tcW w:w="0" w:type="auto"/>
            <w:shd w:val="clear" w:color="auto" w:fill="FFFFFF"/>
            <w:tcMar>
              <w:top w:w="40" w:type="dxa"/>
              <w:left w:w="0" w:type="dxa"/>
              <w:bottom w:w="40" w:type="dxa"/>
              <w:right w:w="20" w:type="dxa"/>
            </w:tcMar>
            <w:vAlign w:val="bottom"/>
          </w:tcPr>
          <w:p w14:paraId="098A9348" w14:textId="77777777" w:rsidR="00141CDF" w:rsidRDefault="00141CDF">
            <w:pPr>
              <w:jc w:val="right"/>
              <w:rPr>
                <w:rFonts w:ascii="宋体"/>
              </w:rPr>
            </w:pPr>
          </w:p>
        </w:tc>
        <w:tc>
          <w:tcPr>
            <w:tcW w:w="0" w:type="auto"/>
            <w:shd w:val="clear" w:color="auto" w:fill="auto"/>
            <w:vAlign w:val="bottom"/>
          </w:tcPr>
          <w:p w14:paraId="098A9349" w14:textId="77777777" w:rsidR="00141CDF" w:rsidRDefault="00141CDF">
            <w:pPr>
              <w:rPr>
                <w:rFonts w:ascii="宋体"/>
                <w:vanish/>
              </w:rPr>
            </w:pPr>
          </w:p>
        </w:tc>
        <w:tc>
          <w:tcPr>
            <w:tcW w:w="0" w:type="auto"/>
            <w:shd w:val="clear" w:color="auto" w:fill="auto"/>
            <w:vAlign w:val="bottom"/>
          </w:tcPr>
          <w:p w14:paraId="098A934A" w14:textId="77777777" w:rsidR="00141CDF" w:rsidRDefault="00141CDF">
            <w:pPr>
              <w:rPr>
                <w:rFonts w:ascii="宋体"/>
                <w:vanish/>
              </w:rPr>
            </w:pPr>
          </w:p>
        </w:tc>
      </w:tr>
      <w:tr w:rsidR="00141CDF" w14:paraId="098A9355" w14:textId="77777777">
        <w:tc>
          <w:tcPr>
            <w:tcW w:w="0" w:type="auto"/>
            <w:gridSpan w:val="3"/>
            <w:shd w:val="clear" w:color="auto" w:fill="CCEEFF"/>
            <w:tcMar>
              <w:top w:w="40" w:type="dxa"/>
              <w:left w:w="380" w:type="dxa"/>
              <w:bottom w:w="40" w:type="dxa"/>
              <w:right w:w="20" w:type="dxa"/>
            </w:tcMar>
            <w:vAlign w:val="center"/>
          </w:tcPr>
          <w:p w14:paraId="098A934C" w14:textId="77777777" w:rsidR="00141CDF" w:rsidRDefault="00DF45E0">
            <w:pPr>
              <w:textAlignment w:val="center"/>
            </w:pPr>
            <w:r>
              <w:rPr>
                <w:rFonts w:ascii="Times New Roman" w:eastAsia="宋体" w:hAnsi="Times New Roman"/>
                <w:color w:val="000000"/>
                <w:sz w:val="16"/>
                <w:szCs w:val="16"/>
              </w:rPr>
              <w:t>Other investing activities</w:t>
            </w:r>
          </w:p>
        </w:tc>
        <w:tc>
          <w:tcPr>
            <w:tcW w:w="0" w:type="auto"/>
            <w:gridSpan w:val="3"/>
            <w:shd w:val="clear" w:color="auto" w:fill="CCEEFF"/>
            <w:tcMar>
              <w:top w:w="0" w:type="dxa"/>
              <w:left w:w="20" w:type="dxa"/>
              <w:bottom w:w="0" w:type="dxa"/>
              <w:right w:w="20" w:type="dxa"/>
            </w:tcMar>
            <w:vAlign w:val="bottom"/>
          </w:tcPr>
          <w:p w14:paraId="098A934D"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34E" w14:textId="77777777" w:rsidR="00141CDF" w:rsidRDefault="00DF45E0">
            <w:pPr>
              <w:jc w:val="right"/>
              <w:textAlignment w:val="center"/>
            </w:pPr>
            <w:r>
              <w:rPr>
                <w:rFonts w:ascii="Times New Roman" w:eastAsia="宋体" w:hAnsi="Times New Roman"/>
                <w:color w:val="000000"/>
                <w:sz w:val="16"/>
                <w:szCs w:val="16"/>
              </w:rPr>
              <w:t>(548)</w:t>
            </w:r>
          </w:p>
        </w:tc>
        <w:tc>
          <w:tcPr>
            <w:tcW w:w="0" w:type="auto"/>
            <w:shd w:val="clear" w:color="auto" w:fill="CCEEFF"/>
            <w:tcMar>
              <w:top w:w="40" w:type="dxa"/>
              <w:left w:w="0" w:type="dxa"/>
              <w:bottom w:w="40" w:type="dxa"/>
              <w:right w:w="20" w:type="dxa"/>
            </w:tcMar>
            <w:vAlign w:val="center"/>
          </w:tcPr>
          <w:p w14:paraId="098A934F"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350"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351" w14:textId="77777777" w:rsidR="00141CDF" w:rsidRDefault="00DF45E0">
            <w:pPr>
              <w:jc w:val="right"/>
              <w:textAlignment w:val="center"/>
            </w:pPr>
            <w:r>
              <w:rPr>
                <w:rFonts w:ascii="Times New Roman" w:eastAsia="宋体" w:hAnsi="Times New Roman"/>
                <w:color w:val="000000"/>
                <w:sz w:val="16"/>
                <w:szCs w:val="16"/>
              </w:rPr>
              <w:t>(442)</w:t>
            </w:r>
          </w:p>
        </w:tc>
        <w:tc>
          <w:tcPr>
            <w:tcW w:w="0" w:type="auto"/>
            <w:shd w:val="clear" w:color="auto" w:fill="CCEEFF"/>
            <w:tcMar>
              <w:top w:w="40" w:type="dxa"/>
              <w:left w:w="0" w:type="dxa"/>
              <w:bottom w:w="40" w:type="dxa"/>
              <w:right w:w="20" w:type="dxa"/>
            </w:tcMar>
            <w:vAlign w:val="center"/>
          </w:tcPr>
          <w:p w14:paraId="098A9352" w14:textId="77777777" w:rsidR="00141CDF" w:rsidRDefault="00141CDF">
            <w:pPr>
              <w:jc w:val="right"/>
              <w:rPr>
                <w:rFonts w:ascii="宋体"/>
              </w:rPr>
            </w:pPr>
          </w:p>
        </w:tc>
        <w:tc>
          <w:tcPr>
            <w:tcW w:w="0" w:type="auto"/>
            <w:shd w:val="clear" w:color="auto" w:fill="auto"/>
            <w:vAlign w:val="bottom"/>
          </w:tcPr>
          <w:p w14:paraId="098A9353" w14:textId="77777777" w:rsidR="00141CDF" w:rsidRDefault="00141CDF">
            <w:pPr>
              <w:rPr>
                <w:rFonts w:ascii="宋体"/>
                <w:vanish/>
              </w:rPr>
            </w:pPr>
          </w:p>
        </w:tc>
        <w:tc>
          <w:tcPr>
            <w:tcW w:w="0" w:type="auto"/>
            <w:shd w:val="clear" w:color="auto" w:fill="auto"/>
            <w:vAlign w:val="bottom"/>
          </w:tcPr>
          <w:p w14:paraId="098A9354" w14:textId="77777777" w:rsidR="00141CDF" w:rsidRDefault="00141CDF">
            <w:pPr>
              <w:rPr>
                <w:rFonts w:ascii="宋体"/>
                <w:vanish/>
              </w:rPr>
            </w:pPr>
          </w:p>
        </w:tc>
      </w:tr>
      <w:tr w:rsidR="00141CDF" w14:paraId="098A935F" w14:textId="77777777">
        <w:tc>
          <w:tcPr>
            <w:tcW w:w="0" w:type="auto"/>
            <w:gridSpan w:val="3"/>
            <w:shd w:val="clear" w:color="auto" w:fill="FFFFFF"/>
            <w:tcMar>
              <w:top w:w="40" w:type="dxa"/>
              <w:left w:w="20" w:type="dxa"/>
              <w:bottom w:w="40" w:type="dxa"/>
              <w:right w:w="20" w:type="dxa"/>
            </w:tcMar>
            <w:vAlign w:val="center"/>
          </w:tcPr>
          <w:p w14:paraId="098A9356" w14:textId="77777777" w:rsidR="00141CDF" w:rsidRDefault="00DF45E0">
            <w:pPr>
              <w:textAlignment w:val="center"/>
            </w:pPr>
            <w:r>
              <w:rPr>
                <w:rFonts w:ascii="Times New Roman" w:eastAsia="宋体" w:hAnsi="Times New Roman"/>
                <w:color w:val="000000"/>
                <w:sz w:val="16"/>
                <w:szCs w:val="16"/>
              </w:rPr>
              <w:t xml:space="preserve">Net cash (used in) provided by </w:t>
            </w:r>
            <w:r>
              <w:rPr>
                <w:rFonts w:ascii="Times New Roman" w:eastAsia="宋体" w:hAnsi="Times New Roman"/>
                <w:color w:val="000000"/>
                <w:sz w:val="16"/>
                <w:szCs w:val="16"/>
              </w:rPr>
              <w:t>investing activities</w:t>
            </w:r>
          </w:p>
        </w:tc>
        <w:tc>
          <w:tcPr>
            <w:tcW w:w="0" w:type="auto"/>
            <w:gridSpan w:val="3"/>
            <w:shd w:val="clear" w:color="auto" w:fill="FFFFFF"/>
            <w:tcMar>
              <w:top w:w="0" w:type="dxa"/>
              <w:left w:w="20" w:type="dxa"/>
              <w:bottom w:w="0" w:type="dxa"/>
              <w:right w:w="20" w:type="dxa"/>
            </w:tcMar>
            <w:vAlign w:val="bottom"/>
          </w:tcPr>
          <w:p w14:paraId="098A9357" w14:textId="77777777" w:rsidR="00141CDF" w:rsidRDefault="00141C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98A9358" w14:textId="77777777" w:rsidR="00141CDF" w:rsidRDefault="00DF45E0">
            <w:pPr>
              <w:jc w:val="right"/>
              <w:textAlignment w:val="center"/>
            </w:pPr>
            <w:r>
              <w:rPr>
                <w:rFonts w:ascii="Times New Roman" w:eastAsia="宋体" w:hAnsi="Times New Roman"/>
                <w:color w:val="000000"/>
                <w:sz w:val="16"/>
                <w:szCs w:val="16"/>
              </w:rPr>
              <w:t>(8,584)</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9359"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35A" w14:textId="77777777" w:rsidR="00141CDF" w:rsidRDefault="00141C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98A935B" w14:textId="77777777" w:rsidR="00141CDF" w:rsidRDefault="00DF45E0">
            <w:pPr>
              <w:jc w:val="right"/>
              <w:textAlignment w:val="center"/>
            </w:pPr>
            <w:r>
              <w:rPr>
                <w:rFonts w:ascii="Times New Roman" w:eastAsia="宋体" w:hAnsi="Times New Roman"/>
                <w:color w:val="000000"/>
                <w:sz w:val="16"/>
                <w:szCs w:val="16"/>
              </w:rPr>
              <w:t>2,402 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935C" w14:textId="77777777" w:rsidR="00141CDF" w:rsidRDefault="00141CDF">
            <w:pPr>
              <w:jc w:val="right"/>
              <w:rPr>
                <w:rFonts w:ascii="宋体"/>
              </w:rPr>
            </w:pPr>
          </w:p>
        </w:tc>
        <w:tc>
          <w:tcPr>
            <w:tcW w:w="0" w:type="auto"/>
            <w:shd w:val="clear" w:color="auto" w:fill="auto"/>
            <w:vAlign w:val="bottom"/>
          </w:tcPr>
          <w:p w14:paraId="098A935D" w14:textId="77777777" w:rsidR="00141CDF" w:rsidRDefault="00141CDF">
            <w:pPr>
              <w:rPr>
                <w:rFonts w:ascii="宋体"/>
                <w:vanish/>
              </w:rPr>
            </w:pPr>
          </w:p>
        </w:tc>
        <w:tc>
          <w:tcPr>
            <w:tcW w:w="0" w:type="auto"/>
            <w:shd w:val="clear" w:color="auto" w:fill="auto"/>
            <w:vAlign w:val="bottom"/>
          </w:tcPr>
          <w:p w14:paraId="098A935E" w14:textId="77777777" w:rsidR="00141CDF" w:rsidRDefault="00141CDF">
            <w:pPr>
              <w:rPr>
                <w:rFonts w:ascii="宋体"/>
                <w:vanish/>
              </w:rPr>
            </w:pPr>
          </w:p>
        </w:tc>
      </w:tr>
      <w:tr w:rsidR="00141CDF" w14:paraId="098A9367" w14:textId="77777777">
        <w:trPr>
          <w:trHeight w:val="220"/>
        </w:trPr>
        <w:tc>
          <w:tcPr>
            <w:tcW w:w="0" w:type="auto"/>
            <w:gridSpan w:val="3"/>
            <w:shd w:val="clear" w:color="auto" w:fill="CCEEFF"/>
            <w:tcMar>
              <w:top w:w="0" w:type="dxa"/>
              <w:left w:w="20" w:type="dxa"/>
              <w:bottom w:w="0" w:type="dxa"/>
              <w:right w:w="20" w:type="dxa"/>
            </w:tcMar>
            <w:vAlign w:val="bottom"/>
          </w:tcPr>
          <w:p w14:paraId="098A9360"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9361"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9362"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9363"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9364" w14:textId="77777777" w:rsidR="00141CDF" w:rsidRDefault="00141CDF">
            <w:pPr>
              <w:rPr>
                <w:rFonts w:ascii="宋体"/>
              </w:rPr>
            </w:pPr>
          </w:p>
        </w:tc>
        <w:tc>
          <w:tcPr>
            <w:tcW w:w="0" w:type="auto"/>
            <w:shd w:val="clear" w:color="auto" w:fill="auto"/>
            <w:vAlign w:val="bottom"/>
          </w:tcPr>
          <w:p w14:paraId="098A9365" w14:textId="77777777" w:rsidR="00141CDF" w:rsidRDefault="00141CDF">
            <w:pPr>
              <w:rPr>
                <w:rFonts w:ascii="宋体"/>
                <w:vanish/>
              </w:rPr>
            </w:pPr>
          </w:p>
        </w:tc>
        <w:tc>
          <w:tcPr>
            <w:tcW w:w="0" w:type="auto"/>
            <w:shd w:val="clear" w:color="auto" w:fill="auto"/>
            <w:vAlign w:val="bottom"/>
          </w:tcPr>
          <w:p w14:paraId="098A9366" w14:textId="77777777" w:rsidR="00141CDF" w:rsidRDefault="00141CDF">
            <w:pPr>
              <w:rPr>
                <w:rFonts w:ascii="宋体"/>
                <w:vanish/>
              </w:rPr>
            </w:pPr>
          </w:p>
        </w:tc>
      </w:tr>
      <w:tr w:rsidR="00141CDF" w14:paraId="098A936F" w14:textId="77777777">
        <w:tc>
          <w:tcPr>
            <w:tcW w:w="0" w:type="auto"/>
            <w:gridSpan w:val="3"/>
            <w:shd w:val="clear" w:color="auto" w:fill="FFFFFF"/>
            <w:tcMar>
              <w:top w:w="40" w:type="dxa"/>
              <w:left w:w="20" w:type="dxa"/>
              <w:bottom w:w="40" w:type="dxa"/>
              <w:right w:w="20" w:type="dxa"/>
            </w:tcMar>
            <w:vAlign w:val="center"/>
          </w:tcPr>
          <w:p w14:paraId="098A9368" w14:textId="77777777" w:rsidR="00141CDF" w:rsidRDefault="00DF45E0">
            <w:pPr>
              <w:textAlignment w:val="center"/>
            </w:pPr>
            <w:r>
              <w:rPr>
                <w:rFonts w:ascii="Times New Roman" w:eastAsia="宋体" w:hAnsi="Times New Roman"/>
                <w:b/>
                <w:bCs/>
                <w:color w:val="000000"/>
                <w:sz w:val="16"/>
                <w:szCs w:val="16"/>
              </w:rPr>
              <w:t>Cash flows from financing activities:</w:t>
            </w:r>
          </w:p>
        </w:tc>
        <w:tc>
          <w:tcPr>
            <w:tcW w:w="0" w:type="auto"/>
            <w:gridSpan w:val="3"/>
            <w:shd w:val="clear" w:color="auto" w:fill="FFFFFF"/>
            <w:tcMar>
              <w:top w:w="0" w:type="dxa"/>
              <w:left w:w="20" w:type="dxa"/>
              <w:bottom w:w="0" w:type="dxa"/>
              <w:right w:w="20" w:type="dxa"/>
            </w:tcMar>
            <w:vAlign w:val="bottom"/>
          </w:tcPr>
          <w:p w14:paraId="098A9369"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936A"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936B"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936C" w14:textId="77777777" w:rsidR="00141CDF" w:rsidRDefault="00141CDF">
            <w:pPr>
              <w:rPr>
                <w:rFonts w:ascii="宋体"/>
              </w:rPr>
            </w:pPr>
          </w:p>
        </w:tc>
        <w:tc>
          <w:tcPr>
            <w:tcW w:w="0" w:type="auto"/>
            <w:shd w:val="clear" w:color="auto" w:fill="auto"/>
            <w:vAlign w:val="bottom"/>
          </w:tcPr>
          <w:p w14:paraId="098A936D" w14:textId="77777777" w:rsidR="00141CDF" w:rsidRDefault="00141CDF">
            <w:pPr>
              <w:rPr>
                <w:rFonts w:ascii="宋体"/>
                <w:vanish/>
              </w:rPr>
            </w:pPr>
          </w:p>
        </w:tc>
        <w:tc>
          <w:tcPr>
            <w:tcW w:w="0" w:type="auto"/>
            <w:shd w:val="clear" w:color="auto" w:fill="auto"/>
            <w:vAlign w:val="bottom"/>
          </w:tcPr>
          <w:p w14:paraId="098A936E" w14:textId="77777777" w:rsidR="00141CDF" w:rsidRDefault="00141CDF">
            <w:pPr>
              <w:rPr>
                <w:rFonts w:ascii="宋体"/>
                <w:vanish/>
              </w:rPr>
            </w:pPr>
          </w:p>
        </w:tc>
      </w:tr>
      <w:tr w:rsidR="00141CDF" w14:paraId="098A9379" w14:textId="77777777">
        <w:tc>
          <w:tcPr>
            <w:tcW w:w="0" w:type="auto"/>
            <w:gridSpan w:val="3"/>
            <w:shd w:val="clear" w:color="auto" w:fill="CCEEFF"/>
            <w:tcMar>
              <w:top w:w="40" w:type="dxa"/>
              <w:left w:w="380" w:type="dxa"/>
              <w:bottom w:w="40" w:type="dxa"/>
              <w:right w:w="20" w:type="dxa"/>
            </w:tcMar>
            <w:vAlign w:val="center"/>
          </w:tcPr>
          <w:p w14:paraId="098A9370" w14:textId="77777777" w:rsidR="00141CDF" w:rsidRDefault="00DF45E0">
            <w:pPr>
              <w:textAlignment w:val="center"/>
            </w:pPr>
            <w:r>
              <w:rPr>
                <w:rFonts w:ascii="Times New Roman" w:eastAsia="宋体" w:hAnsi="Times New Roman"/>
                <w:color w:val="000000"/>
                <w:sz w:val="16"/>
                <w:szCs w:val="16"/>
              </w:rPr>
              <w:t>Net change in short-term borrowings</w:t>
            </w:r>
          </w:p>
        </w:tc>
        <w:tc>
          <w:tcPr>
            <w:tcW w:w="0" w:type="auto"/>
            <w:gridSpan w:val="3"/>
            <w:shd w:val="clear" w:color="auto" w:fill="CCEEFF"/>
            <w:tcMar>
              <w:top w:w="0" w:type="dxa"/>
              <w:left w:w="20" w:type="dxa"/>
              <w:bottom w:w="0" w:type="dxa"/>
              <w:right w:w="20" w:type="dxa"/>
            </w:tcMar>
            <w:vAlign w:val="bottom"/>
          </w:tcPr>
          <w:p w14:paraId="098A9371"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372" w14:textId="77777777" w:rsidR="00141CDF" w:rsidRDefault="00DF45E0">
            <w:pPr>
              <w:jc w:val="right"/>
              <w:textAlignment w:val="center"/>
            </w:pPr>
            <w:r>
              <w:rPr>
                <w:rFonts w:ascii="Times New Roman" w:eastAsia="宋体" w:hAnsi="Times New Roman"/>
                <w:color w:val="000000"/>
                <w:sz w:val="16"/>
                <w:szCs w:val="16"/>
              </w:rPr>
              <w:t>10,230 </w:t>
            </w:r>
          </w:p>
        </w:tc>
        <w:tc>
          <w:tcPr>
            <w:tcW w:w="0" w:type="auto"/>
            <w:shd w:val="clear" w:color="auto" w:fill="CCEEFF"/>
            <w:tcMar>
              <w:top w:w="40" w:type="dxa"/>
              <w:left w:w="0" w:type="dxa"/>
              <w:bottom w:w="40" w:type="dxa"/>
              <w:right w:w="20" w:type="dxa"/>
            </w:tcMar>
            <w:vAlign w:val="center"/>
          </w:tcPr>
          <w:p w14:paraId="098A9373"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374"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375" w14:textId="77777777" w:rsidR="00141CDF" w:rsidRDefault="00DF45E0">
            <w:pPr>
              <w:jc w:val="right"/>
              <w:textAlignment w:val="center"/>
            </w:pPr>
            <w:r>
              <w:rPr>
                <w:rFonts w:ascii="Times New Roman" w:eastAsia="宋体" w:hAnsi="Times New Roman"/>
                <w:color w:val="000000"/>
                <w:sz w:val="16"/>
                <w:szCs w:val="16"/>
              </w:rPr>
              <w:t>441 </w:t>
            </w:r>
          </w:p>
        </w:tc>
        <w:tc>
          <w:tcPr>
            <w:tcW w:w="0" w:type="auto"/>
            <w:shd w:val="clear" w:color="auto" w:fill="CCEEFF"/>
            <w:tcMar>
              <w:top w:w="40" w:type="dxa"/>
              <w:left w:w="0" w:type="dxa"/>
              <w:bottom w:w="40" w:type="dxa"/>
              <w:right w:w="20" w:type="dxa"/>
            </w:tcMar>
            <w:vAlign w:val="center"/>
          </w:tcPr>
          <w:p w14:paraId="098A9376" w14:textId="77777777" w:rsidR="00141CDF" w:rsidRDefault="00141CDF">
            <w:pPr>
              <w:jc w:val="right"/>
              <w:rPr>
                <w:rFonts w:ascii="宋体"/>
              </w:rPr>
            </w:pPr>
          </w:p>
        </w:tc>
        <w:tc>
          <w:tcPr>
            <w:tcW w:w="0" w:type="auto"/>
            <w:shd w:val="clear" w:color="auto" w:fill="auto"/>
            <w:vAlign w:val="bottom"/>
          </w:tcPr>
          <w:p w14:paraId="098A9377" w14:textId="77777777" w:rsidR="00141CDF" w:rsidRDefault="00141CDF">
            <w:pPr>
              <w:rPr>
                <w:rFonts w:ascii="宋体"/>
                <w:vanish/>
              </w:rPr>
            </w:pPr>
          </w:p>
        </w:tc>
        <w:tc>
          <w:tcPr>
            <w:tcW w:w="0" w:type="auto"/>
            <w:shd w:val="clear" w:color="auto" w:fill="auto"/>
            <w:vAlign w:val="bottom"/>
          </w:tcPr>
          <w:p w14:paraId="098A9378" w14:textId="77777777" w:rsidR="00141CDF" w:rsidRDefault="00141CDF">
            <w:pPr>
              <w:rPr>
                <w:rFonts w:ascii="宋体"/>
                <w:vanish/>
              </w:rPr>
            </w:pPr>
          </w:p>
        </w:tc>
      </w:tr>
      <w:tr w:rsidR="00141CDF" w14:paraId="098A9381" w14:textId="77777777">
        <w:trPr>
          <w:hidden/>
        </w:trPr>
        <w:tc>
          <w:tcPr>
            <w:tcW w:w="0" w:type="auto"/>
            <w:gridSpan w:val="3"/>
            <w:shd w:val="clear" w:color="auto" w:fill="auto"/>
            <w:vAlign w:val="bottom"/>
          </w:tcPr>
          <w:p w14:paraId="098A937A" w14:textId="77777777" w:rsidR="00141CDF" w:rsidRDefault="00141CDF">
            <w:pPr>
              <w:rPr>
                <w:rFonts w:ascii="宋体"/>
                <w:vanish/>
              </w:rPr>
            </w:pPr>
          </w:p>
        </w:tc>
        <w:tc>
          <w:tcPr>
            <w:tcW w:w="0" w:type="auto"/>
            <w:gridSpan w:val="3"/>
            <w:shd w:val="clear" w:color="auto" w:fill="auto"/>
            <w:vAlign w:val="bottom"/>
          </w:tcPr>
          <w:p w14:paraId="098A937B" w14:textId="77777777" w:rsidR="00141CDF" w:rsidRDefault="00141CDF">
            <w:pPr>
              <w:rPr>
                <w:rFonts w:ascii="宋体"/>
                <w:vanish/>
              </w:rPr>
            </w:pPr>
          </w:p>
        </w:tc>
        <w:tc>
          <w:tcPr>
            <w:tcW w:w="0" w:type="auto"/>
            <w:gridSpan w:val="3"/>
            <w:shd w:val="clear" w:color="auto" w:fill="auto"/>
            <w:vAlign w:val="bottom"/>
          </w:tcPr>
          <w:p w14:paraId="098A937C" w14:textId="77777777" w:rsidR="00141CDF" w:rsidRDefault="00141CDF">
            <w:pPr>
              <w:rPr>
                <w:rFonts w:ascii="宋体"/>
                <w:vanish/>
              </w:rPr>
            </w:pPr>
          </w:p>
        </w:tc>
        <w:tc>
          <w:tcPr>
            <w:tcW w:w="0" w:type="auto"/>
            <w:gridSpan w:val="3"/>
            <w:shd w:val="clear" w:color="auto" w:fill="auto"/>
            <w:vAlign w:val="bottom"/>
          </w:tcPr>
          <w:p w14:paraId="098A937D" w14:textId="77777777" w:rsidR="00141CDF" w:rsidRDefault="00141CDF">
            <w:pPr>
              <w:rPr>
                <w:rFonts w:ascii="宋体"/>
                <w:vanish/>
              </w:rPr>
            </w:pPr>
          </w:p>
        </w:tc>
        <w:tc>
          <w:tcPr>
            <w:tcW w:w="0" w:type="auto"/>
            <w:gridSpan w:val="3"/>
            <w:shd w:val="clear" w:color="auto" w:fill="auto"/>
            <w:vAlign w:val="bottom"/>
          </w:tcPr>
          <w:p w14:paraId="098A937E" w14:textId="77777777" w:rsidR="00141CDF" w:rsidRDefault="00141CDF">
            <w:pPr>
              <w:rPr>
                <w:rFonts w:ascii="宋体"/>
                <w:vanish/>
              </w:rPr>
            </w:pPr>
          </w:p>
        </w:tc>
        <w:tc>
          <w:tcPr>
            <w:tcW w:w="0" w:type="auto"/>
            <w:shd w:val="clear" w:color="auto" w:fill="auto"/>
            <w:vAlign w:val="bottom"/>
          </w:tcPr>
          <w:p w14:paraId="098A937F" w14:textId="77777777" w:rsidR="00141CDF" w:rsidRDefault="00141CDF">
            <w:pPr>
              <w:rPr>
                <w:rFonts w:ascii="宋体"/>
                <w:vanish/>
              </w:rPr>
            </w:pPr>
          </w:p>
        </w:tc>
        <w:tc>
          <w:tcPr>
            <w:tcW w:w="0" w:type="auto"/>
            <w:shd w:val="clear" w:color="auto" w:fill="auto"/>
            <w:vAlign w:val="bottom"/>
          </w:tcPr>
          <w:p w14:paraId="098A9380" w14:textId="77777777" w:rsidR="00141CDF" w:rsidRDefault="00141CDF">
            <w:pPr>
              <w:rPr>
                <w:rFonts w:ascii="宋体"/>
                <w:vanish/>
              </w:rPr>
            </w:pPr>
          </w:p>
        </w:tc>
      </w:tr>
      <w:tr w:rsidR="00141CDF" w14:paraId="098A938B" w14:textId="77777777">
        <w:tc>
          <w:tcPr>
            <w:tcW w:w="0" w:type="auto"/>
            <w:gridSpan w:val="3"/>
            <w:shd w:val="clear" w:color="auto" w:fill="FFFFFF"/>
            <w:tcMar>
              <w:top w:w="40" w:type="dxa"/>
              <w:left w:w="380" w:type="dxa"/>
              <w:bottom w:w="40" w:type="dxa"/>
              <w:right w:w="20" w:type="dxa"/>
            </w:tcMar>
            <w:vAlign w:val="center"/>
          </w:tcPr>
          <w:p w14:paraId="098A9382" w14:textId="77777777" w:rsidR="00141CDF" w:rsidRDefault="00DF45E0">
            <w:pPr>
              <w:textAlignment w:val="center"/>
            </w:pPr>
            <w:r>
              <w:rPr>
                <w:rFonts w:ascii="Times New Roman" w:eastAsia="宋体" w:hAnsi="Times New Roman"/>
                <w:color w:val="000000"/>
                <w:sz w:val="16"/>
                <w:szCs w:val="16"/>
              </w:rPr>
              <w:t>Repayments of long-term debt</w:t>
            </w:r>
          </w:p>
        </w:tc>
        <w:tc>
          <w:tcPr>
            <w:tcW w:w="0" w:type="auto"/>
            <w:gridSpan w:val="3"/>
            <w:shd w:val="clear" w:color="auto" w:fill="FFFFFF"/>
            <w:tcMar>
              <w:top w:w="0" w:type="dxa"/>
              <w:left w:w="20" w:type="dxa"/>
              <w:bottom w:w="0" w:type="dxa"/>
              <w:right w:w="20" w:type="dxa"/>
            </w:tcMar>
            <w:vAlign w:val="bottom"/>
          </w:tcPr>
          <w:p w14:paraId="098A9383"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384" w14:textId="77777777" w:rsidR="00141CDF" w:rsidRDefault="00DF45E0">
            <w:pPr>
              <w:jc w:val="right"/>
              <w:textAlignment w:val="center"/>
            </w:pPr>
            <w:r>
              <w:rPr>
                <w:rFonts w:ascii="Times New Roman" w:eastAsia="宋体" w:hAnsi="Times New Roman"/>
                <w:color w:val="000000"/>
                <w:sz w:val="16"/>
                <w:szCs w:val="16"/>
              </w:rPr>
              <w:t>(1,439)</w:t>
            </w:r>
          </w:p>
        </w:tc>
        <w:tc>
          <w:tcPr>
            <w:tcW w:w="0" w:type="auto"/>
            <w:shd w:val="clear" w:color="auto" w:fill="FFFFFF"/>
            <w:tcMar>
              <w:top w:w="40" w:type="dxa"/>
              <w:left w:w="0" w:type="dxa"/>
              <w:bottom w:w="40" w:type="dxa"/>
              <w:right w:w="20" w:type="dxa"/>
            </w:tcMar>
            <w:vAlign w:val="center"/>
          </w:tcPr>
          <w:p w14:paraId="098A9385"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386"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387" w14:textId="77777777" w:rsidR="00141CDF" w:rsidRDefault="00DF45E0">
            <w:pPr>
              <w:jc w:val="right"/>
              <w:textAlignment w:val="center"/>
            </w:pPr>
            <w:r>
              <w:rPr>
                <w:rFonts w:ascii="Times New Roman" w:eastAsia="宋体" w:hAnsi="Times New Roman"/>
                <w:color w:val="000000"/>
                <w:sz w:val="16"/>
                <w:szCs w:val="16"/>
              </w:rPr>
              <w:t>(3,010)</w:t>
            </w:r>
          </w:p>
        </w:tc>
        <w:tc>
          <w:tcPr>
            <w:tcW w:w="0" w:type="auto"/>
            <w:shd w:val="clear" w:color="auto" w:fill="FFFFFF"/>
            <w:tcMar>
              <w:top w:w="40" w:type="dxa"/>
              <w:left w:w="0" w:type="dxa"/>
              <w:bottom w:w="40" w:type="dxa"/>
              <w:right w:w="20" w:type="dxa"/>
            </w:tcMar>
            <w:vAlign w:val="center"/>
          </w:tcPr>
          <w:p w14:paraId="098A9388" w14:textId="77777777" w:rsidR="00141CDF" w:rsidRDefault="00141CDF">
            <w:pPr>
              <w:jc w:val="right"/>
              <w:rPr>
                <w:rFonts w:ascii="宋体"/>
              </w:rPr>
            </w:pPr>
          </w:p>
        </w:tc>
        <w:tc>
          <w:tcPr>
            <w:tcW w:w="0" w:type="auto"/>
            <w:shd w:val="clear" w:color="auto" w:fill="auto"/>
            <w:vAlign w:val="bottom"/>
          </w:tcPr>
          <w:p w14:paraId="098A9389" w14:textId="77777777" w:rsidR="00141CDF" w:rsidRDefault="00141CDF">
            <w:pPr>
              <w:rPr>
                <w:rFonts w:ascii="宋体"/>
                <w:vanish/>
              </w:rPr>
            </w:pPr>
          </w:p>
        </w:tc>
        <w:tc>
          <w:tcPr>
            <w:tcW w:w="0" w:type="auto"/>
            <w:shd w:val="clear" w:color="auto" w:fill="auto"/>
            <w:vAlign w:val="bottom"/>
          </w:tcPr>
          <w:p w14:paraId="098A938A" w14:textId="77777777" w:rsidR="00141CDF" w:rsidRDefault="00141CDF">
            <w:pPr>
              <w:rPr>
                <w:rFonts w:ascii="宋体"/>
                <w:vanish/>
              </w:rPr>
            </w:pPr>
          </w:p>
        </w:tc>
      </w:tr>
      <w:tr w:rsidR="00141CDF" w14:paraId="098A9393" w14:textId="77777777">
        <w:trPr>
          <w:hidden/>
        </w:trPr>
        <w:tc>
          <w:tcPr>
            <w:tcW w:w="0" w:type="auto"/>
            <w:gridSpan w:val="3"/>
            <w:shd w:val="clear" w:color="auto" w:fill="auto"/>
            <w:vAlign w:val="bottom"/>
          </w:tcPr>
          <w:p w14:paraId="098A938C" w14:textId="77777777" w:rsidR="00141CDF" w:rsidRDefault="00141CDF">
            <w:pPr>
              <w:rPr>
                <w:rFonts w:ascii="宋体"/>
                <w:vanish/>
              </w:rPr>
            </w:pPr>
          </w:p>
        </w:tc>
        <w:tc>
          <w:tcPr>
            <w:tcW w:w="0" w:type="auto"/>
            <w:gridSpan w:val="3"/>
            <w:shd w:val="clear" w:color="auto" w:fill="auto"/>
            <w:vAlign w:val="bottom"/>
          </w:tcPr>
          <w:p w14:paraId="098A938D" w14:textId="77777777" w:rsidR="00141CDF" w:rsidRDefault="00141CDF">
            <w:pPr>
              <w:rPr>
                <w:rFonts w:ascii="宋体"/>
                <w:vanish/>
              </w:rPr>
            </w:pPr>
          </w:p>
        </w:tc>
        <w:tc>
          <w:tcPr>
            <w:tcW w:w="0" w:type="auto"/>
            <w:gridSpan w:val="3"/>
            <w:shd w:val="clear" w:color="auto" w:fill="auto"/>
            <w:vAlign w:val="bottom"/>
          </w:tcPr>
          <w:p w14:paraId="098A938E" w14:textId="77777777" w:rsidR="00141CDF" w:rsidRDefault="00141CDF">
            <w:pPr>
              <w:rPr>
                <w:rFonts w:ascii="宋体"/>
                <w:vanish/>
              </w:rPr>
            </w:pPr>
          </w:p>
        </w:tc>
        <w:tc>
          <w:tcPr>
            <w:tcW w:w="0" w:type="auto"/>
            <w:gridSpan w:val="3"/>
            <w:shd w:val="clear" w:color="auto" w:fill="auto"/>
            <w:vAlign w:val="bottom"/>
          </w:tcPr>
          <w:p w14:paraId="098A938F" w14:textId="77777777" w:rsidR="00141CDF" w:rsidRDefault="00141CDF">
            <w:pPr>
              <w:rPr>
                <w:rFonts w:ascii="宋体"/>
                <w:vanish/>
              </w:rPr>
            </w:pPr>
          </w:p>
        </w:tc>
        <w:tc>
          <w:tcPr>
            <w:tcW w:w="0" w:type="auto"/>
            <w:gridSpan w:val="3"/>
            <w:shd w:val="clear" w:color="auto" w:fill="auto"/>
            <w:vAlign w:val="bottom"/>
          </w:tcPr>
          <w:p w14:paraId="098A9390" w14:textId="77777777" w:rsidR="00141CDF" w:rsidRDefault="00141CDF">
            <w:pPr>
              <w:rPr>
                <w:rFonts w:ascii="宋体"/>
                <w:vanish/>
              </w:rPr>
            </w:pPr>
          </w:p>
        </w:tc>
        <w:tc>
          <w:tcPr>
            <w:tcW w:w="0" w:type="auto"/>
            <w:shd w:val="clear" w:color="auto" w:fill="auto"/>
            <w:vAlign w:val="bottom"/>
          </w:tcPr>
          <w:p w14:paraId="098A9391" w14:textId="77777777" w:rsidR="00141CDF" w:rsidRDefault="00141CDF">
            <w:pPr>
              <w:rPr>
                <w:rFonts w:ascii="宋体"/>
                <w:vanish/>
              </w:rPr>
            </w:pPr>
          </w:p>
        </w:tc>
        <w:tc>
          <w:tcPr>
            <w:tcW w:w="0" w:type="auto"/>
            <w:shd w:val="clear" w:color="auto" w:fill="auto"/>
            <w:vAlign w:val="bottom"/>
          </w:tcPr>
          <w:p w14:paraId="098A9392" w14:textId="77777777" w:rsidR="00141CDF" w:rsidRDefault="00141CDF">
            <w:pPr>
              <w:rPr>
                <w:rFonts w:ascii="宋体"/>
                <w:vanish/>
              </w:rPr>
            </w:pPr>
          </w:p>
        </w:tc>
      </w:tr>
      <w:tr w:rsidR="00141CDF" w14:paraId="098A939D" w14:textId="77777777">
        <w:tc>
          <w:tcPr>
            <w:tcW w:w="0" w:type="auto"/>
            <w:gridSpan w:val="3"/>
            <w:shd w:val="clear" w:color="auto" w:fill="CCEEFF"/>
            <w:tcMar>
              <w:top w:w="40" w:type="dxa"/>
              <w:left w:w="380" w:type="dxa"/>
              <w:bottom w:w="40" w:type="dxa"/>
              <w:right w:w="20" w:type="dxa"/>
            </w:tcMar>
            <w:vAlign w:val="center"/>
          </w:tcPr>
          <w:p w14:paraId="098A9394" w14:textId="77777777" w:rsidR="00141CDF" w:rsidRDefault="00DF45E0">
            <w:pPr>
              <w:textAlignment w:val="center"/>
            </w:pPr>
            <w:r>
              <w:rPr>
                <w:rFonts w:ascii="Times New Roman" w:eastAsia="宋体" w:hAnsi="Times New Roman"/>
                <w:color w:val="000000"/>
                <w:sz w:val="16"/>
                <w:szCs w:val="16"/>
              </w:rPr>
              <w:t>Dividends paid</w:t>
            </w:r>
          </w:p>
        </w:tc>
        <w:tc>
          <w:tcPr>
            <w:tcW w:w="0" w:type="auto"/>
            <w:gridSpan w:val="3"/>
            <w:shd w:val="clear" w:color="auto" w:fill="CCEEFF"/>
            <w:tcMar>
              <w:top w:w="0" w:type="dxa"/>
              <w:left w:w="20" w:type="dxa"/>
              <w:bottom w:w="0" w:type="dxa"/>
              <w:right w:w="20" w:type="dxa"/>
            </w:tcMar>
            <w:vAlign w:val="bottom"/>
          </w:tcPr>
          <w:p w14:paraId="098A9395"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396" w14:textId="77777777" w:rsidR="00141CDF" w:rsidRDefault="00DF45E0">
            <w:pPr>
              <w:jc w:val="right"/>
              <w:textAlignment w:val="center"/>
            </w:pPr>
            <w:r>
              <w:rPr>
                <w:rFonts w:ascii="Times New Roman" w:eastAsia="宋体" w:hAnsi="Times New Roman"/>
                <w:color w:val="000000"/>
                <w:sz w:val="16"/>
                <w:szCs w:val="16"/>
              </w:rPr>
              <w:t>(3,081)</w:t>
            </w:r>
          </w:p>
        </w:tc>
        <w:tc>
          <w:tcPr>
            <w:tcW w:w="0" w:type="auto"/>
            <w:shd w:val="clear" w:color="auto" w:fill="CCEEFF"/>
            <w:tcMar>
              <w:top w:w="40" w:type="dxa"/>
              <w:left w:w="0" w:type="dxa"/>
              <w:bottom w:w="40" w:type="dxa"/>
              <w:right w:w="20" w:type="dxa"/>
            </w:tcMar>
            <w:vAlign w:val="center"/>
          </w:tcPr>
          <w:p w14:paraId="098A9397"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398"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399" w14:textId="77777777" w:rsidR="00141CDF" w:rsidRDefault="00DF45E0">
            <w:pPr>
              <w:jc w:val="right"/>
              <w:textAlignment w:val="center"/>
            </w:pPr>
            <w:r>
              <w:rPr>
                <w:rFonts w:ascii="Times New Roman" w:eastAsia="宋体" w:hAnsi="Times New Roman"/>
                <w:color w:val="000000"/>
                <w:sz w:val="16"/>
                <w:szCs w:val="16"/>
              </w:rPr>
              <w:t>(3,091)</w:t>
            </w:r>
          </w:p>
        </w:tc>
        <w:tc>
          <w:tcPr>
            <w:tcW w:w="0" w:type="auto"/>
            <w:shd w:val="clear" w:color="auto" w:fill="CCEEFF"/>
            <w:tcMar>
              <w:top w:w="40" w:type="dxa"/>
              <w:left w:w="0" w:type="dxa"/>
              <w:bottom w:w="40" w:type="dxa"/>
              <w:right w:w="20" w:type="dxa"/>
            </w:tcMar>
            <w:vAlign w:val="center"/>
          </w:tcPr>
          <w:p w14:paraId="098A939A" w14:textId="77777777" w:rsidR="00141CDF" w:rsidRDefault="00141CDF">
            <w:pPr>
              <w:jc w:val="right"/>
              <w:rPr>
                <w:rFonts w:ascii="宋体"/>
              </w:rPr>
            </w:pPr>
          </w:p>
        </w:tc>
        <w:tc>
          <w:tcPr>
            <w:tcW w:w="0" w:type="auto"/>
            <w:shd w:val="clear" w:color="auto" w:fill="auto"/>
            <w:vAlign w:val="bottom"/>
          </w:tcPr>
          <w:p w14:paraId="098A939B" w14:textId="77777777" w:rsidR="00141CDF" w:rsidRDefault="00141CDF">
            <w:pPr>
              <w:rPr>
                <w:rFonts w:ascii="宋体"/>
                <w:vanish/>
              </w:rPr>
            </w:pPr>
          </w:p>
        </w:tc>
        <w:tc>
          <w:tcPr>
            <w:tcW w:w="0" w:type="auto"/>
            <w:shd w:val="clear" w:color="auto" w:fill="auto"/>
            <w:vAlign w:val="bottom"/>
          </w:tcPr>
          <w:p w14:paraId="098A939C" w14:textId="77777777" w:rsidR="00141CDF" w:rsidRDefault="00141CDF">
            <w:pPr>
              <w:rPr>
                <w:rFonts w:ascii="宋体"/>
                <w:vanish/>
              </w:rPr>
            </w:pPr>
          </w:p>
        </w:tc>
      </w:tr>
      <w:tr w:rsidR="00141CDF" w14:paraId="098A93A7" w14:textId="77777777">
        <w:tc>
          <w:tcPr>
            <w:tcW w:w="0" w:type="auto"/>
            <w:gridSpan w:val="3"/>
            <w:shd w:val="clear" w:color="auto" w:fill="FFFFFF"/>
            <w:tcMar>
              <w:top w:w="40" w:type="dxa"/>
              <w:left w:w="380" w:type="dxa"/>
              <w:bottom w:w="40" w:type="dxa"/>
              <w:right w:w="20" w:type="dxa"/>
            </w:tcMar>
            <w:vAlign w:val="center"/>
          </w:tcPr>
          <w:p w14:paraId="098A939E" w14:textId="77777777" w:rsidR="00141CDF" w:rsidRDefault="00DF45E0">
            <w:pPr>
              <w:textAlignment w:val="center"/>
            </w:pPr>
            <w:r>
              <w:rPr>
                <w:rFonts w:ascii="Times New Roman" w:eastAsia="宋体" w:hAnsi="Times New Roman"/>
                <w:color w:val="000000"/>
                <w:sz w:val="16"/>
                <w:szCs w:val="16"/>
              </w:rPr>
              <w:t>Purchase of Company stock</w:t>
            </w:r>
          </w:p>
        </w:tc>
        <w:tc>
          <w:tcPr>
            <w:tcW w:w="0" w:type="auto"/>
            <w:gridSpan w:val="3"/>
            <w:shd w:val="clear" w:color="auto" w:fill="FFFFFF"/>
            <w:tcMar>
              <w:top w:w="0" w:type="dxa"/>
              <w:left w:w="20" w:type="dxa"/>
              <w:bottom w:w="0" w:type="dxa"/>
              <w:right w:w="20" w:type="dxa"/>
            </w:tcMar>
            <w:vAlign w:val="bottom"/>
          </w:tcPr>
          <w:p w14:paraId="098A939F"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3A0" w14:textId="77777777" w:rsidR="00141CDF" w:rsidRDefault="00DF45E0">
            <w:pPr>
              <w:jc w:val="right"/>
              <w:textAlignment w:val="center"/>
            </w:pPr>
            <w:r>
              <w:rPr>
                <w:rFonts w:ascii="Times New Roman" w:eastAsia="宋体" w:hAnsi="Times New Roman"/>
                <w:color w:val="000000"/>
                <w:sz w:val="16"/>
                <w:szCs w:val="16"/>
              </w:rPr>
              <w:t>(5,747)</w:t>
            </w:r>
          </w:p>
        </w:tc>
        <w:tc>
          <w:tcPr>
            <w:tcW w:w="0" w:type="auto"/>
            <w:shd w:val="clear" w:color="auto" w:fill="FFFFFF"/>
            <w:tcMar>
              <w:top w:w="40" w:type="dxa"/>
              <w:left w:w="0" w:type="dxa"/>
              <w:bottom w:w="40" w:type="dxa"/>
              <w:right w:w="20" w:type="dxa"/>
            </w:tcMar>
            <w:vAlign w:val="center"/>
          </w:tcPr>
          <w:p w14:paraId="098A93A1"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3A2"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3A3" w14:textId="77777777" w:rsidR="00141CDF" w:rsidRDefault="00DF45E0">
            <w:pPr>
              <w:jc w:val="right"/>
              <w:textAlignment w:val="center"/>
            </w:pPr>
            <w:r>
              <w:rPr>
                <w:rFonts w:ascii="Times New Roman" w:eastAsia="宋体" w:hAnsi="Times New Roman"/>
                <w:color w:val="000000"/>
                <w:sz w:val="16"/>
                <w:szCs w:val="16"/>
              </w:rPr>
              <w:t>(5,200)</w:t>
            </w:r>
          </w:p>
        </w:tc>
        <w:tc>
          <w:tcPr>
            <w:tcW w:w="0" w:type="auto"/>
            <w:shd w:val="clear" w:color="auto" w:fill="FFFFFF"/>
            <w:tcMar>
              <w:top w:w="40" w:type="dxa"/>
              <w:left w:w="0" w:type="dxa"/>
              <w:bottom w:w="40" w:type="dxa"/>
              <w:right w:w="20" w:type="dxa"/>
            </w:tcMar>
            <w:vAlign w:val="center"/>
          </w:tcPr>
          <w:p w14:paraId="098A93A4" w14:textId="77777777" w:rsidR="00141CDF" w:rsidRDefault="00141CDF">
            <w:pPr>
              <w:jc w:val="right"/>
              <w:rPr>
                <w:rFonts w:ascii="宋体"/>
              </w:rPr>
            </w:pPr>
          </w:p>
        </w:tc>
        <w:tc>
          <w:tcPr>
            <w:tcW w:w="0" w:type="auto"/>
            <w:shd w:val="clear" w:color="auto" w:fill="auto"/>
            <w:vAlign w:val="bottom"/>
          </w:tcPr>
          <w:p w14:paraId="098A93A5" w14:textId="77777777" w:rsidR="00141CDF" w:rsidRDefault="00141CDF">
            <w:pPr>
              <w:rPr>
                <w:rFonts w:ascii="宋体"/>
                <w:vanish/>
              </w:rPr>
            </w:pPr>
          </w:p>
        </w:tc>
        <w:tc>
          <w:tcPr>
            <w:tcW w:w="0" w:type="auto"/>
            <w:shd w:val="clear" w:color="auto" w:fill="auto"/>
            <w:vAlign w:val="bottom"/>
          </w:tcPr>
          <w:p w14:paraId="098A93A6" w14:textId="77777777" w:rsidR="00141CDF" w:rsidRDefault="00141CDF">
            <w:pPr>
              <w:rPr>
                <w:rFonts w:ascii="宋体"/>
                <w:vanish/>
              </w:rPr>
            </w:pPr>
          </w:p>
        </w:tc>
      </w:tr>
      <w:tr w:rsidR="00141CDF" w14:paraId="098A93AF" w14:textId="77777777">
        <w:trPr>
          <w:hidden/>
        </w:trPr>
        <w:tc>
          <w:tcPr>
            <w:tcW w:w="0" w:type="auto"/>
            <w:gridSpan w:val="3"/>
            <w:shd w:val="clear" w:color="auto" w:fill="auto"/>
            <w:vAlign w:val="bottom"/>
          </w:tcPr>
          <w:p w14:paraId="098A93A8" w14:textId="77777777" w:rsidR="00141CDF" w:rsidRDefault="00141CDF">
            <w:pPr>
              <w:rPr>
                <w:rFonts w:ascii="宋体"/>
                <w:vanish/>
              </w:rPr>
            </w:pPr>
          </w:p>
        </w:tc>
        <w:tc>
          <w:tcPr>
            <w:tcW w:w="0" w:type="auto"/>
            <w:gridSpan w:val="3"/>
            <w:shd w:val="clear" w:color="auto" w:fill="auto"/>
            <w:vAlign w:val="bottom"/>
          </w:tcPr>
          <w:p w14:paraId="098A93A9" w14:textId="77777777" w:rsidR="00141CDF" w:rsidRDefault="00141CDF">
            <w:pPr>
              <w:rPr>
                <w:rFonts w:ascii="宋体"/>
                <w:vanish/>
              </w:rPr>
            </w:pPr>
          </w:p>
        </w:tc>
        <w:tc>
          <w:tcPr>
            <w:tcW w:w="0" w:type="auto"/>
            <w:gridSpan w:val="3"/>
            <w:shd w:val="clear" w:color="auto" w:fill="auto"/>
            <w:vAlign w:val="bottom"/>
          </w:tcPr>
          <w:p w14:paraId="098A93AA" w14:textId="77777777" w:rsidR="00141CDF" w:rsidRDefault="00141CDF">
            <w:pPr>
              <w:rPr>
                <w:rFonts w:ascii="宋体"/>
                <w:vanish/>
              </w:rPr>
            </w:pPr>
          </w:p>
        </w:tc>
        <w:tc>
          <w:tcPr>
            <w:tcW w:w="0" w:type="auto"/>
            <w:gridSpan w:val="3"/>
            <w:shd w:val="clear" w:color="auto" w:fill="auto"/>
            <w:vAlign w:val="bottom"/>
          </w:tcPr>
          <w:p w14:paraId="098A93AB" w14:textId="77777777" w:rsidR="00141CDF" w:rsidRDefault="00141CDF">
            <w:pPr>
              <w:rPr>
                <w:rFonts w:ascii="宋体"/>
                <w:vanish/>
              </w:rPr>
            </w:pPr>
          </w:p>
        </w:tc>
        <w:tc>
          <w:tcPr>
            <w:tcW w:w="0" w:type="auto"/>
            <w:gridSpan w:val="3"/>
            <w:shd w:val="clear" w:color="auto" w:fill="auto"/>
            <w:vAlign w:val="bottom"/>
          </w:tcPr>
          <w:p w14:paraId="098A93AC" w14:textId="77777777" w:rsidR="00141CDF" w:rsidRDefault="00141CDF">
            <w:pPr>
              <w:rPr>
                <w:rFonts w:ascii="宋体"/>
                <w:vanish/>
              </w:rPr>
            </w:pPr>
          </w:p>
        </w:tc>
        <w:tc>
          <w:tcPr>
            <w:tcW w:w="0" w:type="auto"/>
            <w:shd w:val="clear" w:color="auto" w:fill="auto"/>
            <w:vAlign w:val="bottom"/>
          </w:tcPr>
          <w:p w14:paraId="098A93AD" w14:textId="77777777" w:rsidR="00141CDF" w:rsidRDefault="00141CDF">
            <w:pPr>
              <w:rPr>
                <w:rFonts w:ascii="宋体"/>
                <w:vanish/>
              </w:rPr>
            </w:pPr>
          </w:p>
        </w:tc>
        <w:tc>
          <w:tcPr>
            <w:tcW w:w="0" w:type="auto"/>
            <w:shd w:val="clear" w:color="auto" w:fill="auto"/>
            <w:vAlign w:val="bottom"/>
          </w:tcPr>
          <w:p w14:paraId="098A93AE" w14:textId="77777777" w:rsidR="00141CDF" w:rsidRDefault="00141CDF">
            <w:pPr>
              <w:rPr>
                <w:rFonts w:ascii="宋体"/>
                <w:vanish/>
              </w:rPr>
            </w:pPr>
          </w:p>
        </w:tc>
      </w:tr>
      <w:tr w:rsidR="00141CDF" w14:paraId="098A93B7" w14:textId="77777777">
        <w:trPr>
          <w:hidden/>
        </w:trPr>
        <w:tc>
          <w:tcPr>
            <w:tcW w:w="0" w:type="auto"/>
            <w:gridSpan w:val="3"/>
            <w:shd w:val="clear" w:color="auto" w:fill="auto"/>
            <w:vAlign w:val="bottom"/>
          </w:tcPr>
          <w:p w14:paraId="098A93B0" w14:textId="77777777" w:rsidR="00141CDF" w:rsidRDefault="00141CDF">
            <w:pPr>
              <w:rPr>
                <w:rFonts w:ascii="宋体"/>
                <w:vanish/>
              </w:rPr>
            </w:pPr>
          </w:p>
        </w:tc>
        <w:tc>
          <w:tcPr>
            <w:tcW w:w="0" w:type="auto"/>
            <w:gridSpan w:val="3"/>
            <w:shd w:val="clear" w:color="auto" w:fill="auto"/>
            <w:vAlign w:val="bottom"/>
          </w:tcPr>
          <w:p w14:paraId="098A93B1" w14:textId="77777777" w:rsidR="00141CDF" w:rsidRDefault="00141CDF">
            <w:pPr>
              <w:rPr>
                <w:rFonts w:ascii="宋体"/>
                <w:vanish/>
              </w:rPr>
            </w:pPr>
          </w:p>
        </w:tc>
        <w:tc>
          <w:tcPr>
            <w:tcW w:w="0" w:type="auto"/>
            <w:gridSpan w:val="3"/>
            <w:shd w:val="clear" w:color="auto" w:fill="auto"/>
            <w:vAlign w:val="bottom"/>
          </w:tcPr>
          <w:p w14:paraId="098A93B2" w14:textId="77777777" w:rsidR="00141CDF" w:rsidRDefault="00141CDF">
            <w:pPr>
              <w:rPr>
                <w:rFonts w:ascii="宋体"/>
                <w:vanish/>
              </w:rPr>
            </w:pPr>
          </w:p>
        </w:tc>
        <w:tc>
          <w:tcPr>
            <w:tcW w:w="0" w:type="auto"/>
            <w:gridSpan w:val="3"/>
            <w:shd w:val="clear" w:color="auto" w:fill="auto"/>
            <w:vAlign w:val="bottom"/>
          </w:tcPr>
          <w:p w14:paraId="098A93B3" w14:textId="77777777" w:rsidR="00141CDF" w:rsidRDefault="00141CDF">
            <w:pPr>
              <w:rPr>
                <w:rFonts w:ascii="宋体"/>
                <w:vanish/>
              </w:rPr>
            </w:pPr>
          </w:p>
        </w:tc>
        <w:tc>
          <w:tcPr>
            <w:tcW w:w="0" w:type="auto"/>
            <w:gridSpan w:val="3"/>
            <w:shd w:val="clear" w:color="auto" w:fill="auto"/>
            <w:vAlign w:val="bottom"/>
          </w:tcPr>
          <w:p w14:paraId="098A93B4" w14:textId="77777777" w:rsidR="00141CDF" w:rsidRDefault="00141CDF">
            <w:pPr>
              <w:rPr>
                <w:rFonts w:ascii="宋体"/>
                <w:vanish/>
              </w:rPr>
            </w:pPr>
          </w:p>
        </w:tc>
        <w:tc>
          <w:tcPr>
            <w:tcW w:w="0" w:type="auto"/>
            <w:shd w:val="clear" w:color="auto" w:fill="auto"/>
            <w:vAlign w:val="bottom"/>
          </w:tcPr>
          <w:p w14:paraId="098A93B5" w14:textId="77777777" w:rsidR="00141CDF" w:rsidRDefault="00141CDF">
            <w:pPr>
              <w:rPr>
                <w:rFonts w:ascii="宋体"/>
                <w:vanish/>
              </w:rPr>
            </w:pPr>
          </w:p>
        </w:tc>
        <w:tc>
          <w:tcPr>
            <w:tcW w:w="0" w:type="auto"/>
            <w:shd w:val="clear" w:color="auto" w:fill="auto"/>
            <w:vAlign w:val="bottom"/>
          </w:tcPr>
          <w:p w14:paraId="098A93B6" w14:textId="77777777" w:rsidR="00141CDF" w:rsidRDefault="00141CDF">
            <w:pPr>
              <w:rPr>
                <w:rFonts w:ascii="宋体"/>
                <w:vanish/>
              </w:rPr>
            </w:pPr>
          </w:p>
        </w:tc>
      </w:tr>
      <w:tr w:rsidR="00141CDF" w14:paraId="098A93C1" w14:textId="77777777">
        <w:tc>
          <w:tcPr>
            <w:tcW w:w="0" w:type="auto"/>
            <w:gridSpan w:val="3"/>
            <w:shd w:val="clear" w:color="auto" w:fill="CCEEFF"/>
            <w:tcMar>
              <w:top w:w="40" w:type="dxa"/>
              <w:left w:w="380" w:type="dxa"/>
              <w:bottom w:w="40" w:type="dxa"/>
              <w:right w:w="20" w:type="dxa"/>
            </w:tcMar>
            <w:vAlign w:val="center"/>
          </w:tcPr>
          <w:p w14:paraId="098A93B8" w14:textId="77777777" w:rsidR="00141CDF" w:rsidRDefault="00DF45E0">
            <w:pPr>
              <w:textAlignment w:val="center"/>
            </w:pPr>
            <w:r>
              <w:rPr>
                <w:rFonts w:ascii="Times New Roman" w:eastAsia="宋体" w:hAnsi="Times New Roman"/>
                <w:color w:val="000000"/>
                <w:sz w:val="16"/>
                <w:szCs w:val="16"/>
              </w:rPr>
              <w:t>Sale of subsidiary stock</w:t>
            </w:r>
          </w:p>
        </w:tc>
        <w:tc>
          <w:tcPr>
            <w:tcW w:w="0" w:type="auto"/>
            <w:gridSpan w:val="3"/>
            <w:shd w:val="clear" w:color="auto" w:fill="CCEEFF"/>
            <w:tcMar>
              <w:top w:w="0" w:type="dxa"/>
              <w:left w:w="20" w:type="dxa"/>
              <w:bottom w:w="0" w:type="dxa"/>
              <w:right w:w="20" w:type="dxa"/>
            </w:tcMar>
            <w:vAlign w:val="bottom"/>
          </w:tcPr>
          <w:p w14:paraId="098A93B9"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3BA" w14:textId="77777777" w:rsidR="00141CDF" w:rsidRDefault="00DF45E0">
            <w:pPr>
              <w:jc w:val="right"/>
              <w:textAlignment w:val="center"/>
            </w:pPr>
            <w:r>
              <w:rPr>
                <w:rFonts w:ascii="Times New Roman" w:eastAsia="宋体" w:hAnsi="Times New Roman"/>
                <w:color w:val="000000"/>
                <w:sz w:val="16"/>
                <w:szCs w:val="16"/>
              </w:rPr>
              <w:t>45 </w:t>
            </w:r>
          </w:p>
        </w:tc>
        <w:tc>
          <w:tcPr>
            <w:tcW w:w="0" w:type="auto"/>
            <w:shd w:val="clear" w:color="auto" w:fill="CCEEFF"/>
            <w:tcMar>
              <w:top w:w="40" w:type="dxa"/>
              <w:left w:w="0" w:type="dxa"/>
              <w:bottom w:w="40" w:type="dxa"/>
              <w:right w:w="20" w:type="dxa"/>
            </w:tcMar>
            <w:vAlign w:val="center"/>
          </w:tcPr>
          <w:p w14:paraId="098A93BB"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3BC"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3BD" w14:textId="77777777" w:rsidR="00141CDF" w:rsidRDefault="00DF45E0">
            <w:pPr>
              <w:jc w:val="right"/>
              <w:textAlignment w:val="center"/>
            </w:pPr>
            <w:r>
              <w:rPr>
                <w:rFonts w:ascii="Times New Roman" w:eastAsia="宋体" w:hAnsi="Times New Roman"/>
                <w:color w:val="000000"/>
                <w:sz w:val="16"/>
                <w:szCs w:val="16"/>
              </w:rPr>
              <w:t>252 </w:t>
            </w:r>
          </w:p>
        </w:tc>
        <w:tc>
          <w:tcPr>
            <w:tcW w:w="0" w:type="auto"/>
            <w:shd w:val="clear" w:color="auto" w:fill="CCEEFF"/>
            <w:tcMar>
              <w:top w:w="40" w:type="dxa"/>
              <w:left w:w="0" w:type="dxa"/>
              <w:bottom w:w="40" w:type="dxa"/>
              <w:right w:w="20" w:type="dxa"/>
            </w:tcMar>
            <w:vAlign w:val="center"/>
          </w:tcPr>
          <w:p w14:paraId="098A93BE" w14:textId="77777777" w:rsidR="00141CDF" w:rsidRDefault="00141CDF">
            <w:pPr>
              <w:jc w:val="right"/>
              <w:rPr>
                <w:rFonts w:ascii="宋体"/>
              </w:rPr>
            </w:pPr>
          </w:p>
        </w:tc>
        <w:tc>
          <w:tcPr>
            <w:tcW w:w="0" w:type="auto"/>
            <w:shd w:val="clear" w:color="auto" w:fill="auto"/>
            <w:vAlign w:val="bottom"/>
          </w:tcPr>
          <w:p w14:paraId="098A93BF" w14:textId="77777777" w:rsidR="00141CDF" w:rsidRDefault="00141CDF">
            <w:pPr>
              <w:rPr>
                <w:rFonts w:ascii="宋体"/>
                <w:vanish/>
              </w:rPr>
            </w:pPr>
          </w:p>
        </w:tc>
        <w:tc>
          <w:tcPr>
            <w:tcW w:w="0" w:type="auto"/>
            <w:shd w:val="clear" w:color="auto" w:fill="auto"/>
            <w:vAlign w:val="bottom"/>
          </w:tcPr>
          <w:p w14:paraId="098A93C0" w14:textId="77777777" w:rsidR="00141CDF" w:rsidRDefault="00141CDF">
            <w:pPr>
              <w:rPr>
                <w:rFonts w:ascii="宋体"/>
                <w:vanish/>
              </w:rPr>
            </w:pPr>
          </w:p>
        </w:tc>
      </w:tr>
      <w:tr w:rsidR="00141CDF" w14:paraId="098A93CB" w14:textId="77777777">
        <w:tc>
          <w:tcPr>
            <w:tcW w:w="0" w:type="auto"/>
            <w:gridSpan w:val="3"/>
            <w:shd w:val="clear" w:color="auto" w:fill="FFFFFF"/>
            <w:tcMar>
              <w:top w:w="40" w:type="dxa"/>
              <w:left w:w="380" w:type="dxa"/>
              <w:bottom w:w="40" w:type="dxa"/>
              <w:right w:w="20" w:type="dxa"/>
            </w:tcMar>
            <w:vAlign w:val="center"/>
          </w:tcPr>
          <w:p w14:paraId="098A93C2" w14:textId="77777777" w:rsidR="00141CDF" w:rsidRDefault="00DF45E0">
            <w:pPr>
              <w:textAlignment w:val="center"/>
            </w:pPr>
            <w:r>
              <w:rPr>
                <w:rFonts w:ascii="Times New Roman" w:eastAsia="宋体" w:hAnsi="Times New Roman"/>
                <w:color w:val="000000"/>
                <w:sz w:val="16"/>
                <w:szCs w:val="16"/>
              </w:rPr>
              <w:t>Other financing activities</w:t>
            </w:r>
          </w:p>
        </w:tc>
        <w:tc>
          <w:tcPr>
            <w:tcW w:w="0" w:type="auto"/>
            <w:gridSpan w:val="3"/>
            <w:shd w:val="clear" w:color="auto" w:fill="FFFFFF"/>
            <w:tcMar>
              <w:top w:w="0" w:type="dxa"/>
              <w:left w:w="20" w:type="dxa"/>
              <w:bottom w:w="0" w:type="dxa"/>
              <w:right w:w="20" w:type="dxa"/>
            </w:tcMar>
            <w:vAlign w:val="bottom"/>
          </w:tcPr>
          <w:p w14:paraId="098A93C3"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3C4" w14:textId="77777777" w:rsidR="00141CDF" w:rsidRDefault="00DF45E0">
            <w:pPr>
              <w:jc w:val="right"/>
              <w:textAlignment w:val="center"/>
            </w:pPr>
            <w:r>
              <w:rPr>
                <w:rFonts w:ascii="Times New Roman" w:eastAsia="宋体" w:hAnsi="Times New Roman"/>
                <w:color w:val="000000"/>
                <w:sz w:val="16"/>
                <w:szCs w:val="16"/>
              </w:rPr>
              <w:t>(1,408)</w:t>
            </w:r>
          </w:p>
        </w:tc>
        <w:tc>
          <w:tcPr>
            <w:tcW w:w="0" w:type="auto"/>
            <w:shd w:val="clear" w:color="auto" w:fill="FFFFFF"/>
            <w:tcMar>
              <w:top w:w="40" w:type="dxa"/>
              <w:left w:w="0" w:type="dxa"/>
              <w:bottom w:w="40" w:type="dxa"/>
              <w:right w:w="20" w:type="dxa"/>
            </w:tcMar>
            <w:vAlign w:val="center"/>
          </w:tcPr>
          <w:p w14:paraId="098A93C5"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3C6"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3C7" w14:textId="77777777" w:rsidR="00141CDF" w:rsidRDefault="00DF45E0">
            <w:pPr>
              <w:jc w:val="right"/>
              <w:textAlignment w:val="center"/>
            </w:pPr>
            <w:r>
              <w:rPr>
                <w:rFonts w:ascii="Times New Roman" w:eastAsia="宋体" w:hAnsi="Times New Roman"/>
                <w:color w:val="000000"/>
                <w:sz w:val="16"/>
                <w:szCs w:val="16"/>
              </w:rPr>
              <w:t>(951)</w:t>
            </w:r>
          </w:p>
        </w:tc>
        <w:tc>
          <w:tcPr>
            <w:tcW w:w="0" w:type="auto"/>
            <w:shd w:val="clear" w:color="auto" w:fill="FFFFFF"/>
            <w:tcMar>
              <w:top w:w="40" w:type="dxa"/>
              <w:left w:w="0" w:type="dxa"/>
              <w:bottom w:w="40" w:type="dxa"/>
              <w:right w:w="20" w:type="dxa"/>
            </w:tcMar>
            <w:vAlign w:val="center"/>
          </w:tcPr>
          <w:p w14:paraId="098A93C8" w14:textId="77777777" w:rsidR="00141CDF" w:rsidRDefault="00141CDF">
            <w:pPr>
              <w:jc w:val="right"/>
              <w:rPr>
                <w:rFonts w:ascii="宋体"/>
              </w:rPr>
            </w:pPr>
          </w:p>
        </w:tc>
        <w:tc>
          <w:tcPr>
            <w:tcW w:w="0" w:type="auto"/>
            <w:shd w:val="clear" w:color="auto" w:fill="auto"/>
            <w:vAlign w:val="bottom"/>
          </w:tcPr>
          <w:p w14:paraId="098A93C9" w14:textId="77777777" w:rsidR="00141CDF" w:rsidRDefault="00141CDF">
            <w:pPr>
              <w:rPr>
                <w:rFonts w:ascii="宋体"/>
                <w:vanish/>
              </w:rPr>
            </w:pPr>
          </w:p>
        </w:tc>
        <w:tc>
          <w:tcPr>
            <w:tcW w:w="0" w:type="auto"/>
            <w:shd w:val="clear" w:color="auto" w:fill="auto"/>
            <w:vAlign w:val="bottom"/>
          </w:tcPr>
          <w:p w14:paraId="098A93CA" w14:textId="77777777" w:rsidR="00141CDF" w:rsidRDefault="00141CDF">
            <w:pPr>
              <w:rPr>
                <w:rFonts w:ascii="宋体"/>
                <w:vanish/>
              </w:rPr>
            </w:pPr>
          </w:p>
        </w:tc>
      </w:tr>
      <w:tr w:rsidR="00141CDF" w14:paraId="098A93D5" w14:textId="77777777">
        <w:tc>
          <w:tcPr>
            <w:tcW w:w="0" w:type="auto"/>
            <w:gridSpan w:val="3"/>
            <w:shd w:val="clear" w:color="auto" w:fill="CCEEFF"/>
            <w:tcMar>
              <w:top w:w="40" w:type="dxa"/>
              <w:left w:w="20" w:type="dxa"/>
              <w:bottom w:w="40" w:type="dxa"/>
              <w:right w:w="20" w:type="dxa"/>
            </w:tcMar>
            <w:vAlign w:val="center"/>
          </w:tcPr>
          <w:p w14:paraId="098A93CC" w14:textId="77777777" w:rsidR="00141CDF" w:rsidRDefault="00DF45E0">
            <w:pPr>
              <w:textAlignment w:val="center"/>
            </w:pPr>
            <w:r>
              <w:rPr>
                <w:rFonts w:ascii="Times New Roman" w:eastAsia="宋体" w:hAnsi="Times New Roman"/>
                <w:color w:val="000000"/>
                <w:sz w:val="16"/>
                <w:szCs w:val="16"/>
              </w:rPr>
              <w:t>Net cash used in financing activities</w:t>
            </w:r>
          </w:p>
        </w:tc>
        <w:tc>
          <w:tcPr>
            <w:tcW w:w="0" w:type="auto"/>
            <w:gridSpan w:val="3"/>
            <w:shd w:val="clear" w:color="auto" w:fill="CCEEFF"/>
            <w:tcMar>
              <w:top w:w="0" w:type="dxa"/>
              <w:left w:w="20" w:type="dxa"/>
              <w:bottom w:w="0" w:type="dxa"/>
              <w:right w:w="20" w:type="dxa"/>
            </w:tcMar>
            <w:vAlign w:val="bottom"/>
          </w:tcPr>
          <w:p w14:paraId="098A93CD" w14:textId="77777777" w:rsidR="00141CDF" w:rsidRDefault="00141CD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98A93CE" w14:textId="77777777" w:rsidR="00141CDF" w:rsidRDefault="00DF45E0">
            <w:pPr>
              <w:jc w:val="right"/>
              <w:textAlignment w:val="center"/>
            </w:pPr>
            <w:r>
              <w:rPr>
                <w:rFonts w:ascii="Times New Roman" w:eastAsia="宋体" w:hAnsi="Times New Roman"/>
                <w:color w:val="000000"/>
                <w:sz w:val="16"/>
                <w:szCs w:val="16"/>
              </w:rPr>
              <w:t>(1,400)</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3CF"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3D0" w14:textId="77777777" w:rsidR="00141CDF" w:rsidRDefault="00141CD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98A93D1" w14:textId="77777777" w:rsidR="00141CDF" w:rsidRDefault="00DF45E0">
            <w:pPr>
              <w:jc w:val="right"/>
              <w:textAlignment w:val="center"/>
            </w:pPr>
            <w:r>
              <w:rPr>
                <w:rFonts w:ascii="Times New Roman" w:eastAsia="宋体" w:hAnsi="Times New Roman"/>
                <w:color w:val="000000"/>
                <w:sz w:val="16"/>
                <w:szCs w:val="16"/>
              </w:rPr>
              <w:t>(11,559)</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3D2" w14:textId="77777777" w:rsidR="00141CDF" w:rsidRDefault="00141CDF">
            <w:pPr>
              <w:jc w:val="right"/>
              <w:rPr>
                <w:rFonts w:ascii="宋体"/>
              </w:rPr>
            </w:pPr>
          </w:p>
        </w:tc>
        <w:tc>
          <w:tcPr>
            <w:tcW w:w="0" w:type="auto"/>
            <w:shd w:val="clear" w:color="auto" w:fill="auto"/>
            <w:vAlign w:val="bottom"/>
          </w:tcPr>
          <w:p w14:paraId="098A93D3" w14:textId="77777777" w:rsidR="00141CDF" w:rsidRDefault="00141CDF">
            <w:pPr>
              <w:rPr>
                <w:rFonts w:ascii="宋体"/>
                <w:vanish/>
              </w:rPr>
            </w:pPr>
          </w:p>
        </w:tc>
        <w:tc>
          <w:tcPr>
            <w:tcW w:w="0" w:type="auto"/>
            <w:shd w:val="clear" w:color="auto" w:fill="auto"/>
            <w:vAlign w:val="bottom"/>
          </w:tcPr>
          <w:p w14:paraId="098A93D4" w14:textId="77777777" w:rsidR="00141CDF" w:rsidRDefault="00141CDF">
            <w:pPr>
              <w:rPr>
                <w:rFonts w:ascii="宋体"/>
                <w:vanish/>
              </w:rPr>
            </w:pPr>
          </w:p>
        </w:tc>
      </w:tr>
      <w:tr w:rsidR="00141CDF" w14:paraId="098A93DD" w14:textId="77777777">
        <w:trPr>
          <w:trHeight w:val="220"/>
        </w:trPr>
        <w:tc>
          <w:tcPr>
            <w:tcW w:w="0" w:type="auto"/>
            <w:gridSpan w:val="3"/>
            <w:shd w:val="clear" w:color="auto" w:fill="FFFFFF"/>
            <w:tcMar>
              <w:top w:w="0" w:type="dxa"/>
              <w:left w:w="20" w:type="dxa"/>
              <w:bottom w:w="0" w:type="dxa"/>
              <w:right w:w="20" w:type="dxa"/>
            </w:tcMar>
            <w:vAlign w:val="bottom"/>
          </w:tcPr>
          <w:p w14:paraId="098A93D6"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93D7"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93D8"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93D9"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93DA" w14:textId="77777777" w:rsidR="00141CDF" w:rsidRDefault="00141CDF">
            <w:pPr>
              <w:rPr>
                <w:rFonts w:ascii="宋体"/>
              </w:rPr>
            </w:pPr>
          </w:p>
        </w:tc>
        <w:tc>
          <w:tcPr>
            <w:tcW w:w="0" w:type="auto"/>
            <w:shd w:val="clear" w:color="auto" w:fill="auto"/>
            <w:vAlign w:val="bottom"/>
          </w:tcPr>
          <w:p w14:paraId="098A93DB" w14:textId="77777777" w:rsidR="00141CDF" w:rsidRDefault="00141CDF">
            <w:pPr>
              <w:rPr>
                <w:rFonts w:ascii="宋体"/>
                <w:vanish/>
              </w:rPr>
            </w:pPr>
          </w:p>
        </w:tc>
        <w:tc>
          <w:tcPr>
            <w:tcW w:w="0" w:type="auto"/>
            <w:shd w:val="clear" w:color="auto" w:fill="auto"/>
            <w:vAlign w:val="bottom"/>
          </w:tcPr>
          <w:p w14:paraId="098A93DC" w14:textId="77777777" w:rsidR="00141CDF" w:rsidRDefault="00141CDF">
            <w:pPr>
              <w:rPr>
                <w:rFonts w:ascii="宋体"/>
                <w:vanish/>
              </w:rPr>
            </w:pPr>
          </w:p>
        </w:tc>
      </w:tr>
      <w:tr w:rsidR="00141CDF" w14:paraId="098A93E7" w14:textId="77777777">
        <w:tc>
          <w:tcPr>
            <w:tcW w:w="0" w:type="auto"/>
            <w:gridSpan w:val="3"/>
            <w:shd w:val="clear" w:color="auto" w:fill="CCEEFF"/>
            <w:tcMar>
              <w:top w:w="40" w:type="dxa"/>
              <w:left w:w="20" w:type="dxa"/>
              <w:bottom w:w="40" w:type="dxa"/>
              <w:right w:w="20" w:type="dxa"/>
            </w:tcMar>
            <w:vAlign w:val="center"/>
          </w:tcPr>
          <w:p w14:paraId="098A93DE" w14:textId="77777777" w:rsidR="00141CDF" w:rsidRDefault="00DF45E0">
            <w:pPr>
              <w:textAlignment w:val="center"/>
            </w:pPr>
            <w:r>
              <w:rPr>
                <w:rFonts w:ascii="Times New Roman" w:eastAsia="宋体" w:hAnsi="Times New Roman"/>
                <w:color w:val="000000"/>
                <w:sz w:val="16"/>
                <w:szCs w:val="16"/>
              </w:rPr>
              <w:t xml:space="preserve">Effect of </w:t>
            </w:r>
            <w:r>
              <w:rPr>
                <w:rFonts w:ascii="Times New Roman" w:eastAsia="宋体" w:hAnsi="Times New Roman"/>
                <w:color w:val="000000"/>
                <w:sz w:val="16"/>
                <w:szCs w:val="16"/>
              </w:rPr>
              <w:t>exchange rates on cash, cash equivalents and restricted cash</w:t>
            </w:r>
          </w:p>
        </w:tc>
        <w:tc>
          <w:tcPr>
            <w:tcW w:w="0" w:type="auto"/>
            <w:gridSpan w:val="3"/>
            <w:shd w:val="clear" w:color="auto" w:fill="CCEEFF"/>
            <w:tcMar>
              <w:top w:w="0" w:type="dxa"/>
              <w:left w:w="20" w:type="dxa"/>
              <w:bottom w:w="0" w:type="dxa"/>
              <w:right w:w="20" w:type="dxa"/>
            </w:tcMar>
            <w:vAlign w:val="bottom"/>
          </w:tcPr>
          <w:p w14:paraId="098A93DF"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3E0" w14:textId="77777777" w:rsidR="00141CDF" w:rsidRDefault="00DF45E0">
            <w:pPr>
              <w:jc w:val="right"/>
              <w:textAlignment w:val="center"/>
            </w:pPr>
            <w:r>
              <w:rPr>
                <w:rFonts w:ascii="Times New Roman" w:eastAsia="宋体" w:hAnsi="Times New Roman"/>
                <w:color w:val="000000"/>
                <w:sz w:val="16"/>
                <w:szCs w:val="16"/>
              </w:rPr>
              <w:t>(100)</w:t>
            </w:r>
          </w:p>
        </w:tc>
        <w:tc>
          <w:tcPr>
            <w:tcW w:w="0" w:type="auto"/>
            <w:shd w:val="clear" w:color="auto" w:fill="CCEEFF"/>
            <w:tcMar>
              <w:top w:w="40" w:type="dxa"/>
              <w:left w:w="0" w:type="dxa"/>
              <w:bottom w:w="40" w:type="dxa"/>
              <w:right w:w="20" w:type="dxa"/>
            </w:tcMar>
            <w:vAlign w:val="center"/>
          </w:tcPr>
          <w:p w14:paraId="098A93E1"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3E2"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3E3" w14:textId="77777777" w:rsidR="00141CDF" w:rsidRDefault="00DF45E0">
            <w:pPr>
              <w:jc w:val="right"/>
              <w:textAlignment w:val="center"/>
            </w:pPr>
            <w:r>
              <w:rPr>
                <w:rFonts w:ascii="Times New Roman" w:eastAsia="宋体" w:hAnsi="Times New Roman"/>
                <w:color w:val="000000"/>
                <w:sz w:val="16"/>
                <w:szCs w:val="16"/>
              </w:rPr>
              <w:t>(21)</w:t>
            </w:r>
          </w:p>
        </w:tc>
        <w:tc>
          <w:tcPr>
            <w:tcW w:w="0" w:type="auto"/>
            <w:shd w:val="clear" w:color="auto" w:fill="CCEEFF"/>
            <w:tcMar>
              <w:top w:w="40" w:type="dxa"/>
              <w:left w:w="0" w:type="dxa"/>
              <w:bottom w:w="40" w:type="dxa"/>
              <w:right w:w="20" w:type="dxa"/>
            </w:tcMar>
            <w:vAlign w:val="center"/>
          </w:tcPr>
          <w:p w14:paraId="098A93E4" w14:textId="77777777" w:rsidR="00141CDF" w:rsidRDefault="00141CDF">
            <w:pPr>
              <w:jc w:val="right"/>
              <w:rPr>
                <w:rFonts w:ascii="宋体"/>
              </w:rPr>
            </w:pPr>
          </w:p>
        </w:tc>
        <w:tc>
          <w:tcPr>
            <w:tcW w:w="0" w:type="auto"/>
            <w:shd w:val="clear" w:color="auto" w:fill="auto"/>
            <w:vAlign w:val="bottom"/>
          </w:tcPr>
          <w:p w14:paraId="098A93E5" w14:textId="77777777" w:rsidR="00141CDF" w:rsidRDefault="00141CDF">
            <w:pPr>
              <w:rPr>
                <w:rFonts w:ascii="宋体"/>
                <w:vanish/>
              </w:rPr>
            </w:pPr>
          </w:p>
        </w:tc>
        <w:tc>
          <w:tcPr>
            <w:tcW w:w="0" w:type="auto"/>
            <w:shd w:val="clear" w:color="auto" w:fill="auto"/>
            <w:vAlign w:val="bottom"/>
          </w:tcPr>
          <w:p w14:paraId="098A93E6" w14:textId="77777777" w:rsidR="00141CDF" w:rsidRDefault="00141CDF">
            <w:pPr>
              <w:rPr>
                <w:rFonts w:ascii="宋体"/>
                <w:vanish/>
              </w:rPr>
            </w:pPr>
          </w:p>
        </w:tc>
      </w:tr>
      <w:tr w:rsidR="00141CDF" w14:paraId="098A93EF" w14:textId="77777777">
        <w:trPr>
          <w:trHeight w:val="220"/>
        </w:trPr>
        <w:tc>
          <w:tcPr>
            <w:tcW w:w="0" w:type="auto"/>
            <w:gridSpan w:val="3"/>
            <w:shd w:val="clear" w:color="auto" w:fill="FFFFFF"/>
            <w:tcMar>
              <w:top w:w="0" w:type="dxa"/>
              <w:left w:w="20" w:type="dxa"/>
              <w:bottom w:w="0" w:type="dxa"/>
              <w:right w:w="20" w:type="dxa"/>
            </w:tcMar>
            <w:vAlign w:val="bottom"/>
          </w:tcPr>
          <w:p w14:paraId="098A93E8"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93E9" w14:textId="77777777" w:rsidR="00141CDF" w:rsidRDefault="00141CD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98A93EA"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93EB" w14:textId="77777777" w:rsidR="00141CDF" w:rsidRDefault="00141CD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98A93EC" w14:textId="77777777" w:rsidR="00141CDF" w:rsidRDefault="00141CDF">
            <w:pPr>
              <w:rPr>
                <w:rFonts w:ascii="宋体"/>
              </w:rPr>
            </w:pPr>
          </w:p>
        </w:tc>
        <w:tc>
          <w:tcPr>
            <w:tcW w:w="0" w:type="auto"/>
            <w:shd w:val="clear" w:color="auto" w:fill="auto"/>
            <w:vAlign w:val="bottom"/>
          </w:tcPr>
          <w:p w14:paraId="098A93ED" w14:textId="77777777" w:rsidR="00141CDF" w:rsidRDefault="00141CDF">
            <w:pPr>
              <w:rPr>
                <w:rFonts w:ascii="宋体"/>
                <w:vanish/>
              </w:rPr>
            </w:pPr>
          </w:p>
        </w:tc>
        <w:tc>
          <w:tcPr>
            <w:tcW w:w="0" w:type="auto"/>
            <w:shd w:val="clear" w:color="auto" w:fill="auto"/>
            <w:vAlign w:val="bottom"/>
          </w:tcPr>
          <w:p w14:paraId="098A93EE" w14:textId="77777777" w:rsidR="00141CDF" w:rsidRDefault="00141CDF">
            <w:pPr>
              <w:rPr>
                <w:rFonts w:ascii="宋体"/>
                <w:vanish/>
              </w:rPr>
            </w:pPr>
          </w:p>
        </w:tc>
      </w:tr>
      <w:tr w:rsidR="00141CDF" w14:paraId="098A93F9" w14:textId="77777777">
        <w:tc>
          <w:tcPr>
            <w:tcW w:w="0" w:type="auto"/>
            <w:gridSpan w:val="3"/>
            <w:shd w:val="clear" w:color="auto" w:fill="CCEEFF"/>
            <w:tcMar>
              <w:top w:w="40" w:type="dxa"/>
              <w:left w:w="20" w:type="dxa"/>
              <w:bottom w:w="40" w:type="dxa"/>
              <w:right w:w="20" w:type="dxa"/>
            </w:tcMar>
            <w:vAlign w:val="center"/>
          </w:tcPr>
          <w:p w14:paraId="098A93F0" w14:textId="77777777" w:rsidR="00141CDF" w:rsidRDefault="00DF45E0">
            <w:pPr>
              <w:textAlignment w:val="center"/>
            </w:pPr>
            <w:r>
              <w:rPr>
                <w:rFonts w:ascii="Times New Roman" w:eastAsia="宋体" w:hAnsi="Times New Roman"/>
                <w:color w:val="000000"/>
                <w:sz w:val="16"/>
                <w:szCs w:val="16"/>
              </w:rPr>
              <w:t>Net (decrease) increase in cash, cash equivalents and restricted cash</w:t>
            </w:r>
          </w:p>
        </w:tc>
        <w:tc>
          <w:tcPr>
            <w:tcW w:w="0" w:type="auto"/>
            <w:gridSpan w:val="3"/>
            <w:shd w:val="clear" w:color="auto" w:fill="CCEEFF"/>
            <w:tcMar>
              <w:top w:w="0" w:type="dxa"/>
              <w:left w:w="20" w:type="dxa"/>
              <w:bottom w:w="0" w:type="dxa"/>
              <w:right w:w="20" w:type="dxa"/>
            </w:tcMar>
            <w:vAlign w:val="bottom"/>
          </w:tcPr>
          <w:p w14:paraId="098A93F1"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3F2" w14:textId="77777777" w:rsidR="00141CDF" w:rsidRDefault="00DF45E0">
            <w:pPr>
              <w:jc w:val="right"/>
              <w:textAlignment w:val="center"/>
            </w:pPr>
            <w:r>
              <w:rPr>
                <w:rFonts w:ascii="Times New Roman" w:eastAsia="宋体" w:hAnsi="Times New Roman"/>
                <w:color w:val="000000"/>
                <w:sz w:val="16"/>
                <w:szCs w:val="16"/>
              </w:rPr>
              <w:t>(844)</w:t>
            </w:r>
          </w:p>
        </w:tc>
        <w:tc>
          <w:tcPr>
            <w:tcW w:w="0" w:type="auto"/>
            <w:shd w:val="clear" w:color="auto" w:fill="CCEEFF"/>
            <w:tcMar>
              <w:top w:w="40" w:type="dxa"/>
              <w:left w:w="0" w:type="dxa"/>
              <w:bottom w:w="40" w:type="dxa"/>
              <w:right w:w="20" w:type="dxa"/>
            </w:tcMar>
            <w:vAlign w:val="center"/>
          </w:tcPr>
          <w:p w14:paraId="098A93F3"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3F4"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3F5" w14:textId="77777777" w:rsidR="00141CDF" w:rsidRDefault="00DF45E0">
            <w:pPr>
              <w:jc w:val="right"/>
              <w:textAlignment w:val="center"/>
            </w:pPr>
            <w:r>
              <w:rPr>
                <w:rFonts w:ascii="Times New Roman" w:eastAsia="宋体" w:hAnsi="Times New Roman"/>
                <w:color w:val="000000"/>
                <w:sz w:val="16"/>
                <w:szCs w:val="16"/>
              </w:rPr>
              <w:t>3,245 </w:t>
            </w:r>
          </w:p>
        </w:tc>
        <w:tc>
          <w:tcPr>
            <w:tcW w:w="0" w:type="auto"/>
            <w:shd w:val="clear" w:color="auto" w:fill="CCEEFF"/>
            <w:tcMar>
              <w:top w:w="40" w:type="dxa"/>
              <w:left w:w="0" w:type="dxa"/>
              <w:bottom w:w="40" w:type="dxa"/>
              <w:right w:w="20" w:type="dxa"/>
            </w:tcMar>
            <w:vAlign w:val="center"/>
          </w:tcPr>
          <w:p w14:paraId="098A93F6" w14:textId="77777777" w:rsidR="00141CDF" w:rsidRDefault="00141CDF">
            <w:pPr>
              <w:jc w:val="right"/>
              <w:rPr>
                <w:rFonts w:ascii="宋体"/>
              </w:rPr>
            </w:pPr>
          </w:p>
        </w:tc>
        <w:tc>
          <w:tcPr>
            <w:tcW w:w="0" w:type="auto"/>
            <w:shd w:val="clear" w:color="auto" w:fill="auto"/>
            <w:vAlign w:val="bottom"/>
          </w:tcPr>
          <w:p w14:paraId="098A93F7" w14:textId="77777777" w:rsidR="00141CDF" w:rsidRDefault="00141CDF">
            <w:pPr>
              <w:rPr>
                <w:rFonts w:ascii="宋体"/>
                <w:vanish/>
              </w:rPr>
            </w:pPr>
          </w:p>
        </w:tc>
        <w:tc>
          <w:tcPr>
            <w:tcW w:w="0" w:type="auto"/>
            <w:shd w:val="clear" w:color="auto" w:fill="auto"/>
            <w:vAlign w:val="bottom"/>
          </w:tcPr>
          <w:p w14:paraId="098A93F8" w14:textId="77777777" w:rsidR="00141CDF" w:rsidRDefault="00141CDF">
            <w:pPr>
              <w:rPr>
                <w:rFonts w:ascii="宋体"/>
                <w:vanish/>
              </w:rPr>
            </w:pPr>
          </w:p>
        </w:tc>
      </w:tr>
      <w:tr w:rsidR="00141CDF" w14:paraId="098A9403" w14:textId="77777777">
        <w:tc>
          <w:tcPr>
            <w:tcW w:w="0" w:type="auto"/>
            <w:gridSpan w:val="3"/>
            <w:shd w:val="clear" w:color="auto" w:fill="FFFFFF"/>
            <w:tcMar>
              <w:top w:w="40" w:type="dxa"/>
              <w:left w:w="20" w:type="dxa"/>
              <w:bottom w:w="40" w:type="dxa"/>
              <w:right w:w="20" w:type="dxa"/>
            </w:tcMar>
            <w:vAlign w:val="center"/>
          </w:tcPr>
          <w:p w14:paraId="098A93FA" w14:textId="77777777" w:rsidR="00141CDF" w:rsidRDefault="00DF45E0">
            <w:pPr>
              <w:textAlignment w:val="center"/>
            </w:pPr>
            <w:r>
              <w:rPr>
                <w:rFonts w:ascii="Times New Roman" w:eastAsia="宋体" w:hAnsi="Times New Roman"/>
                <w:color w:val="000000"/>
                <w:sz w:val="16"/>
                <w:szCs w:val="16"/>
              </w:rPr>
              <w:t>Change in cash and cash equivalents reclassified from assets held for sale</w:t>
            </w:r>
          </w:p>
        </w:tc>
        <w:tc>
          <w:tcPr>
            <w:tcW w:w="0" w:type="auto"/>
            <w:gridSpan w:val="3"/>
            <w:shd w:val="clear" w:color="auto" w:fill="FFFFFF"/>
            <w:tcMar>
              <w:top w:w="0" w:type="dxa"/>
              <w:left w:w="20" w:type="dxa"/>
              <w:bottom w:w="0" w:type="dxa"/>
              <w:right w:w="20" w:type="dxa"/>
            </w:tcMar>
            <w:vAlign w:val="bottom"/>
          </w:tcPr>
          <w:p w14:paraId="098A93FB"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3FC"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93FD"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3FE"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3FF" w14:textId="77777777" w:rsidR="00141CDF" w:rsidRDefault="00DF45E0">
            <w:pPr>
              <w:jc w:val="right"/>
              <w:textAlignment w:val="center"/>
            </w:pPr>
            <w:r>
              <w:rPr>
                <w:rFonts w:ascii="Times New Roman" w:eastAsia="宋体" w:hAnsi="Times New Roman"/>
                <w:color w:val="000000"/>
                <w:sz w:val="16"/>
                <w:szCs w:val="16"/>
              </w:rPr>
              <w:t>1,848 </w:t>
            </w:r>
          </w:p>
        </w:tc>
        <w:tc>
          <w:tcPr>
            <w:tcW w:w="0" w:type="auto"/>
            <w:shd w:val="clear" w:color="auto" w:fill="FFFFFF"/>
            <w:tcMar>
              <w:top w:w="40" w:type="dxa"/>
              <w:left w:w="0" w:type="dxa"/>
              <w:bottom w:w="40" w:type="dxa"/>
              <w:right w:w="20" w:type="dxa"/>
            </w:tcMar>
            <w:vAlign w:val="center"/>
          </w:tcPr>
          <w:p w14:paraId="098A9400" w14:textId="77777777" w:rsidR="00141CDF" w:rsidRDefault="00141CDF">
            <w:pPr>
              <w:jc w:val="right"/>
              <w:rPr>
                <w:rFonts w:ascii="宋体"/>
              </w:rPr>
            </w:pPr>
          </w:p>
        </w:tc>
        <w:tc>
          <w:tcPr>
            <w:tcW w:w="0" w:type="auto"/>
            <w:shd w:val="clear" w:color="auto" w:fill="auto"/>
            <w:vAlign w:val="bottom"/>
          </w:tcPr>
          <w:p w14:paraId="098A9401" w14:textId="77777777" w:rsidR="00141CDF" w:rsidRDefault="00141CDF">
            <w:pPr>
              <w:rPr>
                <w:rFonts w:ascii="宋体"/>
                <w:vanish/>
              </w:rPr>
            </w:pPr>
          </w:p>
        </w:tc>
        <w:tc>
          <w:tcPr>
            <w:tcW w:w="0" w:type="auto"/>
            <w:shd w:val="clear" w:color="auto" w:fill="auto"/>
            <w:vAlign w:val="bottom"/>
          </w:tcPr>
          <w:p w14:paraId="098A9402" w14:textId="77777777" w:rsidR="00141CDF" w:rsidRDefault="00141CDF">
            <w:pPr>
              <w:rPr>
                <w:rFonts w:ascii="宋体"/>
                <w:vanish/>
              </w:rPr>
            </w:pPr>
          </w:p>
        </w:tc>
      </w:tr>
      <w:tr w:rsidR="00141CDF" w14:paraId="098A940D" w14:textId="77777777">
        <w:tc>
          <w:tcPr>
            <w:tcW w:w="0" w:type="auto"/>
            <w:gridSpan w:val="3"/>
            <w:shd w:val="clear" w:color="auto" w:fill="CCEEFF"/>
            <w:tcMar>
              <w:top w:w="40" w:type="dxa"/>
              <w:left w:w="20" w:type="dxa"/>
              <w:bottom w:w="40" w:type="dxa"/>
              <w:right w:w="20" w:type="dxa"/>
            </w:tcMar>
            <w:vAlign w:val="center"/>
          </w:tcPr>
          <w:p w14:paraId="098A9404" w14:textId="77777777" w:rsidR="00141CDF" w:rsidRDefault="00DF45E0">
            <w:pPr>
              <w:textAlignment w:val="center"/>
            </w:pPr>
            <w:r>
              <w:rPr>
                <w:rFonts w:ascii="Times New Roman" w:eastAsia="宋体" w:hAnsi="Times New Roman"/>
                <w:color w:val="000000"/>
                <w:sz w:val="16"/>
                <w:szCs w:val="16"/>
              </w:rPr>
              <w:t>Cash, cash equivalents and restricted cash at beginning of year</w:t>
            </w:r>
          </w:p>
        </w:tc>
        <w:tc>
          <w:tcPr>
            <w:tcW w:w="0" w:type="auto"/>
            <w:gridSpan w:val="3"/>
            <w:shd w:val="clear" w:color="auto" w:fill="CCEEFF"/>
            <w:tcMar>
              <w:top w:w="0" w:type="dxa"/>
              <w:left w:w="20" w:type="dxa"/>
              <w:bottom w:w="0" w:type="dxa"/>
              <w:right w:w="20" w:type="dxa"/>
            </w:tcMar>
            <w:vAlign w:val="bottom"/>
          </w:tcPr>
          <w:p w14:paraId="098A9405"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406" w14:textId="77777777" w:rsidR="00141CDF" w:rsidRDefault="00DF45E0">
            <w:pPr>
              <w:jc w:val="right"/>
              <w:textAlignment w:val="center"/>
            </w:pPr>
            <w:r>
              <w:rPr>
                <w:rFonts w:ascii="Times New Roman" w:eastAsia="宋体" w:hAnsi="Times New Roman"/>
                <w:color w:val="000000"/>
                <w:sz w:val="16"/>
                <w:szCs w:val="16"/>
              </w:rPr>
              <w:t>14,834 </w:t>
            </w:r>
          </w:p>
        </w:tc>
        <w:tc>
          <w:tcPr>
            <w:tcW w:w="0" w:type="auto"/>
            <w:shd w:val="clear" w:color="auto" w:fill="CCEEFF"/>
            <w:tcMar>
              <w:top w:w="40" w:type="dxa"/>
              <w:left w:w="0" w:type="dxa"/>
              <w:bottom w:w="40" w:type="dxa"/>
              <w:right w:w="20" w:type="dxa"/>
            </w:tcMar>
            <w:vAlign w:val="center"/>
          </w:tcPr>
          <w:p w14:paraId="098A9407"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408"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409" w14:textId="77777777" w:rsidR="00141CDF" w:rsidRDefault="00DF45E0">
            <w:pPr>
              <w:jc w:val="right"/>
              <w:textAlignment w:val="center"/>
            </w:pPr>
            <w:r>
              <w:rPr>
                <w:rFonts w:ascii="Times New Roman" w:eastAsia="宋体" w:hAnsi="Times New Roman"/>
                <w:color w:val="000000"/>
                <w:sz w:val="16"/>
                <w:szCs w:val="16"/>
              </w:rPr>
              <w:t>17,788 </w:t>
            </w:r>
          </w:p>
        </w:tc>
        <w:tc>
          <w:tcPr>
            <w:tcW w:w="0" w:type="auto"/>
            <w:shd w:val="clear" w:color="auto" w:fill="CCEEFF"/>
            <w:tcMar>
              <w:top w:w="40" w:type="dxa"/>
              <w:left w:w="0" w:type="dxa"/>
              <w:bottom w:w="40" w:type="dxa"/>
              <w:right w:w="20" w:type="dxa"/>
            </w:tcMar>
            <w:vAlign w:val="center"/>
          </w:tcPr>
          <w:p w14:paraId="098A940A" w14:textId="77777777" w:rsidR="00141CDF" w:rsidRDefault="00141CDF">
            <w:pPr>
              <w:jc w:val="right"/>
              <w:rPr>
                <w:rFonts w:ascii="宋体"/>
              </w:rPr>
            </w:pPr>
          </w:p>
        </w:tc>
        <w:tc>
          <w:tcPr>
            <w:tcW w:w="0" w:type="auto"/>
            <w:shd w:val="clear" w:color="auto" w:fill="auto"/>
            <w:vAlign w:val="bottom"/>
          </w:tcPr>
          <w:p w14:paraId="098A940B" w14:textId="77777777" w:rsidR="00141CDF" w:rsidRDefault="00141CDF">
            <w:pPr>
              <w:rPr>
                <w:rFonts w:ascii="宋体"/>
                <w:vanish/>
              </w:rPr>
            </w:pPr>
          </w:p>
        </w:tc>
        <w:tc>
          <w:tcPr>
            <w:tcW w:w="0" w:type="auto"/>
            <w:shd w:val="clear" w:color="auto" w:fill="auto"/>
            <w:vAlign w:val="bottom"/>
          </w:tcPr>
          <w:p w14:paraId="098A940C" w14:textId="77777777" w:rsidR="00141CDF" w:rsidRDefault="00141CDF">
            <w:pPr>
              <w:rPr>
                <w:rFonts w:ascii="宋体"/>
                <w:vanish/>
              </w:rPr>
            </w:pPr>
          </w:p>
        </w:tc>
      </w:tr>
      <w:tr w:rsidR="00141CDF" w14:paraId="098A9419" w14:textId="77777777">
        <w:tc>
          <w:tcPr>
            <w:tcW w:w="0" w:type="auto"/>
            <w:gridSpan w:val="3"/>
            <w:shd w:val="clear" w:color="auto" w:fill="FFFFFF"/>
            <w:tcMar>
              <w:top w:w="40" w:type="dxa"/>
              <w:left w:w="20" w:type="dxa"/>
              <w:bottom w:w="40" w:type="dxa"/>
              <w:right w:w="20" w:type="dxa"/>
            </w:tcMar>
            <w:vAlign w:val="center"/>
          </w:tcPr>
          <w:p w14:paraId="098A940E" w14:textId="77777777" w:rsidR="00141CDF" w:rsidRDefault="00DF45E0">
            <w:pPr>
              <w:textAlignment w:val="center"/>
            </w:pPr>
            <w:r>
              <w:rPr>
                <w:rFonts w:ascii="Times New Roman" w:eastAsia="宋体" w:hAnsi="Times New Roman"/>
                <w:color w:val="000000"/>
                <w:sz w:val="16"/>
                <w:szCs w:val="16"/>
              </w:rPr>
              <w:t>Cash, cash equivalents and restricted cash at end of period</w:t>
            </w:r>
          </w:p>
        </w:tc>
        <w:tc>
          <w:tcPr>
            <w:tcW w:w="0" w:type="auto"/>
            <w:gridSpan w:val="3"/>
            <w:shd w:val="clear" w:color="auto" w:fill="FFFFFF"/>
            <w:tcMar>
              <w:top w:w="0" w:type="dxa"/>
              <w:left w:w="20" w:type="dxa"/>
              <w:bottom w:w="0" w:type="dxa"/>
              <w:right w:w="20" w:type="dxa"/>
            </w:tcMar>
            <w:vAlign w:val="bottom"/>
          </w:tcPr>
          <w:p w14:paraId="098A940F" w14:textId="77777777" w:rsidR="00141CDF" w:rsidRDefault="00141C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98A9410"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98A9411" w14:textId="77777777" w:rsidR="00141CDF" w:rsidRDefault="00DF45E0">
            <w:pPr>
              <w:jc w:val="right"/>
              <w:textAlignment w:val="center"/>
            </w:pPr>
            <w:r>
              <w:rPr>
                <w:rFonts w:ascii="Times New Roman" w:eastAsia="宋体" w:hAnsi="Times New Roman"/>
                <w:color w:val="000000"/>
                <w:sz w:val="16"/>
                <w:szCs w:val="16"/>
              </w:rPr>
              <w:t>13,990 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98A9412"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413" w14:textId="77777777" w:rsidR="00141CDF" w:rsidRDefault="00141C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98A9414"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98A9415" w14:textId="77777777" w:rsidR="00141CDF" w:rsidRDefault="00DF45E0">
            <w:pPr>
              <w:jc w:val="right"/>
              <w:textAlignment w:val="center"/>
            </w:pPr>
            <w:r>
              <w:rPr>
                <w:rFonts w:ascii="Times New Roman" w:eastAsia="宋体" w:hAnsi="Times New Roman"/>
                <w:color w:val="000000"/>
                <w:sz w:val="16"/>
                <w:szCs w:val="16"/>
              </w:rPr>
              <w:t>22,881 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98A9416" w14:textId="77777777" w:rsidR="00141CDF" w:rsidRDefault="00141CDF">
            <w:pPr>
              <w:jc w:val="right"/>
              <w:rPr>
                <w:rFonts w:ascii="宋体"/>
              </w:rPr>
            </w:pPr>
          </w:p>
        </w:tc>
        <w:tc>
          <w:tcPr>
            <w:tcW w:w="0" w:type="auto"/>
            <w:shd w:val="clear" w:color="auto" w:fill="auto"/>
            <w:vAlign w:val="bottom"/>
          </w:tcPr>
          <w:p w14:paraId="098A9417" w14:textId="77777777" w:rsidR="00141CDF" w:rsidRDefault="00141CDF">
            <w:pPr>
              <w:rPr>
                <w:rFonts w:ascii="宋体"/>
                <w:vanish/>
              </w:rPr>
            </w:pPr>
          </w:p>
        </w:tc>
        <w:tc>
          <w:tcPr>
            <w:tcW w:w="0" w:type="auto"/>
            <w:shd w:val="clear" w:color="auto" w:fill="auto"/>
            <w:vAlign w:val="bottom"/>
          </w:tcPr>
          <w:p w14:paraId="098A9418" w14:textId="77777777" w:rsidR="00141CDF" w:rsidRDefault="00141CDF">
            <w:pPr>
              <w:rPr>
                <w:rFonts w:ascii="宋体"/>
                <w:vanish/>
              </w:rPr>
            </w:pPr>
          </w:p>
        </w:tc>
      </w:tr>
      <w:tr w:rsidR="00141CDF" w14:paraId="098A9421" w14:textId="77777777">
        <w:trPr>
          <w:hidden/>
        </w:trPr>
        <w:tc>
          <w:tcPr>
            <w:tcW w:w="0" w:type="auto"/>
            <w:gridSpan w:val="3"/>
            <w:shd w:val="clear" w:color="auto" w:fill="auto"/>
            <w:vAlign w:val="bottom"/>
          </w:tcPr>
          <w:p w14:paraId="098A941A" w14:textId="77777777" w:rsidR="00141CDF" w:rsidRDefault="00141CDF">
            <w:pPr>
              <w:rPr>
                <w:rFonts w:ascii="宋体"/>
                <w:vanish/>
              </w:rPr>
            </w:pPr>
          </w:p>
        </w:tc>
        <w:tc>
          <w:tcPr>
            <w:tcW w:w="0" w:type="auto"/>
            <w:gridSpan w:val="3"/>
            <w:shd w:val="clear" w:color="auto" w:fill="auto"/>
            <w:vAlign w:val="bottom"/>
          </w:tcPr>
          <w:p w14:paraId="098A941B" w14:textId="77777777" w:rsidR="00141CDF" w:rsidRDefault="00141CDF">
            <w:pPr>
              <w:rPr>
                <w:rFonts w:ascii="宋体"/>
                <w:vanish/>
              </w:rPr>
            </w:pPr>
          </w:p>
        </w:tc>
        <w:tc>
          <w:tcPr>
            <w:tcW w:w="0" w:type="auto"/>
            <w:gridSpan w:val="3"/>
            <w:shd w:val="clear" w:color="auto" w:fill="auto"/>
            <w:vAlign w:val="bottom"/>
          </w:tcPr>
          <w:p w14:paraId="098A941C" w14:textId="77777777" w:rsidR="00141CDF" w:rsidRDefault="00141CDF">
            <w:pPr>
              <w:rPr>
                <w:rFonts w:ascii="宋体"/>
                <w:vanish/>
              </w:rPr>
            </w:pPr>
          </w:p>
        </w:tc>
        <w:tc>
          <w:tcPr>
            <w:tcW w:w="0" w:type="auto"/>
            <w:gridSpan w:val="3"/>
            <w:shd w:val="clear" w:color="auto" w:fill="auto"/>
            <w:vAlign w:val="bottom"/>
          </w:tcPr>
          <w:p w14:paraId="098A941D" w14:textId="77777777" w:rsidR="00141CDF" w:rsidRDefault="00141CDF">
            <w:pPr>
              <w:rPr>
                <w:rFonts w:ascii="宋体"/>
                <w:vanish/>
              </w:rPr>
            </w:pPr>
          </w:p>
        </w:tc>
        <w:tc>
          <w:tcPr>
            <w:tcW w:w="0" w:type="auto"/>
            <w:gridSpan w:val="3"/>
            <w:shd w:val="clear" w:color="auto" w:fill="auto"/>
            <w:vAlign w:val="bottom"/>
          </w:tcPr>
          <w:p w14:paraId="098A941E" w14:textId="77777777" w:rsidR="00141CDF" w:rsidRDefault="00141CDF">
            <w:pPr>
              <w:rPr>
                <w:rFonts w:ascii="宋体"/>
                <w:vanish/>
              </w:rPr>
            </w:pPr>
          </w:p>
        </w:tc>
        <w:tc>
          <w:tcPr>
            <w:tcW w:w="0" w:type="auto"/>
            <w:shd w:val="clear" w:color="auto" w:fill="auto"/>
            <w:vAlign w:val="bottom"/>
          </w:tcPr>
          <w:p w14:paraId="098A941F" w14:textId="77777777" w:rsidR="00141CDF" w:rsidRDefault="00141CDF">
            <w:pPr>
              <w:rPr>
                <w:rFonts w:ascii="宋体"/>
                <w:vanish/>
              </w:rPr>
            </w:pPr>
          </w:p>
        </w:tc>
        <w:tc>
          <w:tcPr>
            <w:tcW w:w="0" w:type="auto"/>
            <w:shd w:val="clear" w:color="auto" w:fill="auto"/>
            <w:vAlign w:val="bottom"/>
          </w:tcPr>
          <w:p w14:paraId="098A9420" w14:textId="77777777" w:rsidR="00141CDF" w:rsidRDefault="00141CDF">
            <w:pPr>
              <w:rPr>
                <w:rFonts w:ascii="宋体"/>
                <w:vanish/>
              </w:rPr>
            </w:pPr>
          </w:p>
        </w:tc>
      </w:tr>
      <w:tr w:rsidR="00141CDF" w14:paraId="098A9429" w14:textId="77777777">
        <w:trPr>
          <w:hidden/>
        </w:trPr>
        <w:tc>
          <w:tcPr>
            <w:tcW w:w="0" w:type="auto"/>
            <w:gridSpan w:val="3"/>
            <w:shd w:val="clear" w:color="auto" w:fill="auto"/>
            <w:vAlign w:val="bottom"/>
          </w:tcPr>
          <w:p w14:paraId="098A9422" w14:textId="77777777" w:rsidR="00141CDF" w:rsidRDefault="00141CDF">
            <w:pPr>
              <w:rPr>
                <w:rFonts w:ascii="宋体"/>
                <w:vanish/>
              </w:rPr>
            </w:pPr>
          </w:p>
        </w:tc>
        <w:tc>
          <w:tcPr>
            <w:tcW w:w="0" w:type="auto"/>
            <w:gridSpan w:val="3"/>
            <w:shd w:val="clear" w:color="auto" w:fill="auto"/>
            <w:vAlign w:val="bottom"/>
          </w:tcPr>
          <w:p w14:paraId="098A9423" w14:textId="77777777" w:rsidR="00141CDF" w:rsidRDefault="00141CDF">
            <w:pPr>
              <w:rPr>
                <w:rFonts w:ascii="宋体"/>
                <w:vanish/>
              </w:rPr>
            </w:pPr>
          </w:p>
        </w:tc>
        <w:tc>
          <w:tcPr>
            <w:tcW w:w="0" w:type="auto"/>
            <w:gridSpan w:val="3"/>
            <w:shd w:val="clear" w:color="auto" w:fill="auto"/>
            <w:vAlign w:val="bottom"/>
          </w:tcPr>
          <w:p w14:paraId="098A9424" w14:textId="77777777" w:rsidR="00141CDF" w:rsidRDefault="00141CDF">
            <w:pPr>
              <w:rPr>
                <w:rFonts w:ascii="宋体"/>
                <w:vanish/>
              </w:rPr>
            </w:pPr>
          </w:p>
        </w:tc>
        <w:tc>
          <w:tcPr>
            <w:tcW w:w="0" w:type="auto"/>
            <w:gridSpan w:val="3"/>
            <w:shd w:val="clear" w:color="auto" w:fill="auto"/>
            <w:vAlign w:val="bottom"/>
          </w:tcPr>
          <w:p w14:paraId="098A9425" w14:textId="77777777" w:rsidR="00141CDF" w:rsidRDefault="00141CDF">
            <w:pPr>
              <w:rPr>
                <w:rFonts w:ascii="宋体"/>
                <w:vanish/>
              </w:rPr>
            </w:pPr>
          </w:p>
        </w:tc>
        <w:tc>
          <w:tcPr>
            <w:tcW w:w="0" w:type="auto"/>
            <w:gridSpan w:val="3"/>
            <w:shd w:val="clear" w:color="auto" w:fill="auto"/>
            <w:vAlign w:val="bottom"/>
          </w:tcPr>
          <w:p w14:paraId="098A9426" w14:textId="77777777" w:rsidR="00141CDF" w:rsidRDefault="00141CDF">
            <w:pPr>
              <w:rPr>
                <w:rFonts w:ascii="宋体"/>
                <w:vanish/>
              </w:rPr>
            </w:pPr>
          </w:p>
        </w:tc>
        <w:tc>
          <w:tcPr>
            <w:tcW w:w="0" w:type="auto"/>
            <w:shd w:val="clear" w:color="auto" w:fill="auto"/>
            <w:vAlign w:val="bottom"/>
          </w:tcPr>
          <w:p w14:paraId="098A9427" w14:textId="77777777" w:rsidR="00141CDF" w:rsidRDefault="00141CDF">
            <w:pPr>
              <w:rPr>
                <w:rFonts w:ascii="宋体"/>
                <w:vanish/>
              </w:rPr>
            </w:pPr>
          </w:p>
        </w:tc>
        <w:tc>
          <w:tcPr>
            <w:tcW w:w="0" w:type="auto"/>
            <w:shd w:val="clear" w:color="auto" w:fill="auto"/>
            <w:vAlign w:val="bottom"/>
          </w:tcPr>
          <w:p w14:paraId="098A9428" w14:textId="77777777" w:rsidR="00141CDF" w:rsidRDefault="00141CDF">
            <w:pPr>
              <w:rPr>
                <w:rFonts w:ascii="宋体"/>
                <w:vanish/>
              </w:rPr>
            </w:pPr>
          </w:p>
        </w:tc>
      </w:tr>
      <w:tr w:rsidR="00141CDF" w14:paraId="098A9431" w14:textId="77777777">
        <w:trPr>
          <w:hidden/>
        </w:trPr>
        <w:tc>
          <w:tcPr>
            <w:tcW w:w="0" w:type="auto"/>
            <w:gridSpan w:val="3"/>
            <w:shd w:val="clear" w:color="auto" w:fill="auto"/>
            <w:vAlign w:val="bottom"/>
          </w:tcPr>
          <w:p w14:paraId="098A942A" w14:textId="77777777" w:rsidR="00141CDF" w:rsidRDefault="00141CDF">
            <w:pPr>
              <w:rPr>
                <w:rFonts w:ascii="宋体"/>
                <w:vanish/>
              </w:rPr>
            </w:pPr>
          </w:p>
        </w:tc>
        <w:tc>
          <w:tcPr>
            <w:tcW w:w="0" w:type="auto"/>
            <w:gridSpan w:val="3"/>
            <w:shd w:val="clear" w:color="auto" w:fill="auto"/>
            <w:vAlign w:val="bottom"/>
          </w:tcPr>
          <w:p w14:paraId="098A942B" w14:textId="77777777" w:rsidR="00141CDF" w:rsidRDefault="00141CDF">
            <w:pPr>
              <w:rPr>
                <w:rFonts w:ascii="宋体"/>
                <w:vanish/>
              </w:rPr>
            </w:pPr>
          </w:p>
        </w:tc>
        <w:tc>
          <w:tcPr>
            <w:tcW w:w="0" w:type="auto"/>
            <w:gridSpan w:val="3"/>
            <w:shd w:val="clear" w:color="auto" w:fill="auto"/>
            <w:vAlign w:val="bottom"/>
          </w:tcPr>
          <w:p w14:paraId="098A942C" w14:textId="77777777" w:rsidR="00141CDF" w:rsidRDefault="00141CDF">
            <w:pPr>
              <w:rPr>
                <w:rFonts w:ascii="宋体"/>
                <w:vanish/>
              </w:rPr>
            </w:pPr>
          </w:p>
        </w:tc>
        <w:tc>
          <w:tcPr>
            <w:tcW w:w="0" w:type="auto"/>
            <w:gridSpan w:val="3"/>
            <w:shd w:val="clear" w:color="auto" w:fill="auto"/>
            <w:vAlign w:val="bottom"/>
          </w:tcPr>
          <w:p w14:paraId="098A942D" w14:textId="77777777" w:rsidR="00141CDF" w:rsidRDefault="00141CDF">
            <w:pPr>
              <w:rPr>
                <w:rFonts w:ascii="宋体"/>
                <w:vanish/>
              </w:rPr>
            </w:pPr>
          </w:p>
        </w:tc>
        <w:tc>
          <w:tcPr>
            <w:tcW w:w="0" w:type="auto"/>
            <w:gridSpan w:val="3"/>
            <w:shd w:val="clear" w:color="auto" w:fill="auto"/>
            <w:vAlign w:val="bottom"/>
          </w:tcPr>
          <w:p w14:paraId="098A942E" w14:textId="77777777" w:rsidR="00141CDF" w:rsidRDefault="00141CDF">
            <w:pPr>
              <w:rPr>
                <w:rFonts w:ascii="宋体"/>
                <w:vanish/>
              </w:rPr>
            </w:pPr>
          </w:p>
        </w:tc>
        <w:tc>
          <w:tcPr>
            <w:tcW w:w="0" w:type="auto"/>
            <w:shd w:val="clear" w:color="auto" w:fill="auto"/>
            <w:vAlign w:val="bottom"/>
          </w:tcPr>
          <w:p w14:paraId="098A942F" w14:textId="77777777" w:rsidR="00141CDF" w:rsidRDefault="00141CDF">
            <w:pPr>
              <w:rPr>
                <w:rFonts w:ascii="宋体"/>
                <w:vanish/>
              </w:rPr>
            </w:pPr>
          </w:p>
        </w:tc>
        <w:tc>
          <w:tcPr>
            <w:tcW w:w="0" w:type="auto"/>
            <w:shd w:val="clear" w:color="auto" w:fill="auto"/>
            <w:vAlign w:val="bottom"/>
          </w:tcPr>
          <w:p w14:paraId="098A9430" w14:textId="77777777" w:rsidR="00141CDF" w:rsidRDefault="00141CDF">
            <w:pPr>
              <w:rPr>
                <w:rFonts w:ascii="宋体"/>
                <w:vanish/>
              </w:rPr>
            </w:pPr>
          </w:p>
        </w:tc>
      </w:tr>
      <w:tr w:rsidR="00141CDF" w14:paraId="098A9439" w14:textId="77777777">
        <w:trPr>
          <w:hidden/>
        </w:trPr>
        <w:tc>
          <w:tcPr>
            <w:tcW w:w="0" w:type="auto"/>
            <w:gridSpan w:val="3"/>
            <w:shd w:val="clear" w:color="auto" w:fill="auto"/>
            <w:vAlign w:val="bottom"/>
          </w:tcPr>
          <w:p w14:paraId="098A9432" w14:textId="77777777" w:rsidR="00141CDF" w:rsidRDefault="00141CDF">
            <w:pPr>
              <w:rPr>
                <w:rFonts w:ascii="宋体"/>
                <w:vanish/>
              </w:rPr>
            </w:pPr>
          </w:p>
        </w:tc>
        <w:tc>
          <w:tcPr>
            <w:tcW w:w="0" w:type="auto"/>
            <w:gridSpan w:val="3"/>
            <w:shd w:val="clear" w:color="auto" w:fill="auto"/>
            <w:vAlign w:val="bottom"/>
          </w:tcPr>
          <w:p w14:paraId="098A9433" w14:textId="77777777" w:rsidR="00141CDF" w:rsidRDefault="00141CDF">
            <w:pPr>
              <w:rPr>
                <w:rFonts w:ascii="宋体"/>
                <w:vanish/>
              </w:rPr>
            </w:pPr>
          </w:p>
        </w:tc>
        <w:tc>
          <w:tcPr>
            <w:tcW w:w="0" w:type="auto"/>
            <w:gridSpan w:val="3"/>
            <w:shd w:val="clear" w:color="auto" w:fill="auto"/>
            <w:vAlign w:val="bottom"/>
          </w:tcPr>
          <w:p w14:paraId="098A9434" w14:textId="77777777" w:rsidR="00141CDF" w:rsidRDefault="00141CDF">
            <w:pPr>
              <w:rPr>
                <w:rFonts w:ascii="宋体"/>
                <w:vanish/>
              </w:rPr>
            </w:pPr>
          </w:p>
        </w:tc>
        <w:tc>
          <w:tcPr>
            <w:tcW w:w="0" w:type="auto"/>
            <w:gridSpan w:val="3"/>
            <w:shd w:val="clear" w:color="auto" w:fill="auto"/>
            <w:vAlign w:val="bottom"/>
          </w:tcPr>
          <w:p w14:paraId="098A9435" w14:textId="77777777" w:rsidR="00141CDF" w:rsidRDefault="00141CDF">
            <w:pPr>
              <w:rPr>
                <w:rFonts w:ascii="宋体"/>
                <w:vanish/>
              </w:rPr>
            </w:pPr>
          </w:p>
        </w:tc>
        <w:tc>
          <w:tcPr>
            <w:tcW w:w="0" w:type="auto"/>
            <w:gridSpan w:val="3"/>
            <w:shd w:val="clear" w:color="auto" w:fill="auto"/>
            <w:vAlign w:val="bottom"/>
          </w:tcPr>
          <w:p w14:paraId="098A9436" w14:textId="77777777" w:rsidR="00141CDF" w:rsidRDefault="00141CDF">
            <w:pPr>
              <w:rPr>
                <w:rFonts w:ascii="宋体"/>
                <w:vanish/>
              </w:rPr>
            </w:pPr>
          </w:p>
        </w:tc>
        <w:tc>
          <w:tcPr>
            <w:tcW w:w="0" w:type="auto"/>
            <w:shd w:val="clear" w:color="auto" w:fill="auto"/>
            <w:vAlign w:val="bottom"/>
          </w:tcPr>
          <w:p w14:paraId="098A9437" w14:textId="77777777" w:rsidR="00141CDF" w:rsidRDefault="00141CDF">
            <w:pPr>
              <w:rPr>
                <w:rFonts w:ascii="宋体"/>
                <w:vanish/>
              </w:rPr>
            </w:pPr>
          </w:p>
        </w:tc>
        <w:tc>
          <w:tcPr>
            <w:tcW w:w="0" w:type="auto"/>
            <w:shd w:val="clear" w:color="auto" w:fill="auto"/>
            <w:vAlign w:val="bottom"/>
          </w:tcPr>
          <w:p w14:paraId="098A9438" w14:textId="77777777" w:rsidR="00141CDF" w:rsidRDefault="00141CDF">
            <w:pPr>
              <w:rPr>
                <w:rFonts w:ascii="宋体"/>
                <w:vanish/>
              </w:rPr>
            </w:pPr>
          </w:p>
        </w:tc>
      </w:tr>
    </w:tbl>
    <w:p w14:paraId="098A943A" w14:textId="77777777" w:rsidR="00141CDF" w:rsidRDefault="00DF45E0">
      <w:pPr>
        <w:spacing w:before="80"/>
      </w:pPr>
      <w:r>
        <w:rPr>
          <w:rFonts w:ascii="Times New Roman" w:eastAsia="宋体" w:hAnsi="Times New Roman"/>
          <w:i/>
          <w:iCs/>
          <w:color w:val="000000"/>
          <w:sz w:val="16"/>
          <w:szCs w:val="16"/>
        </w:rPr>
        <w:t xml:space="preserve">See accompanying notes. </w:t>
      </w:r>
    </w:p>
    <w:p w14:paraId="098A943B" w14:textId="77777777" w:rsidR="00141CDF" w:rsidRDefault="00DF45E0">
      <w:pPr>
        <w:jc w:val="center"/>
      </w:pPr>
      <w:r>
        <w:rPr>
          <w:rFonts w:ascii="Times New Roman" w:eastAsia="宋体" w:hAnsi="Times New Roman"/>
          <w:color w:val="000000"/>
          <w:sz w:val="20"/>
          <w:szCs w:val="20"/>
        </w:rPr>
        <w:t>7</w:t>
      </w:r>
    </w:p>
    <w:p w14:paraId="098A943C" w14:textId="77777777" w:rsidR="00141CDF" w:rsidRDefault="00DF45E0">
      <w:r>
        <w:pict w14:anchorId="098AA655">
          <v:rect id="_x0000_i1031" style="width:415.3pt;height:1.5pt" o:hralign="center" o:hrstd="t" o:hr="t" fillcolor="#a0a0a0" stroked="f"/>
        </w:pict>
      </w:r>
    </w:p>
    <w:p w14:paraId="098A943D" w14:textId="77777777" w:rsidR="00141CDF" w:rsidRDefault="00DF45E0">
      <w:hyperlink r:id="rId51" w:anchor="i24a2f296795646fa8b5ba32fd1359591_7" w:history="1">
        <w:r>
          <w:rPr>
            <w:rStyle w:val="a5"/>
            <w:rFonts w:ascii="Times New Roman" w:eastAsia="宋体" w:hAnsi="Times New Roman"/>
            <w:sz w:val="20"/>
            <w:szCs w:val="20"/>
          </w:rPr>
          <w:t xml:space="preserve">Table of </w:t>
        </w:r>
      </w:hyperlink>
      <w:hyperlink r:id="rId52" w:anchor="i24a2f296795646fa8b5ba32fd1359591_7" w:history="1">
        <w:r>
          <w:rPr>
            <w:rStyle w:val="a5"/>
            <w:rFonts w:ascii="Times New Roman" w:eastAsia="宋体" w:hAnsi="Times New Roman"/>
            <w:sz w:val="20"/>
            <w:szCs w:val="20"/>
          </w:rPr>
          <w:t>Contents</w:t>
        </w:r>
      </w:hyperlink>
    </w:p>
    <w:p w14:paraId="098A943E" w14:textId="77777777" w:rsidR="00141CDF" w:rsidRDefault="00DF45E0">
      <w:pPr>
        <w:jc w:val="center"/>
      </w:pPr>
      <w:r>
        <w:rPr>
          <w:rFonts w:ascii="Times New Roman" w:eastAsia="宋体" w:hAnsi="Times New Roman"/>
          <w:b/>
          <w:bCs/>
          <w:color w:val="000000"/>
          <w:sz w:val="20"/>
          <w:szCs w:val="20"/>
        </w:rPr>
        <w:t>Walmart Inc.</w:t>
      </w:r>
    </w:p>
    <w:p w14:paraId="098A943F" w14:textId="77777777" w:rsidR="00141CDF" w:rsidRDefault="00DF45E0">
      <w:pPr>
        <w:spacing w:before="60"/>
        <w:jc w:val="center"/>
      </w:pPr>
      <w:r>
        <w:rPr>
          <w:rFonts w:ascii="Times New Roman" w:eastAsia="宋体" w:hAnsi="Times New Roman"/>
          <w:b/>
          <w:bCs/>
          <w:color w:val="000000"/>
          <w:sz w:val="20"/>
          <w:szCs w:val="20"/>
        </w:rPr>
        <w:t>Notes to Condensed Consolidated Financial Statements</w:t>
      </w:r>
    </w:p>
    <w:p w14:paraId="098A9440" w14:textId="77777777" w:rsidR="00141CDF" w:rsidRDefault="00DF45E0">
      <w:pPr>
        <w:spacing w:before="180"/>
      </w:pPr>
      <w:r>
        <w:rPr>
          <w:rFonts w:ascii="Times New Roman" w:eastAsia="宋体" w:hAnsi="Times New Roman"/>
          <w:b/>
          <w:bCs/>
          <w:color w:val="000000"/>
          <w:sz w:val="20"/>
          <w:szCs w:val="20"/>
        </w:rPr>
        <w:t>Note 1. Summary of Significant Accounting Policies</w:t>
      </w:r>
    </w:p>
    <w:p w14:paraId="098A9441" w14:textId="77777777" w:rsidR="00141CDF" w:rsidRDefault="00DF45E0">
      <w:pPr>
        <w:spacing w:before="180"/>
      </w:pPr>
      <w:r>
        <w:rPr>
          <w:rFonts w:ascii="Times New Roman" w:eastAsia="宋体" w:hAnsi="Times New Roman"/>
          <w:b/>
          <w:bCs/>
          <w:i/>
          <w:iCs/>
          <w:color w:val="000000"/>
          <w:sz w:val="20"/>
          <w:szCs w:val="20"/>
        </w:rPr>
        <w:t>Basis of Presentation</w:t>
      </w:r>
    </w:p>
    <w:p w14:paraId="098A9442" w14:textId="77777777" w:rsidR="00141CDF" w:rsidRDefault="00DF45E0">
      <w:pPr>
        <w:spacing w:before="60"/>
      </w:pPr>
      <w:r>
        <w:rPr>
          <w:rFonts w:ascii="Times New Roman" w:eastAsia="宋体" w:hAnsi="Times New Roman"/>
          <w:color w:val="000000"/>
          <w:sz w:val="20"/>
          <w:szCs w:val="20"/>
        </w:rPr>
        <w:t>The Condensed Consolidated Financial Statements of Walmart Inc. and its subsidiaries ("Walmart" or the "Company") and the accompanying notes included in this Quarterly Report on Form 10-Q are unaudited. In the opinion of management, all adjustments necessa</w:t>
      </w:r>
      <w:r>
        <w:rPr>
          <w:rFonts w:ascii="Times New Roman" w:eastAsia="宋体" w:hAnsi="Times New Roman"/>
          <w:color w:val="000000"/>
          <w:sz w:val="20"/>
          <w:szCs w:val="20"/>
        </w:rPr>
        <w:t xml:space="preserve">ry for the fair presentation of the Condensed Consolidated Financial Statements have been included. Such adjustments are of a normal, recurring nature. Certain previously reported amounts have been reclassified to conform to the current year presentation. </w:t>
      </w:r>
      <w:r>
        <w:rPr>
          <w:rFonts w:ascii="Times New Roman" w:eastAsia="宋体" w:hAnsi="Times New Roman"/>
          <w:color w:val="000000"/>
          <w:sz w:val="20"/>
          <w:szCs w:val="20"/>
        </w:rPr>
        <w:t>The Condensed Consolidated Financial Statements, and the accompanying notes, are prepared in accordance with generally accepted accounting principles in the United States ("GAAP") and do not contain certain information included in the Company's Annual Repo</w:t>
      </w:r>
      <w:r>
        <w:rPr>
          <w:rFonts w:ascii="Times New Roman" w:eastAsia="宋体" w:hAnsi="Times New Roman"/>
          <w:color w:val="000000"/>
          <w:sz w:val="20"/>
          <w:szCs w:val="20"/>
        </w:rPr>
        <w:t xml:space="preserve">rt on Form 10-K for the fiscal year ended January 31, 2022 ("fiscal 2022"). Therefore, the interim Condensed Consolidated Financial Statements should be read in conjunction with that Annual Report on Form 10-K. </w:t>
      </w:r>
    </w:p>
    <w:p w14:paraId="098A9443" w14:textId="77777777" w:rsidR="00141CDF" w:rsidRDefault="00DF45E0">
      <w:pPr>
        <w:spacing w:before="60"/>
      </w:pPr>
      <w:r>
        <w:rPr>
          <w:rFonts w:ascii="Times New Roman" w:eastAsia="宋体" w:hAnsi="Times New Roman"/>
          <w:color w:val="000000"/>
          <w:sz w:val="20"/>
          <w:szCs w:val="20"/>
        </w:rPr>
        <w:t>The Company's Consolidated Financial Stateme</w:t>
      </w:r>
      <w:r>
        <w:rPr>
          <w:rFonts w:ascii="Times New Roman" w:eastAsia="宋体" w:hAnsi="Times New Roman"/>
          <w:color w:val="000000"/>
          <w:sz w:val="20"/>
          <w:szCs w:val="20"/>
        </w:rPr>
        <w:t>nts are based on a fiscal year ending January 31 for the United States ("U.S.") and Canadian operations. The Company consolidates all other operations generally using a one-month lag based on a calendar year. There were no significant intervening events du</w:t>
      </w:r>
      <w:r>
        <w:rPr>
          <w:rFonts w:ascii="Times New Roman" w:eastAsia="宋体" w:hAnsi="Times New Roman"/>
          <w:color w:val="000000"/>
          <w:sz w:val="20"/>
          <w:szCs w:val="20"/>
        </w:rPr>
        <w:t>ring the month of July 2022 related to the consolidated operations using a lag that materially affected the Condensed Consolidated Financial Statements.</w:t>
      </w:r>
    </w:p>
    <w:p w14:paraId="098A9444" w14:textId="77777777" w:rsidR="00141CDF" w:rsidRDefault="00DF45E0">
      <w:pPr>
        <w:spacing w:before="60"/>
      </w:pPr>
      <w:r>
        <w:rPr>
          <w:rFonts w:ascii="Times New Roman" w:eastAsia="宋体" w:hAnsi="Times New Roman"/>
          <w:color w:val="000000"/>
          <w:sz w:val="20"/>
          <w:szCs w:val="20"/>
        </w:rPr>
        <w:t>The Company's business is seasonal to a certain extent due to calendar events and national and religiou</w:t>
      </w:r>
      <w:r>
        <w:rPr>
          <w:rFonts w:ascii="Times New Roman" w:eastAsia="宋体" w:hAnsi="Times New Roman"/>
          <w:color w:val="000000"/>
          <w:sz w:val="20"/>
          <w:szCs w:val="20"/>
        </w:rPr>
        <w:t>s holidays, as well as weather patterns. Historically, the Company's highest sales volume has occurred in the fiscal quarter ending January 31.</w:t>
      </w:r>
    </w:p>
    <w:p w14:paraId="098A9445" w14:textId="77777777" w:rsidR="00141CDF" w:rsidRDefault="00DF45E0">
      <w:pPr>
        <w:spacing w:before="100"/>
      </w:pPr>
      <w:r>
        <w:rPr>
          <w:rFonts w:ascii="Times New Roman" w:eastAsia="宋体" w:hAnsi="Times New Roman"/>
          <w:b/>
          <w:bCs/>
          <w:i/>
          <w:iCs/>
          <w:color w:val="000000"/>
          <w:sz w:val="20"/>
          <w:szCs w:val="20"/>
        </w:rPr>
        <w:t>Use of Estimates</w:t>
      </w:r>
    </w:p>
    <w:p w14:paraId="098A9446" w14:textId="77777777" w:rsidR="00141CDF" w:rsidRDefault="00DF45E0">
      <w:pPr>
        <w:spacing w:before="100"/>
      </w:pPr>
      <w:r>
        <w:rPr>
          <w:rFonts w:ascii="Times New Roman" w:eastAsia="宋体" w:hAnsi="Times New Roman"/>
          <w:color w:val="000000"/>
          <w:sz w:val="20"/>
          <w:szCs w:val="20"/>
        </w:rPr>
        <w:t>The Condensed Consolidated Financial Statements have been prepared in conformity with GAAP. Tho</w:t>
      </w:r>
      <w:r>
        <w:rPr>
          <w:rFonts w:ascii="Times New Roman" w:eastAsia="宋体" w:hAnsi="Times New Roman"/>
          <w:color w:val="000000"/>
          <w:sz w:val="20"/>
          <w:szCs w:val="20"/>
        </w:rPr>
        <w:t>se principles require management to make estimates and assumptions that affect the reported amounts of assets and liabilities. Management's estimates and assumptions also affect the disclosure of contingent assets and liabilities at the date of the financi</w:t>
      </w:r>
      <w:r>
        <w:rPr>
          <w:rFonts w:ascii="Times New Roman" w:eastAsia="宋体" w:hAnsi="Times New Roman"/>
          <w:color w:val="000000"/>
          <w:sz w:val="20"/>
          <w:szCs w:val="20"/>
        </w:rPr>
        <w:t>al statements and the reported amounts of revenues and expenses during the reporting period. Actual results may differ materially from those estimates.</w:t>
      </w:r>
    </w:p>
    <w:p w14:paraId="098A9447" w14:textId="77777777" w:rsidR="00141CDF" w:rsidRDefault="00DF45E0">
      <w:pPr>
        <w:spacing w:before="100"/>
      </w:pPr>
      <w:r>
        <w:rPr>
          <w:rFonts w:ascii="Times New Roman" w:eastAsia="宋体" w:hAnsi="Times New Roman"/>
          <w:b/>
          <w:bCs/>
          <w:i/>
          <w:iCs/>
          <w:color w:val="000000"/>
          <w:sz w:val="20"/>
          <w:szCs w:val="20"/>
        </w:rPr>
        <w:t>Redeemable Noncontrolling Interest</w:t>
      </w:r>
    </w:p>
    <w:p w14:paraId="098A9448" w14:textId="77777777" w:rsidR="00141CDF" w:rsidRDefault="00DF45E0">
      <w:pPr>
        <w:spacing w:before="100"/>
      </w:pPr>
      <w:r>
        <w:rPr>
          <w:rFonts w:ascii="Times New Roman" w:eastAsia="宋体" w:hAnsi="Times New Roman"/>
          <w:color w:val="000000"/>
          <w:sz w:val="20"/>
          <w:szCs w:val="20"/>
        </w:rPr>
        <w:t>Noncontrolling interests which are redeemable outside the Company's c</w:t>
      </w:r>
      <w:r>
        <w:rPr>
          <w:rFonts w:ascii="Times New Roman" w:eastAsia="宋体" w:hAnsi="Times New Roman"/>
          <w:color w:val="000000"/>
          <w:sz w:val="20"/>
          <w:szCs w:val="20"/>
        </w:rPr>
        <w:t>ontrol at fixed or determinable prices and dates are presented as temporary equity on the Condensed Consolidated Balance Sheets. Redeemable noncontrolling interests are recorded at the greater of the redemption fair value or the carrying value of the nonco</w:t>
      </w:r>
      <w:r>
        <w:rPr>
          <w:rFonts w:ascii="Times New Roman" w:eastAsia="宋体" w:hAnsi="Times New Roman"/>
          <w:color w:val="000000"/>
          <w:sz w:val="20"/>
          <w:szCs w:val="20"/>
        </w:rPr>
        <w:t>ntrolling interest and adjusted each reporting period for income, loss and any distributions made. As of July 31, 2022, the Company has a redeemable noncontrolling interest related to an acquisition in the Walmart U.S. segment as the minority interest owne</w:t>
      </w:r>
      <w:r>
        <w:rPr>
          <w:rFonts w:ascii="Times New Roman" w:eastAsia="宋体" w:hAnsi="Times New Roman"/>
          <w:color w:val="000000"/>
          <w:sz w:val="20"/>
          <w:szCs w:val="20"/>
        </w:rPr>
        <w:t>r holds a put option which may require the Company to purchase their interest beginning in December 2027 and annually thereafter.</w:t>
      </w:r>
    </w:p>
    <w:p w14:paraId="098A9449" w14:textId="77777777" w:rsidR="00141CDF" w:rsidRDefault="00DF45E0">
      <w:pPr>
        <w:spacing w:before="100"/>
      </w:pPr>
      <w:r>
        <w:rPr>
          <w:rFonts w:ascii="Times New Roman" w:eastAsia="宋体" w:hAnsi="Times New Roman"/>
          <w:b/>
          <w:bCs/>
          <w:i/>
          <w:iCs/>
          <w:color w:val="000000"/>
          <w:sz w:val="20"/>
          <w:szCs w:val="20"/>
        </w:rPr>
        <w:t>Inventories</w:t>
      </w:r>
    </w:p>
    <w:p w14:paraId="098A944A" w14:textId="77777777" w:rsidR="00141CDF" w:rsidRDefault="00DF45E0">
      <w:pPr>
        <w:spacing w:before="100"/>
      </w:pPr>
      <w:r>
        <w:rPr>
          <w:rFonts w:ascii="Times New Roman" w:eastAsia="宋体" w:hAnsi="Times New Roman"/>
          <w:color w:val="000000"/>
          <w:sz w:val="20"/>
          <w:szCs w:val="20"/>
        </w:rPr>
        <w:t>The Company values inventories at the lower of cost or market as determined primarily by the retail inventory meth</w:t>
      </w:r>
      <w:r>
        <w:rPr>
          <w:rFonts w:ascii="Times New Roman" w:eastAsia="宋体" w:hAnsi="Times New Roman"/>
          <w:color w:val="000000"/>
          <w:sz w:val="20"/>
          <w:szCs w:val="20"/>
        </w:rPr>
        <w:t>od of accounting, using the last-in, first-out ("LIFO") method for the Walmart U.S. segment's inventories. The inventory for the Walmart International segment is generally valued in most markets by the retail inventory method of accounting, using the first</w:t>
      </w:r>
      <w:r>
        <w:rPr>
          <w:rFonts w:ascii="Times New Roman" w:eastAsia="宋体" w:hAnsi="Times New Roman"/>
          <w:color w:val="000000"/>
          <w:sz w:val="20"/>
          <w:szCs w:val="20"/>
        </w:rPr>
        <w:t xml:space="preserve">-in, first-out ("FIFO") method. The retail inventory method of accounting results in inventory being valued at the lower of cost or market, since permanent markdowns are immediately recorded as a reduction of the carrying value of inventory. The inventory </w:t>
      </w:r>
      <w:r>
        <w:rPr>
          <w:rFonts w:ascii="Times New Roman" w:eastAsia="宋体" w:hAnsi="Times New Roman"/>
          <w:color w:val="000000"/>
          <w:sz w:val="20"/>
          <w:szCs w:val="20"/>
        </w:rPr>
        <w:t xml:space="preserve">at the Sam's Club segment is valued using the weighted-average cost LIFO method. If necessary, the Company records a LIFO adjustment during interim periods for the projected annual effect of inflation or deflation which is adjusted to actual results based </w:t>
      </w:r>
      <w:r>
        <w:rPr>
          <w:rFonts w:ascii="Times New Roman" w:eastAsia="宋体" w:hAnsi="Times New Roman"/>
          <w:color w:val="000000"/>
          <w:sz w:val="20"/>
          <w:szCs w:val="20"/>
        </w:rPr>
        <w:t>on rates and inventory levels at the end of the year.</w:t>
      </w:r>
    </w:p>
    <w:p w14:paraId="098A944B" w14:textId="77777777" w:rsidR="00141CDF" w:rsidRDefault="00141CDF">
      <w:pPr>
        <w:spacing w:before="100"/>
      </w:pPr>
    </w:p>
    <w:p w14:paraId="098A944C" w14:textId="77777777" w:rsidR="00141CDF" w:rsidRDefault="00DF45E0">
      <w:pPr>
        <w:jc w:val="center"/>
      </w:pPr>
      <w:r>
        <w:rPr>
          <w:rFonts w:ascii="Times New Roman" w:eastAsia="宋体" w:hAnsi="Times New Roman"/>
          <w:color w:val="000000"/>
          <w:sz w:val="20"/>
          <w:szCs w:val="20"/>
        </w:rPr>
        <w:t>8</w:t>
      </w:r>
    </w:p>
    <w:p w14:paraId="098A944D" w14:textId="77777777" w:rsidR="00141CDF" w:rsidRDefault="00DF45E0">
      <w:r>
        <w:pict w14:anchorId="098AA656">
          <v:rect id="_x0000_i1032" style="width:415.3pt;height:1.5pt" o:hralign="center" o:hrstd="t" o:hr="t" fillcolor="#a0a0a0" stroked="f"/>
        </w:pict>
      </w:r>
    </w:p>
    <w:p w14:paraId="098A944E" w14:textId="77777777" w:rsidR="00141CDF" w:rsidRDefault="00DF45E0">
      <w:hyperlink r:id="rId53" w:anchor="i24a2f296795646fa8b5ba32fd1359591_7" w:history="1">
        <w:r>
          <w:rPr>
            <w:rStyle w:val="a5"/>
            <w:rFonts w:ascii="Times New Roman" w:eastAsia="宋体" w:hAnsi="Times New Roman"/>
            <w:sz w:val="20"/>
            <w:szCs w:val="20"/>
          </w:rPr>
          <w:t xml:space="preserve">Table of </w:t>
        </w:r>
      </w:hyperlink>
      <w:hyperlink r:id="rId54" w:anchor="i24a2f296795646fa8b5ba32fd1359591_7" w:history="1">
        <w:r>
          <w:rPr>
            <w:rStyle w:val="a5"/>
            <w:rFonts w:ascii="Times New Roman" w:eastAsia="宋体" w:hAnsi="Times New Roman"/>
            <w:sz w:val="20"/>
            <w:szCs w:val="20"/>
          </w:rPr>
          <w:t>Contents</w:t>
        </w:r>
      </w:hyperlink>
    </w:p>
    <w:p w14:paraId="098A944F" w14:textId="77777777" w:rsidR="00141CDF" w:rsidRDefault="00DF45E0">
      <w:pPr>
        <w:spacing w:before="240"/>
      </w:pPr>
      <w:r>
        <w:rPr>
          <w:rFonts w:ascii="Times New Roman" w:eastAsia="宋体" w:hAnsi="Times New Roman"/>
          <w:b/>
          <w:bCs/>
          <w:color w:val="000000"/>
          <w:sz w:val="20"/>
          <w:szCs w:val="20"/>
        </w:rPr>
        <w:t>Note 2. Net Income Per Common Share</w:t>
      </w:r>
    </w:p>
    <w:p w14:paraId="098A9450" w14:textId="77777777" w:rsidR="00141CDF" w:rsidRDefault="00DF45E0">
      <w:pPr>
        <w:spacing w:before="180"/>
      </w:pPr>
      <w:r>
        <w:rPr>
          <w:rFonts w:ascii="Times New Roman" w:eastAsia="宋体" w:hAnsi="Times New Roman"/>
          <w:color w:val="000000"/>
          <w:sz w:val="20"/>
          <w:szCs w:val="20"/>
        </w:rPr>
        <w:t>Basic net income per common share attributable to Walmart is based on the weighted-average comm</w:t>
      </w:r>
      <w:r>
        <w:rPr>
          <w:rFonts w:ascii="Times New Roman" w:eastAsia="宋体" w:hAnsi="Times New Roman"/>
          <w:color w:val="000000"/>
          <w:sz w:val="20"/>
          <w:szCs w:val="20"/>
        </w:rPr>
        <w:t xml:space="preserve">on shares outstanding during the relevant period. Diluted net income per common share attributable to Walmart is based on the weighted-average common shares outstanding during the relevant period adjusted for the dilutive effect of share-based awards. The </w:t>
      </w:r>
      <w:r>
        <w:rPr>
          <w:rFonts w:ascii="Times New Roman" w:eastAsia="宋体" w:hAnsi="Times New Roman"/>
          <w:color w:val="000000"/>
          <w:sz w:val="20"/>
          <w:szCs w:val="20"/>
        </w:rPr>
        <w:t xml:space="preserve">Company did not have significant share-based awards outstanding that were anti-dilutive and not included in the calculation of diluted net income per common share attributable to Walmart for the three and six months ended July 31, 2022 and 2021. </w:t>
      </w:r>
    </w:p>
    <w:p w14:paraId="098A9451" w14:textId="77777777" w:rsidR="00141CDF" w:rsidRDefault="00DF45E0">
      <w:pPr>
        <w:spacing w:before="100"/>
      </w:pPr>
      <w:r>
        <w:rPr>
          <w:rFonts w:ascii="Times New Roman" w:eastAsia="宋体" w:hAnsi="Times New Roman"/>
          <w:color w:val="000000"/>
          <w:sz w:val="20"/>
          <w:szCs w:val="20"/>
        </w:rPr>
        <w:t>The follo</w:t>
      </w:r>
      <w:r>
        <w:rPr>
          <w:rFonts w:ascii="Times New Roman" w:eastAsia="宋体" w:hAnsi="Times New Roman"/>
          <w:color w:val="000000"/>
          <w:sz w:val="20"/>
          <w:szCs w:val="20"/>
        </w:rPr>
        <w:t xml:space="preserve">wing table provides a reconciliation of the numerators and denominators used to determine basic and diluted net income per common share attributable to Walmart: </w:t>
      </w:r>
    </w:p>
    <w:tbl>
      <w:tblPr>
        <w:tblW w:w="5000" w:type="pct"/>
        <w:tblCellMar>
          <w:top w:w="15" w:type="dxa"/>
          <w:left w:w="15" w:type="dxa"/>
          <w:bottom w:w="15" w:type="dxa"/>
          <w:right w:w="15" w:type="dxa"/>
        </w:tblCellMar>
        <w:tblLook w:val="04A0" w:firstRow="1" w:lastRow="0" w:firstColumn="1" w:lastColumn="0" w:noHBand="0" w:noVBand="1"/>
      </w:tblPr>
      <w:tblGrid>
        <w:gridCol w:w="40"/>
        <w:gridCol w:w="4023"/>
        <w:gridCol w:w="39"/>
        <w:gridCol w:w="36"/>
        <w:gridCol w:w="36"/>
        <w:gridCol w:w="36"/>
        <w:gridCol w:w="100"/>
        <w:gridCol w:w="865"/>
        <w:gridCol w:w="36"/>
        <w:gridCol w:w="36"/>
        <w:gridCol w:w="36"/>
        <w:gridCol w:w="36"/>
        <w:gridCol w:w="100"/>
        <w:gridCol w:w="830"/>
        <w:gridCol w:w="36"/>
        <w:gridCol w:w="36"/>
        <w:gridCol w:w="36"/>
        <w:gridCol w:w="36"/>
        <w:gridCol w:w="100"/>
        <w:gridCol w:w="768"/>
        <w:gridCol w:w="36"/>
        <w:gridCol w:w="36"/>
        <w:gridCol w:w="36"/>
        <w:gridCol w:w="36"/>
        <w:gridCol w:w="100"/>
        <w:gridCol w:w="795"/>
        <w:gridCol w:w="36"/>
      </w:tblGrid>
      <w:tr w:rsidR="00141CDF" w14:paraId="098A946D" w14:textId="77777777">
        <w:tc>
          <w:tcPr>
            <w:tcW w:w="50" w:type="pct"/>
            <w:shd w:val="clear" w:color="auto" w:fill="auto"/>
            <w:vAlign w:val="bottom"/>
          </w:tcPr>
          <w:p w14:paraId="098A9452" w14:textId="77777777" w:rsidR="00141CDF" w:rsidRDefault="00141CDF">
            <w:pPr>
              <w:rPr>
                <w:rFonts w:ascii="宋体"/>
              </w:rPr>
            </w:pPr>
          </w:p>
        </w:tc>
        <w:tc>
          <w:tcPr>
            <w:tcW w:w="2437" w:type="pct"/>
            <w:shd w:val="clear" w:color="auto" w:fill="auto"/>
            <w:vAlign w:val="bottom"/>
          </w:tcPr>
          <w:p w14:paraId="098A9453" w14:textId="77777777" w:rsidR="00141CDF" w:rsidRDefault="00141CDF">
            <w:pPr>
              <w:rPr>
                <w:rFonts w:ascii="宋体"/>
              </w:rPr>
            </w:pPr>
          </w:p>
        </w:tc>
        <w:tc>
          <w:tcPr>
            <w:tcW w:w="5" w:type="pct"/>
            <w:shd w:val="clear" w:color="auto" w:fill="auto"/>
            <w:vAlign w:val="bottom"/>
          </w:tcPr>
          <w:p w14:paraId="098A9454" w14:textId="77777777" w:rsidR="00141CDF" w:rsidRDefault="00141CDF">
            <w:pPr>
              <w:rPr>
                <w:rFonts w:ascii="宋体"/>
              </w:rPr>
            </w:pPr>
          </w:p>
        </w:tc>
        <w:tc>
          <w:tcPr>
            <w:tcW w:w="5" w:type="pct"/>
            <w:shd w:val="clear" w:color="auto" w:fill="auto"/>
            <w:vAlign w:val="bottom"/>
          </w:tcPr>
          <w:p w14:paraId="098A9455" w14:textId="77777777" w:rsidR="00141CDF" w:rsidRDefault="00141CDF">
            <w:pPr>
              <w:rPr>
                <w:rFonts w:ascii="宋体"/>
              </w:rPr>
            </w:pPr>
          </w:p>
        </w:tc>
        <w:tc>
          <w:tcPr>
            <w:tcW w:w="41" w:type="pct"/>
            <w:shd w:val="clear" w:color="auto" w:fill="auto"/>
            <w:vAlign w:val="bottom"/>
          </w:tcPr>
          <w:p w14:paraId="098A9456" w14:textId="77777777" w:rsidR="00141CDF" w:rsidRDefault="00141CDF">
            <w:pPr>
              <w:rPr>
                <w:rFonts w:ascii="宋体"/>
              </w:rPr>
            </w:pPr>
          </w:p>
        </w:tc>
        <w:tc>
          <w:tcPr>
            <w:tcW w:w="5" w:type="pct"/>
            <w:shd w:val="clear" w:color="auto" w:fill="auto"/>
            <w:vAlign w:val="bottom"/>
          </w:tcPr>
          <w:p w14:paraId="098A9457" w14:textId="77777777" w:rsidR="00141CDF" w:rsidRDefault="00141CDF">
            <w:pPr>
              <w:rPr>
                <w:rFonts w:ascii="宋体"/>
              </w:rPr>
            </w:pPr>
          </w:p>
        </w:tc>
        <w:tc>
          <w:tcPr>
            <w:tcW w:w="50" w:type="pct"/>
            <w:shd w:val="clear" w:color="auto" w:fill="auto"/>
            <w:vAlign w:val="bottom"/>
          </w:tcPr>
          <w:p w14:paraId="098A9458" w14:textId="77777777" w:rsidR="00141CDF" w:rsidRDefault="00141CDF">
            <w:pPr>
              <w:rPr>
                <w:rFonts w:ascii="宋体"/>
              </w:rPr>
            </w:pPr>
          </w:p>
        </w:tc>
        <w:tc>
          <w:tcPr>
            <w:tcW w:w="551" w:type="pct"/>
            <w:shd w:val="clear" w:color="auto" w:fill="auto"/>
            <w:vAlign w:val="bottom"/>
          </w:tcPr>
          <w:p w14:paraId="098A9459" w14:textId="77777777" w:rsidR="00141CDF" w:rsidRDefault="00141CDF">
            <w:pPr>
              <w:rPr>
                <w:rFonts w:ascii="宋体"/>
              </w:rPr>
            </w:pPr>
          </w:p>
        </w:tc>
        <w:tc>
          <w:tcPr>
            <w:tcW w:w="5" w:type="pct"/>
            <w:shd w:val="clear" w:color="auto" w:fill="auto"/>
            <w:vAlign w:val="bottom"/>
          </w:tcPr>
          <w:p w14:paraId="098A945A" w14:textId="77777777" w:rsidR="00141CDF" w:rsidRDefault="00141CDF">
            <w:pPr>
              <w:rPr>
                <w:rFonts w:ascii="宋体"/>
              </w:rPr>
            </w:pPr>
          </w:p>
        </w:tc>
        <w:tc>
          <w:tcPr>
            <w:tcW w:w="5" w:type="pct"/>
            <w:shd w:val="clear" w:color="auto" w:fill="auto"/>
            <w:vAlign w:val="bottom"/>
          </w:tcPr>
          <w:p w14:paraId="098A945B" w14:textId="77777777" w:rsidR="00141CDF" w:rsidRDefault="00141CDF">
            <w:pPr>
              <w:rPr>
                <w:rFonts w:ascii="宋体"/>
              </w:rPr>
            </w:pPr>
          </w:p>
        </w:tc>
        <w:tc>
          <w:tcPr>
            <w:tcW w:w="41" w:type="pct"/>
            <w:shd w:val="clear" w:color="auto" w:fill="auto"/>
            <w:vAlign w:val="bottom"/>
          </w:tcPr>
          <w:p w14:paraId="098A945C" w14:textId="77777777" w:rsidR="00141CDF" w:rsidRDefault="00141CDF">
            <w:pPr>
              <w:rPr>
                <w:rFonts w:ascii="宋体"/>
              </w:rPr>
            </w:pPr>
          </w:p>
        </w:tc>
        <w:tc>
          <w:tcPr>
            <w:tcW w:w="5" w:type="pct"/>
            <w:shd w:val="clear" w:color="auto" w:fill="auto"/>
            <w:vAlign w:val="bottom"/>
          </w:tcPr>
          <w:p w14:paraId="098A945D" w14:textId="77777777" w:rsidR="00141CDF" w:rsidRDefault="00141CDF">
            <w:pPr>
              <w:rPr>
                <w:rFonts w:ascii="宋体"/>
              </w:rPr>
            </w:pPr>
          </w:p>
        </w:tc>
        <w:tc>
          <w:tcPr>
            <w:tcW w:w="50" w:type="pct"/>
            <w:shd w:val="clear" w:color="auto" w:fill="auto"/>
            <w:vAlign w:val="bottom"/>
          </w:tcPr>
          <w:p w14:paraId="098A945E" w14:textId="77777777" w:rsidR="00141CDF" w:rsidRDefault="00141CDF">
            <w:pPr>
              <w:rPr>
                <w:rFonts w:ascii="宋体"/>
              </w:rPr>
            </w:pPr>
          </w:p>
        </w:tc>
        <w:tc>
          <w:tcPr>
            <w:tcW w:w="529" w:type="pct"/>
            <w:shd w:val="clear" w:color="auto" w:fill="auto"/>
            <w:vAlign w:val="bottom"/>
          </w:tcPr>
          <w:p w14:paraId="098A945F" w14:textId="77777777" w:rsidR="00141CDF" w:rsidRDefault="00141CDF">
            <w:pPr>
              <w:rPr>
                <w:rFonts w:ascii="宋体"/>
              </w:rPr>
            </w:pPr>
          </w:p>
        </w:tc>
        <w:tc>
          <w:tcPr>
            <w:tcW w:w="5" w:type="pct"/>
            <w:shd w:val="clear" w:color="auto" w:fill="auto"/>
            <w:vAlign w:val="bottom"/>
          </w:tcPr>
          <w:p w14:paraId="098A9460" w14:textId="77777777" w:rsidR="00141CDF" w:rsidRDefault="00141CDF">
            <w:pPr>
              <w:rPr>
                <w:rFonts w:ascii="宋体"/>
              </w:rPr>
            </w:pPr>
          </w:p>
        </w:tc>
        <w:tc>
          <w:tcPr>
            <w:tcW w:w="5" w:type="pct"/>
            <w:shd w:val="clear" w:color="auto" w:fill="auto"/>
            <w:vAlign w:val="bottom"/>
          </w:tcPr>
          <w:p w14:paraId="098A9461" w14:textId="77777777" w:rsidR="00141CDF" w:rsidRDefault="00141CDF">
            <w:pPr>
              <w:rPr>
                <w:rFonts w:ascii="宋体"/>
              </w:rPr>
            </w:pPr>
          </w:p>
        </w:tc>
        <w:tc>
          <w:tcPr>
            <w:tcW w:w="26" w:type="pct"/>
            <w:shd w:val="clear" w:color="auto" w:fill="auto"/>
            <w:vAlign w:val="bottom"/>
          </w:tcPr>
          <w:p w14:paraId="098A9462" w14:textId="77777777" w:rsidR="00141CDF" w:rsidRDefault="00141CDF">
            <w:pPr>
              <w:rPr>
                <w:rFonts w:ascii="宋体"/>
              </w:rPr>
            </w:pPr>
          </w:p>
        </w:tc>
        <w:tc>
          <w:tcPr>
            <w:tcW w:w="5" w:type="pct"/>
            <w:shd w:val="clear" w:color="auto" w:fill="auto"/>
            <w:vAlign w:val="bottom"/>
          </w:tcPr>
          <w:p w14:paraId="098A9463" w14:textId="77777777" w:rsidR="00141CDF" w:rsidRDefault="00141CDF">
            <w:pPr>
              <w:rPr>
                <w:rFonts w:ascii="宋体"/>
              </w:rPr>
            </w:pPr>
          </w:p>
        </w:tc>
        <w:tc>
          <w:tcPr>
            <w:tcW w:w="50" w:type="pct"/>
            <w:shd w:val="clear" w:color="auto" w:fill="auto"/>
            <w:vAlign w:val="bottom"/>
          </w:tcPr>
          <w:p w14:paraId="098A9464" w14:textId="77777777" w:rsidR="00141CDF" w:rsidRDefault="00141CDF">
            <w:pPr>
              <w:rPr>
                <w:rFonts w:ascii="宋体"/>
              </w:rPr>
            </w:pPr>
          </w:p>
        </w:tc>
        <w:tc>
          <w:tcPr>
            <w:tcW w:w="507" w:type="pct"/>
            <w:shd w:val="clear" w:color="auto" w:fill="auto"/>
            <w:vAlign w:val="bottom"/>
          </w:tcPr>
          <w:p w14:paraId="098A9465" w14:textId="77777777" w:rsidR="00141CDF" w:rsidRDefault="00141CDF">
            <w:pPr>
              <w:rPr>
                <w:rFonts w:ascii="宋体"/>
              </w:rPr>
            </w:pPr>
          </w:p>
        </w:tc>
        <w:tc>
          <w:tcPr>
            <w:tcW w:w="5" w:type="pct"/>
            <w:shd w:val="clear" w:color="auto" w:fill="auto"/>
            <w:vAlign w:val="bottom"/>
          </w:tcPr>
          <w:p w14:paraId="098A9466" w14:textId="77777777" w:rsidR="00141CDF" w:rsidRDefault="00141CDF">
            <w:pPr>
              <w:rPr>
                <w:rFonts w:ascii="宋体"/>
              </w:rPr>
            </w:pPr>
          </w:p>
        </w:tc>
        <w:tc>
          <w:tcPr>
            <w:tcW w:w="5" w:type="pct"/>
            <w:shd w:val="clear" w:color="auto" w:fill="auto"/>
            <w:vAlign w:val="bottom"/>
          </w:tcPr>
          <w:p w14:paraId="098A9467" w14:textId="77777777" w:rsidR="00141CDF" w:rsidRDefault="00141CDF">
            <w:pPr>
              <w:rPr>
                <w:rFonts w:ascii="宋体"/>
              </w:rPr>
            </w:pPr>
          </w:p>
        </w:tc>
        <w:tc>
          <w:tcPr>
            <w:tcW w:w="41" w:type="pct"/>
            <w:shd w:val="clear" w:color="auto" w:fill="auto"/>
            <w:vAlign w:val="bottom"/>
          </w:tcPr>
          <w:p w14:paraId="098A9468" w14:textId="77777777" w:rsidR="00141CDF" w:rsidRDefault="00141CDF">
            <w:pPr>
              <w:rPr>
                <w:rFonts w:ascii="宋体"/>
              </w:rPr>
            </w:pPr>
          </w:p>
        </w:tc>
        <w:tc>
          <w:tcPr>
            <w:tcW w:w="5" w:type="pct"/>
            <w:shd w:val="clear" w:color="auto" w:fill="auto"/>
            <w:vAlign w:val="bottom"/>
          </w:tcPr>
          <w:p w14:paraId="098A9469" w14:textId="77777777" w:rsidR="00141CDF" w:rsidRDefault="00141CDF">
            <w:pPr>
              <w:rPr>
                <w:rFonts w:ascii="宋体"/>
              </w:rPr>
            </w:pPr>
          </w:p>
        </w:tc>
        <w:tc>
          <w:tcPr>
            <w:tcW w:w="50" w:type="pct"/>
            <w:shd w:val="clear" w:color="auto" w:fill="auto"/>
            <w:vAlign w:val="bottom"/>
          </w:tcPr>
          <w:p w14:paraId="098A946A" w14:textId="77777777" w:rsidR="00141CDF" w:rsidRDefault="00141CDF">
            <w:pPr>
              <w:rPr>
                <w:rFonts w:ascii="宋体"/>
              </w:rPr>
            </w:pPr>
          </w:p>
        </w:tc>
        <w:tc>
          <w:tcPr>
            <w:tcW w:w="508" w:type="pct"/>
            <w:shd w:val="clear" w:color="auto" w:fill="auto"/>
            <w:vAlign w:val="bottom"/>
          </w:tcPr>
          <w:p w14:paraId="098A946B" w14:textId="77777777" w:rsidR="00141CDF" w:rsidRDefault="00141CDF">
            <w:pPr>
              <w:rPr>
                <w:rFonts w:ascii="宋体"/>
              </w:rPr>
            </w:pPr>
          </w:p>
        </w:tc>
        <w:tc>
          <w:tcPr>
            <w:tcW w:w="5" w:type="pct"/>
            <w:shd w:val="clear" w:color="auto" w:fill="auto"/>
            <w:vAlign w:val="bottom"/>
          </w:tcPr>
          <w:p w14:paraId="098A946C" w14:textId="77777777" w:rsidR="00141CDF" w:rsidRDefault="00141CDF">
            <w:pPr>
              <w:rPr>
                <w:rFonts w:ascii="宋体"/>
              </w:rPr>
            </w:pPr>
          </w:p>
        </w:tc>
      </w:tr>
      <w:tr w:rsidR="00141CDF" w14:paraId="098A9473" w14:textId="77777777">
        <w:tc>
          <w:tcPr>
            <w:tcW w:w="0" w:type="auto"/>
            <w:gridSpan w:val="3"/>
            <w:shd w:val="clear" w:color="auto" w:fill="auto"/>
            <w:tcMar>
              <w:top w:w="0" w:type="dxa"/>
              <w:left w:w="20" w:type="dxa"/>
              <w:bottom w:w="0" w:type="dxa"/>
              <w:right w:w="20" w:type="dxa"/>
            </w:tcMar>
            <w:vAlign w:val="bottom"/>
          </w:tcPr>
          <w:p w14:paraId="098A946E"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946F" w14:textId="77777777" w:rsidR="00141CDF" w:rsidRDefault="00141CDF">
            <w:pPr>
              <w:rPr>
                <w:rFonts w:ascii="宋体"/>
              </w:rPr>
            </w:pPr>
          </w:p>
        </w:tc>
        <w:tc>
          <w:tcPr>
            <w:tcW w:w="0" w:type="auto"/>
            <w:gridSpan w:val="9"/>
            <w:shd w:val="clear" w:color="auto" w:fill="auto"/>
            <w:tcMar>
              <w:top w:w="40" w:type="dxa"/>
              <w:left w:w="20" w:type="dxa"/>
              <w:bottom w:w="40" w:type="dxa"/>
              <w:right w:w="20" w:type="dxa"/>
            </w:tcMar>
            <w:vAlign w:val="bottom"/>
          </w:tcPr>
          <w:p w14:paraId="098A9470" w14:textId="77777777" w:rsidR="00141CDF" w:rsidRDefault="00DF45E0">
            <w:pPr>
              <w:jc w:val="center"/>
              <w:textAlignment w:val="bottom"/>
            </w:pPr>
            <w:r>
              <w:rPr>
                <w:rFonts w:ascii="Times New Roman" w:eastAsia="宋体" w:hAnsi="Times New Roman"/>
                <w:b/>
                <w:bCs/>
                <w:color w:val="000000"/>
                <w:sz w:val="16"/>
                <w:szCs w:val="16"/>
              </w:rPr>
              <w:t>Three Months Ended July 31,</w:t>
            </w:r>
          </w:p>
        </w:tc>
        <w:tc>
          <w:tcPr>
            <w:tcW w:w="0" w:type="auto"/>
            <w:gridSpan w:val="3"/>
            <w:shd w:val="clear" w:color="auto" w:fill="auto"/>
            <w:tcMar>
              <w:top w:w="0" w:type="dxa"/>
              <w:left w:w="20" w:type="dxa"/>
              <w:bottom w:w="0" w:type="dxa"/>
              <w:right w:w="20" w:type="dxa"/>
            </w:tcMar>
            <w:vAlign w:val="bottom"/>
          </w:tcPr>
          <w:p w14:paraId="098A9471" w14:textId="77777777" w:rsidR="00141CDF" w:rsidRDefault="00141CDF">
            <w:pPr>
              <w:rPr>
                <w:rFonts w:ascii="宋体"/>
              </w:rPr>
            </w:pPr>
          </w:p>
        </w:tc>
        <w:tc>
          <w:tcPr>
            <w:tcW w:w="0" w:type="auto"/>
            <w:gridSpan w:val="9"/>
            <w:shd w:val="clear" w:color="auto" w:fill="auto"/>
            <w:tcMar>
              <w:top w:w="40" w:type="dxa"/>
              <w:left w:w="20" w:type="dxa"/>
              <w:bottom w:w="40" w:type="dxa"/>
              <w:right w:w="20" w:type="dxa"/>
            </w:tcMar>
            <w:vAlign w:val="bottom"/>
          </w:tcPr>
          <w:p w14:paraId="098A9472" w14:textId="77777777" w:rsidR="00141CDF" w:rsidRDefault="00DF45E0">
            <w:pPr>
              <w:jc w:val="center"/>
              <w:textAlignment w:val="bottom"/>
            </w:pPr>
            <w:r>
              <w:rPr>
                <w:rFonts w:ascii="Times New Roman" w:eastAsia="宋体" w:hAnsi="Times New Roman"/>
                <w:b/>
                <w:bCs/>
                <w:color w:val="000000"/>
                <w:sz w:val="16"/>
                <w:szCs w:val="16"/>
              </w:rPr>
              <w:t>Six Months Ended July 31,</w:t>
            </w:r>
          </w:p>
        </w:tc>
      </w:tr>
      <w:tr w:rsidR="00141CDF" w14:paraId="098A947D" w14:textId="77777777">
        <w:tc>
          <w:tcPr>
            <w:tcW w:w="0" w:type="auto"/>
            <w:gridSpan w:val="3"/>
            <w:shd w:val="clear" w:color="auto" w:fill="auto"/>
            <w:tcMar>
              <w:top w:w="40" w:type="dxa"/>
              <w:left w:w="20" w:type="dxa"/>
              <w:bottom w:w="40" w:type="dxa"/>
              <w:right w:w="20" w:type="dxa"/>
            </w:tcMar>
            <w:vAlign w:val="bottom"/>
          </w:tcPr>
          <w:p w14:paraId="098A9474" w14:textId="77777777" w:rsidR="00141CDF" w:rsidRDefault="00DF45E0">
            <w:pPr>
              <w:textAlignment w:val="bottom"/>
            </w:pPr>
            <w:r>
              <w:rPr>
                <w:rFonts w:ascii="Times New Roman" w:eastAsia="宋体" w:hAnsi="Times New Roman"/>
                <w:i/>
                <w:iCs/>
                <w:color w:val="000000"/>
                <w:sz w:val="16"/>
                <w:szCs w:val="16"/>
              </w:rPr>
              <w:t>(Amounts in millions, except per share data)</w:t>
            </w:r>
          </w:p>
        </w:tc>
        <w:tc>
          <w:tcPr>
            <w:tcW w:w="0" w:type="auto"/>
            <w:gridSpan w:val="3"/>
            <w:shd w:val="clear" w:color="auto" w:fill="auto"/>
            <w:tcMar>
              <w:top w:w="0" w:type="dxa"/>
              <w:left w:w="20" w:type="dxa"/>
              <w:bottom w:w="0" w:type="dxa"/>
              <w:right w:w="20" w:type="dxa"/>
            </w:tcMar>
            <w:vAlign w:val="bottom"/>
          </w:tcPr>
          <w:p w14:paraId="098A9475"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98A9476" w14:textId="77777777" w:rsidR="00141CDF" w:rsidRDefault="00DF45E0">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9477"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98A9478" w14:textId="77777777" w:rsidR="00141CDF" w:rsidRDefault="00DF45E0">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098A9479"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98A947A" w14:textId="77777777" w:rsidR="00141CDF" w:rsidRDefault="00DF45E0">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947B"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98A947C" w14:textId="77777777" w:rsidR="00141CDF" w:rsidRDefault="00DF45E0">
            <w:pPr>
              <w:jc w:val="center"/>
              <w:textAlignment w:val="bottom"/>
            </w:pPr>
            <w:r>
              <w:rPr>
                <w:rFonts w:ascii="Times New Roman" w:eastAsia="宋体" w:hAnsi="Times New Roman"/>
                <w:b/>
                <w:bCs/>
                <w:color w:val="000000"/>
                <w:sz w:val="16"/>
                <w:szCs w:val="16"/>
              </w:rPr>
              <w:t>2021</w:t>
            </w:r>
          </w:p>
        </w:tc>
      </w:tr>
      <w:tr w:rsidR="00141CDF" w14:paraId="098A9487" w14:textId="77777777">
        <w:tc>
          <w:tcPr>
            <w:tcW w:w="0" w:type="auto"/>
            <w:gridSpan w:val="3"/>
            <w:shd w:val="clear" w:color="auto" w:fill="auto"/>
            <w:tcMar>
              <w:top w:w="40" w:type="dxa"/>
              <w:left w:w="20" w:type="dxa"/>
              <w:bottom w:w="40" w:type="dxa"/>
              <w:right w:w="20" w:type="dxa"/>
            </w:tcMar>
            <w:vAlign w:val="center"/>
          </w:tcPr>
          <w:p w14:paraId="098A947E" w14:textId="77777777" w:rsidR="00141CDF" w:rsidRDefault="00DF45E0">
            <w:pPr>
              <w:textAlignment w:val="center"/>
            </w:pPr>
            <w:r>
              <w:rPr>
                <w:rFonts w:ascii="Times New Roman" w:eastAsia="宋体" w:hAnsi="Times New Roman"/>
                <w:b/>
                <w:bCs/>
                <w:color w:val="000000"/>
                <w:sz w:val="16"/>
                <w:szCs w:val="16"/>
              </w:rPr>
              <w:t>Numerator</w:t>
            </w:r>
          </w:p>
        </w:tc>
        <w:tc>
          <w:tcPr>
            <w:tcW w:w="0" w:type="auto"/>
            <w:gridSpan w:val="3"/>
            <w:shd w:val="clear" w:color="auto" w:fill="auto"/>
            <w:tcMar>
              <w:top w:w="0" w:type="dxa"/>
              <w:left w:w="20" w:type="dxa"/>
              <w:bottom w:w="0" w:type="dxa"/>
              <w:right w:w="20" w:type="dxa"/>
            </w:tcMar>
            <w:vAlign w:val="bottom"/>
          </w:tcPr>
          <w:p w14:paraId="098A947F" w14:textId="77777777" w:rsidR="00141CDF" w:rsidRDefault="00141CD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9480"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9481" w14:textId="77777777" w:rsidR="00141CDF" w:rsidRDefault="00141CD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9482"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9483" w14:textId="77777777" w:rsidR="00141CDF" w:rsidRDefault="00141CD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9484"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9485" w14:textId="77777777" w:rsidR="00141CDF" w:rsidRDefault="00141CD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9486" w14:textId="77777777" w:rsidR="00141CDF" w:rsidRDefault="00141CDF">
            <w:pPr>
              <w:rPr>
                <w:rFonts w:ascii="宋体"/>
              </w:rPr>
            </w:pPr>
          </w:p>
        </w:tc>
      </w:tr>
      <w:tr w:rsidR="00141CDF" w14:paraId="098A9499" w14:textId="77777777">
        <w:tc>
          <w:tcPr>
            <w:tcW w:w="0" w:type="auto"/>
            <w:gridSpan w:val="3"/>
            <w:shd w:val="clear" w:color="auto" w:fill="CCEEFF"/>
            <w:tcMar>
              <w:top w:w="40" w:type="dxa"/>
              <w:left w:w="380" w:type="dxa"/>
              <w:bottom w:w="40" w:type="dxa"/>
              <w:right w:w="20" w:type="dxa"/>
            </w:tcMar>
            <w:vAlign w:val="center"/>
          </w:tcPr>
          <w:p w14:paraId="098A9488" w14:textId="77777777" w:rsidR="00141CDF" w:rsidRDefault="00DF45E0">
            <w:pPr>
              <w:textAlignment w:val="center"/>
            </w:pPr>
            <w:r>
              <w:rPr>
                <w:rFonts w:ascii="Times New Roman" w:eastAsia="宋体" w:hAnsi="Times New Roman"/>
                <w:b/>
                <w:bCs/>
                <w:color w:val="000000"/>
                <w:sz w:val="16"/>
                <w:szCs w:val="16"/>
              </w:rPr>
              <w:t>Consolidated net income</w:t>
            </w:r>
          </w:p>
        </w:tc>
        <w:tc>
          <w:tcPr>
            <w:tcW w:w="0" w:type="auto"/>
            <w:gridSpan w:val="3"/>
            <w:shd w:val="clear" w:color="auto" w:fill="CCEEFF"/>
            <w:tcMar>
              <w:top w:w="0" w:type="dxa"/>
              <w:left w:w="20" w:type="dxa"/>
              <w:bottom w:w="0" w:type="dxa"/>
              <w:right w:w="20" w:type="dxa"/>
            </w:tcMar>
            <w:vAlign w:val="bottom"/>
          </w:tcPr>
          <w:p w14:paraId="098A9489"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948A"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948B" w14:textId="77777777" w:rsidR="00141CDF" w:rsidRDefault="00DF45E0">
            <w:pPr>
              <w:jc w:val="right"/>
              <w:textAlignment w:val="center"/>
            </w:pPr>
            <w:r>
              <w:rPr>
                <w:rFonts w:ascii="Times New Roman" w:eastAsia="宋体" w:hAnsi="Times New Roman"/>
                <w:color w:val="000000"/>
                <w:sz w:val="16"/>
                <w:szCs w:val="16"/>
              </w:rPr>
              <w:t>5,147 </w:t>
            </w:r>
          </w:p>
        </w:tc>
        <w:tc>
          <w:tcPr>
            <w:tcW w:w="0" w:type="auto"/>
            <w:shd w:val="clear" w:color="auto" w:fill="CCEEFF"/>
            <w:tcMar>
              <w:top w:w="40" w:type="dxa"/>
              <w:left w:w="0" w:type="dxa"/>
              <w:bottom w:w="40" w:type="dxa"/>
              <w:right w:w="20" w:type="dxa"/>
            </w:tcMar>
            <w:vAlign w:val="center"/>
          </w:tcPr>
          <w:p w14:paraId="098A948C"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48D"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948E"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948F" w14:textId="77777777" w:rsidR="00141CDF" w:rsidRDefault="00DF45E0">
            <w:pPr>
              <w:jc w:val="right"/>
              <w:textAlignment w:val="center"/>
            </w:pPr>
            <w:r>
              <w:rPr>
                <w:rFonts w:ascii="Times New Roman" w:eastAsia="宋体" w:hAnsi="Times New Roman"/>
                <w:color w:val="000000"/>
                <w:sz w:val="16"/>
                <w:szCs w:val="16"/>
              </w:rPr>
              <w:t>4,364 </w:t>
            </w:r>
          </w:p>
        </w:tc>
        <w:tc>
          <w:tcPr>
            <w:tcW w:w="0" w:type="auto"/>
            <w:shd w:val="clear" w:color="auto" w:fill="CCEEFF"/>
            <w:tcMar>
              <w:top w:w="40" w:type="dxa"/>
              <w:left w:w="0" w:type="dxa"/>
              <w:bottom w:w="40" w:type="dxa"/>
              <w:right w:w="20" w:type="dxa"/>
            </w:tcMar>
            <w:vAlign w:val="center"/>
          </w:tcPr>
          <w:p w14:paraId="098A9490"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491" w14:textId="77777777" w:rsidR="00141CDF" w:rsidRDefault="00141CDF">
            <w:pPr>
              <w:rPr>
                <w:rFonts w:ascii="宋体"/>
              </w:rPr>
            </w:pPr>
          </w:p>
        </w:tc>
        <w:tc>
          <w:tcPr>
            <w:tcW w:w="0" w:type="auto"/>
            <w:shd w:val="clear" w:color="auto" w:fill="CCEEFF"/>
            <w:tcMar>
              <w:top w:w="40" w:type="dxa"/>
              <w:left w:w="20" w:type="dxa"/>
              <w:bottom w:w="40" w:type="dxa"/>
              <w:right w:w="0" w:type="dxa"/>
            </w:tcMar>
            <w:vAlign w:val="bottom"/>
          </w:tcPr>
          <w:p w14:paraId="098A9492" w14:textId="77777777" w:rsidR="00141CDF" w:rsidRDefault="00DF45E0">
            <w:pPr>
              <w:textAlignment w:val="bottom"/>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bottom"/>
          </w:tcPr>
          <w:p w14:paraId="098A9493" w14:textId="77777777" w:rsidR="00141CDF" w:rsidRDefault="00DF45E0">
            <w:pPr>
              <w:jc w:val="right"/>
              <w:textAlignment w:val="bottom"/>
            </w:pPr>
            <w:r>
              <w:rPr>
                <w:rFonts w:ascii="Times New Roman" w:eastAsia="宋体" w:hAnsi="Times New Roman"/>
                <w:color w:val="000000"/>
                <w:sz w:val="16"/>
                <w:szCs w:val="16"/>
              </w:rPr>
              <w:t>7,250 </w:t>
            </w:r>
          </w:p>
        </w:tc>
        <w:tc>
          <w:tcPr>
            <w:tcW w:w="0" w:type="auto"/>
            <w:shd w:val="clear" w:color="auto" w:fill="CCEEFF"/>
            <w:tcMar>
              <w:top w:w="40" w:type="dxa"/>
              <w:left w:w="0" w:type="dxa"/>
              <w:bottom w:w="40" w:type="dxa"/>
              <w:right w:w="20" w:type="dxa"/>
            </w:tcMar>
            <w:vAlign w:val="bottom"/>
          </w:tcPr>
          <w:p w14:paraId="098A9494"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495" w14:textId="77777777" w:rsidR="00141CDF" w:rsidRDefault="00141CDF">
            <w:pPr>
              <w:rPr>
                <w:rFonts w:ascii="宋体"/>
              </w:rPr>
            </w:pPr>
          </w:p>
        </w:tc>
        <w:tc>
          <w:tcPr>
            <w:tcW w:w="0" w:type="auto"/>
            <w:shd w:val="clear" w:color="auto" w:fill="CCEEFF"/>
            <w:tcMar>
              <w:top w:w="40" w:type="dxa"/>
              <w:left w:w="20" w:type="dxa"/>
              <w:bottom w:w="40" w:type="dxa"/>
              <w:right w:w="0" w:type="dxa"/>
            </w:tcMar>
            <w:vAlign w:val="bottom"/>
          </w:tcPr>
          <w:p w14:paraId="098A9496" w14:textId="77777777" w:rsidR="00141CDF" w:rsidRDefault="00DF45E0">
            <w:pPr>
              <w:textAlignment w:val="bottom"/>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bottom"/>
          </w:tcPr>
          <w:p w14:paraId="098A9497" w14:textId="77777777" w:rsidR="00141CDF" w:rsidRDefault="00DF45E0">
            <w:pPr>
              <w:jc w:val="right"/>
              <w:textAlignment w:val="bottom"/>
            </w:pPr>
            <w:r>
              <w:rPr>
                <w:rFonts w:ascii="Times New Roman" w:eastAsia="宋体" w:hAnsi="Times New Roman"/>
                <w:color w:val="000000"/>
                <w:sz w:val="16"/>
                <w:szCs w:val="16"/>
              </w:rPr>
              <w:t>7,175 </w:t>
            </w:r>
          </w:p>
        </w:tc>
        <w:tc>
          <w:tcPr>
            <w:tcW w:w="0" w:type="auto"/>
            <w:shd w:val="clear" w:color="auto" w:fill="CCEEFF"/>
            <w:tcMar>
              <w:top w:w="40" w:type="dxa"/>
              <w:left w:w="0" w:type="dxa"/>
              <w:bottom w:w="40" w:type="dxa"/>
              <w:right w:w="20" w:type="dxa"/>
            </w:tcMar>
            <w:vAlign w:val="bottom"/>
          </w:tcPr>
          <w:p w14:paraId="098A9498" w14:textId="77777777" w:rsidR="00141CDF" w:rsidRDefault="00141CDF">
            <w:pPr>
              <w:jc w:val="right"/>
              <w:rPr>
                <w:rFonts w:ascii="宋体"/>
              </w:rPr>
            </w:pPr>
          </w:p>
        </w:tc>
      </w:tr>
      <w:tr w:rsidR="00141CDF" w14:paraId="098A94A7" w14:textId="77777777">
        <w:tc>
          <w:tcPr>
            <w:tcW w:w="0" w:type="auto"/>
            <w:gridSpan w:val="3"/>
            <w:shd w:val="clear" w:color="auto" w:fill="FFFFFF"/>
            <w:tcMar>
              <w:top w:w="40" w:type="dxa"/>
              <w:left w:w="380" w:type="dxa"/>
              <w:bottom w:w="40" w:type="dxa"/>
              <w:right w:w="20" w:type="dxa"/>
            </w:tcMar>
            <w:vAlign w:val="center"/>
          </w:tcPr>
          <w:p w14:paraId="098A949A" w14:textId="77777777" w:rsidR="00141CDF" w:rsidRDefault="00DF45E0">
            <w:pPr>
              <w:textAlignment w:val="center"/>
            </w:pPr>
            <w:r>
              <w:rPr>
                <w:rFonts w:ascii="Times New Roman" w:eastAsia="宋体" w:hAnsi="Times New Roman"/>
                <w:color w:val="000000"/>
                <w:sz w:val="16"/>
                <w:szCs w:val="16"/>
              </w:rPr>
              <w:t>Consolidated net loss (income) attributable to noncontrolling interest</w:t>
            </w:r>
          </w:p>
        </w:tc>
        <w:tc>
          <w:tcPr>
            <w:tcW w:w="0" w:type="auto"/>
            <w:gridSpan w:val="3"/>
            <w:shd w:val="clear" w:color="auto" w:fill="FFFFFF"/>
            <w:tcMar>
              <w:top w:w="0" w:type="dxa"/>
              <w:left w:w="20" w:type="dxa"/>
              <w:bottom w:w="0" w:type="dxa"/>
              <w:right w:w="20" w:type="dxa"/>
            </w:tcMar>
            <w:vAlign w:val="bottom"/>
          </w:tcPr>
          <w:p w14:paraId="098A949B"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49C" w14:textId="77777777" w:rsidR="00141CDF" w:rsidRDefault="00DF45E0">
            <w:pPr>
              <w:jc w:val="right"/>
              <w:textAlignment w:val="center"/>
            </w:pPr>
            <w:r>
              <w:rPr>
                <w:rFonts w:ascii="Times New Roman" w:eastAsia="宋体" w:hAnsi="Times New Roman"/>
                <w:color w:val="000000"/>
                <w:sz w:val="16"/>
                <w:szCs w:val="16"/>
              </w:rPr>
              <w:t>2 </w:t>
            </w:r>
          </w:p>
        </w:tc>
        <w:tc>
          <w:tcPr>
            <w:tcW w:w="0" w:type="auto"/>
            <w:shd w:val="clear" w:color="auto" w:fill="FFFFFF"/>
            <w:tcMar>
              <w:top w:w="40" w:type="dxa"/>
              <w:left w:w="0" w:type="dxa"/>
              <w:bottom w:w="40" w:type="dxa"/>
              <w:right w:w="20" w:type="dxa"/>
            </w:tcMar>
            <w:vAlign w:val="center"/>
          </w:tcPr>
          <w:p w14:paraId="098A949D"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49E"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49F" w14:textId="77777777" w:rsidR="00141CDF" w:rsidRDefault="00DF45E0">
            <w:pPr>
              <w:jc w:val="right"/>
              <w:textAlignment w:val="center"/>
            </w:pPr>
            <w:r>
              <w:rPr>
                <w:rFonts w:ascii="Times New Roman" w:eastAsia="宋体" w:hAnsi="Times New Roman"/>
                <w:color w:val="000000"/>
                <w:sz w:val="16"/>
                <w:szCs w:val="16"/>
              </w:rPr>
              <w:t>(88)</w:t>
            </w:r>
          </w:p>
        </w:tc>
        <w:tc>
          <w:tcPr>
            <w:tcW w:w="0" w:type="auto"/>
            <w:shd w:val="clear" w:color="auto" w:fill="FFFFFF"/>
            <w:tcMar>
              <w:top w:w="40" w:type="dxa"/>
              <w:left w:w="0" w:type="dxa"/>
              <w:bottom w:w="40" w:type="dxa"/>
              <w:right w:w="20" w:type="dxa"/>
            </w:tcMar>
            <w:vAlign w:val="center"/>
          </w:tcPr>
          <w:p w14:paraId="098A94A0"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4A1"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4A2" w14:textId="77777777" w:rsidR="00141CDF" w:rsidRDefault="00DF45E0">
            <w:pPr>
              <w:jc w:val="right"/>
              <w:textAlignment w:val="center"/>
            </w:pPr>
            <w:r>
              <w:rPr>
                <w:rFonts w:ascii="Times New Roman" w:eastAsia="宋体" w:hAnsi="Times New Roman"/>
                <w:color w:val="000000"/>
                <w:sz w:val="16"/>
                <w:szCs w:val="16"/>
              </w:rPr>
              <w:t>(47)</w:t>
            </w:r>
          </w:p>
        </w:tc>
        <w:tc>
          <w:tcPr>
            <w:tcW w:w="0" w:type="auto"/>
            <w:shd w:val="clear" w:color="auto" w:fill="FFFFFF"/>
            <w:tcMar>
              <w:top w:w="40" w:type="dxa"/>
              <w:left w:w="0" w:type="dxa"/>
              <w:bottom w:w="40" w:type="dxa"/>
              <w:right w:w="20" w:type="dxa"/>
            </w:tcMar>
            <w:vAlign w:val="center"/>
          </w:tcPr>
          <w:p w14:paraId="098A94A3"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4A4"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4A5" w14:textId="77777777" w:rsidR="00141CDF" w:rsidRDefault="00DF45E0">
            <w:pPr>
              <w:jc w:val="right"/>
              <w:textAlignment w:val="center"/>
            </w:pPr>
            <w:r>
              <w:rPr>
                <w:rFonts w:ascii="Times New Roman" w:eastAsia="宋体" w:hAnsi="Times New Roman"/>
                <w:color w:val="000000"/>
                <w:sz w:val="16"/>
                <w:szCs w:val="16"/>
              </w:rPr>
              <w:t>(169)</w:t>
            </w:r>
          </w:p>
        </w:tc>
        <w:tc>
          <w:tcPr>
            <w:tcW w:w="0" w:type="auto"/>
            <w:shd w:val="clear" w:color="auto" w:fill="FFFFFF"/>
            <w:tcMar>
              <w:top w:w="40" w:type="dxa"/>
              <w:left w:w="0" w:type="dxa"/>
              <w:bottom w:w="40" w:type="dxa"/>
              <w:right w:w="20" w:type="dxa"/>
            </w:tcMar>
            <w:vAlign w:val="center"/>
          </w:tcPr>
          <w:p w14:paraId="098A94A6" w14:textId="77777777" w:rsidR="00141CDF" w:rsidRDefault="00141CDF">
            <w:pPr>
              <w:jc w:val="right"/>
              <w:rPr>
                <w:rFonts w:ascii="宋体"/>
              </w:rPr>
            </w:pPr>
          </w:p>
        </w:tc>
      </w:tr>
      <w:tr w:rsidR="00141CDF" w14:paraId="098A94B9" w14:textId="77777777">
        <w:tc>
          <w:tcPr>
            <w:tcW w:w="0" w:type="auto"/>
            <w:gridSpan w:val="3"/>
            <w:shd w:val="clear" w:color="auto" w:fill="CCEEFF"/>
            <w:tcMar>
              <w:top w:w="40" w:type="dxa"/>
              <w:left w:w="380" w:type="dxa"/>
              <w:bottom w:w="40" w:type="dxa"/>
              <w:right w:w="20" w:type="dxa"/>
            </w:tcMar>
            <w:vAlign w:val="center"/>
          </w:tcPr>
          <w:p w14:paraId="098A94A8" w14:textId="77777777" w:rsidR="00141CDF" w:rsidRDefault="00DF45E0">
            <w:pPr>
              <w:textAlignment w:val="center"/>
            </w:pPr>
            <w:r>
              <w:rPr>
                <w:rFonts w:ascii="Times New Roman" w:eastAsia="宋体" w:hAnsi="Times New Roman"/>
                <w:b/>
                <w:bCs/>
                <w:color w:val="000000"/>
                <w:sz w:val="16"/>
                <w:szCs w:val="16"/>
              </w:rPr>
              <w:t>Consolidated net income attributable to Walmart</w:t>
            </w:r>
          </w:p>
        </w:tc>
        <w:tc>
          <w:tcPr>
            <w:tcW w:w="0" w:type="auto"/>
            <w:gridSpan w:val="3"/>
            <w:shd w:val="clear" w:color="auto" w:fill="CCEEFF"/>
            <w:tcMar>
              <w:top w:w="0" w:type="dxa"/>
              <w:left w:w="20" w:type="dxa"/>
              <w:bottom w:w="0" w:type="dxa"/>
              <w:right w:w="20" w:type="dxa"/>
            </w:tcMar>
            <w:vAlign w:val="bottom"/>
          </w:tcPr>
          <w:p w14:paraId="098A94A9"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94AA"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94AB" w14:textId="77777777" w:rsidR="00141CDF" w:rsidRDefault="00DF45E0">
            <w:pPr>
              <w:jc w:val="right"/>
              <w:textAlignment w:val="center"/>
            </w:pPr>
            <w:r>
              <w:rPr>
                <w:rFonts w:ascii="Times New Roman" w:eastAsia="宋体" w:hAnsi="Times New Roman"/>
                <w:color w:val="000000"/>
                <w:sz w:val="16"/>
                <w:szCs w:val="16"/>
              </w:rPr>
              <w:t>5,149 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4AC"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4AD"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94AE"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94AF" w14:textId="77777777" w:rsidR="00141CDF" w:rsidRDefault="00DF45E0">
            <w:pPr>
              <w:jc w:val="right"/>
              <w:textAlignment w:val="center"/>
            </w:pPr>
            <w:r>
              <w:rPr>
                <w:rFonts w:ascii="Times New Roman" w:eastAsia="宋体" w:hAnsi="Times New Roman"/>
                <w:color w:val="000000"/>
                <w:sz w:val="16"/>
                <w:szCs w:val="16"/>
              </w:rPr>
              <w:t>4,276 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4B0"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4B1"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98A94B2" w14:textId="77777777" w:rsidR="00141CDF" w:rsidRDefault="00DF45E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98A94B3" w14:textId="77777777" w:rsidR="00141CDF" w:rsidRDefault="00DF45E0">
            <w:pPr>
              <w:jc w:val="right"/>
              <w:textAlignment w:val="bottom"/>
            </w:pPr>
            <w:r>
              <w:rPr>
                <w:rFonts w:ascii="Times New Roman" w:eastAsia="宋体" w:hAnsi="Times New Roman"/>
                <w:color w:val="000000"/>
                <w:sz w:val="16"/>
                <w:szCs w:val="16"/>
              </w:rPr>
              <w:t>7,203 </w:t>
            </w:r>
          </w:p>
        </w:tc>
        <w:tc>
          <w:tcPr>
            <w:tcW w:w="0" w:type="auto"/>
            <w:tcBorders>
              <w:top w:val="single" w:sz="8" w:space="0" w:color="000000"/>
            </w:tcBorders>
            <w:shd w:val="clear" w:color="auto" w:fill="CCEEFF"/>
            <w:tcMar>
              <w:top w:w="40" w:type="dxa"/>
              <w:left w:w="0" w:type="dxa"/>
              <w:bottom w:w="40" w:type="dxa"/>
              <w:right w:w="20" w:type="dxa"/>
            </w:tcMar>
            <w:vAlign w:val="bottom"/>
          </w:tcPr>
          <w:p w14:paraId="098A94B4"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4B5"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98A94B6" w14:textId="77777777" w:rsidR="00141CDF" w:rsidRDefault="00DF45E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98A94B7" w14:textId="77777777" w:rsidR="00141CDF" w:rsidRDefault="00DF45E0">
            <w:pPr>
              <w:jc w:val="right"/>
              <w:textAlignment w:val="bottom"/>
            </w:pPr>
            <w:r>
              <w:rPr>
                <w:rFonts w:ascii="Times New Roman" w:eastAsia="宋体" w:hAnsi="Times New Roman"/>
                <w:color w:val="000000"/>
                <w:sz w:val="16"/>
                <w:szCs w:val="16"/>
              </w:rPr>
              <w:t>7,006 </w:t>
            </w:r>
          </w:p>
        </w:tc>
        <w:tc>
          <w:tcPr>
            <w:tcW w:w="0" w:type="auto"/>
            <w:tcBorders>
              <w:top w:val="single" w:sz="8" w:space="0" w:color="000000"/>
            </w:tcBorders>
            <w:shd w:val="clear" w:color="auto" w:fill="CCEEFF"/>
            <w:tcMar>
              <w:top w:w="40" w:type="dxa"/>
              <w:left w:w="0" w:type="dxa"/>
              <w:bottom w:w="40" w:type="dxa"/>
              <w:right w:w="20" w:type="dxa"/>
            </w:tcMar>
            <w:vAlign w:val="bottom"/>
          </w:tcPr>
          <w:p w14:paraId="098A94B8" w14:textId="77777777" w:rsidR="00141CDF" w:rsidRDefault="00141CDF">
            <w:pPr>
              <w:jc w:val="right"/>
              <w:rPr>
                <w:rFonts w:ascii="宋体"/>
              </w:rPr>
            </w:pPr>
          </w:p>
        </w:tc>
      </w:tr>
      <w:tr w:rsidR="00141CDF" w14:paraId="098A94C3" w14:textId="77777777">
        <w:trPr>
          <w:trHeight w:val="220"/>
        </w:trPr>
        <w:tc>
          <w:tcPr>
            <w:tcW w:w="0" w:type="auto"/>
            <w:gridSpan w:val="3"/>
            <w:shd w:val="clear" w:color="auto" w:fill="FFFFFF"/>
            <w:tcMar>
              <w:top w:w="0" w:type="dxa"/>
              <w:left w:w="20" w:type="dxa"/>
              <w:bottom w:w="0" w:type="dxa"/>
              <w:right w:w="20" w:type="dxa"/>
            </w:tcMar>
            <w:vAlign w:val="bottom"/>
          </w:tcPr>
          <w:p w14:paraId="098A94BA"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94BB" w14:textId="77777777" w:rsidR="00141CDF" w:rsidRDefault="00141CD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98A94BC"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94BD" w14:textId="77777777" w:rsidR="00141CDF" w:rsidRDefault="00141CD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98A94BE"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94BF" w14:textId="77777777" w:rsidR="00141CDF" w:rsidRDefault="00141CD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98A94C0"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94C1" w14:textId="77777777" w:rsidR="00141CDF" w:rsidRDefault="00141CD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98A94C2" w14:textId="77777777" w:rsidR="00141CDF" w:rsidRDefault="00141CDF">
            <w:pPr>
              <w:rPr>
                <w:rFonts w:ascii="宋体"/>
              </w:rPr>
            </w:pPr>
          </w:p>
        </w:tc>
      </w:tr>
      <w:tr w:rsidR="00141CDF" w14:paraId="098A94CD" w14:textId="77777777">
        <w:tc>
          <w:tcPr>
            <w:tcW w:w="0" w:type="auto"/>
            <w:gridSpan w:val="3"/>
            <w:shd w:val="clear" w:color="auto" w:fill="CCEEFF"/>
            <w:tcMar>
              <w:top w:w="40" w:type="dxa"/>
              <w:left w:w="20" w:type="dxa"/>
              <w:bottom w:w="40" w:type="dxa"/>
              <w:right w:w="20" w:type="dxa"/>
            </w:tcMar>
            <w:vAlign w:val="center"/>
          </w:tcPr>
          <w:p w14:paraId="098A94C4" w14:textId="77777777" w:rsidR="00141CDF" w:rsidRDefault="00DF45E0">
            <w:pPr>
              <w:textAlignment w:val="center"/>
            </w:pPr>
            <w:r>
              <w:rPr>
                <w:rFonts w:ascii="Times New Roman" w:eastAsia="宋体" w:hAnsi="Times New Roman"/>
                <w:b/>
                <w:bCs/>
                <w:color w:val="000000"/>
                <w:sz w:val="16"/>
                <w:szCs w:val="16"/>
              </w:rPr>
              <w:t>Denominator</w:t>
            </w:r>
          </w:p>
        </w:tc>
        <w:tc>
          <w:tcPr>
            <w:tcW w:w="0" w:type="auto"/>
            <w:gridSpan w:val="3"/>
            <w:shd w:val="clear" w:color="auto" w:fill="CCEEFF"/>
            <w:tcMar>
              <w:top w:w="0" w:type="dxa"/>
              <w:left w:w="20" w:type="dxa"/>
              <w:bottom w:w="0" w:type="dxa"/>
              <w:right w:w="20" w:type="dxa"/>
            </w:tcMar>
            <w:vAlign w:val="bottom"/>
          </w:tcPr>
          <w:p w14:paraId="098A94C5"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94C6"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94C7"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94C8"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94C9"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94CA"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94CB"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94CC" w14:textId="77777777" w:rsidR="00141CDF" w:rsidRDefault="00141CDF">
            <w:pPr>
              <w:rPr>
                <w:rFonts w:ascii="宋体"/>
              </w:rPr>
            </w:pPr>
          </w:p>
        </w:tc>
      </w:tr>
      <w:tr w:rsidR="00141CDF" w14:paraId="098A94DB" w14:textId="77777777">
        <w:tc>
          <w:tcPr>
            <w:tcW w:w="0" w:type="auto"/>
            <w:gridSpan w:val="3"/>
            <w:shd w:val="clear" w:color="auto" w:fill="FFFFFF"/>
            <w:tcMar>
              <w:top w:w="40" w:type="dxa"/>
              <w:left w:w="380" w:type="dxa"/>
              <w:bottom w:w="40" w:type="dxa"/>
              <w:right w:w="20" w:type="dxa"/>
            </w:tcMar>
            <w:vAlign w:val="center"/>
          </w:tcPr>
          <w:p w14:paraId="098A94CE" w14:textId="77777777" w:rsidR="00141CDF" w:rsidRDefault="00DF45E0">
            <w:pPr>
              <w:textAlignment w:val="center"/>
            </w:pPr>
            <w:r>
              <w:rPr>
                <w:rFonts w:ascii="Times New Roman" w:eastAsia="宋体" w:hAnsi="Times New Roman"/>
                <w:color w:val="000000"/>
                <w:sz w:val="16"/>
                <w:szCs w:val="16"/>
              </w:rPr>
              <w:t>Weighted-average common shares outstanding, basic</w:t>
            </w:r>
          </w:p>
        </w:tc>
        <w:tc>
          <w:tcPr>
            <w:tcW w:w="0" w:type="auto"/>
            <w:gridSpan w:val="3"/>
            <w:shd w:val="clear" w:color="auto" w:fill="FFFFFF"/>
            <w:tcMar>
              <w:top w:w="0" w:type="dxa"/>
              <w:left w:w="20" w:type="dxa"/>
              <w:bottom w:w="0" w:type="dxa"/>
              <w:right w:w="20" w:type="dxa"/>
            </w:tcMar>
            <w:vAlign w:val="bottom"/>
          </w:tcPr>
          <w:p w14:paraId="098A94CF"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4D0" w14:textId="77777777" w:rsidR="00141CDF" w:rsidRDefault="00DF45E0">
            <w:pPr>
              <w:jc w:val="right"/>
              <w:textAlignment w:val="center"/>
            </w:pPr>
            <w:r>
              <w:rPr>
                <w:rFonts w:ascii="Times New Roman" w:eastAsia="宋体" w:hAnsi="Times New Roman"/>
                <w:color w:val="000000"/>
                <w:sz w:val="16"/>
                <w:szCs w:val="16"/>
              </w:rPr>
              <w:t>2,736 </w:t>
            </w:r>
          </w:p>
        </w:tc>
        <w:tc>
          <w:tcPr>
            <w:tcW w:w="0" w:type="auto"/>
            <w:shd w:val="clear" w:color="auto" w:fill="FFFFFF"/>
            <w:tcMar>
              <w:top w:w="40" w:type="dxa"/>
              <w:left w:w="0" w:type="dxa"/>
              <w:bottom w:w="40" w:type="dxa"/>
              <w:right w:w="20" w:type="dxa"/>
            </w:tcMar>
            <w:vAlign w:val="center"/>
          </w:tcPr>
          <w:p w14:paraId="098A94D1"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4D2"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4D3" w14:textId="77777777" w:rsidR="00141CDF" w:rsidRDefault="00DF45E0">
            <w:pPr>
              <w:jc w:val="right"/>
              <w:textAlignment w:val="center"/>
            </w:pPr>
            <w:r>
              <w:rPr>
                <w:rFonts w:ascii="Times New Roman" w:eastAsia="宋体" w:hAnsi="Times New Roman"/>
                <w:color w:val="000000"/>
                <w:sz w:val="16"/>
                <w:szCs w:val="16"/>
              </w:rPr>
              <w:t>2,799 </w:t>
            </w:r>
          </w:p>
        </w:tc>
        <w:tc>
          <w:tcPr>
            <w:tcW w:w="0" w:type="auto"/>
            <w:shd w:val="clear" w:color="auto" w:fill="FFFFFF"/>
            <w:tcMar>
              <w:top w:w="40" w:type="dxa"/>
              <w:left w:w="0" w:type="dxa"/>
              <w:bottom w:w="40" w:type="dxa"/>
              <w:right w:w="20" w:type="dxa"/>
            </w:tcMar>
            <w:vAlign w:val="center"/>
          </w:tcPr>
          <w:p w14:paraId="098A94D4"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4D5"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4D6" w14:textId="77777777" w:rsidR="00141CDF" w:rsidRDefault="00DF45E0">
            <w:pPr>
              <w:jc w:val="right"/>
              <w:textAlignment w:val="center"/>
            </w:pPr>
            <w:r>
              <w:rPr>
                <w:rFonts w:ascii="Times New Roman" w:eastAsia="宋体" w:hAnsi="Times New Roman"/>
                <w:color w:val="000000"/>
                <w:sz w:val="16"/>
                <w:szCs w:val="16"/>
              </w:rPr>
              <w:t>2,745 </w:t>
            </w:r>
          </w:p>
        </w:tc>
        <w:tc>
          <w:tcPr>
            <w:tcW w:w="0" w:type="auto"/>
            <w:shd w:val="clear" w:color="auto" w:fill="FFFFFF"/>
            <w:tcMar>
              <w:top w:w="40" w:type="dxa"/>
              <w:left w:w="0" w:type="dxa"/>
              <w:bottom w:w="40" w:type="dxa"/>
              <w:right w:w="20" w:type="dxa"/>
            </w:tcMar>
            <w:vAlign w:val="center"/>
          </w:tcPr>
          <w:p w14:paraId="098A94D7"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4D8"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4D9" w14:textId="77777777" w:rsidR="00141CDF" w:rsidRDefault="00DF45E0">
            <w:pPr>
              <w:jc w:val="right"/>
              <w:textAlignment w:val="center"/>
            </w:pPr>
            <w:r>
              <w:rPr>
                <w:rFonts w:ascii="Times New Roman" w:eastAsia="宋体" w:hAnsi="Times New Roman"/>
                <w:color w:val="000000"/>
                <w:sz w:val="16"/>
                <w:szCs w:val="16"/>
              </w:rPr>
              <w:t>2,807 </w:t>
            </w:r>
          </w:p>
        </w:tc>
        <w:tc>
          <w:tcPr>
            <w:tcW w:w="0" w:type="auto"/>
            <w:shd w:val="clear" w:color="auto" w:fill="FFFFFF"/>
            <w:tcMar>
              <w:top w:w="40" w:type="dxa"/>
              <w:left w:w="0" w:type="dxa"/>
              <w:bottom w:w="40" w:type="dxa"/>
              <w:right w:w="20" w:type="dxa"/>
            </w:tcMar>
            <w:vAlign w:val="center"/>
          </w:tcPr>
          <w:p w14:paraId="098A94DA" w14:textId="77777777" w:rsidR="00141CDF" w:rsidRDefault="00141CDF">
            <w:pPr>
              <w:jc w:val="right"/>
              <w:rPr>
                <w:rFonts w:ascii="宋体"/>
              </w:rPr>
            </w:pPr>
          </w:p>
        </w:tc>
      </w:tr>
      <w:tr w:rsidR="00141CDF" w14:paraId="098A94E9" w14:textId="77777777">
        <w:tc>
          <w:tcPr>
            <w:tcW w:w="0" w:type="auto"/>
            <w:gridSpan w:val="3"/>
            <w:shd w:val="clear" w:color="auto" w:fill="CCEEFF"/>
            <w:tcMar>
              <w:top w:w="40" w:type="dxa"/>
              <w:left w:w="380" w:type="dxa"/>
              <w:bottom w:w="40" w:type="dxa"/>
              <w:right w:w="20" w:type="dxa"/>
            </w:tcMar>
            <w:vAlign w:val="center"/>
          </w:tcPr>
          <w:p w14:paraId="098A94DC" w14:textId="77777777" w:rsidR="00141CDF" w:rsidRDefault="00DF45E0">
            <w:pPr>
              <w:textAlignment w:val="center"/>
            </w:pPr>
            <w:r>
              <w:rPr>
                <w:rFonts w:ascii="Times New Roman" w:eastAsia="宋体" w:hAnsi="Times New Roman"/>
                <w:color w:val="000000"/>
                <w:sz w:val="16"/>
                <w:szCs w:val="16"/>
              </w:rPr>
              <w:t>Dilutive impact of share-based awards</w:t>
            </w:r>
          </w:p>
        </w:tc>
        <w:tc>
          <w:tcPr>
            <w:tcW w:w="0" w:type="auto"/>
            <w:gridSpan w:val="3"/>
            <w:shd w:val="clear" w:color="auto" w:fill="CCEEFF"/>
            <w:tcMar>
              <w:top w:w="0" w:type="dxa"/>
              <w:left w:w="20" w:type="dxa"/>
              <w:bottom w:w="0" w:type="dxa"/>
              <w:right w:w="20" w:type="dxa"/>
            </w:tcMar>
            <w:vAlign w:val="bottom"/>
          </w:tcPr>
          <w:p w14:paraId="098A94DD"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4DE" w14:textId="77777777" w:rsidR="00141CDF" w:rsidRDefault="00DF45E0">
            <w:pPr>
              <w:jc w:val="right"/>
              <w:textAlignment w:val="center"/>
            </w:pPr>
            <w:r>
              <w:rPr>
                <w:rFonts w:ascii="Times New Roman" w:eastAsia="宋体" w:hAnsi="Times New Roman"/>
                <w:color w:val="000000"/>
                <w:sz w:val="16"/>
                <w:szCs w:val="16"/>
              </w:rPr>
              <w:t>9 </w:t>
            </w:r>
          </w:p>
        </w:tc>
        <w:tc>
          <w:tcPr>
            <w:tcW w:w="0" w:type="auto"/>
            <w:shd w:val="clear" w:color="auto" w:fill="CCEEFF"/>
            <w:tcMar>
              <w:top w:w="40" w:type="dxa"/>
              <w:left w:w="0" w:type="dxa"/>
              <w:bottom w:w="40" w:type="dxa"/>
              <w:right w:w="20" w:type="dxa"/>
            </w:tcMar>
            <w:vAlign w:val="center"/>
          </w:tcPr>
          <w:p w14:paraId="098A94DF"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4E0"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4E1" w14:textId="77777777" w:rsidR="00141CDF" w:rsidRDefault="00DF45E0">
            <w:pPr>
              <w:jc w:val="right"/>
              <w:textAlignment w:val="center"/>
            </w:pPr>
            <w:r>
              <w:rPr>
                <w:rFonts w:ascii="Times New Roman" w:eastAsia="宋体" w:hAnsi="Times New Roman"/>
                <w:color w:val="000000"/>
                <w:sz w:val="16"/>
                <w:szCs w:val="16"/>
              </w:rPr>
              <w:t>13 </w:t>
            </w:r>
          </w:p>
        </w:tc>
        <w:tc>
          <w:tcPr>
            <w:tcW w:w="0" w:type="auto"/>
            <w:shd w:val="clear" w:color="auto" w:fill="CCEEFF"/>
            <w:tcMar>
              <w:top w:w="40" w:type="dxa"/>
              <w:left w:w="0" w:type="dxa"/>
              <w:bottom w:w="40" w:type="dxa"/>
              <w:right w:w="20" w:type="dxa"/>
            </w:tcMar>
            <w:vAlign w:val="center"/>
          </w:tcPr>
          <w:p w14:paraId="098A94E2"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4E3"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bottom"/>
          </w:tcPr>
          <w:p w14:paraId="098A94E4" w14:textId="77777777" w:rsidR="00141CDF" w:rsidRDefault="00DF45E0">
            <w:pPr>
              <w:jc w:val="right"/>
              <w:textAlignment w:val="bottom"/>
            </w:pPr>
            <w:r>
              <w:rPr>
                <w:rFonts w:ascii="Times New Roman" w:eastAsia="宋体" w:hAnsi="Times New Roman"/>
                <w:color w:val="000000"/>
                <w:sz w:val="16"/>
                <w:szCs w:val="16"/>
              </w:rPr>
              <w:t>10 </w:t>
            </w:r>
          </w:p>
        </w:tc>
        <w:tc>
          <w:tcPr>
            <w:tcW w:w="0" w:type="auto"/>
            <w:shd w:val="clear" w:color="auto" w:fill="CCEEFF"/>
            <w:tcMar>
              <w:top w:w="40" w:type="dxa"/>
              <w:left w:w="0" w:type="dxa"/>
              <w:bottom w:w="40" w:type="dxa"/>
              <w:right w:w="20" w:type="dxa"/>
            </w:tcMar>
            <w:vAlign w:val="bottom"/>
          </w:tcPr>
          <w:p w14:paraId="098A94E5"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4E6"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bottom"/>
          </w:tcPr>
          <w:p w14:paraId="098A94E7" w14:textId="77777777" w:rsidR="00141CDF" w:rsidRDefault="00DF45E0">
            <w:pPr>
              <w:jc w:val="right"/>
              <w:textAlignment w:val="bottom"/>
            </w:pPr>
            <w:r>
              <w:rPr>
                <w:rFonts w:ascii="Times New Roman" w:eastAsia="宋体" w:hAnsi="Times New Roman"/>
                <w:color w:val="000000"/>
                <w:sz w:val="16"/>
                <w:szCs w:val="16"/>
              </w:rPr>
              <w:t>13 </w:t>
            </w:r>
          </w:p>
        </w:tc>
        <w:tc>
          <w:tcPr>
            <w:tcW w:w="0" w:type="auto"/>
            <w:shd w:val="clear" w:color="auto" w:fill="CCEEFF"/>
            <w:tcMar>
              <w:top w:w="40" w:type="dxa"/>
              <w:left w:w="0" w:type="dxa"/>
              <w:bottom w:w="40" w:type="dxa"/>
              <w:right w:w="20" w:type="dxa"/>
            </w:tcMar>
            <w:vAlign w:val="bottom"/>
          </w:tcPr>
          <w:p w14:paraId="098A94E8" w14:textId="77777777" w:rsidR="00141CDF" w:rsidRDefault="00141CDF">
            <w:pPr>
              <w:jc w:val="right"/>
              <w:rPr>
                <w:rFonts w:ascii="宋体"/>
              </w:rPr>
            </w:pPr>
          </w:p>
        </w:tc>
      </w:tr>
      <w:tr w:rsidR="00141CDF" w14:paraId="098A94F7" w14:textId="77777777">
        <w:tc>
          <w:tcPr>
            <w:tcW w:w="0" w:type="auto"/>
            <w:gridSpan w:val="3"/>
            <w:shd w:val="clear" w:color="auto" w:fill="FFFFFF"/>
            <w:tcMar>
              <w:top w:w="40" w:type="dxa"/>
              <w:left w:w="380" w:type="dxa"/>
              <w:bottom w:w="40" w:type="dxa"/>
              <w:right w:w="20" w:type="dxa"/>
            </w:tcMar>
            <w:vAlign w:val="center"/>
          </w:tcPr>
          <w:p w14:paraId="098A94EA" w14:textId="77777777" w:rsidR="00141CDF" w:rsidRDefault="00DF45E0">
            <w:pPr>
              <w:textAlignment w:val="center"/>
            </w:pPr>
            <w:r>
              <w:rPr>
                <w:rFonts w:ascii="Times New Roman" w:eastAsia="宋体" w:hAnsi="Times New Roman"/>
                <w:color w:val="000000"/>
                <w:sz w:val="16"/>
                <w:szCs w:val="16"/>
              </w:rPr>
              <w:t>Weighted-average common shares outstanding, diluted</w:t>
            </w:r>
          </w:p>
        </w:tc>
        <w:tc>
          <w:tcPr>
            <w:tcW w:w="0" w:type="auto"/>
            <w:gridSpan w:val="3"/>
            <w:shd w:val="clear" w:color="auto" w:fill="FFFFFF"/>
            <w:tcMar>
              <w:top w:w="0" w:type="dxa"/>
              <w:left w:w="20" w:type="dxa"/>
              <w:bottom w:w="0" w:type="dxa"/>
              <w:right w:w="20" w:type="dxa"/>
            </w:tcMar>
            <w:vAlign w:val="bottom"/>
          </w:tcPr>
          <w:p w14:paraId="098A94EB" w14:textId="77777777" w:rsidR="00141CDF" w:rsidRDefault="00141C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98A94EC" w14:textId="77777777" w:rsidR="00141CDF" w:rsidRDefault="00DF45E0">
            <w:pPr>
              <w:jc w:val="right"/>
              <w:textAlignment w:val="center"/>
            </w:pPr>
            <w:r>
              <w:rPr>
                <w:rFonts w:ascii="Times New Roman" w:eastAsia="宋体" w:hAnsi="Times New Roman"/>
                <w:color w:val="000000"/>
                <w:sz w:val="16"/>
                <w:szCs w:val="16"/>
              </w:rPr>
              <w:t>2,745 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94ED"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4EE" w14:textId="77777777" w:rsidR="00141CDF" w:rsidRDefault="00141C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98A94EF" w14:textId="77777777" w:rsidR="00141CDF" w:rsidRDefault="00DF45E0">
            <w:pPr>
              <w:jc w:val="right"/>
              <w:textAlignment w:val="center"/>
            </w:pPr>
            <w:r>
              <w:rPr>
                <w:rFonts w:ascii="Times New Roman" w:eastAsia="宋体" w:hAnsi="Times New Roman"/>
                <w:color w:val="000000"/>
                <w:sz w:val="16"/>
                <w:szCs w:val="16"/>
              </w:rPr>
              <w:t>2,812 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94F0"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4F1" w14:textId="77777777" w:rsidR="00141CDF" w:rsidRDefault="00141C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98A94F2" w14:textId="77777777" w:rsidR="00141CDF" w:rsidRDefault="00DF45E0">
            <w:pPr>
              <w:jc w:val="right"/>
              <w:textAlignment w:val="center"/>
            </w:pPr>
            <w:r>
              <w:rPr>
                <w:rFonts w:ascii="Times New Roman" w:eastAsia="宋体" w:hAnsi="Times New Roman"/>
                <w:color w:val="000000"/>
                <w:sz w:val="16"/>
                <w:szCs w:val="16"/>
              </w:rPr>
              <w:t>2,755 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94F3"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4F4" w14:textId="77777777" w:rsidR="00141CDF" w:rsidRDefault="00141C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98A94F5" w14:textId="77777777" w:rsidR="00141CDF" w:rsidRDefault="00DF45E0">
            <w:pPr>
              <w:jc w:val="right"/>
              <w:textAlignment w:val="center"/>
            </w:pPr>
            <w:r>
              <w:rPr>
                <w:rFonts w:ascii="Times New Roman" w:eastAsia="宋体" w:hAnsi="Times New Roman"/>
                <w:color w:val="000000"/>
                <w:sz w:val="16"/>
                <w:szCs w:val="16"/>
              </w:rPr>
              <w:t>2,820 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94F6" w14:textId="77777777" w:rsidR="00141CDF" w:rsidRDefault="00141CDF">
            <w:pPr>
              <w:jc w:val="right"/>
              <w:rPr>
                <w:rFonts w:ascii="宋体"/>
              </w:rPr>
            </w:pPr>
          </w:p>
        </w:tc>
      </w:tr>
      <w:tr w:rsidR="00141CDF" w14:paraId="098A9501" w14:textId="77777777">
        <w:trPr>
          <w:trHeight w:val="220"/>
        </w:trPr>
        <w:tc>
          <w:tcPr>
            <w:tcW w:w="0" w:type="auto"/>
            <w:gridSpan w:val="3"/>
            <w:shd w:val="clear" w:color="auto" w:fill="CCEEFF"/>
            <w:tcMar>
              <w:top w:w="0" w:type="dxa"/>
              <w:left w:w="20" w:type="dxa"/>
              <w:bottom w:w="0" w:type="dxa"/>
              <w:right w:w="20" w:type="dxa"/>
            </w:tcMar>
            <w:vAlign w:val="bottom"/>
          </w:tcPr>
          <w:p w14:paraId="098A94F8"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94F9" w14:textId="77777777" w:rsidR="00141CDF" w:rsidRDefault="00141CD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98A94FA"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94FB" w14:textId="77777777" w:rsidR="00141CDF" w:rsidRDefault="00141CD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98A94FC"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94FD" w14:textId="77777777" w:rsidR="00141CDF" w:rsidRDefault="00141CD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98A94FE"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94FF" w14:textId="77777777" w:rsidR="00141CDF" w:rsidRDefault="00141CD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98A9500" w14:textId="77777777" w:rsidR="00141CDF" w:rsidRDefault="00141CDF">
            <w:pPr>
              <w:rPr>
                <w:rFonts w:ascii="宋体"/>
              </w:rPr>
            </w:pPr>
          </w:p>
        </w:tc>
      </w:tr>
      <w:tr w:rsidR="00141CDF" w14:paraId="098A950B" w14:textId="77777777">
        <w:tc>
          <w:tcPr>
            <w:tcW w:w="0" w:type="auto"/>
            <w:gridSpan w:val="3"/>
            <w:shd w:val="clear" w:color="auto" w:fill="FFFFFF"/>
            <w:tcMar>
              <w:top w:w="40" w:type="dxa"/>
              <w:left w:w="20" w:type="dxa"/>
              <w:bottom w:w="40" w:type="dxa"/>
              <w:right w:w="20" w:type="dxa"/>
            </w:tcMar>
            <w:vAlign w:val="center"/>
          </w:tcPr>
          <w:p w14:paraId="098A9502" w14:textId="77777777" w:rsidR="00141CDF" w:rsidRDefault="00DF45E0">
            <w:pPr>
              <w:textAlignment w:val="center"/>
            </w:pPr>
            <w:r>
              <w:rPr>
                <w:rFonts w:ascii="Times New Roman" w:eastAsia="宋体" w:hAnsi="Times New Roman"/>
                <w:b/>
                <w:bCs/>
                <w:color w:val="000000"/>
                <w:sz w:val="16"/>
                <w:szCs w:val="16"/>
              </w:rPr>
              <w:t>Net income per common share attributable to Walmart</w:t>
            </w:r>
          </w:p>
        </w:tc>
        <w:tc>
          <w:tcPr>
            <w:tcW w:w="0" w:type="auto"/>
            <w:gridSpan w:val="3"/>
            <w:shd w:val="clear" w:color="auto" w:fill="FFFFFF"/>
            <w:tcMar>
              <w:top w:w="0" w:type="dxa"/>
              <w:left w:w="20" w:type="dxa"/>
              <w:bottom w:w="0" w:type="dxa"/>
              <w:right w:w="20" w:type="dxa"/>
            </w:tcMar>
            <w:vAlign w:val="bottom"/>
          </w:tcPr>
          <w:p w14:paraId="098A9503"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9504"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9505"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9506"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9507"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9508"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9509"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950A" w14:textId="77777777" w:rsidR="00141CDF" w:rsidRDefault="00141CDF">
            <w:pPr>
              <w:rPr>
                <w:rFonts w:ascii="宋体"/>
              </w:rPr>
            </w:pPr>
          </w:p>
        </w:tc>
      </w:tr>
      <w:tr w:rsidR="00141CDF" w14:paraId="098A951D" w14:textId="77777777">
        <w:tc>
          <w:tcPr>
            <w:tcW w:w="0" w:type="auto"/>
            <w:gridSpan w:val="3"/>
            <w:shd w:val="clear" w:color="auto" w:fill="CCEEFF"/>
            <w:tcMar>
              <w:top w:w="40" w:type="dxa"/>
              <w:left w:w="380" w:type="dxa"/>
              <w:bottom w:w="40" w:type="dxa"/>
              <w:right w:w="20" w:type="dxa"/>
            </w:tcMar>
            <w:vAlign w:val="center"/>
          </w:tcPr>
          <w:p w14:paraId="098A950C" w14:textId="77777777" w:rsidR="00141CDF" w:rsidRDefault="00DF45E0">
            <w:pPr>
              <w:textAlignment w:val="center"/>
            </w:pPr>
            <w:r>
              <w:rPr>
                <w:rFonts w:ascii="Times New Roman" w:eastAsia="宋体" w:hAnsi="Times New Roman"/>
                <w:color w:val="000000"/>
                <w:sz w:val="16"/>
                <w:szCs w:val="16"/>
              </w:rPr>
              <w:t>Basic</w:t>
            </w:r>
          </w:p>
        </w:tc>
        <w:tc>
          <w:tcPr>
            <w:tcW w:w="0" w:type="auto"/>
            <w:gridSpan w:val="3"/>
            <w:shd w:val="clear" w:color="auto" w:fill="CCEEFF"/>
            <w:tcMar>
              <w:top w:w="0" w:type="dxa"/>
              <w:left w:w="20" w:type="dxa"/>
              <w:bottom w:w="0" w:type="dxa"/>
              <w:right w:w="20" w:type="dxa"/>
            </w:tcMar>
            <w:vAlign w:val="bottom"/>
          </w:tcPr>
          <w:p w14:paraId="098A950D" w14:textId="77777777" w:rsidR="00141CDF" w:rsidRDefault="00141CDF">
            <w:pPr>
              <w:rPr>
                <w:rFonts w:ascii="宋体"/>
              </w:rPr>
            </w:pPr>
          </w:p>
        </w:tc>
        <w:tc>
          <w:tcPr>
            <w:tcW w:w="0" w:type="auto"/>
            <w:shd w:val="clear" w:color="auto" w:fill="CCEEFF"/>
            <w:tcMar>
              <w:top w:w="40" w:type="dxa"/>
              <w:left w:w="20" w:type="dxa"/>
              <w:bottom w:w="40" w:type="dxa"/>
              <w:right w:w="0" w:type="dxa"/>
            </w:tcMar>
            <w:vAlign w:val="bottom"/>
          </w:tcPr>
          <w:p w14:paraId="098A950E" w14:textId="77777777" w:rsidR="00141CDF" w:rsidRDefault="00DF45E0">
            <w:pPr>
              <w:textAlignment w:val="bottom"/>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bottom"/>
          </w:tcPr>
          <w:p w14:paraId="098A950F" w14:textId="77777777" w:rsidR="00141CDF" w:rsidRDefault="00DF45E0">
            <w:pPr>
              <w:jc w:val="right"/>
              <w:textAlignment w:val="bottom"/>
            </w:pPr>
            <w:r>
              <w:rPr>
                <w:rFonts w:ascii="Times New Roman" w:eastAsia="宋体" w:hAnsi="Times New Roman"/>
                <w:color w:val="000000"/>
                <w:sz w:val="16"/>
                <w:szCs w:val="16"/>
              </w:rPr>
              <w:t>1.88 </w:t>
            </w:r>
          </w:p>
        </w:tc>
        <w:tc>
          <w:tcPr>
            <w:tcW w:w="0" w:type="auto"/>
            <w:shd w:val="clear" w:color="auto" w:fill="CCEEFF"/>
            <w:tcMar>
              <w:top w:w="40" w:type="dxa"/>
              <w:left w:w="0" w:type="dxa"/>
              <w:bottom w:w="40" w:type="dxa"/>
              <w:right w:w="20" w:type="dxa"/>
            </w:tcMar>
            <w:vAlign w:val="bottom"/>
          </w:tcPr>
          <w:p w14:paraId="098A9510"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511" w14:textId="77777777" w:rsidR="00141CDF" w:rsidRDefault="00141CDF">
            <w:pPr>
              <w:rPr>
                <w:rFonts w:ascii="宋体"/>
              </w:rPr>
            </w:pPr>
          </w:p>
        </w:tc>
        <w:tc>
          <w:tcPr>
            <w:tcW w:w="0" w:type="auto"/>
            <w:shd w:val="clear" w:color="auto" w:fill="CCEEFF"/>
            <w:tcMar>
              <w:top w:w="40" w:type="dxa"/>
              <w:left w:w="20" w:type="dxa"/>
              <w:bottom w:w="40" w:type="dxa"/>
              <w:right w:w="0" w:type="dxa"/>
            </w:tcMar>
            <w:vAlign w:val="bottom"/>
          </w:tcPr>
          <w:p w14:paraId="098A9512" w14:textId="77777777" w:rsidR="00141CDF" w:rsidRDefault="00DF45E0">
            <w:pPr>
              <w:textAlignment w:val="bottom"/>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bottom"/>
          </w:tcPr>
          <w:p w14:paraId="098A9513" w14:textId="77777777" w:rsidR="00141CDF" w:rsidRDefault="00DF45E0">
            <w:pPr>
              <w:jc w:val="right"/>
              <w:textAlignment w:val="bottom"/>
            </w:pPr>
            <w:r>
              <w:rPr>
                <w:rFonts w:ascii="Times New Roman" w:eastAsia="宋体" w:hAnsi="Times New Roman"/>
                <w:color w:val="000000"/>
                <w:sz w:val="16"/>
                <w:szCs w:val="16"/>
              </w:rPr>
              <w:t>1.53 </w:t>
            </w:r>
          </w:p>
        </w:tc>
        <w:tc>
          <w:tcPr>
            <w:tcW w:w="0" w:type="auto"/>
            <w:shd w:val="clear" w:color="auto" w:fill="CCEEFF"/>
            <w:tcMar>
              <w:top w:w="40" w:type="dxa"/>
              <w:left w:w="0" w:type="dxa"/>
              <w:bottom w:w="40" w:type="dxa"/>
              <w:right w:w="20" w:type="dxa"/>
            </w:tcMar>
            <w:vAlign w:val="bottom"/>
          </w:tcPr>
          <w:p w14:paraId="098A9514"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515" w14:textId="77777777" w:rsidR="00141CDF" w:rsidRDefault="00141CDF">
            <w:pPr>
              <w:rPr>
                <w:rFonts w:ascii="宋体"/>
              </w:rPr>
            </w:pPr>
          </w:p>
        </w:tc>
        <w:tc>
          <w:tcPr>
            <w:tcW w:w="0" w:type="auto"/>
            <w:shd w:val="clear" w:color="auto" w:fill="CCEEFF"/>
            <w:tcMar>
              <w:top w:w="40" w:type="dxa"/>
              <w:left w:w="20" w:type="dxa"/>
              <w:bottom w:w="40" w:type="dxa"/>
              <w:right w:w="0" w:type="dxa"/>
            </w:tcMar>
            <w:vAlign w:val="bottom"/>
          </w:tcPr>
          <w:p w14:paraId="098A9516" w14:textId="77777777" w:rsidR="00141CDF" w:rsidRDefault="00DF45E0">
            <w:pPr>
              <w:textAlignment w:val="bottom"/>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bottom"/>
          </w:tcPr>
          <w:p w14:paraId="098A9517" w14:textId="77777777" w:rsidR="00141CDF" w:rsidRDefault="00DF45E0">
            <w:pPr>
              <w:jc w:val="right"/>
              <w:textAlignment w:val="bottom"/>
            </w:pPr>
            <w:r>
              <w:rPr>
                <w:rFonts w:ascii="Times New Roman" w:eastAsia="宋体" w:hAnsi="Times New Roman"/>
                <w:color w:val="000000"/>
                <w:sz w:val="16"/>
                <w:szCs w:val="16"/>
              </w:rPr>
              <w:t>2.62 </w:t>
            </w:r>
          </w:p>
        </w:tc>
        <w:tc>
          <w:tcPr>
            <w:tcW w:w="0" w:type="auto"/>
            <w:shd w:val="clear" w:color="auto" w:fill="CCEEFF"/>
            <w:tcMar>
              <w:top w:w="40" w:type="dxa"/>
              <w:left w:w="0" w:type="dxa"/>
              <w:bottom w:w="40" w:type="dxa"/>
              <w:right w:w="20" w:type="dxa"/>
            </w:tcMar>
            <w:vAlign w:val="bottom"/>
          </w:tcPr>
          <w:p w14:paraId="098A9518"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519" w14:textId="77777777" w:rsidR="00141CDF" w:rsidRDefault="00141CDF">
            <w:pPr>
              <w:rPr>
                <w:rFonts w:ascii="宋体"/>
              </w:rPr>
            </w:pPr>
          </w:p>
        </w:tc>
        <w:tc>
          <w:tcPr>
            <w:tcW w:w="0" w:type="auto"/>
            <w:shd w:val="clear" w:color="auto" w:fill="CCEEFF"/>
            <w:tcMar>
              <w:top w:w="40" w:type="dxa"/>
              <w:left w:w="20" w:type="dxa"/>
              <w:bottom w:w="40" w:type="dxa"/>
              <w:right w:w="0" w:type="dxa"/>
            </w:tcMar>
            <w:vAlign w:val="bottom"/>
          </w:tcPr>
          <w:p w14:paraId="098A951A" w14:textId="77777777" w:rsidR="00141CDF" w:rsidRDefault="00DF45E0">
            <w:pPr>
              <w:textAlignment w:val="bottom"/>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bottom"/>
          </w:tcPr>
          <w:p w14:paraId="098A951B" w14:textId="77777777" w:rsidR="00141CDF" w:rsidRDefault="00DF45E0">
            <w:pPr>
              <w:jc w:val="right"/>
              <w:textAlignment w:val="bottom"/>
            </w:pPr>
            <w:r>
              <w:rPr>
                <w:rFonts w:ascii="Times New Roman" w:eastAsia="宋体" w:hAnsi="Times New Roman"/>
                <w:color w:val="000000"/>
                <w:sz w:val="16"/>
                <w:szCs w:val="16"/>
              </w:rPr>
              <w:t>2.50 </w:t>
            </w:r>
          </w:p>
        </w:tc>
        <w:tc>
          <w:tcPr>
            <w:tcW w:w="0" w:type="auto"/>
            <w:shd w:val="clear" w:color="auto" w:fill="CCEEFF"/>
            <w:tcMar>
              <w:top w:w="40" w:type="dxa"/>
              <w:left w:w="0" w:type="dxa"/>
              <w:bottom w:w="40" w:type="dxa"/>
              <w:right w:w="20" w:type="dxa"/>
            </w:tcMar>
            <w:vAlign w:val="bottom"/>
          </w:tcPr>
          <w:p w14:paraId="098A951C" w14:textId="77777777" w:rsidR="00141CDF" w:rsidRDefault="00141CDF">
            <w:pPr>
              <w:jc w:val="right"/>
              <w:rPr>
                <w:rFonts w:ascii="宋体"/>
              </w:rPr>
            </w:pPr>
          </w:p>
        </w:tc>
      </w:tr>
      <w:tr w:rsidR="00141CDF" w14:paraId="098A952B" w14:textId="77777777">
        <w:tc>
          <w:tcPr>
            <w:tcW w:w="0" w:type="auto"/>
            <w:gridSpan w:val="3"/>
            <w:shd w:val="clear" w:color="auto" w:fill="FFFFFF"/>
            <w:tcMar>
              <w:top w:w="40" w:type="dxa"/>
              <w:left w:w="380" w:type="dxa"/>
              <w:bottom w:w="40" w:type="dxa"/>
              <w:right w:w="20" w:type="dxa"/>
            </w:tcMar>
            <w:vAlign w:val="center"/>
          </w:tcPr>
          <w:p w14:paraId="098A951E" w14:textId="77777777" w:rsidR="00141CDF" w:rsidRDefault="00DF45E0">
            <w:pPr>
              <w:textAlignment w:val="center"/>
            </w:pPr>
            <w:r>
              <w:rPr>
                <w:rFonts w:ascii="Times New Roman" w:eastAsia="宋体" w:hAnsi="Times New Roman"/>
                <w:color w:val="000000"/>
                <w:sz w:val="16"/>
                <w:szCs w:val="16"/>
              </w:rPr>
              <w:t>Diluted</w:t>
            </w:r>
          </w:p>
        </w:tc>
        <w:tc>
          <w:tcPr>
            <w:tcW w:w="0" w:type="auto"/>
            <w:gridSpan w:val="3"/>
            <w:shd w:val="clear" w:color="auto" w:fill="FFFFFF"/>
            <w:tcMar>
              <w:top w:w="0" w:type="dxa"/>
              <w:left w:w="20" w:type="dxa"/>
              <w:bottom w:w="0" w:type="dxa"/>
              <w:right w:w="20" w:type="dxa"/>
            </w:tcMar>
            <w:vAlign w:val="bottom"/>
          </w:tcPr>
          <w:p w14:paraId="098A951F"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bottom"/>
          </w:tcPr>
          <w:p w14:paraId="098A9520" w14:textId="77777777" w:rsidR="00141CDF" w:rsidRDefault="00DF45E0">
            <w:pPr>
              <w:jc w:val="right"/>
              <w:textAlignment w:val="bottom"/>
            </w:pPr>
            <w:r>
              <w:rPr>
                <w:rFonts w:ascii="Times New Roman" w:eastAsia="宋体" w:hAnsi="Times New Roman"/>
                <w:color w:val="000000"/>
                <w:sz w:val="16"/>
                <w:szCs w:val="16"/>
              </w:rPr>
              <w:t>1.88 </w:t>
            </w:r>
          </w:p>
        </w:tc>
        <w:tc>
          <w:tcPr>
            <w:tcW w:w="0" w:type="auto"/>
            <w:shd w:val="clear" w:color="auto" w:fill="FFFFFF"/>
            <w:tcMar>
              <w:top w:w="40" w:type="dxa"/>
              <w:left w:w="0" w:type="dxa"/>
              <w:bottom w:w="40" w:type="dxa"/>
              <w:right w:w="20" w:type="dxa"/>
            </w:tcMar>
            <w:vAlign w:val="bottom"/>
          </w:tcPr>
          <w:p w14:paraId="098A9521"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522"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bottom"/>
          </w:tcPr>
          <w:p w14:paraId="098A9523" w14:textId="77777777" w:rsidR="00141CDF" w:rsidRDefault="00DF45E0">
            <w:pPr>
              <w:jc w:val="right"/>
              <w:textAlignment w:val="bottom"/>
            </w:pPr>
            <w:r>
              <w:rPr>
                <w:rFonts w:ascii="Times New Roman" w:eastAsia="宋体" w:hAnsi="Times New Roman"/>
                <w:color w:val="000000"/>
                <w:sz w:val="16"/>
                <w:szCs w:val="16"/>
              </w:rPr>
              <w:t>1.52 </w:t>
            </w:r>
          </w:p>
        </w:tc>
        <w:tc>
          <w:tcPr>
            <w:tcW w:w="0" w:type="auto"/>
            <w:shd w:val="clear" w:color="auto" w:fill="FFFFFF"/>
            <w:tcMar>
              <w:top w:w="40" w:type="dxa"/>
              <w:left w:w="0" w:type="dxa"/>
              <w:bottom w:w="40" w:type="dxa"/>
              <w:right w:w="20" w:type="dxa"/>
            </w:tcMar>
            <w:vAlign w:val="bottom"/>
          </w:tcPr>
          <w:p w14:paraId="098A9524"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525"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bottom"/>
          </w:tcPr>
          <w:p w14:paraId="098A9526" w14:textId="77777777" w:rsidR="00141CDF" w:rsidRDefault="00DF45E0">
            <w:pPr>
              <w:jc w:val="right"/>
              <w:textAlignment w:val="bottom"/>
            </w:pPr>
            <w:r>
              <w:rPr>
                <w:rFonts w:ascii="Times New Roman" w:eastAsia="宋体" w:hAnsi="Times New Roman"/>
                <w:color w:val="000000"/>
                <w:sz w:val="16"/>
                <w:szCs w:val="16"/>
              </w:rPr>
              <w:t>2.61 </w:t>
            </w:r>
          </w:p>
        </w:tc>
        <w:tc>
          <w:tcPr>
            <w:tcW w:w="0" w:type="auto"/>
            <w:shd w:val="clear" w:color="auto" w:fill="FFFFFF"/>
            <w:tcMar>
              <w:top w:w="40" w:type="dxa"/>
              <w:left w:w="0" w:type="dxa"/>
              <w:bottom w:w="40" w:type="dxa"/>
              <w:right w:w="20" w:type="dxa"/>
            </w:tcMar>
            <w:vAlign w:val="bottom"/>
          </w:tcPr>
          <w:p w14:paraId="098A9527"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528"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bottom"/>
          </w:tcPr>
          <w:p w14:paraId="098A9529" w14:textId="77777777" w:rsidR="00141CDF" w:rsidRDefault="00DF45E0">
            <w:pPr>
              <w:jc w:val="right"/>
              <w:textAlignment w:val="bottom"/>
            </w:pPr>
            <w:r>
              <w:rPr>
                <w:rFonts w:ascii="Times New Roman" w:eastAsia="宋体" w:hAnsi="Times New Roman"/>
                <w:color w:val="000000"/>
                <w:sz w:val="16"/>
                <w:szCs w:val="16"/>
              </w:rPr>
              <w:t>2.48 </w:t>
            </w:r>
          </w:p>
        </w:tc>
        <w:tc>
          <w:tcPr>
            <w:tcW w:w="0" w:type="auto"/>
            <w:shd w:val="clear" w:color="auto" w:fill="FFFFFF"/>
            <w:tcMar>
              <w:top w:w="40" w:type="dxa"/>
              <w:left w:w="0" w:type="dxa"/>
              <w:bottom w:w="40" w:type="dxa"/>
              <w:right w:w="20" w:type="dxa"/>
            </w:tcMar>
            <w:vAlign w:val="bottom"/>
          </w:tcPr>
          <w:p w14:paraId="098A952A" w14:textId="77777777" w:rsidR="00141CDF" w:rsidRDefault="00141CDF">
            <w:pPr>
              <w:jc w:val="right"/>
              <w:rPr>
                <w:rFonts w:ascii="宋体"/>
              </w:rPr>
            </w:pPr>
          </w:p>
        </w:tc>
      </w:tr>
    </w:tbl>
    <w:p w14:paraId="098A952C" w14:textId="77777777" w:rsidR="00141CDF" w:rsidRDefault="00DF45E0">
      <w:pPr>
        <w:spacing w:before="240"/>
      </w:pPr>
      <w:r>
        <w:rPr>
          <w:rFonts w:ascii="Times New Roman" w:eastAsia="宋体" w:hAnsi="Times New Roman"/>
          <w:b/>
          <w:bCs/>
          <w:color w:val="000000"/>
          <w:sz w:val="20"/>
          <w:szCs w:val="20"/>
        </w:rPr>
        <w:t>Note 3. Accumulated Other Comprehensive Loss</w:t>
      </w:r>
    </w:p>
    <w:p w14:paraId="098A952D" w14:textId="77777777" w:rsidR="00141CDF" w:rsidRDefault="00DF45E0">
      <w:pPr>
        <w:spacing w:before="180"/>
      </w:pPr>
      <w:r>
        <w:rPr>
          <w:rFonts w:ascii="Times New Roman" w:eastAsia="宋体" w:hAnsi="Times New Roman"/>
          <w:color w:val="000000"/>
          <w:sz w:val="20"/>
          <w:szCs w:val="20"/>
        </w:rPr>
        <w:t>Amounts reclassified from accumulated other comprehensive loss for derivative instruments are generally recorded in interest, net, in the Company's Condensed Consoli</w:t>
      </w:r>
      <w:r>
        <w:rPr>
          <w:rFonts w:ascii="Times New Roman" w:eastAsia="宋体" w:hAnsi="Times New Roman"/>
          <w:color w:val="000000"/>
          <w:sz w:val="20"/>
          <w:szCs w:val="20"/>
        </w:rPr>
        <w:t>dated Statements of Income. Amounts for the minimum pension liability, as well as the cumulative translation and any related net investment hedge impacts resulting from a disposition of a business, are recorded in other gains and losses in the Company's Co</w:t>
      </w:r>
      <w:r>
        <w:rPr>
          <w:rFonts w:ascii="Times New Roman" w:eastAsia="宋体" w:hAnsi="Times New Roman"/>
          <w:color w:val="000000"/>
          <w:sz w:val="20"/>
          <w:szCs w:val="20"/>
        </w:rPr>
        <w:t>ndensed Consolidated Statements of Income. The following tables provide the changes in the composition of total accumulated other comprehensive loss:</w:t>
      </w:r>
    </w:p>
    <w:tbl>
      <w:tblPr>
        <w:tblW w:w="5000" w:type="pct"/>
        <w:tblCellMar>
          <w:top w:w="15" w:type="dxa"/>
          <w:left w:w="15" w:type="dxa"/>
          <w:bottom w:w="15" w:type="dxa"/>
          <w:right w:w="15" w:type="dxa"/>
        </w:tblCellMar>
        <w:tblLook w:val="04A0" w:firstRow="1" w:lastRow="0" w:firstColumn="1" w:lastColumn="0" w:noHBand="0" w:noVBand="1"/>
      </w:tblPr>
      <w:tblGrid>
        <w:gridCol w:w="38"/>
        <w:gridCol w:w="3621"/>
        <w:gridCol w:w="37"/>
        <w:gridCol w:w="36"/>
        <w:gridCol w:w="36"/>
        <w:gridCol w:w="36"/>
        <w:gridCol w:w="101"/>
        <w:gridCol w:w="802"/>
        <w:gridCol w:w="36"/>
        <w:gridCol w:w="36"/>
        <w:gridCol w:w="36"/>
        <w:gridCol w:w="36"/>
        <w:gridCol w:w="101"/>
        <w:gridCol w:w="803"/>
        <w:gridCol w:w="36"/>
        <w:gridCol w:w="36"/>
        <w:gridCol w:w="36"/>
        <w:gridCol w:w="36"/>
        <w:gridCol w:w="101"/>
        <w:gridCol w:w="608"/>
        <w:gridCol w:w="36"/>
        <w:gridCol w:w="36"/>
        <w:gridCol w:w="36"/>
        <w:gridCol w:w="36"/>
        <w:gridCol w:w="101"/>
        <w:gridCol w:w="644"/>
        <w:gridCol w:w="36"/>
        <w:gridCol w:w="36"/>
        <w:gridCol w:w="36"/>
        <w:gridCol w:w="36"/>
        <w:gridCol w:w="100"/>
        <w:gridCol w:w="559"/>
        <w:gridCol w:w="36"/>
      </w:tblGrid>
      <w:tr w:rsidR="00141CDF" w14:paraId="098A954F" w14:textId="77777777">
        <w:tc>
          <w:tcPr>
            <w:tcW w:w="50" w:type="pct"/>
            <w:shd w:val="clear" w:color="auto" w:fill="auto"/>
            <w:vAlign w:val="bottom"/>
          </w:tcPr>
          <w:p w14:paraId="098A952E" w14:textId="77777777" w:rsidR="00141CDF" w:rsidRDefault="00141CDF">
            <w:pPr>
              <w:rPr>
                <w:rFonts w:ascii="宋体"/>
              </w:rPr>
            </w:pPr>
          </w:p>
        </w:tc>
        <w:tc>
          <w:tcPr>
            <w:tcW w:w="2196" w:type="pct"/>
            <w:shd w:val="clear" w:color="auto" w:fill="auto"/>
            <w:vAlign w:val="bottom"/>
          </w:tcPr>
          <w:p w14:paraId="098A952F" w14:textId="77777777" w:rsidR="00141CDF" w:rsidRDefault="00141CDF">
            <w:pPr>
              <w:rPr>
                <w:rFonts w:ascii="宋体"/>
              </w:rPr>
            </w:pPr>
          </w:p>
        </w:tc>
        <w:tc>
          <w:tcPr>
            <w:tcW w:w="5" w:type="pct"/>
            <w:shd w:val="clear" w:color="auto" w:fill="auto"/>
            <w:vAlign w:val="bottom"/>
          </w:tcPr>
          <w:p w14:paraId="098A9530" w14:textId="77777777" w:rsidR="00141CDF" w:rsidRDefault="00141CDF">
            <w:pPr>
              <w:rPr>
                <w:rFonts w:ascii="宋体"/>
              </w:rPr>
            </w:pPr>
          </w:p>
        </w:tc>
        <w:tc>
          <w:tcPr>
            <w:tcW w:w="5" w:type="pct"/>
            <w:shd w:val="clear" w:color="auto" w:fill="auto"/>
            <w:vAlign w:val="bottom"/>
          </w:tcPr>
          <w:p w14:paraId="098A9531" w14:textId="77777777" w:rsidR="00141CDF" w:rsidRDefault="00141CDF">
            <w:pPr>
              <w:rPr>
                <w:rFonts w:ascii="宋体"/>
              </w:rPr>
            </w:pPr>
          </w:p>
        </w:tc>
        <w:tc>
          <w:tcPr>
            <w:tcW w:w="26" w:type="pct"/>
            <w:shd w:val="clear" w:color="auto" w:fill="auto"/>
            <w:vAlign w:val="bottom"/>
          </w:tcPr>
          <w:p w14:paraId="098A9532" w14:textId="77777777" w:rsidR="00141CDF" w:rsidRDefault="00141CDF">
            <w:pPr>
              <w:rPr>
                <w:rFonts w:ascii="宋体"/>
              </w:rPr>
            </w:pPr>
          </w:p>
        </w:tc>
        <w:tc>
          <w:tcPr>
            <w:tcW w:w="5" w:type="pct"/>
            <w:shd w:val="clear" w:color="auto" w:fill="auto"/>
            <w:vAlign w:val="bottom"/>
          </w:tcPr>
          <w:p w14:paraId="098A9533" w14:textId="77777777" w:rsidR="00141CDF" w:rsidRDefault="00141CDF">
            <w:pPr>
              <w:rPr>
                <w:rFonts w:ascii="宋体"/>
              </w:rPr>
            </w:pPr>
          </w:p>
        </w:tc>
        <w:tc>
          <w:tcPr>
            <w:tcW w:w="50" w:type="pct"/>
            <w:shd w:val="clear" w:color="auto" w:fill="auto"/>
            <w:vAlign w:val="bottom"/>
          </w:tcPr>
          <w:p w14:paraId="098A9534" w14:textId="77777777" w:rsidR="00141CDF" w:rsidRDefault="00141CDF">
            <w:pPr>
              <w:rPr>
                <w:rFonts w:ascii="宋体"/>
              </w:rPr>
            </w:pPr>
          </w:p>
        </w:tc>
        <w:tc>
          <w:tcPr>
            <w:tcW w:w="529" w:type="pct"/>
            <w:shd w:val="clear" w:color="auto" w:fill="auto"/>
            <w:vAlign w:val="bottom"/>
          </w:tcPr>
          <w:p w14:paraId="098A9535" w14:textId="77777777" w:rsidR="00141CDF" w:rsidRDefault="00141CDF">
            <w:pPr>
              <w:rPr>
                <w:rFonts w:ascii="宋体"/>
              </w:rPr>
            </w:pPr>
          </w:p>
        </w:tc>
        <w:tc>
          <w:tcPr>
            <w:tcW w:w="5" w:type="pct"/>
            <w:shd w:val="clear" w:color="auto" w:fill="auto"/>
            <w:vAlign w:val="bottom"/>
          </w:tcPr>
          <w:p w14:paraId="098A9536" w14:textId="77777777" w:rsidR="00141CDF" w:rsidRDefault="00141CDF">
            <w:pPr>
              <w:rPr>
                <w:rFonts w:ascii="宋体"/>
              </w:rPr>
            </w:pPr>
          </w:p>
        </w:tc>
        <w:tc>
          <w:tcPr>
            <w:tcW w:w="5" w:type="pct"/>
            <w:shd w:val="clear" w:color="auto" w:fill="auto"/>
            <w:vAlign w:val="bottom"/>
          </w:tcPr>
          <w:p w14:paraId="098A9537" w14:textId="77777777" w:rsidR="00141CDF" w:rsidRDefault="00141CDF">
            <w:pPr>
              <w:rPr>
                <w:rFonts w:ascii="宋体"/>
              </w:rPr>
            </w:pPr>
          </w:p>
        </w:tc>
        <w:tc>
          <w:tcPr>
            <w:tcW w:w="26" w:type="pct"/>
            <w:shd w:val="clear" w:color="auto" w:fill="auto"/>
            <w:vAlign w:val="bottom"/>
          </w:tcPr>
          <w:p w14:paraId="098A9538" w14:textId="77777777" w:rsidR="00141CDF" w:rsidRDefault="00141CDF">
            <w:pPr>
              <w:rPr>
                <w:rFonts w:ascii="宋体"/>
              </w:rPr>
            </w:pPr>
          </w:p>
        </w:tc>
        <w:tc>
          <w:tcPr>
            <w:tcW w:w="5" w:type="pct"/>
            <w:shd w:val="clear" w:color="auto" w:fill="auto"/>
            <w:vAlign w:val="bottom"/>
          </w:tcPr>
          <w:p w14:paraId="098A9539" w14:textId="77777777" w:rsidR="00141CDF" w:rsidRDefault="00141CDF">
            <w:pPr>
              <w:rPr>
                <w:rFonts w:ascii="宋体"/>
              </w:rPr>
            </w:pPr>
          </w:p>
        </w:tc>
        <w:tc>
          <w:tcPr>
            <w:tcW w:w="50" w:type="pct"/>
            <w:shd w:val="clear" w:color="auto" w:fill="auto"/>
            <w:vAlign w:val="bottom"/>
          </w:tcPr>
          <w:p w14:paraId="098A953A" w14:textId="77777777" w:rsidR="00141CDF" w:rsidRDefault="00141CDF">
            <w:pPr>
              <w:rPr>
                <w:rFonts w:ascii="宋体"/>
              </w:rPr>
            </w:pPr>
          </w:p>
        </w:tc>
        <w:tc>
          <w:tcPr>
            <w:tcW w:w="529" w:type="pct"/>
            <w:shd w:val="clear" w:color="auto" w:fill="auto"/>
            <w:vAlign w:val="bottom"/>
          </w:tcPr>
          <w:p w14:paraId="098A953B" w14:textId="77777777" w:rsidR="00141CDF" w:rsidRDefault="00141CDF">
            <w:pPr>
              <w:rPr>
                <w:rFonts w:ascii="宋体"/>
              </w:rPr>
            </w:pPr>
          </w:p>
        </w:tc>
        <w:tc>
          <w:tcPr>
            <w:tcW w:w="5" w:type="pct"/>
            <w:shd w:val="clear" w:color="auto" w:fill="auto"/>
            <w:vAlign w:val="bottom"/>
          </w:tcPr>
          <w:p w14:paraId="098A953C" w14:textId="77777777" w:rsidR="00141CDF" w:rsidRDefault="00141CDF">
            <w:pPr>
              <w:rPr>
                <w:rFonts w:ascii="宋体"/>
              </w:rPr>
            </w:pPr>
          </w:p>
        </w:tc>
        <w:tc>
          <w:tcPr>
            <w:tcW w:w="5" w:type="pct"/>
            <w:shd w:val="clear" w:color="auto" w:fill="auto"/>
            <w:vAlign w:val="bottom"/>
          </w:tcPr>
          <w:p w14:paraId="098A953D" w14:textId="77777777" w:rsidR="00141CDF" w:rsidRDefault="00141CDF">
            <w:pPr>
              <w:rPr>
                <w:rFonts w:ascii="宋体"/>
              </w:rPr>
            </w:pPr>
          </w:p>
        </w:tc>
        <w:tc>
          <w:tcPr>
            <w:tcW w:w="26" w:type="pct"/>
            <w:shd w:val="clear" w:color="auto" w:fill="auto"/>
            <w:vAlign w:val="bottom"/>
          </w:tcPr>
          <w:p w14:paraId="098A953E" w14:textId="77777777" w:rsidR="00141CDF" w:rsidRDefault="00141CDF">
            <w:pPr>
              <w:rPr>
                <w:rFonts w:ascii="宋体"/>
              </w:rPr>
            </w:pPr>
          </w:p>
        </w:tc>
        <w:tc>
          <w:tcPr>
            <w:tcW w:w="5" w:type="pct"/>
            <w:shd w:val="clear" w:color="auto" w:fill="auto"/>
            <w:vAlign w:val="bottom"/>
          </w:tcPr>
          <w:p w14:paraId="098A953F" w14:textId="77777777" w:rsidR="00141CDF" w:rsidRDefault="00141CDF">
            <w:pPr>
              <w:rPr>
                <w:rFonts w:ascii="宋体"/>
              </w:rPr>
            </w:pPr>
          </w:p>
        </w:tc>
        <w:tc>
          <w:tcPr>
            <w:tcW w:w="50" w:type="pct"/>
            <w:shd w:val="clear" w:color="auto" w:fill="auto"/>
            <w:vAlign w:val="bottom"/>
          </w:tcPr>
          <w:p w14:paraId="098A9540" w14:textId="77777777" w:rsidR="00141CDF" w:rsidRDefault="00141CDF">
            <w:pPr>
              <w:rPr>
                <w:rFonts w:ascii="宋体"/>
              </w:rPr>
            </w:pPr>
          </w:p>
        </w:tc>
        <w:tc>
          <w:tcPr>
            <w:tcW w:w="412" w:type="pct"/>
            <w:shd w:val="clear" w:color="auto" w:fill="auto"/>
            <w:vAlign w:val="bottom"/>
          </w:tcPr>
          <w:p w14:paraId="098A9541" w14:textId="77777777" w:rsidR="00141CDF" w:rsidRDefault="00141CDF">
            <w:pPr>
              <w:rPr>
                <w:rFonts w:ascii="宋体"/>
              </w:rPr>
            </w:pPr>
          </w:p>
        </w:tc>
        <w:tc>
          <w:tcPr>
            <w:tcW w:w="5" w:type="pct"/>
            <w:shd w:val="clear" w:color="auto" w:fill="auto"/>
            <w:vAlign w:val="bottom"/>
          </w:tcPr>
          <w:p w14:paraId="098A9542" w14:textId="77777777" w:rsidR="00141CDF" w:rsidRDefault="00141CDF">
            <w:pPr>
              <w:rPr>
                <w:rFonts w:ascii="宋体"/>
              </w:rPr>
            </w:pPr>
          </w:p>
        </w:tc>
        <w:tc>
          <w:tcPr>
            <w:tcW w:w="5" w:type="pct"/>
            <w:shd w:val="clear" w:color="auto" w:fill="auto"/>
            <w:vAlign w:val="bottom"/>
          </w:tcPr>
          <w:p w14:paraId="098A9543" w14:textId="77777777" w:rsidR="00141CDF" w:rsidRDefault="00141CDF">
            <w:pPr>
              <w:rPr>
                <w:rFonts w:ascii="宋体"/>
              </w:rPr>
            </w:pPr>
          </w:p>
        </w:tc>
        <w:tc>
          <w:tcPr>
            <w:tcW w:w="26" w:type="pct"/>
            <w:shd w:val="clear" w:color="auto" w:fill="auto"/>
            <w:vAlign w:val="bottom"/>
          </w:tcPr>
          <w:p w14:paraId="098A9544" w14:textId="77777777" w:rsidR="00141CDF" w:rsidRDefault="00141CDF">
            <w:pPr>
              <w:rPr>
                <w:rFonts w:ascii="宋体"/>
              </w:rPr>
            </w:pPr>
          </w:p>
        </w:tc>
        <w:tc>
          <w:tcPr>
            <w:tcW w:w="5" w:type="pct"/>
            <w:shd w:val="clear" w:color="auto" w:fill="auto"/>
            <w:vAlign w:val="bottom"/>
          </w:tcPr>
          <w:p w14:paraId="098A9545" w14:textId="77777777" w:rsidR="00141CDF" w:rsidRDefault="00141CDF">
            <w:pPr>
              <w:rPr>
                <w:rFonts w:ascii="宋体"/>
              </w:rPr>
            </w:pPr>
          </w:p>
        </w:tc>
        <w:tc>
          <w:tcPr>
            <w:tcW w:w="50" w:type="pct"/>
            <w:shd w:val="clear" w:color="auto" w:fill="auto"/>
            <w:vAlign w:val="bottom"/>
          </w:tcPr>
          <w:p w14:paraId="098A9546" w14:textId="77777777" w:rsidR="00141CDF" w:rsidRDefault="00141CDF">
            <w:pPr>
              <w:rPr>
                <w:rFonts w:ascii="宋体"/>
              </w:rPr>
            </w:pPr>
          </w:p>
        </w:tc>
        <w:tc>
          <w:tcPr>
            <w:tcW w:w="434" w:type="pct"/>
            <w:shd w:val="clear" w:color="auto" w:fill="auto"/>
            <w:vAlign w:val="bottom"/>
          </w:tcPr>
          <w:p w14:paraId="098A9547" w14:textId="77777777" w:rsidR="00141CDF" w:rsidRDefault="00141CDF">
            <w:pPr>
              <w:rPr>
                <w:rFonts w:ascii="宋体"/>
              </w:rPr>
            </w:pPr>
          </w:p>
        </w:tc>
        <w:tc>
          <w:tcPr>
            <w:tcW w:w="5" w:type="pct"/>
            <w:shd w:val="clear" w:color="auto" w:fill="auto"/>
            <w:vAlign w:val="bottom"/>
          </w:tcPr>
          <w:p w14:paraId="098A9548" w14:textId="77777777" w:rsidR="00141CDF" w:rsidRDefault="00141CDF">
            <w:pPr>
              <w:rPr>
                <w:rFonts w:ascii="宋体"/>
              </w:rPr>
            </w:pPr>
          </w:p>
        </w:tc>
        <w:tc>
          <w:tcPr>
            <w:tcW w:w="5" w:type="pct"/>
            <w:shd w:val="clear" w:color="auto" w:fill="auto"/>
            <w:vAlign w:val="bottom"/>
          </w:tcPr>
          <w:p w14:paraId="098A9549" w14:textId="77777777" w:rsidR="00141CDF" w:rsidRDefault="00141CDF">
            <w:pPr>
              <w:rPr>
                <w:rFonts w:ascii="宋体"/>
              </w:rPr>
            </w:pPr>
          </w:p>
        </w:tc>
        <w:tc>
          <w:tcPr>
            <w:tcW w:w="26" w:type="pct"/>
            <w:shd w:val="clear" w:color="auto" w:fill="auto"/>
            <w:vAlign w:val="bottom"/>
          </w:tcPr>
          <w:p w14:paraId="098A954A" w14:textId="77777777" w:rsidR="00141CDF" w:rsidRDefault="00141CDF">
            <w:pPr>
              <w:rPr>
                <w:rFonts w:ascii="宋体"/>
              </w:rPr>
            </w:pPr>
          </w:p>
        </w:tc>
        <w:tc>
          <w:tcPr>
            <w:tcW w:w="5" w:type="pct"/>
            <w:shd w:val="clear" w:color="auto" w:fill="auto"/>
            <w:vAlign w:val="bottom"/>
          </w:tcPr>
          <w:p w14:paraId="098A954B" w14:textId="77777777" w:rsidR="00141CDF" w:rsidRDefault="00141CDF">
            <w:pPr>
              <w:rPr>
                <w:rFonts w:ascii="宋体"/>
              </w:rPr>
            </w:pPr>
          </w:p>
        </w:tc>
        <w:tc>
          <w:tcPr>
            <w:tcW w:w="50" w:type="pct"/>
            <w:shd w:val="clear" w:color="auto" w:fill="auto"/>
            <w:vAlign w:val="bottom"/>
          </w:tcPr>
          <w:p w14:paraId="098A954C" w14:textId="77777777" w:rsidR="00141CDF" w:rsidRDefault="00141CDF">
            <w:pPr>
              <w:rPr>
                <w:rFonts w:ascii="宋体"/>
              </w:rPr>
            </w:pPr>
          </w:p>
        </w:tc>
        <w:tc>
          <w:tcPr>
            <w:tcW w:w="383" w:type="pct"/>
            <w:shd w:val="clear" w:color="auto" w:fill="auto"/>
            <w:vAlign w:val="bottom"/>
          </w:tcPr>
          <w:p w14:paraId="098A954D" w14:textId="77777777" w:rsidR="00141CDF" w:rsidRDefault="00141CDF">
            <w:pPr>
              <w:rPr>
                <w:rFonts w:ascii="宋体"/>
              </w:rPr>
            </w:pPr>
          </w:p>
        </w:tc>
        <w:tc>
          <w:tcPr>
            <w:tcW w:w="5" w:type="pct"/>
            <w:shd w:val="clear" w:color="auto" w:fill="auto"/>
            <w:vAlign w:val="bottom"/>
          </w:tcPr>
          <w:p w14:paraId="098A954E" w14:textId="77777777" w:rsidR="00141CDF" w:rsidRDefault="00141CDF">
            <w:pPr>
              <w:rPr>
                <w:rFonts w:ascii="宋体"/>
              </w:rPr>
            </w:pPr>
          </w:p>
        </w:tc>
      </w:tr>
      <w:tr w:rsidR="00141CDF" w14:paraId="098A955B" w14:textId="77777777">
        <w:tc>
          <w:tcPr>
            <w:tcW w:w="0" w:type="auto"/>
            <w:gridSpan w:val="3"/>
            <w:shd w:val="clear" w:color="auto" w:fill="auto"/>
            <w:tcMar>
              <w:top w:w="40" w:type="dxa"/>
              <w:left w:w="20" w:type="dxa"/>
              <w:bottom w:w="40" w:type="dxa"/>
              <w:right w:w="20" w:type="dxa"/>
            </w:tcMar>
            <w:vAlign w:val="bottom"/>
          </w:tcPr>
          <w:p w14:paraId="098A9550" w14:textId="77777777" w:rsidR="00141CDF" w:rsidRDefault="00DF45E0">
            <w:pPr>
              <w:textAlignment w:val="bottom"/>
            </w:pPr>
            <w:r>
              <w:rPr>
                <w:rFonts w:ascii="Times New Roman" w:eastAsia="宋体" w:hAnsi="Times New Roman"/>
                <w:i/>
                <w:iCs/>
                <w:color w:val="000000"/>
                <w:sz w:val="16"/>
                <w:szCs w:val="16"/>
              </w:rPr>
              <w:t>(Amounts in millions and net of immaterial income taxes)</w:t>
            </w:r>
          </w:p>
        </w:tc>
        <w:tc>
          <w:tcPr>
            <w:tcW w:w="0" w:type="auto"/>
            <w:gridSpan w:val="3"/>
            <w:shd w:val="clear" w:color="auto" w:fill="auto"/>
            <w:tcMar>
              <w:top w:w="0" w:type="dxa"/>
              <w:left w:w="20" w:type="dxa"/>
              <w:bottom w:w="0" w:type="dxa"/>
              <w:right w:w="20" w:type="dxa"/>
            </w:tcMar>
            <w:vAlign w:val="bottom"/>
          </w:tcPr>
          <w:p w14:paraId="098A9551"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9552" w14:textId="77777777" w:rsidR="00141CDF" w:rsidRDefault="00DF45E0">
            <w:pPr>
              <w:jc w:val="center"/>
              <w:textAlignment w:val="bottom"/>
            </w:pPr>
            <w:r>
              <w:rPr>
                <w:rFonts w:ascii="Times New Roman" w:eastAsia="宋体" w:hAnsi="Times New Roman"/>
                <w:b/>
                <w:bCs/>
                <w:color w:val="000000"/>
                <w:sz w:val="16"/>
                <w:szCs w:val="16"/>
              </w:rPr>
              <w:t>Currency </w:t>
            </w:r>
            <w:r>
              <w:rPr>
                <w:rFonts w:ascii="Times New Roman" w:eastAsia="宋体" w:hAnsi="Times New Roman"/>
                <w:b/>
                <w:bCs/>
                <w:color w:val="000000"/>
                <w:sz w:val="16"/>
                <w:szCs w:val="16"/>
              </w:rPr>
              <w:br/>
              <w:t>Translation and Other</w:t>
            </w:r>
          </w:p>
        </w:tc>
        <w:tc>
          <w:tcPr>
            <w:tcW w:w="0" w:type="auto"/>
            <w:gridSpan w:val="3"/>
            <w:shd w:val="clear" w:color="auto" w:fill="auto"/>
            <w:tcMar>
              <w:top w:w="0" w:type="dxa"/>
              <w:left w:w="20" w:type="dxa"/>
              <w:bottom w:w="0" w:type="dxa"/>
              <w:right w:w="20" w:type="dxa"/>
            </w:tcMar>
            <w:vAlign w:val="bottom"/>
          </w:tcPr>
          <w:p w14:paraId="098A9553"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9554" w14:textId="77777777" w:rsidR="00141CDF" w:rsidRDefault="00DF45E0">
            <w:pPr>
              <w:jc w:val="center"/>
              <w:textAlignment w:val="bottom"/>
            </w:pPr>
            <w:r>
              <w:rPr>
                <w:rFonts w:ascii="Times New Roman" w:eastAsia="宋体" w:hAnsi="Times New Roman"/>
                <w:b/>
                <w:bCs/>
                <w:color w:val="000000"/>
                <w:sz w:val="16"/>
                <w:szCs w:val="16"/>
              </w:rPr>
              <w:t>Net Investment Hedges</w:t>
            </w:r>
          </w:p>
        </w:tc>
        <w:tc>
          <w:tcPr>
            <w:tcW w:w="0" w:type="auto"/>
            <w:gridSpan w:val="3"/>
            <w:shd w:val="clear" w:color="auto" w:fill="auto"/>
            <w:tcMar>
              <w:top w:w="0" w:type="dxa"/>
              <w:left w:w="20" w:type="dxa"/>
              <w:bottom w:w="0" w:type="dxa"/>
              <w:right w:w="20" w:type="dxa"/>
            </w:tcMar>
            <w:vAlign w:val="bottom"/>
          </w:tcPr>
          <w:p w14:paraId="098A9555"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9556" w14:textId="77777777" w:rsidR="00141CDF" w:rsidRDefault="00DF45E0">
            <w:pPr>
              <w:jc w:val="center"/>
              <w:textAlignment w:val="bottom"/>
            </w:pPr>
            <w:r>
              <w:rPr>
                <w:rFonts w:ascii="Times New Roman" w:eastAsia="宋体" w:hAnsi="Times New Roman"/>
                <w:b/>
                <w:bCs/>
                <w:color w:val="000000"/>
                <w:sz w:val="16"/>
                <w:szCs w:val="16"/>
              </w:rPr>
              <w:t>Cash Flow Hedges</w:t>
            </w:r>
          </w:p>
        </w:tc>
        <w:tc>
          <w:tcPr>
            <w:tcW w:w="0" w:type="auto"/>
            <w:gridSpan w:val="3"/>
            <w:shd w:val="clear" w:color="auto" w:fill="auto"/>
            <w:tcMar>
              <w:top w:w="0" w:type="dxa"/>
              <w:left w:w="20" w:type="dxa"/>
              <w:bottom w:w="0" w:type="dxa"/>
              <w:right w:w="20" w:type="dxa"/>
            </w:tcMar>
            <w:vAlign w:val="bottom"/>
          </w:tcPr>
          <w:p w14:paraId="098A9557"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9558" w14:textId="77777777" w:rsidR="00141CDF" w:rsidRDefault="00DF45E0">
            <w:pPr>
              <w:jc w:val="center"/>
              <w:textAlignment w:val="bottom"/>
            </w:pPr>
            <w:r>
              <w:rPr>
                <w:rFonts w:ascii="Times New Roman" w:eastAsia="宋体" w:hAnsi="Times New Roman"/>
                <w:b/>
                <w:bCs/>
                <w:color w:val="000000"/>
                <w:sz w:val="16"/>
                <w:szCs w:val="16"/>
              </w:rPr>
              <w:t>Minimum</w:t>
            </w:r>
            <w:r>
              <w:rPr>
                <w:rFonts w:ascii="Times New Roman" w:eastAsia="宋体" w:hAnsi="Times New Roman"/>
                <w:b/>
                <w:bCs/>
                <w:color w:val="000000"/>
                <w:sz w:val="16"/>
                <w:szCs w:val="16"/>
              </w:rPr>
              <w:br/>
              <w:t>Pension </w:t>
            </w:r>
            <w:r>
              <w:rPr>
                <w:rFonts w:ascii="Times New Roman" w:eastAsia="宋体" w:hAnsi="Times New Roman"/>
                <w:b/>
                <w:bCs/>
                <w:color w:val="000000"/>
                <w:sz w:val="16"/>
                <w:szCs w:val="16"/>
              </w:rPr>
              <w:br/>
              <w:t>Liability</w:t>
            </w:r>
          </w:p>
        </w:tc>
        <w:tc>
          <w:tcPr>
            <w:tcW w:w="0" w:type="auto"/>
            <w:gridSpan w:val="3"/>
            <w:shd w:val="clear" w:color="auto" w:fill="auto"/>
            <w:tcMar>
              <w:top w:w="0" w:type="dxa"/>
              <w:left w:w="20" w:type="dxa"/>
              <w:bottom w:w="0" w:type="dxa"/>
              <w:right w:w="20" w:type="dxa"/>
            </w:tcMar>
            <w:vAlign w:val="bottom"/>
          </w:tcPr>
          <w:p w14:paraId="098A9559"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955A" w14:textId="77777777" w:rsidR="00141CDF" w:rsidRDefault="00DF45E0">
            <w:pPr>
              <w:jc w:val="center"/>
              <w:textAlignment w:val="bottom"/>
            </w:pPr>
            <w:r>
              <w:rPr>
                <w:rFonts w:ascii="Times New Roman" w:eastAsia="宋体" w:hAnsi="Times New Roman"/>
                <w:b/>
                <w:bCs/>
                <w:color w:val="000000"/>
                <w:sz w:val="16"/>
                <w:szCs w:val="16"/>
              </w:rPr>
              <w:t>Total</w:t>
            </w:r>
          </w:p>
        </w:tc>
      </w:tr>
      <w:tr w:rsidR="00141CDF" w14:paraId="098A9571" w14:textId="77777777">
        <w:tc>
          <w:tcPr>
            <w:tcW w:w="0" w:type="auto"/>
            <w:gridSpan w:val="3"/>
            <w:shd w:val="clear" w:color="auto" w:fill="CCEEFF"/>
            <w:tcMar>
              <w:top w:w="40" w:type="dxa"/>
              <w:left w:w="20" w:type="dxa"/>
              <w:bottom w:w="40" w:type="dxa"/>
              <w:right w:w="20" w:type="dxa"/>
            </w:tcMar>
            <w:vAlign w:val="center"/>
          </w:tcPr>
          <w:p w14:paraId="098A955C" w14:textId="77777777" w:rsidR="00141CDF" w:rsidRDefault="00DF45E0">
            <w:pPr>
              <w:textAlignment w:val="center"/>
            </w:pPr>
            <w:r>
              <w:rPr>
                <w:rFonts w:ascii="Times New Roman" w:eastAsia="宋体" w:hAnsi="Times New Roman"/>
                <w:b/>
                <w:bCs/>
                <w:color w:val="000000"/>
                <w:sz w:val="16"/>
                <w:szCs w:val="16"/>
              </w:rPr>
              <w:t>Balances as of February 1, 2022</w:t>
            </w:r>
          </w:p>
        </w:tc>
        <w:tc>
          <w:tcPr>
            <w:tcW w:w="0" w:type="auto"/>
            <w:gridSpan w:val="3"/>
            <w:shd w:val="clear" w:color="auto" w:fill="CCEEFF"/>
            <w:tcMar>
              <w:top w:w="0" w:type="dxa"/>
              <w:left w:w="20" w:type="dxa"/>
              <w:bottom w:w="0" w:type="dxa"/>
              <w:right w:w="20" w:type="dxa"/>
            </w:tcMar>
            <w:vAlign w:val="bottom"/>
          </w:tcPr>
          <w:p w14:paraId="098A955D"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955E"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955F" w14:textId="77777777" w:rsidR="00141CDF" w:rsidRDefault="00DF45E0">
            <w:pPr>
              <w:jc w:val="right"/>
              <w:textAlignment w:val="center"/>
            </w:pPr>
            <w:r>
              <w:rPr>
                <w:rFonts w:ascii="Times New Roman" w:eastAsia="宋体" w:hAnsi="Times New Roman"/>
                <w:color w:val="000000"/>
                <w:sz w:val="16"/>
                <w:szCs w:val="16"/>
              </w:rPr>
              <w:t>(8,100)</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560"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561"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9562"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9563" w14:textId="77777777" w:rsidR="00141CDF" w:rsidRDefault="00DF45E0">
            <w:pPr>
              <w:jc w:val="right"/>
              <w:textAlignment w:val="center"/>
            </w:pPr>
            <w:r>
              <w:rPr>
                <w:rFonts w:ascii="Times New Roman" w:eastAsia="宋体" w:hAnsi="Times New Roman"/>
                <w:color w:val="000000"/>
                <w:sz w:val="16"/>
                <w:szCs w:val="16"/>
              </w:rPr>
              <w:t>94 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564"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565"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9566"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9567" w14:textId="77777777" w:rsidR="00141CDF" w:rsidRDefault="00DF45E0">
            <w:pPr>
              <w:jc w:val="right"/>
              <w:textAlignment w:val="center"/>
            </w:pPr>
            <w:r>
              <w:rPr>
                <w:rFonts w:ascii="Times New Roman" w:eastAsia="宋体" w:hAnsi="Times New Roman"/>
                <w:color w:val="000000"/>
                <w:sz w:val="16"/>
                <w:szCs w:val="16"/>
              </w:rPr>
              <w:t>(748)</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568"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569"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956A"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956B" w14:textId="77777777" w:rsidR="00141CDF" w:rsidRDefault="00DF45E0">
            <w:pPr>
              <w:jc w:val="right"/>
              <w:textAlignment w:val="center"/>
            </w:pPr>
            <w:r>
              <w:rPr>
                <w:rFonts w:ascii="Times New Roman" w:eastAsia="宋体" w:hAnsi="Times New Roman"/>
                <w:color w:val="000000"/>
                <w:sz w:val="16"/>
                <w:szCs w:val="16"/>
              </w:rPr>
              <w:t>(12)</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56C"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56D"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956E"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956F" w14:textId="77777777" w:rsidR="00141CDF" w:rsidRDefault="00DF45E0">
            <w:pPr>
              <w:jc w:val="right"/>
              <w:textAlignment w:val="center"/>
            </w:pPr>
            <w:r>
              <w:rPr>
                <w:rFonts w:ascii="Times New Roman" w:eastAsia="宋体" w:hAnsi="Times New Roman"/>
                <w:color w:val="000000"/>
                <w:sz w:val="16"/>
                <w:szCs w:val="16"/>
              </w:rPr>
              <w:t>(8,766)</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570" w14:textId="77777777" w:rsidR="00141CDF" w:rsidRDefault="00141CDF">
            <w:pPr>
              <w:jc w:val="right"/>
              <w:rPr>
                <w:rFonts w:ascii="宋体"/>
              </w:rPr>
            </w:pPr>
          </w:p>
        </w:tc>
      </w:tr>
      <w:tr w:rsidR="00141CDF" w14:paraId="098A957D" w14:textId="77777777">
        <w:trPr>
          <w:hidden/>
        </w:trPr>
        <w:tc>
          <w:tcPr>
            <w:tcW w:w="0" w:type="auto"/>
            <w:gridSpan w:val="3"/>
            <w:shd w:val="clear" w:color="auto" w:fill="auto"/>
            <w:vAlign w:val="bottom"/>
          </w:tcPr>
          <w:p w14:paraId="098A9572" w14:textId="77777777" w:rsidR="00141CDF" w:rsidRDefault="00141CDF">
            <w:pPr>
              <w:rPr>
                <w:rFonts w:ascii="宋体"/>
                <w:vanish/>
              </w:rPr>
            </w:pPr>
          </w:p>
        </w:tc>
        <w:tc>
          <w:tcPr>
            <w:tcW w:w="0" w:type="auto"/>
            <w:gridSpan w:val="3"/>
            <w:shd w:val="clear" w:color="auto" w:fill="auto"/>
            <w:vAlign w:val="bottom"/>
          </w:tcPr>
          <w:p w14:paraId="098A9573" w14:textId="77777777" w:rsidR="00141CDF" w:rsidRDefault="00141CDF">
            <w:pPr>
              <w:rPr>
                <w:rFonts w:ascii="宋体"/>
                <w:vanish/>
              </w:rPr>
            </w:pPr>
          </w:p>
        </w:tc>
        <w:tc>
          <w:tcPr>
            <w:tcW w:w="0" w:type="auto"/>
            <w:gridSpan w:val="3"/>
            <w:shd w:val="clear" w:color="auto" w:fill="auto"/>
            <w:vAlign w:val="bottom"/>
          </w:tcPr>
          <w:p w14:paraId="098A9574" w14:textId="77777777" w:rsidR="00141CDF" w:rsidRDefault="00141CDF">
            <w:pPr>
              <w:rPr>
                <w:rFonts w:ascii="宋体"/>
                <w:vanish/>
              </w:rPr>
            </w:pPr>
          </w:p>
        </w:tc>
        <w:tc>
          <w:tcPr>
            <w:tcW w:w="0" w:type="auto"/>
            <w:gridSpan w:val="3"/>
            <w:shd w:val="clear" w:color="auto" w:fill="auto"/>
            <w:vAlign w:val="bottom"/>
          </w:tcPr>
          <w:p w14:paraId="098A9575" w14:textId="77777777" w:rsidR="00141CDF" w:rsidRDefault="00141CDF">
            <w:pPr>
              <w:rPr>
                <w:rFonts w:ascii="宋体"/>
                <w:vanish/>
              </w:rPr>
            </w:pPr>
          </w:p>
        </w:tc>
        <w:tc>
          <w:tcPr>
            <w:tcW w:w="0" w:type="auto"/>
            <w:gridSpan w:val="3"/>
            <w:shd w:val="clear" w:color="auto" w:fill="auto"/>
            <w:vAlign w:val="bottom"/>
          </w:tcPr>
          <w:p w14:paraId="098A9576" w14:textId="77777777" w:rsidR="00141CDF" w:rsidRDefault="00141CDF">
            <w:pPr>
              <w:rPr>
                <w:rFonts w:ascii="宋体"/>
                <w:vanish/>
              </w:rPr>
            </w:pPr>
          </w:p>
        </w:tc>
        <w:tc>
          <w:tcPr>
            <w:tcW w:w="0" w:type="auto"/>
            <w:gridSpan w:val="3"/>
            <w:shd w:val="clear" w:color="auto" w:fill="auto"/>
            <w:vAlign w:val="bottom"/>
          </w:tcPr>
          <w:p w14:paraId="098A9577" w14:textId="77777777" w:rsidR="00141CDF" w:rsidRDefault="00141CDF">
            <w:pPr>
              <w:rPr>
                <w:rFonts w:ascii="宋体"/>
                <w:vanish/>
              </w:rPr>
            </w:pPr>
          </w:p>
        </w:tc>
        <w:tc>
          <w:tcPr>
            <w:tcW w:w="0" w:type="auto"/>
            <w:gridSpan w:val="3"/>
            <w:shd w:val="clear" w:color="auto" w:fill="auto"/>
            <w:vAlign w:val="bottom"/>
          </w:tcPr>
          <w:p w14:paraId="098A9578" w14:textId="77777777" w:rsidR="00141CDF" w:rsidRDefault="00141CDF">
            <w:pPr>
              <w:rPr>
                <w:rFonts w:ascii="宋体"/>
                <w:vanish/>
              </w:rPr>
            </w:pPr>
          </w:p>
        </w:tc>
        <w:tc>
          <w:tcPr>
            <w:tcW w:w="0" w:type="auto"/>
            <w:gridSpan w:val="3"/>
            <w:shd w:val="clear" w:color="auto" w:fill="auto"/>
            <w:vAlign w:val="bottom"/>
          </w:tcPr>
          <w:p w14:paraId="098A9579" w14:textId="77777777" w:rsidR="00141CDF" w:rsidRDefault="00141CDF">
            <w:pPr>
              <w:rPr>
                <w:rFonts w:ascii="宋体"/>
                <w:vanish/>
              </w:rPr>
            </w:pPr>
          </w:p>
        </w:tc>
        <w:tc>
          <w:tcPr>
            <w:tcW w:w="0" w:type="auto"/>
            <w:gridSpan w:val="3"/>
            <w:shd w:val="clear" w:color="auto" w:fill="auto"/>
            <w:vAlign w:val="bottom"/>
          </w:tcPr>
          <w:p w14:paraId="098A957A" w14:textId="77777777" w:rsidR="00141CDF" w:rsidRDefault="00141CDF">
            <w:pPr>
              <w:rPr>
                <w:rFonts w:ascii="宋体"/>
                <w:vanish/>
              </w:rPr>
            </w:pPr>
          </w:p>
        </w:tc>
        <w:tc>
          <w:tcPr>
            <w:tcW w:w="0" w:type="auto"/>
            <w:gridSpan w:val="3"/>
            <w:shd w:val="clear" w:color="auto" w:fill="auto"/>
            <w:vAlign w:val="bottom"/>
          </w:tcPr>
          <w:p w14:paraId="098A957B" w14:textId="77777777" w:rsidR="00141CDF" w:rsidRDefault="00141CDF">
            <w:pPr>
              <w:rPr>
                <w:rFonts w:ascii="宋体"/>
                <w:vanish/>
              </w:rPr>
            </w:pPr>
          </w:p>
        </w:tc>
        <w:tc>
          <w:tcPr>
            <w:tcW w:w="0" w:type="auto"/>
            <w:gridSpan w:val="3"/>
            <w:shd w:val="clear" w:color="auto" w:fill="auto"/>
            <w:vAlign w:val="bottom"/>
          </w:tcPr>
          <w:p w14:paraId="098A957C" w14:textId="77777777" w:rsidR="00141CDF" w:rsidRDefault="00141CDF">
            <w:pPr>
              <w:rPr>
                <w:rFonts w:ascii="宋体"/>
                <w:vanish/>
              </w:rPr>
            </w:pPr>
          </w:p>
        </w:tc>
      </w:tr>
      <w:tr w:rsidR="00141CDF" w14:paraId="098A958E" w14:textId="77777777">
        <w:tc>
          <w:tcPr>
            <w:tcW w:w="0" w:type="auto"/>
            <w:gridSpan w:val="3"/>
            <w:shd w:val="clear" w:color="auto" w:fill="FFFFFF"/>
            <w:tcMar>
              <w:top w:w="40" w:type="dxa"/>
              <w:left w:w="20" w:type="dxa"/>
              <w:bottom w:w="40" w:type="dxa"/>
              <w:right w:w="20" w:type="dxa"/>
            </w:tcMar>
            <w:vAlign w:val="center"/>
          </w:tcPr>
          <w:p w14:paraId="098A957E" w14:textId="77777777" w:rsidR="00141CDF" w:rsidRDefault="00DF45E0">
            <w:pPr>
              <w:textAlignment w:val="center"/>
            </w:pPr>
            <w:r>
              <w:rPr>
                <w:rFonts w:ascii="Times New Roman" w:eastAsia="宋体" w:hAnsi="Times New Roman"/>
                <w:color w:val="000000"/>
                <w:sz w:val="16"/>
                <w:szCs w:val="16"/>
              </w:rPr>
              <w:t>Other comprehensive income before reclassifications, net</w:t>
            </w:r>
          </w:p>
        </w:tc>
        <w:tc>
          <w:tcPr>
            <w:tcW w:w="0" w:type="auto"/>
            <w:gridSpan w:val="3"/>
            <w:shd w:val="clear" w:color="auto" w:fill="FFFFFF"/>
            <w:tcMar>
              <w:top w:w="0" w:type="dxa"/>
              <w:left w:w="20" w:type="dxa"/>
              <w:bottom w:w="0" w:type="dxa"/>
              <w:right w:w="20" w:type="dxa"/>
            </w:tcMar>
            <w:vAlign w:val="bottom"/>
          </w:tcPr>
          <w:p w14:paraId="098A957F"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580" w14:textId="77777777" w:rsidR="00141CDF" w:rsidRDefault="00DF45E0">
            <w:pPr>
              <w:jc w:val="right"/>
              <w:textAlignment w:val="center"/>
            </w:pPr>
            <w:r>
              <w:rPr>
                <w:rFonts w:ascii="Times New Roman" w:eastAsia="宋体" w:hAnsi="Times New Roman"/>
                <w:color w:val="000000"/>
                <w:sz w:val="16"/>
                <w:szCs w:val="16"/>
              </w:rPr>
              <w:t>225 </w:t>
            </w:r>
          </w:p>
        </w:tc>
        <w:tc>
          <w:tcPr>
            <w:tcW w:w="0" w:type="auto"/>
            <w:shd w:val="clear" w:color="auto" w:fill="FFFFFF"/>
            <w:tcMar>
              <w:top w:w="40" w:type="dxa"/>
              <w:left w:w="0" w:type="dxa"/>
              <w:bottom w:w="40" w:type="dxa"/>
              <w:right w:w="20" w:type="dxa"/>
            </w:tcMar>
            <w:vAlign w:val="center"/>
          </w:tcPr>
          <w:p w14:paraId="098A9581"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582"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583"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9584"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585"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586" w14:textId="77777777" w:rsidR="00141CDF" w:rsidRDefault="00DF45E0">
            <w:pPr>
              <w:jc w:val="right"/>
              <w:textAlignment w:val="center"/>
            </w:pPr>
            <w:r>
              <w:rPr>
                <w:rFonts w:ascii="Times New Roman" w:eastAsia="宋体" w:hAnsi="Times New Roman"/>
                <w:color w:val="000000"/>
                <w:sz w:val="16"/>
                <w:szCs w:val="16"/>
              </w:rPr>
              <w:t>26 </w:t>
            </w:r>
          </w:p>
        </w:tc>
        <w:tc>
          <w:tcPr>
            <w:tcW w:w="0" w:type="auto"/>
            <w:shd w:val="clear" w:color="auto" w:fill="FFFFFF"/>
            <w:tcMar>
              <w:top w:w="40" w:type="dxa"/>
              <w:left w:w="0" w:type="dxa"/>
              <w:bottom w:w="40" w:type="dxa"/>
              <w:right w:w="20" w:type="dxa"/>
            </w:tcMar>
            <w:vAlign w:val="center"/>
          </w:tcPr>
          <w:p w14:paraId="098A9587"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588"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589"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958A"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58B"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58C" w14:textId="77777777" w:rsidR="00141CDF" w:rsidRDefault="00DF45E0">
            <w:pPr>
              <w:jc w:val="right"/>
              <w:textAlignment w:val="center"/>
            </w:pPr>
            <w:r>
              <w:rPr>
                <w:rFonts w:ascii="Times New Roman" w:eastAsia="宋体" w:hAnsi="Times New Roman"/>
                <w:color w:val="000000"/>
                <w:sz w:val="16"/>
                <w:szCs w:val="16"/>
              </w:rPr>
              <w:t>251 </w:t>
            </w:r>
          </w:p>
        </w:tc>
        <w:tc>
          <w:tcPr>
            <w:tcW w:w="0" w:type="auto"/>
            <w:shd w:val="clear" w:color="auto" w:fill="FFFFFF"/>
            <w:tcMar>
              <w:top w:w="40" w:type="dxa"/>
              <w:left w:w="0" w:type="dxa"/>
              <w:bottom w:w="40" w:type="dxa"/>
              <w:right w:w="20" w:type="dxa"/>
            </w:tcMar>
            <w:vAlign w:val="center"/>
          </w:tcPr>
          <w:p w14:paraId="098A958D" w14:textId="77777777" w:rsidR="00141CDF" w:rsidRDefault="00141CDF">
            <w:pPr>
              <w:jc w:val="right"/>
              <w:rPr>
                <w:rFonts w:ascii="宋体"/>
              </w:rPr>
            </w:pPr>
          </w:p>
        </w:tc>
      </w:tr>
      <w:tr w:rsidR="00141CDF" w14:paraId="098A959A" w14:textId="77777777">
        <w:trPr>
          <w:hidden/>
        </w:trPr>
        <w:tc>
          <w:tcPr>
            <w:tcW w:w="0" w:type="auto"/>
            <w:gridSpan w:val="3"/>
            <w:shd w:val="clear" w:color="auto" w:fill="auto"/>
            <w:vAlign w:val="bottom"/>
          </w:tcPr>
          <w:p w14:paraId="098A958F" w14:textId="77777777" w:rsidR="00141CDF" w:rsidRDefault="00141CDF">
            <w:pPr>
              <w:rPr>
                <w:rFonts w:ascii="宋体"/>
                <w:vanish/>
              </w:rPr>
            </w:pPr>
          </w:p>
        </w:tc>
        <w:tc>
          <w:tcPr>
            <w:tcW w:w="0" w:type="auto"/>
            <w:gridSpan w:val="3"/>
            <w:shd w:val="clear" w:color="auto" w:fill="auto"/>
            <w:vAlign w:val="bottom"/>
          </w:tcPr>
          <w:p w14:paraId="098A9590" w14:textId="77777777" w:rsidR="00141CDF" w:rsidRDefault="00141CDF">
            <w:pPr>
              <w:rPr>
                <w:rFonts w:ascii="宋体"/>
                <w:vanish/>
              </w:rPr>
            </w:pPr>
          </w:p>
        </w:tc>
        <w:tc>
          <w:tcPr>
            <w:tcW w:w="0" w:type="auto"/>
            <w:gridSpan w:val="3"/>
            <w:shd w:val="clear" w:color="auto" w:fill="auto"/>
            <w:vAlign w:val="bottom"/>
          </w:tcPr>
          <w:p w14:paraId="098A9591" w14:textId="77777777" w:rsidR="00141CDF" w:rsidRDefault="00141CDF">
            <w:pPr>
              <w:rPr>
                <w:rFonts w:ascii="宋体"/>
                <w:vanish/>
              </w:rPr>
            </w:pPr>
          </w:p>
        </w:tc>
        <w:tc>
          <w:tcPr>
            <w:tcW w:w="0" w:type="auto"/>
            <w:gridSpan w:val="3"/>
            <w:shd w:val="clear" w:color="auto" w:fill="auto"/>
            <w:vAlign w:val="bottom"/>
          </w:tcPr>
          <w:p w14:paraId="098A9592" w14:textId="77777777" w:rsidR="00141CDF" w:rsidRDefault="00141CDF">
            <w:pPr>
              <w:rPr>
                <w:rFonts w:ascii="宋体"/>
                <w:vanish/>
              </w:rPr>
            </w:pPr>
          </w:p>
        </w:tc>
        <w:tc>
          <w:tcPr>
            <w:tcW w:w="0" w:type="auto"/>
            <w:gridSpan w:val="3"/>
            <w:shd w:val="clear" w:color="auto" w:fill="auto"/>
            <w:vAlign w:val="bottom"/>
          </w:tcPr>
          <w:p w14:paraId="098A9593" w14:textId="77777777" w:rsidR="00141CDF" w:rsidRDefault="00141CDF">
            <w:pPr>
              <w:rPr>
                <w:rFonts w:ascii="宋体"/>
                <w:vanish/>
              </w:rPr>
            </w:pPr>
          </w:p>
        </w:tc>
        <w:tc>
          <w:tcPr>
            <w:tcW w:w="0" w:type="auto"/>
            <w:gridSpan w:val="3"/>
            <w:shd w:val="clear" w:color="auto" w:fill="auto"/>
            <w:vAlign w:val="bottom"/>
          </w:tcPr>
          <w:p w14:paraId="098A9594" w14:textId="77777777" w:rsidR="00141CDF" w:rsidRDefault="00141CDF">
            <w:pPr>
              <w:rPr>
                <w:rFonts w:ascii="宋体"/>
                <w:vanish/>
              </w:rPr>
            </w:pPr>
          </w:p>
        </w:tc>
        <w:tc>
          <w:tcPr>
            <w:tcW w:w="0" w:type="auto"/>
            <w:gridSpan w:val="3"/>
            <w:shd w:val="clear" w:color="auto" w:fill="auto"/>
            <w:vAlign w:val="bottom"/>
          </w:tcPr>
          <w:p w14:paraId="098A9595" w14:textId="77777777" w:rsidR="00141CDF" w:rsidRDefault="00141CDF">
            <w:pPr>
              <w:rPr>
                <w:rFonts w:ascii="宋体"/>
                <w:vanish/>
              </w:rPr>
            </w:pPr>
          </w:p>
        </w:tc>
        <w:tc>
          <w:tcPr>
            <w:tcW w:w="0" w:type="auto"/>
            <w:gridSpan w:val="3"/>
            <w:shd w:val="clear" w:color="auto" w:fill="auto"/>
            <w:vAlign w:val="bottom"/>
          </w:tcPr>
          <w:p w14:paraId="098A9596" w14:textId="77777777" w:rsidR="00141CDF" w:rsidRDefault="00141CDF">
            <w:pPr>
              <w:rPr>
                <w:rFonts w:ascii="宋体"/>
                <w:vanish/>
              </w:rPr>
            </w:pPr>
          </w:p>
        </w:tc>
        <w:tc>
          <w:tcPr>
            <w:tcW w:w="0" w:type="auto"/>
            <w:gridSpan w:val="3"/>
            <w:shd w:val="clear" w:color="auto" w:fill="auto"/>
            <w:vAlign w:val="bottom"/>
          </w:tcPr>
          <w:p w14:paraId="098A9597" w14:textId="77777777" w:rsidR="00141CDF" w:rsidRDefault="00141CDF">
            <w:pPr>
              <w:rPr>
                <w:rFonts w:ascii="宋体"/>
                <w:vanish/>
              </w:rPr>
            </w:pPr>
          </w:p>
        </w:tc>
        <w:tc>
          <w:tcPr>
            <w:tcW w:w="0" w:type="auto"/>
            <w:gridSpan w:val="3"/>
            <w:shd w:val="clear" w:color="auto" w:fill="auto"/>
            <w:vAlign w:val="bottom"/>
          </w:tcPr>
          <w:p w14:paraId="098A9598" w14:textId="77777777" w:rsidR="00141CDF" w:rsidRDefault="00141CDF">
            <w:pPr>
              <w:rPr>
                <w:rFonts w:ascii="宋体"/>
                <w:vanish/>
              </w:rPr>
            </w:pPr>
          </w:p>
        </w:tc>
        <w:tc>
          <w:tcPr>
            <w:tcW w:w="0" w:type="auto"/>
            <w:gridSpan w:val="3"/>
            <w:shd w:val="clear" w:color="auto" w:fill="auto"/>
            <w:vAlign w:val="bottom"/>
          </w:tcPr>
          <w:p w14:paraId="098A9599" w14:textId="77777777" w:rsidR="00141CDF" w:rsidRDefault="00141CDF">
            <w:pPr>
              <w:rPr>
                <w:rFonts w:ascii="宋体"/>
                <w:vanish/>
              </w:rPr>
            </w:pPr>
          </w:p>
        </w:tc>
      </w:tr>
      <w:tr w:rsidR="00141CDF" w14:paraId="098A95AB" w14:textId="77777777">
        <w:tc>
          <w:tcPr>
            <w:tcW w:w="0" w:type="auto"/>
            <w:gridSpan w:val="3"/>
            <w:shd w:val="clear" w:color="auto" w:fill="CCEEFF"/>
            <w:tcMar>
              <w:top w:w="40" w:type="dxa"/>
              <w:left w:w="20" w:type="dxa"/>
              <w:bottom w:w="40" w:type="dxa"/>
              <w:right w:w="20" w:type="dxa"/>
            </w:tcMar>
            <w:vAlign w:val="center"/>
          </w:tcPr>
          <w:p w14:paraId="098A959B" w14:textId="77777777" w:rsidR="00141CDF" w:rsidRDefault="00DF45E0">
            <w:pPr>
              <w:textAlignment w:val="center"/>
            </w:pPr>
            <w:r>
              <w:rPr>
                <w:rFonts w:ascii="Times New Roman" w:eastAsia="宋体" w:hAnsi="Times New Roman"/>
                <w:color w:val="000000"/>
                <w:sz w:val="16"/>
                <w:szCs w:val="16"/>
              </w:rPr>
              <w:t>Reclassifications to income, net</w:t>
            </w:r>
          </w:p>
        </w:tc>
        <w:tc>
          <w:tcPr>
            <w:tcW w:w="0" w:type="auto"/>
            <w:gridSpan w:val="3"/>
            <w:shd w:val="clear" w:color="auto" w:fill="CCEEFF"/>
            <w:tcMar>
              <w:top w:w="0" w:type="dxa"/>
              <w:left w:w="20" w:type="dxa"/>
              <w:bottom w:w="0" w:type="dxa"/>
              <w:right w:w="20" w:type="dxa"/>
            </w:tcMar>
            <w:vAlign w:val="bottom"/>
          </w:tcPr>
          <w:p w14:paraId="098A959C"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59D"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098A959E"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59F"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5A0"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098A95A1"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5A2"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5A3" w14:textId="77777777" w:rsidR="00141CDF" w:rsidRDefault="00DF45E0">
            <w:pPr>
              <w:jc w:val="right"/>
              <w:textAlignment w:val="center"/>
            </w:pPr>
            <w:r>
              <w:rPr>
                <w:rFonts w:ascii="Times New Roman" w:eastAsia="宋体" w:hAnsi="Times New Roman"/>
                <w:color w:val="000000"/>
                <w:sz w:val="16"/>
                <w:szCs w:val="16"/>
              </w:rPr>
              <w:t>16 </w:t>
            </w:r>
          </w:p>
        </w:tc>
        <w:tc>
          <w:tcPr>
            <w:tcW w:w="0" w:type="auto"/>
            <w:shd w:val="clear" w:color="auto" w:fill="CCEEFF"/>
            <w:tcMar>
              <w:top w:w="40" w:type="dxa"/>
              <w:left w:w="0" w:type="dxa"/>
              <w:bottom w:w="40" w:type="dxa"/>
              <w:right w:w="20" w:type="dxa"/>
            </w:tcMar>
            <w:vAlign w:val="center"/>
          </w:tcPr>
          <w:p w14:paraId="098A95A4"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5A5"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5A6" w14:textId="77777777" w:rsidR="00141CDF" w:rsidRDefault="00DF45E0">
            <w:pPr>
              <w:jc w:val="right"/>
              <w:textAlignment w:val="center"/>
            </w:pPr>
            <w:r>
              <w:rPr>
                <w:rFonts w:ascii="Times New Roman" w:eastAsia="宋体" w:hAnsi="Times New Roman"/>
                <w:color w:val="000000"/>
                <w:sz w:val="16"/>
                <w:szCs w:val="16"/>
              </w:rPr>
              <w:t>1 </w:t>
            </w:r>
          </w:p>
        </w:tc>
        <w:tc>
          <w:tcPr>
            <w:tcW w:w="0" w:type="auto"/>
            <w:shd w:val="clear" w:color="auto" w:fill="CCEEFF"/>
            <w:tcMar>
              <w:top w:w="40" w:type="dxa"/>
              <w:left w:w="0" w:type="dxa"/>
              <w:bottom w:w="40" w:type="dxa"/>
              <w:right w:w="20" w:type="dxa"/>
            </w:tcMar>
            <w:vAlign w:val="center"/>
          </w:tcPr>
          <w:p w14:paraId="098A95A7"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5A8"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5A9" w14:textId="77777777" w:rsidR="00141CDF" w:rsidRDefault="00DF45E0">
            <w:pPr>
              <w:jc w:val="right"/>
              <w:textAlignment w:val="center"/>
            </w:pPr>
            <w:r>
              <w:rPr>
                <w:rFonts w:ascii="Times New Roman" w:eastAsia="宋体" w:hAnsi="Times New Roman"/>
                <w:color w:val="000000"/>
                <w:sz w:val="16"/>
                <w:szCs w:val="16"/>
              </w:rPr>
              <w:t>17 </w:t>
            </w:r>
          </w:p>
        </w:tc>
        <w:tc>
          <w:tcPr>
            <w:tcW w:w="0" w:type="auto"/>
            <w:shd w:val="clear" w:color="auto" w:fill="CCEEFF"/>
            <w:tcMar>
              <w:top w:w="40" w:type="dxa"/>
              <w:left w:w="0" w:type="dxa"/>
              <w:bottom w:w="40" w:type="dxa"/>
              <w:right w:w="20" w:type="dxa"/>
            </w:tcMar>
            <w:vAlign w:val="center"/>
          </w:tcPr>
          <w:p w14:paraId="098A95AA" w14:textId="77777777" w:rsidR="00141CDF" w:rsidRDefault="00141CDF">
            <w:pPr>
              <w:jc w:val="right"/>
              <w:rPr>
                <w:rFonts w:ascii="宋体"/>
              </w:rPr>
            </w:pPr>
          </w:p>
        </w:tc>
      </w:tr>
      <w:tr w:rsidR="00141CDF" w14:paraId="098A95C1" w14:textId="77777777">
        <w:tc>
          <w:tcPr>
            <w:tcW w:w="0" w:type="auto"/>
            <w:gridSpan w:val="3"/>
            <w:shd w:val="clear" w:color="auto" w:fill="FFFFFF"/>
            <w:tcMar>
              <w:top w:w="40" w:type="dxa"/>
              <w:left w:w="20" w:type="dxa"/>
              <w:bottom w:w="40" w:type="dxa"/>
              <w:right w:w="20" w:type="dxa"/>
            </w:tcMar>
            <w:vAlign w:val="center"/>
          </w:tcPr>
          <w:p w14:paraId="098A95AC" w14:textId="77777777" w:rsidR="00141CDF" w:rsidRDefault="00DF45E0">
            <w:pPr>
              <w:textAlignment w:val="center"/>
            </w:pPr>
            <w:r>
              <w:rPr>
                <w:rFonts w:ascii="Times New Roman" w:eastAsia="宋体" w:hAnsi="Times New Roman"/>
                <w:b/>
                <w:bCs/>
                <w:color w:val="000000"/>
                <w:sz w:val="16"/>
                <w:szCs w:val="16"/>
              </w:rPr>
              <w:t>Balances as of April 30, 2022</w:t>
            </w:r>
          </w:p>
        </w:tc>
        <w:tc>
          <w:tcPr>
            <w:tcW w:w="0" w:type="auto"/>
            <w:gridSpan w:val="3"/>
            <w:shd w:val="clear" w:color="auto" w:fill="FFFFFF"/>
            <w:tcMar>
              <w:top w:w="0" w:type="dxa"/>
              <w:left w:w="20" w:type="dxa"/>
              <w:bottom w:w="0" w:type="dxa"/>
              <w:right w:w="20" w:type="dxa"/>
            </w:tcMar>
            <w:vAlign w:val="bottom"/>
          </w:tcPr>
          <w:p w14:paraId="098A95AD" w14:textId="77777777" w:rsidR="00141CDF" w:rsidRDefault="00141C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98A95AE"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98A95AF" w14:textId="77777777" w:rsidR="00141CDF" w:rsidRDefault="00DF45E0">
            <w:pPr>
              <w:jc w:val="right"/>
              <w:textAlignment w:val="center"/>
            </w:pPr>
            <w:r>
              <w:rPr>
                <w:rFonts w:ascii="Times New Roman" w:eastAsia="宋体" w:hAnsi="Times New Roman"/>
                <w:color w:val="000000"/>
                <w:sz w:val="16"/>
                <w:szCs w:val="16"/>
              </w:rPr>
              <w:t>(7,875)</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95B0" w14:textId="77777777" w:rsidR="00141CDF" w:rsidRDefault="00141CDF">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98A95B1" w14:textId="77777777" w:rsidR="00141CDF" w:rsidRDefault="00141C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98A95B2"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98A95B3" w14:textId="77777777" w:rsidR="00141CDF" w:rsidRDefault="00DF45E0">
            <w:pPr>
              <w:jc w:val="right"/>
              <w:textAlignment w:val="center"/>
            </w:pPr>
            <w:r>
              <w:rPr>
                <w:rFonts w:ascii="Times New Roman" w:eastAsia="宋体" w:hAnsi="Times New Roman"/>
                <w:color w:val="000000"/>
                <w:sz w:val="16"/>
                <w:szCs w:val="16"/>
              </w:rPr>
              <w:t>94 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95B4" w14:textId="77777777" w:rsidR="00141CDF" w:rsidRDefault="00141CDF">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98A95B5" w14:textId="77777777" w:rsidR="00141CDF" w:rsidRDefault="00141C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98A95B6"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98A95B7" w14:textId="77777777" w:rsidR="00141CDF" w:rsidRDefault="00DF45E0">
            <w:pPr>
              <w:jc w:val="right"/>
              <w:textAlignment w:val="center"/>
            </w:pPr>
            <w:r>
              <w:rPr>
                <w:rFonts w:ascii="Times New Roman" w:eastAsia="宋体" w:hAnsi="Times New Roman"/>
                <w:color w:val="000000"/>
                <w:sz w:val="16"/>
                <w:szCs w:val="16"/>
              </w:rPr>
              <w:t>(706)</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95B8" w14:textId="77777777" w:rsidR="00141CDF" w:rsidRDefault="00141CDF">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98A95B9" w14:textId="77777777" w:rsidR="00141CDF" w:rsidRDefault="00141C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98A95BA"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98A95BB" w14:textId="77777777" w:rsidR="00141CDF" w:rsidRDefault="00DF45E0">
            <w:pPr>
              <w:jc w:val="right"/>
              <w:textAlignment w:val="center"/>
            </w:pPr>
            <w:r>
              <w:rPr>
                <w:rFonts w:ascii="Times New Roman" w:eastAsia="宋体" w:hAnsi="Times New Roman"/>
                <w:color w:val="000000"/>
                <w:sz w:val="16"/>
                <w:szCs w:val="16"/>
              </w:rPr>
              <w:t>(11)</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95BC" w14:textId="77777777" w:rsidR="00141CDF" w:rsidRDefault="00141CDF">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98A95BD" w14:textId="77777777" w:rsidR="00141CDF" w:rsidRDefault="00141C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98A95BE"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98A95BF" w14:textId="77777777" w:rsidR="00141CDF" w:rsidRDefault="00DF45E0">
            <w:pPr>
              <w:jc w:val="right"/>
              <w:textAlignment w:val="center"/>
            </w:pPr>
            <w:r>
              <w:rPr>
                <w:rFonts w:ascii="Times New Roman" w:eastAsia="宋体" w:hAnsi="Times New Roman"/>
                <w:color w:val="000000"/>
                <w:sz w:val="16"/>
                <w:szCs w:val="16"/>
              </w:rPr>
              <w:t>(8,498)</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95C0" w14:textId="77777777" w:rsidR="00141CDF" w:rsidRDefault="00141CDF">
            <w:pPr>
              <w:jc w:val="right"/>
              <w:rPr>
                <w:rFonts w:ascii="宋体"/>
              </w:rPr>
            </w:pPr>
          </w:p>
        </w:tc>
      </w:tr>
      <w:tr w:rsidR="00141CDF" w14:paraId="098A95D2" w14:textId="77777777">
        <w:tc>
          <w:tcPr>
            <w:tcW w:w="0" w:type="auto"/>
            <w:gridSpan w:val="3"/>
            <w:shd w:val="clear" w:color="auto" w:fill="CCEEFF"/>
            <w:tcMar>
              <w:top w:w="40" w:type="dxa"/>
              <w:left w:w="20" w:type="dxa"/>
              <w:bottom w:w="40" w:type="dxa"/>
              <w:right w:w="20" w:type="dxa"/>
            </w:tcMar>
            <w:vAlign w:val="center"/>
          </w:tcPr>
          <w:p w14:paraId="098A95C2" w14:textId="77777777" w:rsidR="00141CDF" w:rsidRDefault="00DF45E0">
            <w:pPr>
              <w:textAlignment w:val="center"/>
            </w:pPr>
            <w:r>
              <w:rPr>
                <w:rFonts w:ascii="Times New Roman" w:eastAsia="宋体" w:hAnsi="Times New Roman"/>
                <w:color w:val="000000"/>
                <w:sz w:val="16"/>
                <w:szCs w:val="16"/>
              </w:rPr>
              <w:t>Other comprehensive income (loss) be</w:t>
            </w:r>
            <w:r>
              <w:rPr>
                <w:rFonts w:ascii="Times New Roman" w:eastAsia="宋体" w:hAnsi="Times New Roman"/>
                <w:color w:val="000000"/>
                <w:sz w:val="16"/>
                <w:szCs w:val="16"/>
              </w:rPr>
              <w:t>fore reclassifications, net</w:t>
            </w:r>
          </w:p>
        </w:tc>
        <w:tc>
          <w:tcPr>
            <w:tcW w:w="0" w:type="auto"/>
            <w:gridSpan w:val="3"/>
            <w:shd w:val="clear" w:color="auto" w:fill="CCEEFF"/>
            <w:tcMar>
              <w:top w:w="0" w:type="dxa"/>
              <w:left w:w="20" w:type="dxa"/>
              <w:bottom w:w="0" w:type="dxa"/>
              <w:right w:w="20" w:type="dxa"/>
            </w:tcMar>
            <w:vAlign w:val="bottom"/>
          </w:tcPr>
          <w:p w14:paraId="098A95C3"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5C4" w14:textId="77777777" w:rsidR="00141CDF" w:rsidRDefault="00DF45E0">
            <w:pPr>
              <w:jc w:val="right"/>
              <w:textAlignment w:val="center"/>
            </w:pPr>
            <w:r>
              <w:rPr>
                <w:rFonts w:ascii="Times New Roman" w:eastAsia="宋体" w:hAnsi="Times New Roman"/>
                <w:color w:val="000000"/>
                <w:sz w:val="16"/>
                <w:szCs w:val="16"/>
              </w:rPr>
              <w:t>(796)</w:t>
            </w:r>
          </w:p>
        </w:tc>
        <w:tc>
          <w:tcPr>
            <w:tcW w:w="0" w:type="auto"/>
            <w:shd w:val="clear" w:color="auto" w:fill="CCEEFF"/>
            <w:tcMar>
              <w:top w:w="40" w:type="dxa"/>
              <w:left w:w="0" w:type="dxa"/>
              <w:bottom w:w="40" w:type="dxa"/>
              <w:right w:w="20" w:type="dxa"/>
            </w:tcMar>
            <w:vAlign w:val="center"/>
          </w:tcPr>
          <w:p w14:paraId="098A95C5"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5C6"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5C7"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098A95C8"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5C9"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5CA" w14:textId="77777777" w:rsidR="00141CDF" w:rsidRDefault="00DF45E0">
            <w:pPr>
              <w:jc w:val="right"/>
              <w:textAlignment w:val="center"/>
            </w:pPr>
            <w:r>
              <w:rPr>
                <w:rFonts w:ascii="Times New Roman" w:eastAsia="宋体" w:hAnsi="Times New Roman"/>
                <w:color w:val="000000"/>
                <w:sz w:val="16"/>
                <w:szCs w:val="16"/>
              </w:rPr>
              <w:t>(622)</w:t>
            </w:r>
          </w:p>
        </w:tc>
        <w:tc>
          <w:tcPr>
            <w:tcW w:w="0" w:type="auto"/>
            <w:shd w:val="clear" w:color="auto" w:fill="CCEEFF"/>
            <w:tcMar>
              <w:top w:w="40" w:type="dxa"/>
              <w:left w:w="0" w:type="dxa"/>
              <w:bottom w:w="40" w:type="dxa"/>
              <w:right w:w="20" w:type="dxa"/>
            </w:tcMar>
            <w:vAlign w:val="center"/>
          </w:tcPr>
          <w:p w14:paraId="098A95CB"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5CC"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5CD" w14:textId="77777777" w:rsidR="00141CDF" w:rsidRDefault="00DF45E0">
            <w:pPr>
              <w:jc w:val="right"/>
              <w:textAlignment w:val="center"/>
            </w:pPr>
            <w:r>
              <w:rPr>
                <w:rFonts w:ascii="Times New Roman" w:eastAsia="宋体" w:hAnsi="Times New Roman"/>
                <w:color w:val="000000"/>
                <w:sz w:val="16"/>
                <w:szCs w:val="16"/>
              </w:rPr>
              <w:t>2 </w:t>
            </w:r>
          </w:p>
        </w:tc>
        <w:tc>
          <w:tcPr>
            <w:tcW w:w="0" w:type="auto"/>
            <w:shd w:val="clear" w:color="auto" w:fill="CCEEFF"/>
            <w:tcMar>
              <w:top w:w="40" w:type="dxa"/>
              <w:left w:w="0" w:type="dxa"/>
              <w:bottom w:w="40" w:type="dxa"/>
              <w:right w:w="20" w:type="dxa"/>
            </w:tcMar>
            <w:vAlign w:val="center"/>
          </w:tcPr>
          <w:p w14:paraId="098A95CE"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5CF"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5D0" w14:textId="77777777" w:rsidR="00141CDF" w:rsidRDefault="00DF45E0">
            <w:pPr>
              <w:jc w:val="right"/>
              <w:textAlignment w:val="center"/>
            </w:pPr>
            <w:r>
              <w:rPr>
                <w:rFonts w:ascii="Times New Roman" w:eastAsia="宋体" w:hAnsi="Times New Roman"/>
                <w:color w:val="000000"/>
                <w:sz w:val="16"/>
                <w:szCs w:val="16"/>
              </w:rPr>
              <w:t>(1,416)</w:t>
            </w:r>
          </w:p>
        </w:tc>
        <w:tc>
          <w:tcPr>
            <w:tcW w:w="0" w:type="auto"/>
            <w:shd w:val="clear" w:color="auto" w:fill="CCEEFF"/>
            <w:tcMar>
              <w:top w:w="40" w:type="dxa"/>
              <w:left w:w="0" w:type="dxa"/>
              <w:bottom w:w="40" w:type="dxa"/>
              <w:right w:w="20" w:type="dxa"/>
            </w:tcMar>
            <w:vAlign w:val="center"/>
          </w:tcPr>
          <w:p w14:paraId="098A95D1" w14:textId="77777777" w:rsidR="00141CDF" w:rsidRDefault="00141CDF">
            <w:pPr>
              <w:jc w:val="right"/>
              <w:rPr>
                <w:rFonts w:ascii="宋体"/>
              </w:rPr>
            </w:pPr>
          </w:p>
        </w:tc>
      </w:tr>
      <w:tr w:rsidR="00141CDF" w14:paraId="098A95E3" w14:textId="77777777">
        <w:tc>
          <w:tcPr>
            <w:tcW w:w="0" w:type="auto"/>
            <w:gridSpan w:val="3"/>
            <w:shd w:val="clear" w:color="auto" w:fill="FFFFFF"/>
            <w:tcMar>
              <w:top w:w="40" w:type="dxa"/>
              <w:left w:w="20" w:type="dxa"/>
              <w:bottom w:w="40" w:type="dxa"/>
              <w:right w:w="20" w:type="dxa"/>
            </w:tcMar>
            <w:vAlign w:val="center"/>
          </w:tcPr>
          <w:p w14:paraId="098A95D3" w14:textId="77777777" w:rsidR="00141CDF" w:rsidRDefault="00DF45E0">
            <w:pPr>
              <w:textAlignment w:val="center"/>
            </w:pPr>
            <w:r>
              <w:rPr>
                <w:rFonts w:ascii="Times New Roman" w:eastAsia="宋体" w:hAnsi="Times New Roman"/>
                <w:color w:val="000000"/>
                <w:sz w:val="16"/>
                <w:szCs w:val="16"/>
              </w:rPr>
              <w:t>Reclassifications to income, net</w:t>
            </w:r>
          </w:p>
        </w:tc>
        <w:tc>
          <w:tcPr>
            <w:tcW w:w="0" w:type="auto"/>
            <w:gridSpan w:val="3"/>
            <w:shd w:val="clear" w:color="auto" w:fill="FFFFFF"/>
            <w:tcMar>
              <w:top w:w="0" w:type="dxa"/>
              <w:left w:w="20" w:type="dxa"/>
              <w:bottom w:w="0" w:type="dxa"/>
              <w:right w:w="20" w:type="dxa"/>
            </w:tcMar>
            <w:vAlign w:val="bottom"/>
          </w:tcPr>
          <w:p w14:paraId="098A95D4"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5D5" w14:textId="77777777" w:rsidR="00141CDF" w:rsidRDefault="00DF45E0">
            <w:pPr>
              <w:jc w:val="right"/>
              <w:textAlignment w:val="center"/>
            </w:pPr>
            <w:r>
              <w:rPr>
                <w:rFonts w:ascii="Times New Roman" w:eastAsia="宋体" w:hAnsi="Times New Roman"/>
                <w:color w:val="000000"/>
                <w:sz w:val="16"/>
                <w:szCs w:val="16"/>
              </w:rPr>
              <w:t>(309)</w:t>
            </w:r>
          </w:p>
        </w:tc>
        <w:tc>
          <w:tcPr>
            <w:tcW w:w="0" w:type="auto"/>
            <w:shd w:val="clear" w:color="auto" w:fill="FFFFFF"/>
            <w:tcMar>
              <w:top w:w="40" w:type="dxa"/>
              <w:left w:w="0" w:type="dxa"/>
              <w:bottom w:w="40" w:type="dxa"/>
              <w:right w:w="20" w:type="dxa"/>
            </w:tcMar>
            <w:vAlign w:val="center"/>
          </w:tcPr>
          <w:p w14:paraId="098A95D6"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5D7"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5D8"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95D9"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5DA"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5DB" w14:textId="77777777" w:rsidR="00141CDF" w:rsidRDefault="00DF45E0">
            <w:pPr>
              <w:jc w:val="right"/>
              <w:textAlignment w:val="center"/>
            </w:pPr>
            <w:r>
              <w:rPr>
                <w:rFonts w:ascii="Times New Roman" w:eastAsia="宋体" w:hAnsi="Times New Roman"/>
                <w:color w:val="000000"/>
                <w:sz w:val="16"/>
                <w:szCs w:val="16"/>
              </w:rPr>
              <w:t>329 </w:t>
            </w:r>
          </w:p>
        </w:tc>
        <w:tc>
          <w:tcPr>
            <w:tcW w:w="0" w:type="auto"/>
            <w:shd w:val="clear" w:color="auto" w:fill="FFFFFF"/>
            <w:tcMar>
              <w:top w:w="40" w:type="dxa"/>
              <w:left w:w="0" w:type="dxa"/>
              <w:bottom w:w="40" w:type="dxa"/>
              <w:right w:w="20" w:type="dxa"/>
            </w:tcMar>
            <w:vAlign w:val="center"/>
          </w:tcPr>
          <w:p w14:paraId="098A95DC"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5DD"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5DE"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95DF"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5E0"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5E1" w14:textId="77777777" w:rsidR="00141CDF" w:rsidRDefault="00DF45E0">
            <w:pPr>
              <w:jc w:val="right"/>
              <w:textAlignment w:val="center"/>
            </w:pPr>
            <w:r>
              <w:rPr>
                <w:rFonts w:ascii="Times New Roman" w:eastAsia="宋体" w:hAnsi="Times New Roman"/>
                <w:color w:val="000000"/>
                <w:sz w:val="16"/>
                <w:szCs w:val="16"/>
              </w:rPr>
              <w:t>20 </w:t>
            </w:r>
          </w:p>
        </w:tc>
        <w:tc>
          <w:tcPr>
            <w:tcW w:w="0" w:type="auto"/>
            <w:shd w:val="clear" w:color="auto" w:fill="FFFFFF"/>
            <w:tcMar>
              <w:top w:w="40" w:type="dxa"/>
              <w:left w:w="0" w:type="dxa"/>
              <w:bottom w:w="40" w:type="dxa"/>
              <w:right w:w="20" w:type="dxa"/>
            </w:tcMar>
            <w:vAlign w:val="center"/>
          </w:tcPr>
          <w:p w14:paraId="098A95E2" w14:textId="77777777" w:rsidR="00141CDF" w:rsidRDefault="00141CDF">
            <w:pPr>
              <w:jc w:val="right"/>
              <w:rPr>
                <w:rFonts w:ascii="宋体"/>
              </w:rPr>
            </w:pPr>
          </w:p>
        </w:tc>
      </w:tr>
      <w:tr w:rsidR="00141CDF" w14:paraId="098A95F9" w14:textId="77777777">
        <w:tc>
          <w:tcPr>
            <w:tcW w:w="0" w:type="auto"/>
            <w:gridSpan w:val="3"/>
            <w:shd w:val="clear" w:color="auto" w:fill="CCEEFF"/>
            <w:tcMar>
              <w:top w:w="40" w:type="dxa"/>
              <w:left w:w="20" w:type="dxa"/>
              <w:bottom w:w="40" w:type="dxa"/>
              <w:right w:w="20" w:type="dxa"/>
            </w:tcMar>
            <w:vAlign w:val="center"/>
          </w:tcPr>
          <w:p w14:paraId="098A95E4" w14:textId="77777777" w:rsidR="00141CDF" w:rsidRDefault="00DF45E0">
            <w:pPr>
              <w:textAlignment w:val="center"/>
            </w:pPr>
            <w:r>
              <w:rPr>
                <w:rFonts w:ascii="Times New Roman" w:eastAsia="宋体" w:hAnsi="Times New Roman"/>
                <w:b/>
                <w:bCs/>
                <w:color w:val="000000"/>
                <w:sz w:val="16"/>
                <w:szCs w:val="16"/>
              </w:rPr>
              <w:t>Balances as of July 31, 2022</w:t>
            </w:r>
          </w:p>
        </w:tc>
        <w:tc>
          <w:tcPr>
            <w:tcW w:w="0" w:type="auto"/>
            <w:gridSpan w:val="3"/>
            <w:shd w:val="clear" w:color="auto" w:fill="CCEEFF"/>
            <w:tcMar>
              <w:top w:w="0" w:type="dxa"/>
              <w:left w:w="20" w:type="dxa"/>
              <w:bottom w:w="0" w:type="dxa"/>
              <w:right w:w="20" w:type="dxa"/>
            </w:tcMar>
            <w:vAlign w:val="bottom"/>
          </w:tcPr>
          <w:p w14:paraId="098A95E5"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95E6"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95E7" w14:textId="77777777" w:rsidR="00141CDF" w:rsidRDefault="00DF45E0">
            <w:pPr>
              <w:jc w:val="right"/>
              <w:textAlignment w:val="center"/>
            </w:pPr>
            <w:r>
              <w:rPr>
                <w:rFonts w:ascii="Times New Roman" w:eastAsia="宋体" w:hAnsi="Times New Roman"/>
                <w:color w:val="000000"/>
                <w:sz w:val="16"/>
                <w:szCs w:val="16"/>
              </w:rPr>
              <w:t>(8,980)</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5E8" w14:textId="77777777" w:rsidR="00141CDF" w:rsidRDefault="00141CDF">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98A95E9"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95EA"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95EB" w14:textId="77777777" w:rsidR="00141CDF" w:rsidRDefault="00DF45E0">
            <w:pPr>
              <w:jc w:val="right"/>
              <w:textAlignment w:val="center"/>
            </w:pPr>
            <w:r>
              <w:rPr>
                <w:rFonts w:ascii="Times New Roman" w:eastAsia="宋体" w:hAnsi="Times New Roman"/>
                <w:color w:val="000000"/>
                <w:sz w:val="16"/>
                <w:szCs w:val="16"/>
              </w:rPr>
              <w:t>94 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5EC" w14:textId="77777777" w:rsidR="00141CDF" w:rsidRDefault="00141CDF">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98A95ED"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95EE"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95EF" w14:textId="77777777" w:rsidR="00141CDF" w:rsidRDefault="00DF45E0">
            <w:pPr>
              <w:jc w:val="right"/>
              <w:textAlignment w:val="center"/>
            </w:pPr>
            <w:r>
              <w:rPr>
                <w:rFonts w:ascii="Times New Roman" w:eastAsia="宋体" w:hAnsi="Times New Roman"/>
                <w:color w:val="000000"/>
                <w:sz w:val="16"/>
                <w:szCs w:val="16"/>
              </w:rPr>
              <w:t>(999)</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5F0" w14:textId="77777777" w:rsidR="00141CDF" w:rsidRDefault="00141CDF">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98A95F1"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95F2"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95F3" w14:textId="77777777" w:rsidR="00141CDF" w:rsidRDefault="00DF45E0">
            <w:pPr>
              <w:jc w:val="right"/>
              <w:textAlignment w:val="center"/>
            </w:pPr>
            <w:r>
              <w:rPr>
                <w:rFonts w:ascii="Times New Roman" w:eastAsia="宋体" w:hAnsi="Times New Roman"/>
                <w:color w:val="000000"/>
                <w:sz w:val="16"/>
                <w:szCs w:val="16"/>
              </w:rPr>
              <w:t>(9)</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5F4" w14:textId="77777777" w:rsidR="00141CDF" w:rsidRDefault="00141CDF">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98A95F5"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95F6"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95F7" w14:textId="77777777" w:rsidR="00141CDF" w:rsidRDefault="00DF45E0">
            <w:pPr>
              <w:jc w:val="right"/>
              <w:textAlignment w:val="center"/>
            </w:pPr>
            <w:r>
              <w:rPr>
                <w:rFonts w:ascii="Times New Roman" w:eastAsia="宋体" w:hAnsi="Times New Roman"/>
                <w:color w:val="000000"/>
                <w:sz w:val="16"/>
                <w:szCs w:val="16"/>
              </w:rPr>
              <w:t>(9,894)</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5F8" w14:textId="77777777" w:rsidR="00141CDF" w:rsidRDefault="00141CDF">
            <w:pPr>
              <w:jc w:val="right"/>
              <w:rPr>
                <w:rFonts w:ascii="宋体"/>
              </w:rPr>
            </w:pPr>
          </w:p>
        </w:tc>
      </w:tr>
      <w:tr w:rsidR="00141CDF" w14:paraId="098A9605" w14:textId="77777777">
        <w:trPr>
          <w:hidden/>
        </w:trPr>
        <w:tc>
          <w:tcPr>
            <w:tcW w:w="0" w:type="auto"/>
            <w:gridSpan w:val="3"/>
            <w:shd w:val="clear" w:color="auto" w:fill="auto"/>
            <w:vAlign w:val="bottom"/>
          </w:tcPr>
          <w:p w14:paraId="098A95FA" w14:textId="77777777" w:rsidR="00141CDF" w:rsidRDefault="00141CDF">
            <w:pPr>
              <w:rPr>
                <w:rFonts w:ascii="宋体"/>
                <w:vanish/>
              </w:rPr>
            </w:pPr>
          </w:p>
        </w:tc>
        <w:tc>
          <w:tcPr>
            <w:tcW w:w="0" w:type="auto"/>
            <w:gridSpan w:val="3"/>
            <w:shd w:val="clear" w:color="auto" w:fill="auto"/>
            <w:vAlign w:val="bottom"/>
          </w:tcPr>
          <w:p w14:paraId="098A95FB" w14:textId="77777777" w:rsidR="00141CDF" w:rsidRDefault="00141CDF">
            <w:pPr>
              <w:rPr>
                <w:rFonts w:ascii="宋体"/>
                <w:vanish/>
              </w:rPr>
            </w:pPr>
          </w:p>
        </w:tc>
        <w:tc>
          <w:tcPr>
            <w:tcW w:w="0" w:type="auto"/>
            <w:gridSpan w:val="3"/>
            <w:shd w:val="clear" w:color="auto" w:fill="auto"/>
            <w:vAlign w:val="bottom"/>
          </w:tcPr>
          <w:p w14:paraId="098A95FC" w14:textId="77777777" w:rsidR="00141CDF" w:rsidRDefault="00141CDF">
            <w:pPr>
              <w:rPr>
                <w:rFonts w:ascii="宋体"/>
                <w:vanish/>
              </w:rPr>
            </w:pPr>
          </w:p>
        </w:tc>
        <w:tc>
          <w:tcPr>
            <w:tcW w:w="0" w:type="auto"/>
            <w:gridSpan w:val="3"/>
            <w:shd w:val="clear" w:color="auto" w:fill="auto"/>
            <w:vAlign w:val="bottom"/>
          </w:tcPr>
          <w:p w14:paraId="098A95FD" w14:textId="77777777" w:rsidR="00141CDF" w:rsidRDefault="00141CDF">
            <w:pPr>
              <w:rPr>
                <w:rFonts w:ascii="宋体"/>
                <w:vanish/>
              </w:rPr>
            </w:pPr>
          </w:p>
        </w:tc>
        <w:tc>
          <w:tcPr>
            <w:tcW w:w="0" w:type="auto"/>
            <w:gridSpan w:val="3"/>
            <w:shd w:val="clear" w:color="auto" w:fill="auto"/>
            <w:vAlign w:val="bottom"/>
          </w:tcPr>
          <w:p w14:paraId="098A95FE" w14:textId="77777777" w:rsidR="00141CDF" w:rsidRDefault="00141CDF">
            <w:pPr>
              <w:rPr>
                <w:rFonts w:ascii="宋体"/>
                <w:vanish/>
              </w:rPr>
            </w:pPr>
          </w:p>
        </w:tc>
        <w:tc>
          <w:tcPr>
            <w:tcW w:w="0" w:type="auto"/>
            <w:gridSpan w:val="3"/>
            <w:shd w:val="clear" w:color="auto" w:fill="auto"/>
            <w:vAlign w:val="bottom"/>
          </w:tcPr>
          <w:p w14:paraId="098A95FF" w14:textId="77777777" w:rsidR="00141CDF" w:rsidRDefault="00141CDF">
            <w:pPr>
              <w:rPr>
                <w:rFonts w:ascii="宋体"/>
                <w:vanish/>
              </w:rPr>
            </w:pPr>
          </w:p>
        </w:tc>
        <w:tc>
          <w:tcPr>
            <w:tcW w:w="0" w:type="auto"/>
            <w:gridSpan w:val="3"/>
            <w:shd w:val="clear" w:color="auto" w:fill="auto"/>
            <w:vAlign w:val="bottom"/>
          </w:tcPr>
          <w:p w14:paraId="098A9600" w14:textId="77777777" w:rsidR="00141CDF" w:rsidRDefault="00141CDF">
            <w:pPr>
              <w:rPr>
                <w:rFonts w:ascii="宋体"/>
                <w:vanish/>
              </w:rPr>
            </w:pPr>
          </w:p>
        </w:tc>
        <w:tc>
          <w:tcPr>
            <w:tcW w:w="0" w:type="auto"/>
            <w:gridSpan w:val="3"/>
            <w:shd w:val="clear" w:color="auto" w:fill="auto"/>
            <w:vAlign w:val="bottom"/>
          </w:tcPr>
          <w:p w14:paraId="098A9601" w14:textId="77777777" w:rsidR="00141CDF" w:rsidRDefault="00141CDF">
            <w:pPr>
              <w:rPr>
                <w:rFonts w:ascii="宋体"/>
                <w:vanish/>
              </w:rPr>
            </w:pPr>
          </w:p>
        </w:tc>
        <w:tc>
          <w:tcPr>
            <w:tcW w:w="0" w:type="auto"/>
            <w:gridSpan w:val="3"/>
            <w:shd w:val="clear" w:color="auto" w:fill="auto"/>
            <w:vAlign w:val="bottom"/>
          </w:tcPr>
          <w:p w14:paraId="098A9602" w14:textId="77777777" w:rsidR="00141CDF" w:rsidRDefault="00141CDF">
            <w:pPr>
              <w:rPr>
                <w:rFonts w:ascii="宋体"/>
                <w:vanish/>
              </w:rPr>
            </w:pPr>
          </w:p>
        </w:tc>
        <w:tc>
          <w:tcPr>
            <w:tcW w:w="0" w:type="auto"/>
            <w:gridSpan w:val="3"/>
            <w:shd w:val="clear" w:color="auto" w:fill="auto"/>
            <w:vAlign w:val="bottom"/>
          </w:tcPr>
          <w:p w14:paraId="098A9603" w14:textId="77777777" w:rsidR="00141CDF" w:rsidRDefault="00141CDF">
            <w:pPr>
              <w:rPr>
                <w:rFonts w:ascii="宋体"/>
                <w:vanish/>
              </w:rPr>
            </w:pPr>
          </w:p>
        </w:tc>
        <w:tc>
          <w:tcPr>
            <w:tcW w:w="0" w:type="auto"/>
            <w:gridSpan w:val="3"/>
            <w:shd w:val="clear" w:color="auto" w:fill="auto"/>
            <w:vAlign w:val="bottom"/>
          </w:tcPr>
          <w:p w14:paraId="098A9604" w14:textId="77777777" w:rsidR="00141CDF" w:rsidRDefault="00141CDF">
            <w:pPr>
              <w:rPr>
                <w:rFonts w:ascii="宋体"/>
                <w:vanish/>
              </w:rPr>
            </w:pPr>
          </w:p>
        </w:tc>
      </w:tr>
      <w:tr w:rsidR="00141CDF" w14:paraId="098A9611" w14:textId="77777777">
        <w:trPr>
          <w:hidden/>
        </w:trPr>
        <w:tc>
          <w:tcPr>
            <w:tcW w:w="0" w:type="auto"/>
            <w:gridSpan w:val="3"/>
            <w:shd w:val="clear" w:color="auto" w:fill="auto"/>
            <w:vAlign w:val="bottom"/>
          </w:tcPr>
          <w:p w14:paraId="098A9606" w14:textId="77777777" w:rsidR="00141CDF" w:rsidRDefault="00141CDF">
            <w:pPr>
              <w:rPr>
                <w:rFonts w:ascii="宋体"/>
                <w:vanish/>
              </w:rPr>
            </w:pPr>
          </w:p>
        </w:tc>
        <w:tc>
          <w:tcPr>
            <w:tcW w:w="0" w:type="auto"/>
            <w:gridSpan w:val="3"/>
            <w:shd w:val="clear" w:color="auto" w:fill="auto"/>
            <w:vAlign w:val="bottom"/>
          </w:tcPr>
          <w:p w14:paraId="098A9607" w14:textId="77777777" w:rsidR="00141CDF" w:rsidRDefault="00141CDF">
            <w:pPr>
              <w:rPr>
                <w:rFonts w:ascii="宋体"/>
                <w:vanish/>
              </w:rPr>
            </w:pPr>
          </w:p>
        </w:tc>
        <w:tc>
          <w:tcPr>
            <w:tcW w:w="0" w:type="auto"/>
            <w:gridSpan w:val="3"/>
            <w:shd w:val="clear" w:color="auto" w:fill="auto"/>
            <w:vAlign w:val="bottom"/>
          </w:tcPr>
          <w:p w14:paraId="098A9608" w14:textId="77777777" w:rsidR="00141CDF" w:rsidRDefault="00141CDF">
            <w:pPr>
              <w:rPr>
                <w:rFonts w:ascii="宋体"/>
                <w:vanish/>
              </w:rPr>
            </w:pPr>
          </w:p>
        </w:tc>
        <w:tc>
          <w:tcPr>
            <w:tcW w:w="0" w:type="auto"/>
            <w:gridSpan w:val="3"/>
            <w:shd w:val="clear" w:color="auto" w:fill="auto"/>
            <w:vAlign w:val="bottom"/>
          </w:tcPr>
          <w:p w14:paraId="098A9609" w14:textId="77777777" w:rsidR="00141CDF" w:rsidRDefault="00141CDF">
            <w:pPr>
              <w:rPr>
                <w:rFonts w:ascii="宋体"/>
                <w:vanish/>
              </w:rPr>
            </w:pPr>
          </w:p>
        </w:tc>
        <w:tc>
          <w:tcPr>
            <w:tcW w:w="0" w:type="auto"/>
            <w:gridSpan w:val="3"/>
            <w:shd w:val="clear" w:color="auto" w:fill="auto"/>
            <w:vAlign w:val="bottom"/>
          </w:tcPr>
          <w:p w14:paraId="098A960A" w14:textId="77777777" w:rsidR="00141CDF" w:rsidRDefault="00141CDF">
            <w:pPr>
              <w:rPr>
                <w:rFonts w:ascii="宋体"/>
                <w:vanish/>
              </w:rPr>
            </w:pPr>
          </w:p>
        </w:tc>
        <w:tc>
          <w:tcPr>
            <w:tcW w:w="0" w:type="auto"/>
            <w:gridSpan w:val="3"/>
            <w:shd w:val="clear" w:color="auto" w:fill="auto"/>
            <w:vAlign w:val="bottom"/>
          </w:tcPr>
          <w:p w14:paraId="098A960B" w14:textId="77777777" w:rsidR="00141CDF" w:rsidRDefault="00141CDF">
            <w:pPr>
              <w:rPr>
                <w:rFonts w:ascii="宋体"/>
                <w:vanish/>
              </w:rPr>
            </w:pPr>
          </w:p>
        </w:tc>
        <w:tc>
          <w:tcPr>
            <w:tcW w:w="0" w:type="auto"/>
            <w:gridSpan w:val="3"/>
            <w:shd w:val="clear" w:color="auto" w:fill="auto"/>
            <w:vAlign w:val="bottom"/>
          </w:tcPr>
          <w:p w14:paraId="098A960C" w14:textId="77777777" w:rsidR="00141CDF" w:rsidRDefault="00141CDF">
            <w:pPr>
              <w:rPr>
                <w:rFonts w:ascii="宋体"/>
                <w:vanish/>
              </w:rPr>
            </w:pPr>
          </w:p>
        </w:tc>
        <w:tc>
          <w:tcPr>
            <w:tcW w:w="0" w:type="auto"/>
            <w:gridSpan w:val="3"/>
            <w:shd w:val="clear" w:color="auto" w:fill="auto"/>
            <w:vAlign w:val="bottom"/>
          </w:tcPr>
          <w:p w14:paraId="098A960D" w14:textId="77777777" w:rsidR="00141CDF" w:rsidRDefault="00141CDF">
            <w:pPr>
              <w:rPr>
                <w:rFonts w:ascii="宋体"/>
                <w:vanish/>
              </w:rPr>
            </w:pPr>
          </w:p>
        </w:tc>
        <w:tc>
          <w:tcPr>
            <w:tcW w:w="0" w:type="auto"/>
            <w:gridSpan w:val="3"/>
            <w:shd w:val="clear" w:color="auto" w:fill="auto"/>
            <w:vAlign w:val="bottom"/>
          </w:tcPr>
          <w:p w14:paraId="098A960E" w14:textId="77777777" w:rsidR="00141CDF" w:rsidRDefault="00141CDF">
            <w:pPr>
              <w:rPr>
                <w:rFonts w:ascii="宋体"/>
                <w:vanish/>
              </w:rPr>
            </w:pPr>
          </w:p>
        </w:tc>
        <w:tc>
          <w:tcPr>
            <w:tcW w:w="0" w:type="auto"/>
            <w:gridSpan w:val="3"/>
            <w:shd w:val="clear" w:color="auto" w:fill="auto"/>
            <w:vAlign w:val="bottom"/>
          </w:tcPr>
          <w:p w14:paraId="098A960F" w14:textId="77777777" w:rsidR="00141CDF" w:rsidRDefault="00141CDF">
            <w:pPr>
              <w:rPr>
                <w:rFonts w:ascii="宋体"/>
                <w:vanish/>
              </w:rPr>
            </w:pPr>
          </w:p>
        </w:tc>
        <w:tc>
          <w:tcPr>
            <w:tcW w:w="0" w:type="auto"/>
            <w:gridSpan w:val="3"/>
            <w:shd w:val="clear" w:color="auto" w:fill="auto"/>
            <w:vAlign w:val="bottom"/>
          </w:tcPr>
          <w:p w14:paraId="098A9610" w14:textId="77777777" w:rsidR="00141CDF" w:rsidRDefault="00141CDF">
            <w:pPr>
              <w:rPr>
                <w:rFonts w:ascii="宋体"/>
                <w:vanish/>
              </w:rPr>
            </w:pPr>
          </w:p>
        </w:tc>
      </w:tr>
      <w:tr w:rsidR="00141CDF" w14:paraId="098A961D" w14:textId="77777777">
        <w:trPr>
          <w:hidden/>
        </w:trPr>
        <w:tc>
          <w:tcPr>
            <w:tcW w:w="0" w:type="auto"/>
            <w:gridSpan w:val="3"/>
            <w:shd w:val="clear" w:color="auto" w:fill="auto"/>
            <w:vAlign w:val="bottom"/>
          </w:tcPr>
          <w:p w14:paraId="098A9612" w14:textId="77777777" w:rsidR="00141CDF" w:rsidRDefault="00141CDF">
            <w:pPr>
              <w:rPr>
                <w:rFonts w:ascii="宋体"/>
                <w:vanish/>
              </w:rPr>
            </w:pPr>
          </w:p>
        </w:tc>
        <w:tc>
          <w:tcPr>
            <w:tcW w:w="0" w:type="auto"/>
            <w:gridSpan w:val="3"/>
            <w:shd w:val="clear" w:color="auto" w:fill="auto"/>
            <w:vAlign w:val="bottom"/>
          </w:tcPr>
          <w:p w14:paraId="098A9613" w14:textId="77777777" w:rsidR="00141CDF" w:rsidRDefault="00141CDF">
            <w:pPr>
              <w:rPr>
                <w:rFonts w:ascii="宋体"/>
                <w:vanish/>
              </w:rPr>
            </w:pPr>
          </w:p>
        </w:tc>
        <w:tc>
          <w:tcPr>
            <w:tcW w:w="0" w:type="auto"/>
            <w:gridSpan w:val="3"/>
            <w:shd w:val="clear" w:color="auto" w:fill="auto"/>
            <w:vAlign w:val="bottom"/>
          </w:tcPr>
          <w:p w14:paraId="098A9614" w14:textId="77777777" w:rsidR="00141CDF" w:rsidRDefault="00141CDF">
            <w:pPr>
              <w:rPr>
                <w:rFonts w:ascii="宋体"/>
                <w:vanish/>
              </w:rPr>
            </w:pPr>
          </w:p>
        </w:tc>
        <w:tc>
          <w:tcPr>
            <w:tcW w:w="0" w:type="auto"/>
            <w:gridSpan w:val="3"/>
            <w:shd w:val="clear" w:color="auto" w:fill="auto"/>
            <w:vAlign w:val="bottom"/>
          </w:tcPr>
          <w:p w14:paraId="098A9615" w14:textId="77777777" w:rsidR="00141CDF" w:rsidRDefault="00141CDF">
            <w:pPr>
              <w:rPr>
                <w:rFonts w:ascii="宋体"/>
                <w:vanish/>
              </w:rPr>
            </w:pPr>
          </w:p>
        </w:tc>
        <w:tc>
          <w:tcPr>
            <w:tcW w:w="0" w:type="auto"/>
            <w:gridSpan w:val="3"/>
            <w:shd w:val="clear" w:color="auto" w:fill="auto"/>
            <w:vAlign w:val="bottom"/>
          </w:tcPr>
          <w:p w14:paraId="098A9616" w14:textId="77777777" w:rsidR="00141CDF" w:rsidRDefault="00141CDF">
            <w:pPr>
              <w:rPr>
                <w:rFonts w:ascii="宋体"/>
                <w:vanish/>
              </w:rPr>
            </w:pPr>
          </w:p>
        </w:tc>
        <w:tc>
          <w:tcPr>
            <w:tcW w:w="0" w:type="auto"/>
            <w:gridSpan w:val="3"/>
            <w:shd w:val="clear" w:color="auto" w:fill="auto"/>
            <w:vAlign w:val="bottom"/>
          </w:tcPr>
          <w:p w14:paraId="098A9617" w14:textId="77777777" w:rsidR="00141CDF" w:rsidRDefault="00141CDF">
            <w:pPr>
              <w:rPr>
                <w:rFonts w:ascii="宋体"/>
                <w:vanish/>
              </w:rPr>
            </w:pPr>
          </w:p>
        </w:tc>
        <w:tc>
          <w:tcPr>
            <w:tcW w:w="0" w:type="auto"/>
            <w:gridSpan w:val="3"/>
            <w:shd w:val="clear" w:color="auto" w:fill="auto"/>
            <w:vAlign w:val="bottom"/>
          </w:tcPr>
          <w:p w14:paraId="098A9618" w14:textId="77777777" w:rsidR="00141CDF" w:rsidRDefault="00141CDF">
            <w:pPr>
              <w:rPr>
                <w:rFonts w:ascii="宋体"/>
                <w:vanish/>
              </w:rPr>
            </w:pPr>
          </w:p>
        </w:tc>
        <w:tc>
          <w:tcPr>
            <w:tcW w:w="0" w:type="auto"/>
            <w:gridSpan w:val="3"/>
            <w:shd w:val="clear" w:color="auto" w:fill="auto"/>
            <w:vAlign w:val="bottom"/>
          </w:tcPr>
          <w:p w14:paraId="098A9619" w14:textId="77777777" w:rsidR="00141CDF" w:rsidRDefault="00141CDF">
            <w:pPr>
              <w:rPr>
                <w:rFonts w:ascii="宋体"/>
                <w:vanish/>
              </w:rPr>
            </w:pPr>
          </w:p>
        </w:tc>
        <w:tc>
          <w:tcPr>
            <w:tcW w:w="0" w:type="auto"/>
            <w:gridSpan w:val="3"/>
            <w:shd w:val="clear" w:color="auto" w:fill="auto"/>
            <w:vAlign w:val="bottom"/>
          </w:tcPr>
          <w:p w14:paraId="098A961A" w14:textId="77777777" w:rsidR="00141CDF" w:rsidRDefault="00141CDF">
            <w:pPr>
              <w:rPr>
                <w:rFonts w:ascii="宋体"/>
                <w:vanish/>
              </w:rPr>
            </w:pPr>
          </w:p>
        </w:tc>
        <w:tc>
          <w:tcPr>
            <w:tcW w:w="0" w:type="auto"/>
            <w:gridSpan w:val="3"/>
            <w:shd w:val="clear" w:color="auto" w:fill="auto"/>
            <w:vAlign w:val="bottom"/>
          </w:tcPr>
          <w:p w14:paraId="098A961B" w14:textId="77777777" w:rsidR="00141CDF" w:rsidRDefault="00141CDF">
            <w:pPr>
              <w:rPr>
                <w:rFonts w:ascii="宋体"/>
                <w:vanish/>
              </w:rPr>
            </w:pPr>
          </w:p>
        </w:tc>
        <w:tc>
          <w:tcPr>
            <w:tcW w:w="0" w:type="auto"/>
            <w:gridSpan w:val="3"/>
            <w:shd w:val="clear" w:color="auto" w:fill="auto"/>
            <w:vAlign w:val="bottom"/>
          </w:tcPr>
          <w:p w14:paraId="098A961C" w14:textId="77777777" w:rsidR="00141CDF" w:rsidRDefault="00141CDF">
            <w:pPr>
              <w:rPr>
                <w:rFonts w:ascii="宋体"/>
                <w:vanish/>
              </w:rPr>
            </w:pPr>
          </w:p>
        </w:tc>
      </w:tr>
    </w:tbl>
    <w:p w14:paraId="098A961E" w14:textId="77777777" w:rsidR="00141CDF" w:rsidRDefault="00141CDF">
      <w:pPr>
        <w:rPr>
          <w:vanish/>
        </w:rPr>
      </w:pPr>
    </w:p>
    <w:tbl>
      <w:tblPr>
        <w:tblW w:w="5000" w:type="pct"/>
        <w:tblInd w:w="-165" w:type="dxa"/>
        <w:tblCellMar>
          <w:top w:w="15" w:type="dxa"/>
          <w:left w:w="15" w:type="dxa"/>
          <w:bottom w:w="15" w:type="dxa"/>
          <w:right w:w="15" w:type="dxa"/>
        </w:tblCellMar>
        <w:tblLook w:val="04A0" w:firstRow="1" w:lastRow="0" w:firstColumn="1" w:lastColumn="0" w:noHBand="0" w:noVBand="1"/>
      </w:tblPr>
      <w:tblGrid>
        <w:gridCol w:w="38"/>
        <w:gridCol w:w="3621"/>
        <w:gridCol w:w="37"/>
        <w:gridCol w:w="36"/>
        <w:gridCol w:w="36"/>
        <w:gridCol w:w="36"/>
        <w:gridCol w:w="101"/>
        <w:gridCol w:w="802"/>
        <w:gridCol w:w="36"/>
        <w:gridCol w:w="36"/>
        <w:gridCol w:w="36"/>
        <w:gridCol w:w="36"/>
        <w:gridCol w:w="101"/>
        <w:gridCol w:w="803"/>
        <w:gridCol w:w="36"/>
        <w:gridCol w:w="36"/>
        <w:gridCol w:w="36"/>
        <w:gridCol w:w="36"/>
        <w:gridCol w:w="101"/>
        <w:gridCol w:w="608"/>
        <w:gridCol w:w="36"/>
        <w:gridCol w:w="36"/>
        <w:gridCol w:w="36"/>
        <w:gridCol w:w="36"/>
        <w:gridCol w:w="101"/>
        <w:gridCol w:w="644"/>
        <w:gridCol w:w="36"/>
        <w:gridCol w:w="36"/>
        <w:gridCol w:w="36"/>
        <w:gridCol w:w="36"/>
        <w:gridCol w:w="100"/>
        <w:gridCol w:w="559"/>
        <w:gridCol w:w="36"/>
      </w:tblGrid>
      <w:tr w:rsidR="00141CDF" w14:paraId="098A9640" w14:textId="77777777">
        <w:tc>
          <w:tcPr>
            <w:tcW w:w="50" w:type="pct"/>
            <w:shd w:val="clear" w:color="auto" w:fill="auto"/>
            <w:vAlign w:val="bottom"/>
          </w:tcPr>
          <w:p w14:paraId="098A961F" w14:textId="77777777" w:rsidR="00141CDF" w:rsidRDefault="00141CDF">
            <w:pPr>
              <w:rPr>
                <w:rFonts w:ascii="宋体"/>
              </w:rPr>
            </w:pPr>
          </w:p>
        </w:tc>
        <w:tc>
          <w:tcPr>
            <w:tcW w:w="2196" w:type="pct"/>
            <w:shd w:val="clear" w:color="auto" w:fill="auto"/>
            <w:vAlign w:val="bottom"/>
          </w:tcPr>
          <w:p w14:paraId="098A9620" w14:textId="77777777" w:rsidR="00141CDF" w:rsidRDefault="00141CDF">
            <w:pPr>
              <w:rPr>
                <w:rFonts w:ascii="宋体"/>
              </w:rPr>
            </w:pPr>
          </w:p>
        </w:tc>
        <w:tc>
          <w:tcPr>
            <w:tcW w:w="5" w:type="pct"/>
            <w:shd w:val="clear" w:color="auto" w:fill="auto"/>
            <w:vAlign w:val="bottom"/>
          </w:tcPr>
          <w:p w14:paraId="098A9621" w14:textId="77777777" w:rsidR="00141CDF" w:rsidRDefault="00141CDF">
            <w:pPr>
              <w:rPr>
                <w:rFonts w:ascii="宋体"/>
              </w:rPr>
            </w:pPr>
          </w:p>
        </w:tc>
        <w:tc>
          <w:tcPr>
            <w:tcW w:w="5" w:type="pct"/>
            <w:shd w:val="clear" w:color="auto" w:fill="auto"/>
            <w:vAlign w:val="bottom"/>
          </w:tcPr>
          <w:p w14:paraId="098A9622" w14:textId="77777777" w:rsidR="00141CDF" w:rsidRDefault="00141CDF">
            <w:pPr>
              <w:rPr>
                <w:rFonts w:ascii="宋体"/>
              </w:rPr>
            </w:pPr>
          </w:p>
        </w:tc>
        <w:tc>
          <w:tcPr>
            <w:tcW w:w="26" w:type="pct"/>
            <w:shd w:val="clear" w:color="auto" w:fill="auto"/>
            <w:vAlign w:val="bottom"/>
          </w:tcPr>
          <w:p w14:paraId="098A9623" w14:textId="77777777" w:rsidR="00141CDF" w:rsidRDefault="00141CDF">
            <w:pPr>
              <w:rPr>
                <w:rFonts w:ascii="宋体"/>
              </w:rPr>
            </w:pPr>
          </w:p>
        </w:tc>
        <w:tc>
          <w:tcPr>
            <w:tcW w:w="5" w:type="pct"/>
            <w:shd w:val="clear" w:color="auto" w:fill="auto"/>
            <w:vAlign w:val="bottom"/>
          </w:tcPr>
          <w:p w14:paraId="098A9624" w14:textId="77777777" w:rsidR="00141CDF" w:rsidRDefault="00141CDF">
            <w:pPr>
              <w:rPr>
                <w:rFonts w:ascii="宋体"/>
              </w:rPr>
            </w:pPr>
          </w:p>
        </w:tc>
        <w:tc>
          <w:tcPr>
            <w:tcW w:w="50" w:type="pct"/>
            <w:shd w:val="clear" w:color="auto" w:fill="auto"/>
            <w:vAlign w:val="bottom"/>
          </w:tcPr>
          <w:p w14:paraId="098A9625" w14:textId="77777777" w:rsidR="00141CDF" w:rsidRDefault="00141CDF">
            <w:pPr>
              <w:rPr>
                <w:rFonts w:ascii="宋体"/>
              </w:rPr>
            </w:pPr>
          </w:p>
        </w:tc>
        <w:tc>
          <w:tcPr>
            <w:tcW w:w="529" w:type="pct"/>
            <w:shd w:val="clear" w:color="auto" w:fill="auto"/>
            <w:vAlign w:val="bottom"/>
          </w:tcPr>
          <w:p w14:paraId="098A9626" w14:textId="77777777" w:rsidR="00141CDF" w:rsidRDefault="00141CDF">
            <w:pPr>
              <w:rPr>
                <w:rFonts w:ascii="宋体"/>
              </w:rPr>
            </w:pPr>
          </w:p>
        </w:tc>
        <w:tc>
          <w:tcPr>
            <w:tcW w:w="5" w:type="pct"/>
            <w:shd w:val="clear" w:color="auto" w:fill="auto"/>
            <w:vAlign w:val="bottom"/>
          </w:tcPr>
          <w:p w14:paraId="098A9627" w14:textId="77777777" w:rsidR="00141CDF" w:rsidRDefault="00141CDF">
            <w:pPr>
              <w:rPr>
                <w:rFonts w:ascii="宋体"/>
              </w:rPr>
            </w:pPr>
          </w:p>
        </w:tc>
        <w:tc>
          <w:tcPr>
            <w:tcW w:w="5" w:type="pct"/>
            <w:shd w:val="clear" w:color="auto" w:fill="auto"/>
            <w:vAlign w:val="bottom"/>
          </w:tcPr>
          <w:p w14:paraId="098A9628" w14:textId="77777777" w:rsidR="00141CDF" w:rsidRDefault="00141CDF">
            <w:pPr>
              <w:rPr>
                <w:rFonts w:ascii="宋体"/>
              </w:rPr>
            </w:pPr>
          </w:p>
        </w:tc>
        <w:tc>
          <w:tcPr>
            <w:tcW w:w="26" w:type="pct"/>
            <w:shd w:val="clear" w:color="auto" w:fill="auto"/>
            <w:vAlign w:val="bottom"/>
          </w:tcPr>
          <w:p w14:paraId="098A9629" w14:textId="77777777" w:rsidR="00141CDF" w:rsidRDefault="00141CDF">
            <w:pPr>
              <w:rPr>
                <w:rFonts w:ascii="宋体"/>
              </w:rPr>
            </w:pPr>
          </w:p>
        </w:tc>
        <w:tc>
          <w:tcPr>
            <w:tcW w:w="5" w:type="pct"/>
            <w:shd w:val="clear" w:color="auto" w:fill="auto"/>
            <w:vAlign w:val="bottom"/>
          </w:tcPr>
          <w:p w14:paraId="098A962A" w14:textId="77777777" w:rsidR="00141CDF" w:rsidRDefault="00141CDF">
            <w:pPr>
              <w:rPr>
                <w:rFonts w:ascii="宋体"/>
              </w:rPr>
            </w:pPr>
          </w:p>
        </w:tc>
        <w:tc>
          <w:tcPr>
            <w:tcW w:w="50" w:type="pct"/>
            <w:shd w:val="clear" w:color="auto" w:fill="auto"/>
            <w:vAlign w:val="bottom"/>
          </w:tcPr>
          <w:p w14:paraId="098A962B" w14:textId="77777777" w:rsidR="00141CDF" w:rsidRDefault="00141CDF">
            <w:pPr>
              <w:rPr>
                <w:rFonts w:ascii="宋体"/>
              </w:rPr>
            </w:pPr>
          </w:p>
        </w:tc>
        <w:tc>
          <w:tcPr>
            <w:tcW w:w="529" w:type="pct"/>
            <w:shd w:val="clear" w:color="auto" w:fill="auto"/>
            <w:vAlign w:val="bottom"/>
          </w:tcPr>
          <w:p w14:paraId="098A962C" w14:textId="77777777" w:rsidR="00141CDF" w:rsidRDefault="00141CDF">
            <w:pPr>
              <w:rPr>
                <w:rFonts w:ascii="宋体"/>
              </w:rPr>
            </w:pPr>
          </w:p>
        </w:tc>
        <w:tc>
          <w:tcPr>
            <w:tcW w:w="5" w:type="pct"/>
            <w:shd w:val="clear" w:color="auto" w:fill="auto"/>
            <w:vAlign w:val="bottom"/>
          </w:tcPr>
          <w:p w14:paraId="098A962D" w14:textId="77777777" w:rsidR="00141CDF" w:rsidRDefault="00141CDF">
            <w:pPr>
              <w:rPr>
                <w:rFonts w:ascii="宋体"/>
              </w:rPr>
            </w:pPr>
          </w:p>
        </w:tc>
        <w:tc>
          <w:tcPr>
            <w:tcW w:w="5" w:type="pct"/>
            <w:shd w:val="clear" w:color="auto" w:fill="auto"/>
            <w:vAlign w:val="bottom"/>
          </w:tcPr>
          <w:p w14:paraId="098A962E" w14:textId="77777777" w:rsidR="00141CDF" w:rsidRDefault="00141CDF">
            <w:pPr>
              <w:rPr>
                <w:rFonts w:ascii="宋体"/>
              </w:rPr>
            </w:pPr>
          </w:p>
        </w:tc>
        <w:tc>
          <w:tcPr>
            <w:tcW w:w="26" w:type="pct"/>
            <w:shd w:val="clear" w:color="auto" w:fill="auto"/>
            <w:vAlign w:val="bottom"/>
          </w:tcPr>
          <w:p w14:paraId="098A962F" w14:textId="77777777" w:rsidR="00141CDF" w:rsidRDefault="00141CDF">
            <w:pPr>
              <w:rPr>
                <w:rFonts w:ascii="宋体"/>
              </w:rPr>
            </w:pPr>
          </w:p>
        </w:tc>
        <w:tc>
          <w:tcPr>
            <w:tcW w:w="5" w:type="pct"/>
            <w:shd w:val="clear" w:color="auto" w:fill="auto"/>
            <w:vAlign w:val="bottom"/>
          </w:tcPr>
          <w:p w14:paraId="098A9630" w14:textId="77777777" w:rsidR="00141CDF" w:rsidRDefault="00141CDF">
            <w:pPr>
              <w:rPr>
                <w:rFonts w:ascii="宋体"/>
              </w:rPr>
            </w:pPr>
          </w:p>
        </w:tc>
        <w:tc>
          <w:tcPr>
            <w:tcW w:w="50" w:type="pct"/>
            <w:shd w:val="clear" w:color="auto" w:fill="auto"/>
            <w:vAlign w:val="bottom"/>
          </w:tcPr>
          <w:p w14:paraId="098A9631" w14:textId="77777777" w:rsidR="00141CDF" w:rsidRDefault="00141CDF">
            <w:pPr>
              <w:rPr>
                <w:rFonts w:ascii="宋体"/>
              </w:rPr>
            </w:pPr>
          </w:p>
        </w:tc>
        <w:tc>
          <w:tcPr>
            <w:tcW w:w="412" w:type="pct"/>
            <w:shd w:val="clear" w:color="auto" w:fill="auto"/>
            <w:vAlign w:val="bottom"/>
          </w:tcPr>
          <w:p w14:paraId="098A9632" w14:textId="77777777" w:rsidR="00141CDF" w:rsidRDefault="00141CDF">
            <w:pPr>
              <w:rPr>
                <w:rFonts w:ascii="宋体"/>
              </w:rPr>
            </w:pPr>
          </w:p>
        </w:tc>
        <w:tc>
          <w:tcPr>
            <w:tcW w:w="5" w:type="pct"/>
            <w:shd w:val="clear" w:color="auto" w:fill="auto"/>
            <w:vAlign w:val="bottom"/>
          </w:tcPr>
          <w:p w14:paraId="098A9633" w14:textId="77777777" w:rsidR="00141CDF" w:rsidRDefault="00141CDF">
            <w:pPr>
              <w:rPr>
                <w:rFonts w:ascii="宋体"/>
              </w:rPr>
            </w:pPr>
          </w:p>
        </w:tc>
        <w:tc>
          <w:tcPr>
            <w:tcW w:w="5" w:type="pct"/>
            <w:shd w:val="clear" w:color="auto" w:fill="auto"/>
            <w:vAlign w:val="bottom"/>
          </w:tcPr>
          <w:p w14:paraId="098A9634" w14:textId="77777777" w:rsidR="00141CDF" w:rsidRDefault="00141CDF">
            <w:pPr>
              <w:rPr>
                <w:rFonts w:ascii="宋体"/>
              </w:rPr>
            </w:pPr>
          </w:p>
        </w:tc>
        <w:tc>
          <w:tcPr>
            <w:tcW w:w="26" w:type="pct"/>
            <w:shd w:val="clear" w:color="auto" w:fill="auto"/>
            <w:vAlign w:val="bottom"/>
          </w:tcPr>
          <w:p w14:paraId="098A9635" w14:textId="77777777" w:rsidR="00141CDF" w:rsidRDefault="00141CDF">
            <w:pPr>
              <w:rPr>
                <w:rFonts w:ascii="宋体"/>
              </w:rPr>
            </w:pPr>
          </w:p>
        </w:tc>
        <w:tc>
          <w:tcPr>
            <w:tcW w:w="5" w:type="pct"/>
            <w:shd w:val="clear" w:color="auto" w:fill="auto"/>
            <w:vAlign w:val="bottom"/>
          </w:tcPr>
          <w:p w14:paraId="098A9636" w14:textId="77777777" w:rsidR="00141CDF" w:rsidRDefault="00141CDF">
            <w:pPr>
              <w:rPr>
                <w:rFonts w:ascii="宋体"/>
              </w:rPr>
            </w:pPr>
          </w:p>
        </w:tc>
        <w:tc>
          <w:tcPr>
            <w:tcW w:w="50" w:type="pct"/>
            <w:shd w:val="clear" w:color="auto" w:fill="auto"/>
            <w:vAlign w:val="bottom"/>
          </w:tcPr>
          <w:p w14:paraId="098A9637" w14:textId="77777777" w:rsidR="00141CDF" w:rsidRDefault="00141CDF">
            <w:pPr>
              <w:rPr>
                <w:rFonts w:ascii="宋体"/>
              </w:rPr>
            </w:pPr>
          </w:p>
        </w:tc>
        <w:tc>
          <w:tcPr>
            <w:tcW w:w="434" w:type="pct"/>
            <w:shd w:val="clear" w:color="auto" w:fill="auto"/>
            <w:vAlign w:val="bottom"/>
          </w:tcPr>
          <w:p w14:paraId="098A9638" w14:textId="77777777" w:rsidR="00141CDF" w:rsidRDefault="00141CDF">
            <w:pPr>
              <w:rPr>
                <w:rFonts w:ascii="宋体"/>
              </w:rPr>
            </w:pPr>
          </w:p>
        </w:tc>
        <w:tc>
          <w:tcPr>
            <w:tcW w:w="5" w:type="pct"/>
            <w:shd w:val="clear" w:color="auto" w:fill="auto"/>
            <w:vAlign w:val="bottom"/>
          </w:tcPr>
          <w:p w14:paraId="098A9639" w14:textId="77777777" w:rsidR="00141CDF" w:rsidRDefault="00141CDF">
            <w:pPr>
              <w:rPr>
                <w:rFonts w:ascii="宋体"/>
              </w:rPr>
            </w:pPr>
          </w:p>
        </w:tc>
        <w:tc>
          <w:tcPr>
            <w:tcW w:w="5" w:type="pct"/>
            <w:shd w:val="clear" w:color="auto" w:fill="auto"/>
            <w:vAlign w:val="bottom"/>
          </w:tcPr>
          <w:p w14:paraId="098A963A" w14:textId="77777777" w:rsidR="00141CDF" w:rsidRDefault="00141CDF">
            <w:pPr>
              <w:rPr>
                <w:rFonts w:ascii="宋体"/>
              </w:rPr>
            </w:pPr>
          </w:p>
        </w:tc>
        <w:tc>
          <w:tcPr>
            <w:tcW w:w="26" w:type="pct"/>
            <w:shd w:val="clear" w:color="auto" w:fill="auto"/>
            <w:vAlign w:val="bottom"/>
          </w:tcPr>
          <w:p w14:paraId="098A963B" w14:textId="77777777" w:rsidR="00141CDF" w:rsidRDefault="00141CDF">
            <w:pPr>
              <w:rPr>
                <w:rFonts w:ascii="宋体"/>
              </w:rPr>
            </w:pPr>
          </w:p>
        </w:tc>
        <w:tc>
          <w:tcPr>
            <w:tcW w:w="5" w:type="pct"/>
            <w:shd w:val="clear" w:color="auto" w:fill="auto"/>
            <w:vAlign w:val="bottom"/>
          </w:tcPr>
          <w:p w14:paraId="098A963C" w14:textId="77777777" w:rsidR="00141CDF" w:rsidRDefault="00141CDF">
            <w:pPr>
              <w:rPr>
                <w:rFonts w:ascii="宋体"/>
              </w:rPr>
            </w:pPr>
          </w:p>
        </w:tc>
        <w:tc>
          <w:tcPr>
            <w:tcW w:w="50" w:type="pct"/>
            <w:shd w:val="clear" w:color="auto" w:fill="auto"/>
            <w:vAlign w:val="bottom"/>
          </w:tcPr>
          <w:p w14:paraId="098A963D" w14:textId="77777777" w:rsidR="00141CDF" w:rsidRDefault="00141CDF">
            <w:pPr>
              <w:rPr>
                <w:rFonts w:ascii="宋体"/>
              </w:rPr>
            </w:pPr>
          </w:p>
        </w:tc>
        <w:tc>
          <w:tcPr>
            <w:tcW w:w="383" w:type="pct"/>
            <w:shd w:val="clear" w:color="auto" w:fill="auto"/>
            <w:vAlign w:val="bottom"/>
          </w:tcPr>
          <w:p w14:paraId="098A963E" w14:textId="77777777" w:rsidR="00141CDF" w:rsidRDefault="00141CDF">
            <w:pPr>
              <w:rPr>
                <w:rFonts w:ascii="宋体"/>
              </w:rPr>
            </w:pPr>
          </w:p>
        </w:tc>
        <w:tc>
          <w:tcPr>
            <w:tcW w:w="5" w:type="pct"/>
            <w:shd w:val="clear" w:color="auto" w:fill="auto"/>
            <w:vAlign w:val="bottom"/>
          </w:tcPr>
          <w:p w14:paraId="098A963F" w14:textId="77777777" w:rsidR="00141CDF" w:rsidRDefault="00141CDF">
            <w:pPr>
              <w:rPr>
                <w:rFonts w:ascii="宋体"/>
              </w:rPr>
            </w:pPr>
          </w:p>
        </w:tc>
      </w:tr>
      <w:tr w:rsidR="00141CDF" w14:paraId="098A964C" w14:textId="77777777">
        <w:tc>
          <w:tcPr>
            <w:tcW w:w="0" w:type="auto"/>
            <w:gridSpan w:val="3"/>
            <w:shd w:val="clear" w:color="auto" w:fill="auto"/>
            <w:tcMar>
              <w:top w:w="40" w:type="dxa"/>
              <w:left w:w="20" w:type="dxa"/>
              <w:bottom w:w="40" w:type="dxa"/>
              <w:right w:w="20" w:type="dxa"/>
            </w:tcMar>
            <w:vAlign w:val="bottom"/>
          </w:tcPr>
          <w:p w14:paraId="098A9641" w14:textId="77777777" w:rsidR="00141CDF" w:rsidRDefault="00DF45E0">
            <w:pPr>
              <w:textAlignment w:val="bottom"/>
            </w:pPr>
            <w:r>
              <w:rPr>
                <w:rFonts w:ascii="Times New Roman" w:eastAsia="宋体" w:hAnsi="Times New Roman"/>
                <w:i/>
                <w:iCs/>
                <w:color w:val="000000"/>
                <w:sz w:val="16"/>
                <w:szCs w:val="16"/>
              </w:rPr>
              <w:t>(Amounts in millions and net of immaterial income taxes)</w:t>
            </w:r>
          </w:p>
        </w:tc>
        <w:tc>
          <w:tcPr>
            <w:tcW w:w="0" w:type="auto"/>
            <w:gridSpan w:val="3"/>
            <w:shd w:val="clear" w:color="auto" w:fill="auto"/>
            <w:tcMar>
              <w:top w:w="0" w:type="dxa"/>
              <w:left w:w="20" w:type="dxa"/>
              <w:bottom w:w="0" w:type="dxa"/>
              <w:right w:w="20" w:type="dxa"/>
            </w:tcMar>
            <w:vAlign w:val="bottom"/>
          </w:tcPr>
          <w:p w14:paraId="098A9642"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9643" w14:textId="77777777" w:rsidR="00141CDF" w:rsidRDefault="00DF45E0">
            <w:pPr>
              <w:jc w:val="center"/>
              <w:textAlignment w:val="bottom"/>
            </w:pPr>
            <w:r>
              <w:rPr>
                <w:rFonts w:ascii="Times New Roman" w:eastAsia="宋体" w:hAnsi="Times New Roman"/>
                <w:b/>
                <w:bCs/>
                <w:color w:val="000000"/>
                <w:sz w:val="16"/>
                <w:szCs w:val="16"/>
              </w:rPr>
              <w:t>Currency </w:t>
            </w:r>
            <w:r>
              <w:rPr>
                <w:rFonts w:ascii="Times New Roman" w:eastAsia="宋体" w:hAnsi="Times New Roman"/>
                <w:b/>
                <w:bCs/>
                <w:color w:val="000000"/>
                <w:sz w:val="16"/>
                <w:szCs w:val="16"/>
              </w:rPr>
              <w:br/>
              <w:t>Translation and Other</w:t>
            </w:r>
          </w:p>
        </w:tc>
        <w:tc>
          <w:tcPr>
            <w:tcW w:w="0" w:type="auto"/>
            <w:gridSpan w:val="3"/>
            <w:shd w:val="clear" w:color="auto" w:fill="auto"/>
            <w:tcMar>
              <w:top w:w="0" w:type="dxa"/>
              <w:left w:w="20" w:type="dxa"/>
              <w:bottom w:w="0" w:type="dxa"/>
              <w:right w:w="20" w:type="dxa"/>
            </w:tcMar>
            <w:vAlign w:val="bottom"/>
          </w:tcPr>
          <w:p w14:paraId="098A9644"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9645" w14:textId="77777777" w:rsidR="00141CDF" w:rsidRDefault="00DF45E0">
            <w:pPr>
              <w:jc w:val="center"/>
              <w:textAlignment w:val="bottom"/>
            </w:pPr>
            <w:r>
              <w:rPr>
                <w:rFonts w:ascii="Times New Roman" w:eastAsia="宋体" w:hAnsi="Times New Roman"/>
                <w:b/>
                <w:bCs/>
                <w:color w:val="000000"/>
                <w:sz w:val="16"/>
                <w:szCs w:val="16"/>
              </w:rPr>
              <w:t>Net Investment Hedges</w:t>
            </w:r>
          </w:p>
        </w:tc>
        <w:tc>
          <w:tcPr>
            <w:tcW w:w="0" w:type="auto"/>
            <w:gridSpan w:val="3"/>
            <w:shd w:val="clear" w:color="auto" w:fill="auto"/>
            <w:tcMar>
              <w:top w:w="0" w:type="dxa"/>
              <w:left w:w="20" w:type="dxa"/>
              <w:bottom w:w="0" w:type="dxa"/>
              <w:right w:w="20" w:type="dxa"/>
            </w:tcMar>
            <w:vAlign w:val="bottom"/>
          </w:tcPr>
          <w:p w14:paraId="098A9646"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9647" w14:textId="77777777" w:rsidR="00141CDF" w:rsidRDefault="00DF45E0">
            <w:pPr>
              <w:jc w:val="center"/>
              <w:textAlignment w:val="bottom"/>
            </w:pPr>
            <w:r>
              <w:rPr>
                <w:rFonts w:ascii="Times New Roman" w:eastAsia="宋体" w:hAnsi="Times New Roman"/>
                <w:b/>
                <w:bCs/>
                <w:color w:val="000000"/>
                <w:sz w:val="16"/>
                <w:szCs w:val="16"/>
              </w:rPr>
              <w:t>Cash Flow Hedges</w:t>
            </w:r>
          </w:p>
        </w:tc>
        <w:tc>
          <w:tcPr>
            <w:tcW w:w="0" w:type="auto"/>
            <w:gridSpan w:val="3"/>
            <w:shd w:val="clear" w:color="auto" w:fill="auto"/>
            <w:tcMar>
              <w:top w:w="0" w:type="dxa"/>
              <w:left w:w="20" w:type="dxa"/>
              <w:bottom w:w="0" w:type="dxa"/>
              <w:right w:w="20" w:type="dxa"/>
            </w:tcMar>
            <w:vAlign w:val="bottom"/>
          </w:tcPr>
          <w:p w14:paraId="098A9648"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9649" w14:textId="77777777" w:rsidR="00141CDF" w:rsidRDefault="00DF45E0">
            <w:pPr>
              <w:jc w:val="center"/>
              <w:textAlignment w:val="bottom"/>
            </w:pPr>
            <w:r>
              <w:rPr>
                <w:rFonts w:ascii="Times New Roman" w:eastAsia="宋体" w:hAnsi="Times New Roman"/>
                <w:b/>
                <w:bCs/>
                <w:color w:val="000000"/>
                <w:sz w:val="16"/>
                <w:szCs w:val="16"/>
              </w:rPr>
              <w:t>Minimum</w:t>
            </w:r>
            <w:r>
              <w:rPr>
                <w:rFonts w:ascii="Times New Roman" w:eastAsia="宋体" w:hAnsi="Times New Roman"/>
                <w:b/>
                <w:bCs/>
                <w:color w:val="000000"/>
                <w:sz w:val="16"/>
                <w:szCs w:val="16"/>
              </w:rPr>
              <w:br/>
              <w:t>P</w:t>
            </w:r>
            <w:r>
              <w:rPr>
                <w:rFonts w:ascii="Times New Roman" w:eastAsia="宋体" w:hAnsi="Times New Roman"/>
                <w:b/>
                <w:bCs/>
                <w:color w:val="000000"/>
                <w:sz w:val="16"/>
                <w:szCs w:val="16"/>
              </w:rPr>
              <w:t>ension </w:t>
            </w:r>
            <w:r>
              <w:rPr>
                <w:rFonts w:ascii="Times New Roman" w:eastAsia="宋体" w:hAnsi="Times New Roman"/>
                <w:b/>
                <w:bCs/>
                <w:color w:val="000000"/>
                <w:sz w:val="16"/>
                <w:szCs w:val="16"/>
              </w:rPr>
              <w:br/>
              <w:t>Liability</w:t>
            </w:r>
          </w:p>
        </w:tc>
        <w:tc>
          <w:tcPr>
            <w:tcW w:w="0" w:type="auto"/>
            <w:gridSpan w:val="3"/>
            <w:shd w:val="clear" w:color="auto" w:fill="auto"/>
            <w:tcMar>
              <w:top w:w="0" w:type="dxa"/>
              <w:left w:w="20" w:type="dxa"/>
              <w:bottom w:w="0" w:type="dxa"/>
              <w:right w:w="20" w:type="dxa"/>
            </w:tcMar>
            <w:vAlign w:val="bottom"/>
          </w:tcPr>
          <w:p w14:paraId="098A964A"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964B" w14:textId="77777777" w:rsidR="00141CDF" w:rsidRDefault="00DF45E0">
            <w:pPr>
              <w:jc w:val="center"/>
              <w:textAlignment w:val="bottom"/>
            </w:pPr>
            <w:r>
              <w:rPr>
                <w:rFonts w:ascii="Times New Roman" w:eastAsia="宋体" w:hAnsi="Times New Roman"/>
                <w:b/>
                <w:bCs/>
                <w:color w:val="000000"/>
                <w:sz w:val="16"/>
                <w:szCs w:val="16"/>
              </w:rPr>
              <w:t>Total</w:t>
            </w:r>
          </w:p>
        </w:tc>
      </w:tr>
      <w:tr w:rsidR="00141CDF" w14:paraId="098A9662" w14:textId="77777777">
        <w:tc>
          <w:tcPr>
            <w:tcW w:w="0" w:type="auto"/>
            <w:gridSpan w:val="3"/>
            <w:shd w:val="clear" w:color="auto" w:fill="CCEEFF"/>
            <w:tcMar>
              <w:top w:w="40" w:type="dxa"/>
              <w:left w:w="20" w:type="dxa"/>
              <w:bottom w:w="40" w:type="dxa"/>
              <w:right w:w="20" w:type="dxa"/>
            </w:tcMar>
            <w:vAlign w:val="bottom"/>
          </w:tcPr>
          <w:p w14:paraId="098A964D" w14:textId="77777777" w:rsidR="00141CDF" w:rsidRDefault="00DF45E0">
            <w:pPr>
              <w:textAlignment w:val="bottom"/>
            </w:pPr>
            <w:r>
              <w:rPr>
                <w:rFonts w:ascii="Times New Roman" w:eastAsia="宋体" w:hAnsi="Times New Roman"/>
                <w:b/>
                <w:bCs/>
                <w:color w:val="000000"/>
                <w:sz w:val="16"/>
                <w:szCs w:val="16"/>
              </w:rPr>
              <w:t>Balances as of February 1, 2021</w:t>
            </w:r>
          </w:p>
        </w:tc>
        <w:tc>
          <w:tcPr>
            <w:tcW w:w="0" w:type="auto"/>
            <w:gridSpan w:val="3"/>
            <w:shd w:val="clear" w:color="auto" w:fill="CCEEFF"/>
            <w:tcMar>
              <w:top w:w="0" w:type="dxa"/>
              <w:left w:w="20" w:type="dxa"/>
              <w:bottom w:w="0" w:type="dxa"/>
              <w:right w:w="20" w:type="dxa"/>
            </w:tcMar>
            <w:vAlign w:val="bottom"/>
          </w:tcPr>
          <w:p w14:paraId="098A964E"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98A964F" w14:textId="77777777" w:rsidR="00141CDF" w:rsidRDefault="00DF45E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98A9650" w14:textId="77777777" w:rsidR="00141CDF" w:rsidRDefault="00DF45E0">
            <w:pPr>
              <w:jc w:val="right"/>
              <w:textAlignment w:val="bottom"/>
            </w:pPr>
            <w:r>
              <w:rPr>
                <w:rFonts w:ascii="Times New Roman" w:eastAsia="宋体" w:hAnsi="Times New Roman"/>
                <w:color w:val="000000"/>
                <w:sz w:val="16"/>
                <w:szCs w:val="16"/>
              </w:rPr>
              <w:t>(10,772)</w:t>
            </w:r>
          </w:p>
        </w:tc>
        <w:tc>
          <w:tcPr>
            <w:tcW w:w="0" w:type="auto"/>
            <w:tcBorders>
              <w:top w:val="single" w:sz="8" w:space="0" w:color="000000"/>
            </w:tcBorders>
            <w:shd w:val="clear" w:color="auto" w:fill="CCEEFF"/>
            <w:tcMar>
              <w:top w:w="40" w:type="dxa"/>
              <w:left w:w="0" w:type="dxa"/>
              <w:bottom w:w="40" w:type="dxa"/>
              <w:right w:w="20" w:type="dxa"/>
            </w:tcMar>
            <w:vAlign w:val="bottom"/>
          </w:tcPr>
          <w:p w14:paraId="098A9651"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652"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98A9653" w14:textId="77777777" w:rsidR="00141CDF" w:rsidRDefault="00DF45E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98A9654" w14:textId="77777777" w:rsidR="00141CDF" w:rsidRDefault="00DF45E0">
            <w:pPr>
              <w:jc w:val="right"/>
              <w:textAlignment w:val="bottom"/>
            </w:pPr>
            <w:r>
              <w:rPr>
                <w:rFonts w:ascii="Times New Roman" w:eastAsia="宋体" w:hAnsi="Times New Roman"/>
                <w:color w:val="000000"/>
                <w:sz w:val="16"/>
                <w:szCs w:val="16"/>
              </w:rPr>
              <w:t>1,296 </w:t>
            </w:r>
          </w:p>
        </w:tc>
        <w:tc>
          <w:tcPr>
            <w:tcW w:w="0" w:type="auto"/>
            <w:tcBorders>
              <w:top w:val="single" w:sz="8" w:space="0" w:color="000000"/>
            </w:tcBorders>
            <w:shd w:val="clear" w:color="auto" w:fill="CCEEFF"/>
            <w:tcMar>
              <w:top w:w="40" w:type="dxa"/>
              <w:left w:w="0" w:type="dxa"/>
              <w:bottom w:w="40" w:type="dxa"/>
              <w:right w:w="20" w:type="dxa"/>
            </w:tcMar>
            <w:vAlign w:val="bottom"/>
          </w:tcPr>
          <w:p w14:paraId="098A9655"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656"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98A9657" w14:textId="77777777" w:rsidR="00141CDF" w:rsidRDefault="00DF45E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98A9658" w14:textId="77777777" w:rsidR="00141CDF" w:rsidRDefault="00DF45E0">
            <w:pPr>
              <w:jc w:val="right"/>
              <w:textAlignment w:val="bottom"/>
            </w:pPr>
            <w:r>
              <w:rPr>
                <w:rFonts w:ascii="Times New Roman" w:eastAsia="宋体" w:hAnsi="Times New Roman"/>
                <w:color w:val="000000"/>
                <w:sz w:val="16"/>
                <w:szCs w:val="16"/>
              </w:rPr>
              <w:t>(304)</w:t>
            </w:r>
          </w:p>
        </w:tc>
        <w:tc>
          <w:tcPr>
            <w:tcW w:w="0" w:type="auto"/>
            <w:tcBorders>
              <w:top w:val="single" w:sz="8" w:space="0" w:color="000000"/>
            </w:tcBorders>
            <w:shd w:val="clear" w:color="auto" w:fill="CCEEFF"/>
            <w:tcMar>
              <w:top w:w="40" w:type="dxa"/>
              <w:left w:w="0" w:type="dxa"/>
              <w:bottom w:w="40" w:type="dxa"/>
              <w:right w:w="20" w:type="dxa"/>
            </w:tcMar>
            <w:vAlign w:val="bottom"/>
          </w:tcPr>
          <w:p w14:paraId="098A9659"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65A"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98A965B" w14:textId="77777777" w:rsidR="00141CDF" w:rsidRDefault="00DF45E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98A965C" w14:textId="77777777" w:rsidR="00141CDF" w:rsidRDefault="00DF45E0">
            <w:pPr>
              <w:jc w:val="right"/>
              <w:textAlignment w:val="bottom"/>
            </w:pPr>
            <w:r>
              <w:rPr>
                <w:rFonts w:ascii="Times New Roman" w:eastAsia="宋体" w:hAnsi="Times New Roman"/>
                <w:color w:val="000000"/>
                <w:sz w:val="16"/>
                <w:szCs w:val="16"/>
              </w:rPr>
              <w:t>(1,986)</w:t>
            </w:r>
          </w:p>
        </w:tc>
        <w:tc>
          <w:tcPr>
            <w:tcW w:w="0" w:type="auto"/>
            <w:tcBorders>
              <w:top w:val="single" w:sz="8" w:space="0" w:color="000000"/>
            </w:tcBorders>
            <w:shd w:val="clear" w:color="auto" w:fill="CCEEFF"/>
            <w:tcMar>
              <w:top w:w="40" w:type="dxa"/>
              <w:left w:w="0" w:type="dxa"/>
              <w:bottom w:w="40" w:type="dxa"/>
              <w:right w:w="20" w:type="dxa"/>
            </w:tcMar>
            <w:vAlign w:val="bottom"/>
          </w:tcPr>
          <w:p w14:paraId="098A965D"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65E"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98A965F" w14:textId="77777777" w:rsidR="00141CDF" w:rsidRDefault="00DF45E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98A9660" w14:textId="77777777" w:rsidR="00141CDF" w:rsidRDefault="00DF45E0">
            <w:pPr>
              <w:jc w:val="right"/>
              <w:textAlignment w:val="bottom"/>
            </w:pPr>
            <w:r>
              <w:rPr>
                <w:rFonts w:ascii="Times New Roman" w:eastAsia="宋体" w:hAnsi="Times New Roman"/>
                <w:color w:val="000000"/>
                <w:sz w:val="16"/>
                <w:szCs w:val="16"/>
              </w:rPr>
              <w:t>(11,766)</w:t>
            </w:r>
          </w:p>
        </w:tc>
        <w:tc>
          <w:tcPr>
            <w:tcW w:w="0" w:type="auto"/>
            <w:tcBorders>
              <w:top w:val="single" w:sz="8" w:space="0" w:color="000000"/>
            </w:tcBorders>
            <w:shd w:val="clear" w:color="auto" w:fill="CCEEFF"/>
            <w:tcMar>
              <w:top w:w="40" w:type="dxa"/>
              <w:left w:w="0" w:type="dxa"/>
              <w:bottom w:w="40" w:type="dxa"/>
              <w:right w:w="20" w:type="dxa"/>
            </w:tcMar>
            <w:vAlign w:val="bottom"/>
          </w:tcPr>
          <w:p w14:paraId="098A9661" w14:textId="77777777" w:rsidR="00141CDF" w:rsidRDefault="00141CDF">
            <w:pPr>
              <w:jc w:val="right"/>
              <w:rPr>
                <w:rFonts w:ascii="宋体"/>
              </w:rPr>
            </w:pPr>
          </w:p>
        </w:tc>
      </w:tr>
      <w:tr w:rsidR="00141CDF" w14:paraId="098A9673" w14:textId="77777777">
        <w:tc>
          <w:tcPr>
            <w:tcW w:w="0" w:type="auto"/>
            <w:gridSpan w:val="3"/>
            <w:shd w:val="clear" w:color="auto" w:fill="FFFFFF"/>
            <w:tcMar>
              <w:top w:w="40" w:type="dxa"/>
              <w:left w:w="20" w:type="dxa"/>
              <w:bottom w:w="40" w:type="dxa"/>
              <w:right w:w="20" w:type="dxa"/>
            </w:tcMar>
            <w:vAlign w:val="bottom"/>
          </w:tcPr>
          <w:p w14:paraId="098A9663" w14:textId="77777777" w:rsidR="00141CDF" w:rsidRDefault="00DF45E0">
            <w:pPr>
              <w:textAlignment w:val="bottom"/>
            </w:pPr>
            <w:r>
              <w:rPr>
                <w:rFonts w:ascii="Times New Roman" w:eastAsia="宋体" w:hAnsi="Times New Roman"/>
                <w:color w:val="000000"/>
                <w:sz w:val="16"/>
                <w:szCs w:val="16"/>
              </w:rPr>
              <w:t xml:space="preserve">Other comprehensive loss </w:t>
            </w:r>
            <w:r>
              <w:rPr>
                <w:rFonts w:ascii="Times New Roman" w:eastAsia="宋体" w:hAnsi="Times New Roman"/>
                <w:color w:val="000000"/>
                <w:sz w:val="16"/>
                <w:szCs w:val="16"/>
              </w:rPr>
              <w:t>before reclassifications, net</w:t>
            </w:r>
          </w:p>
        </w:tc>
        <w:tc>
          <w:tcPr>
            <w:tcW w:w="0" w:type="auto"/>
            <w:gridSpan w:val="3"/>
            <w:shd w:val="clear" w:color="auto" w:fill="FFFFFF"/>
            <w:tcMar>
              <w:top w:w="0" w:type="dxa"/>
              <w:left w:w="20" w:type="dxa"/>
              <w:bottom w:w="0" w:type="dxa"/>
              <w:right w:w="20" w:type="dxa"/>
            </w:tcMar>
            <w:vAlign w:val="bottom"/>
          </w:tcPr>
          <w:p w14:paraId="098A9664"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bottom"/>
          </w:tcPr>
          <w:p w14:paraId="098A9665" w14:textId="77777777" w:rsidR="00141CDF" w:rsidRDefault="00DF45E0">
            <w:pPr>
              <w:jc w:val="right"/>
              <w:textAlignment w:val="bottom"/>
            </w:pPr>
            <w:r>
              <w:rPr>
                <w:rFonts w:ascii="Times New Roman" w:eastAsia="宋体" w:hAnsi="Times New Roman"/>
                <w:color w:val="000000"/>
                <w:sz w:val="16"/>
                <w:szCs w:val="16"/>
              </w:rPr>
              <w:t>(225)</w:t>
            </w:r>
          </w:p>
        </w:tc>
        <w:tc>
          <w:tcPr>
            <w:tcW w:w="0" w:type="auto"/>
            <w:shd w:val="clear" w:color="auto" w:fill="FFFFFF"/>
            <w:tcMar>
              <w:top w:w="40" w:type="dxa"/>
              <w:left w:w="0" w:type="dxa"/>
              <w:bottom w:w="40" w:type="dxa"/>
              <w:right w:w="20" w:type="dxa"/>
            </w:tcMar>
            <w:vAlign w:val="bottom"/>
          </w:tcPr>
          <w:p w14:paraId="098A9666"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667"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bottom"/>
          </w:tcPr>
          <w:p w14:paraId="098A9668" w14:textId="77777777" w:rsidR="00141CDF" w:rsidRDefault="00DF45E0">
            <w:pPr>
              <w:jc w:val="right"/>
              <w:textAlignment w:val="bottom"/>
            </w:pPr>
            <w:r>
              <w:rPr>
                <w:rFonts w:ascii="Times New Roman" w:eastAsia="宋体" w:hAnsi="Times New Roman"/>
                <w:color w:val="000000"/>
                <w:sz w:val="16"/>
                <w:szCs w:val="16"/>
              </w:rPr>
              <w:t>(7)</w:t>
            </w:r>
          </w:p>
        </w:tc>
        <w:tc>
          <w:tcPr>
            <w:tcW w:w="0" w:type="auto"/>
            <w:shd w:val="clear" w:color="auto" w:fill="FFFFFF"/>
            <w:tcMar>
              <w:top w:w="40" w:type="dxa"/>
              <w:left w:w="0" w:type="dxa"/>
              <w:bottom w:w="40" w:type="dxa"/>
              <w:right w:w="20" w:type="dxa"/>
            </w:tcMar>
            <w:vAlign w:val="bottom"/>
          </w:tcPr>
          <w:p w14:paraId="098A9669"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66A"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bottom"/>
          </w:tcPr>
          <w:p w14:paraId="098A966B" w14:textId="77777777" w:rsidR="00141CDF" w:rsidRDefault="00DF45E0">
            <w:pPr>
              <w:jc w:val="right"/>
              <w:textAlignment w:val="bottom"/>
            </w:pPr>
            <w:r>
              <w:rPr>
                <w:rFonts w:ascii="Times New Roman" w:eastAsia="宋体" w:hAnsi="Times New Roman"/>
                <w:color w:val="000000"/>
                <w:sz w:val="16"/>
                <w:szCs w:val="16"/>
              </w:rPr>
              <w:t>(26)</w:t>
            </w:r>
          </w:p>
        </w:tc>
        <w:tc>
          <w:tcPr>
            <w:tcW w:w="0" w:type="auto"/>
            <w:shd w:val="clear" w:color="auto" w:fill="FFFFFF"/>
            <w:tcMar>
              <w:top w:w="40" w:type="dxa"/>
              <w:left w:w="0" w:type="dxa"/>
              <w:bottom w:w="40" w:type="dxa"/>
              <w:right w:w="20" w:type="dxa"/>
            </w:tcMar>
            <w:vAlign w:val="bottom"/>
          </w:tcPr>
          <w:p w14:paraId="098A966C"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66D"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bottom"/>
          </w:tcPr>
          <w:p w14:paraId="098A966E" w14:textId="77777777" w:rsidR="00141CDF" w:rsidRDefault="00DF45E0">
            <w:pPr>
              <w:jc w:val="right"/>
              <w:textAlignment w:val="bottom"/>
            </w:pPr>
            <w:r>
              <w:rPr>
                <w:rFonts w:ascii="Times New Roman" w:eastAsia="宋体" w:hAnsi="Times New Roman"/>
                <w:color w:val="000000"/>
                <w:sz w:val="16"/>
                <w:szCs w:val="16"/>
              </w:rPr>
              <w:t>(1)</w:t>
            </w:r>
          </w:p>
        </w:tc>
        <w:tc>
          <w:tcPr>
            <w:tcW w:w="0" w:type="auto"/>
            <w:shd w:val="clear" w:color="auto" w:fill="FFFFFF"/>
            <w:tcMar>
              <w:top w:w="40" w:type="dxa"/>
              <w:left w:w="0" w:type="dxa"/>
              <w:bottom w:w="40" w:type="dxa"/>
              <w:right w:w="20" w:type="dxa"/>
            </w:tcMar>
            <w:vAlign w:val="bottom"/>
          </w:tcPr>
          <w:p w14:paraId="098A966F"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670"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bottom"/>
          </w:tcPr>
          <w:p w14:paraId="098A9671" w14:textId="77777777" w:rsidR="00141CDF" w:rsidRDefault="00DF45E0">
            <w:pPr>
              <w:jc w:val="right"/>
              <w:textAlignment w:val="bottom"/>
            </w:pPr>
            <w:r>
              <w:rPr>
                <w:rFonts w:ascii="Times New Roman" w:eastAsia="宋体" w:hAnsi="Times New Roman"/>
                <w:color w:val="000000"/>
                <w:sz w:val="16"/>
                <w:szCs w:val="16"/>
              </w:rPr>
              <w:t>(259)</w:t>
            </w:r>
          </w:p>
        </w:tc>
        <w:tc>
          <w:tcPr>
            <w:tcW w:w="0" w:type="auto"/>
            <w:shd w:val="clear" w:color="auto" w:fill="FFFFFF"/>
            <w:tcMar>
              <w:top w:w="40" w:type="dxa"/>
              <w:left w:w="0" w:type="dxa"/>
              <w:bottom w:w="40" w:type="dxa"/>
              <w:right w:w="20" w:type="dxa"/>
            </w:tcMar>
            <w:vAlign w:val="bottom"/>
          </w:tcPr>
          <w:p w14:paraId="098A9672" w14:textId="77777777" w:rsidR="00141CDF" w:rsidRDefault="00141CDF">
            <w:pPr>
              <w:jc w:val="right"/>
              <w:rPr>
                <w:rFonts w:ascii="宋体"/>
              </w:rPr>
            </w:pPr>
          </w:p>
        </w:tc>
      </w:tr>
      <w:tr w:rsidR="00141CDF" w14:paraId="098A9684" w14:textId="77777777">
        <w:tc>
          <w:tcPr>
            <w:tcW w:w="0" w:type="auto"/>
            <w:gridSpan w:val="3"/>
            <w:shd w:val="clear" w:color="auto" w:fill="CCEEFF"/>
            <w:tcMar>
              <w:top w:w="40" w:type="dxa"/>
              <w:left w:w="20" w:type="dxa"/>
              <w:bottom w:w="40" w:type="dxa"/>
              <w:right w:w="20" w:type="dxa"/>
            </w:tcMar>
            <w:vAlign w:val="center"/>
          </w:tcPr>
          <w:p w14:paraId="098A9674" w14:textId="77777777" w:rsidR="00141CDF" w:rsidRDefault="00DF45E0">
            <w:pPr>
              <w:textAlignment w:val="center"/>
            </w:pPr>
            <w:r>
              <w:rPr>
                <w:rFonts w:ascii="Times New Roman" w:eastAsia="宋体" w:hAnsi="Times New Roman"/>
                <w:color w:val="000000"/>
                <w:sz w:val="16"/>
                <w:szCs w:val="16"/>
              </w:rPr>
              <w:t>Reclassifications related to business dispositions, net</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vAlign w:val="bottom"/>
          </w:tcPr>
          <w:p w14:paraId="098A9675"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676" w14:textId="77777777" w:rsidR="00141CDF" w:rsidRDefault="00DF45E0">
            <w:pPr>
              <w:jc w:val="right"/>
              <w:textAlignment w:val="center"/>
            </w:pPr>
            <w:r>
              <w:rPr>
                <w:rFonts w:ascii="Times New Roman" w:eastAsia="宋体" w:hAnsi="Times New Roman"/>
                <w:color w:val="000000"/>
                <w:sz w:val="16"/>
                <w:szCs w:val="16"/>
              </w:rPr>
              <w:t>3,258 </w:t>
            </w:r>
          </w:p>
        </w:tc>
        <w:tc>
          <w:tcPr>
            <w:tcW w:w="0" w:type="auto"/>
            <w:shd w:val="clear" w:color="auto" w:fill="CCEEFF"/>
            <w:tcMar>
              <w:top w:w="40" w:type="dxa"/>
              <w:left w:w="0" w:type="dxa"/>
              <w:bottom w:w="40" w:type="dxa"/>
              <w:right w:w="20" w:type="dxa"/>
            </w:tcMar>
            <w:vAlign w:val="center"/>
          </w:tcPr>
          <w:p w14:paraId="098A9677"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678"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679" w14:textId="77777777" w:rsidR="00141CDF" w:rsidRDefault="00DF45E0">
            <w:pPr>
              <w:jc w:val="right"/>
              <w:textAlignment w:val="center"/>
            </w:pPr>
            <w:r>
              <w:rPr>
                <w:rFonts w:ascii="Times New Roman" w:eastAsia="宋体" w:hAnsi="Times New Roman"/>
                <w:color w:val="000000"/>
                <w:sz w:val="16"/>
                <w:szCs w:val="16"/>
              </w:rPr>
              <w:t>(1,195)</w:t>
            </w:r>
          </w:p>
        </w:tc>
        <w:tc>
          <w:tcPr>
            <w:tcW w:w="0" w:type="auto"/>
            <w:shd w:val="clear" w:color="auto" w:fill="CCEEFF"/>
            <w:tcMar>
              <w:top w:w="40" w:type="dxa"/>
              <w:left w:w="0" w:type="dxa"/>
              <w:bottom w:w="40" w:type="dxa"/>
              <w:right w:w="20" w:type="dxa"/>
            </w:tcMar>
            <w:vAlign w:val="center"/>
          </w:tcPr>
          <w:p w14:paraId="098A967A"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67B"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67C" w14:textId="77777777" w:rsidR="00141CDF" w:rsidRDefault="00DF45E0">
            <w:pPr>
              <w:jc w:val="right"/>
              <w:textAlignment w:val="center"/>
            </w:pPr>
            <w:r>
              <w:rPr>
                <w:rFonts w:ascii="Times New Roman" w:eastAsia="宋体" w:hAnsi="Times New Roman"/>
                <w:color w:val="000000"/>
                <w:sz w:val="16"/>
                <w:szCs w:val="16"/>
              </w:rPr>
              <w:t>30 </w:t>
            </w:r>
          </w:p>
        </w:tc>
        <w:tc>
          <w:tcPr>
            <w:tcW w:w="0" w:type="auto"/>
            <w:shd w:val="clear" w:color="auto" w:fill="CCEEFF"/>
            <w:tcMar>
              <w:top w:w="40" w:type="dxa"/>
              <w:left w:w="0" w:type="dxa"/>
              <w:bottom w:w="40" w:type="dxa"/>
              <w:right w:w="20" w:type="dxa"/>
            </w:tcMar>
            <w:vAlign w:val="center"/>
          </w:tcPr>
          <w:p w14:paraId="098A967D"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67E"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67F" w14:textId="77777777" w:rsidR="00141CDF" w:rsidRDefault="00DF45E0">
            <w:pPr>
              <w:jc w:val="right"/>
              <w:textAlignment w:val="center"/>
            </w:pPr>
            <w:r>
              <w:rPr>
                <w:rFonts w:ascii="Times New Roman" w:eastAsia="宋体" w:hAnsi="Times New Roman"/>
                <w:color w:val="000000"/>
                <w:sz w:val="16"/>
                <w:szCs w:val="16"/>
              </w:rPr>
              <w:t>1,966 </w:t>
            </w:r>
          </w:p>
        </w:tc>
        <w:tc>
          <w:tcPr>
            <w:tcW w:w="0" w:type="auto"/>
            <w:shd w:val="clear" w:color="auto" w:fill="CCEEFF"/>
            <w:tcMar>
              <w:top w:w="40" w:type="dxa"/>
              <w:left w:w="0" w:type="dxa"/>
              <w:bottom w:w="40" w:type="dxa"/>
              <w:right w:w="20" w:type="dxa"/>
            </w:tcMar>
            <w:vAlign w:val="center"/>
          </w:tcPr>
          <w:p w14:paraId="098A9680"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681"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682" w14:textId="77777777" w:rsidR="00141CDF" w:rsidRDefault="00DF45E0">
            <w:pPr>
              <w:jc w:val="right"/>
              <w:textAlignment w:val="center"/>
            </w:pPr>
            <w:r>
              <w:rPr>
                <w:rFonts w:ascii="Times New Roman" w:eastAsia="宋体" w:hAnsi="Times New Roman"/>
                <w:color w:val="000000"/>
                <w:sz w:val="16"/>
                <w:szCs w:val="16"/>
              </w:rPr>
              <w:t>4,059 </w:t>
            </w:r>
          </w:p>
        </w:tc>
        <w:tc>
          <w:tcPr>
            <w:tcW w:w="0" w:type="auto"/>
            <w:shd w:val="clear" w:color="auto" w:fill="CCEEFF"/>
            <w:tcMar>
              <w:top w:w="40" w:type="dxa"/>
              <w:left w:w="0" w:type="dxa"/>
              <w:bottom w:w="40" w:type="dxa"/>
              <w:right w:w="20" w:type="dxa"/>
            </w:tcMar>
            <w:vAlign w:val="center"/>
          </w:tcPr>
          <w:p w14:paraId="098A9683" w14:textId="77777777" w:rsidR="00141CDF" w:rsidRDefault="00141CDF">
            <w:pPr>
              <w:jc w:val="right"/>
              <w:rPr>
                <w:rFonts w:ascii="宋体"/>
              </w:rPr>
            </w:pPr>
          </w:p>
        </w:tc>
      </w:tr>
      <w:tr w:rsidR="00141CDF" w14:paraId="098A9695" w14:textId="77777777">
        <w:tc>
          <w:tcPr>
            <w:tcW w:w="0" w:type="auto"/>
            <w:gridSpan w:val="3"/>
            <w:shd w:val="clear" w:color="auto" w:fill="FFFFFF"/>
            <w:tcMar>
              <w:top w:w="40" w:type="dxa"/>
              <w:left w:w="20" w:type="dxa"/>
              <w:bottom w:w="40" w:type="dxa"/>
              <w:right w:w="20" w:type="dxa"/>
            </w:tcMar>
            <w:vAlign w:val="bottom"/>
          </w:tcPr>
          <w:p w14:paraId="098A9685" w14:textId="77777777" w:rsidR="00141CDF" w:rsidRDefault="00DF45E0">
            <w:pPr>
              <w:textAlignment w:val="bottom"/>
            </w:pPr>
            <w:r>
              <w:rPr>
                <w:rFonts w:ascii="Times New Roman" w:eastAsia="宋体" w:hAnsi="Times New Roman"/>
                <w:color w:val="000000"/>
                <w:sz w:val="16"/>
                <w:szCs w:val="16"/>
              </w:rPr>
              <w:t>Reclassifications to income, net</w:t>
            </w:r>
          </w:p>
        </w:tc>
        <w:tc>
          <w:tcPr>
            <w:tcW w:w="0" w:type="auto"/>
            <w:gridSpan w:val="3"/>
            <w:shd w:val="clear" w:color="auto" w:fill="FFFFFF"/>
            <w:tcMar>
              <w:top w:w="0" w:type="dxa"/>
              <w:left w:w="20" w:type="dxa"/>
              <w:bottom w:w="0" w:type="dxa"/>
              <w:right w:w="20" w:type="dxa"/>
            </w:tcMar>
            <w:vAlign w:val="bottom"/>
          </w:tcPr>
          <w:p w14:paraId="098A9686"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bottom"/>
          </w:tcPr>
          <w:p w14:paraId="098A9687" w14:textId="77777777" w:rsidR="00141CDF" w:rsidRDefault="00DF45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98A9688"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689"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bottom"/>
          </w:tcPr>
          <w:p w14:paraId="098A968A" w14:textId="77777777" w:rsidR="00141CDF" w:rsidRDefault="00DF45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98A968B"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68C"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bottom"/>
          </w:tcPr>
          <w:p w14:paraId="098A968D" w14:textId="77777777" w:rsidR="00141CDF" w:rsidRDefault="00DF45E0">
            <w:pPr>
              <w:jc w:val="right"/>
              <w:textAlignment w:val="bottom"/>
            </w:pPr>
            <w:r>
              <w:rPr>
                <w:rFonts w:ascii="Times New Roman" w:eastAsia="宋体" w:hAnsi="Times New Roman"/>
                <w:color w:val="000000"/>
                <w:sz w:val="16"/>
                <w:szCs w:val="16"/>
              </w:rPr>
              <w:t>16 </w:t>
            </w:r>
          </w:p>
        </w:tc>
        <w:tc>
          <w:tcPr>
            <w:tcW w:w="0" w:type="auto"/>
            <w:shd w:val="clear" w:color="auto" w:fill="FFFFFF"/>
            <w:tcMar>
              <w:top w:w="40" w:type="dxa"/>
              <w:left w:w="0" w:type="dxa"/>
              <w:bottom w:w="40" w:type="dxa"/>
              <w:right w:w="20" w:type="dxa"/>
            </w:tcMar>
            <w:vAlign w:val="bottom"/>
          </w:tcPr>
          <w:p w14:paraId="098A968E"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68F"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bottom"/>
          </w:tcPr>
          <w:p w14:paraId="098A9690" w14:textId="77777777" w:rsidR="00141CDF" w:rsidRDefault="00DF45E0">
            <w:pPr>
              <w:jc w:val="right"/>
              <w:textAlignment w:val="bottom"/>
            </w:pPr>
            <w:r>
              <w:rPr>
                <w:rFonts w:ascii="Times New Roman" w:eastAsia="宋体" w:hAnsi="Times New Roman"/>
                <w:color w:val="000000"/>
                <w:sz w:val="16"/>
                <w:szCs w:val="16"/>
              </w:rPr>
              <w:t>4 </w:t>
            </w:r>
          </w:p>
        </w:tc>
        <w:tc>
          <w:tcPr>
            <w:tcW w:w="0" w:type="auto"/>
            <w:shd w:val="clear" w:color="auto" w:fill="FFFFFF"/>
            <w:tcMar>
              <w:top w:w="40" w:type="dxa"/>
              <w:left w:w="0" w:type="dxa"/>
              <w:bottom w:w="40" w:type="dxa"/>
              <w:right w:w="20" w:type="dxa"/>
            </w:tcMar>
            <w:vAlign w:val="bottom"/>
          </w:tcPr>
          <w:p w14:paraId="098A9691"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692"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bottom"/>
          </w:tcPr>
          <w:p w14:paraId="098A9693" w14:textId="77777777" w:rsidR="00141CDF" w:rsidRDefault="00DF45E0">
            <w:pPr>
              <w:jc w:val="right"/>
              <w:textAlignment w:val="bottom"/>
            </w:pPr>
            <w:r>
              <w:rPr>
                <w:rFonts w:ascii="Times New Roman" w:eastAsia="宋体" w:hAnsi="Times New Roman"/>
                <w:color w:val="000000"/>
                <w:sz w:val="16"/>
                <w:szCs w:val="16"/>
              </w:rPr>
              <w:t>20 </w:t>
            </w:r>
          </w:p>
        </w:tc>
        <w:tc>
          <w:tcPr>
            <w:tcW w:w="0" w:type="auto"/>
            <w:shd w:val="clear" w:color="auto" w:fill="FFFFFF"/>
            <w:tcMar>
              <w:top w:w="40" w:type="dxa"/>
              <w:left w:w="0" w:type="dxa"/>
              <w:bottom w:w="40" w:type="dxa"/>
              <w:right w:w="20" w:type="dxa"/>
            </w:tcMar>
            <w:vAlign w:val="bottom"/>
          </w:tcPr>
          <w:p w14:paraId="098A9694" w14:textId="77777777" w:rsidR="00141CDF" w:rsidRDefault="00141CDF">
            <w:pPr>
              <w:jc w:val="right"/>
              <w:rPr>
                <w:rFonts w:ascii="宋体"/>
              </w:rPr>
            </w:pPr>
          </w:p>
        </w:tc>
      </w:tr>
      <w:tr w:rsidR="00141CDF" w14:paraId="098A96AB" w14:textId="77777777">
        <w:tc>
          <w:tcPr>
            <w:tcW w:w="0" w:type="auto"/>
            <w:gridSpan w:val="3"/>
            <w:shd w:val="clear" w:color="auto" w:fill="CCEEFF"/>
            <w:tcMar>
              <w:top w:w="40" w:type="dxa"/>
              <w:left w:w="20" w:type="dxa"/>
              <w:bottom w:w="40" w:type="dxa"/>
              <w:right w:w="20" w:type="dxa"/>
            </w:tcMar>
            <w:vAlign w:val="bottom"/>
          </w:tcPr>
          <w:p w14:paraId="098A9696" w14:textId="77777777" w:rsidR="00141CDF" w:rsidRDefault="00DF45E0">
            <w:pPr>
              <w:textAlignment w:val="bottom"/>
            </w:pPr>
            <w:r>
              <w:rPr>
                <w:rFonts w:ascii="Times New Roman" w:eastAsia="宋体" w:hAnsi="Times New Roman"/>
                <w:b/>
                <w:bCs/>
                <w:color w:val="000000"/>
                <w:sz w:val="16"/>
                <w:szCs w:val="16"/>
              </w:rPr>
              <w:t>Balances as of April 30, 2021</w:t>
            </w:r>
          </w:p>
        </w:tc>
        <w:tc>
          <w:tcPr>
            <w:tcW w:w="0" w:type="auto"/>
            <w:gridSpan w:val="3"/>
            <w:shd w:val="clear" w:color="auto" w:fill="CCEEFF"/>
            <w:tcMar>
              <w:top w:w="0" w:type="dxa"/>
              <w:left w:w="20" w:type="dxa"/>
              <w:bottom w:w="0" w:type="dxa"/>
              <w:right w:w="20" w:type="dxa"/>
            </w:tcMar>
            <w:vAlign w:val="bottom"/>
          </w:tcPr>
          <w:p w14:paraId="098A9697"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9698"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9699" w14:textId="77777777" w:rsidR="00141CDF" w:rsidRDefault="00DF45E0">
            <w:pPr>
              <w:jc w:val="right"/>
              <w:textAlignment w:val="center"/>
            </w:pPr>
            <w:r>
              <w:rPr>
                <w:rFonts w:ascii="Times New Roman" w:eastAsia="宋体" w:hAnsi="Times New Roman"/>
                <w:color w:val="000000"/>
                <w:sz w:val="16"/>
                <w:szCs w:val="16"/>
              </w:rPr>
              <w:t>(7,739)</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69A" w14:textId="77777777" w:rsidR="00141CDF" w:rsidRDefault="00141CDF">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98A969B"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969C"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969D" w14:textId="77777777" w:rsidR="00141CDF" w:rsidRDefault="00DF45E0">
            <w:pPr>
              <w:jc w:val="right"/>
              <w:textAlignment w:val="center"/>
            </w:pPr>
            <w:r>
              <w:rPr>
                <w:rFonts w:ascii="Times New Roman" w:eastAsia="宋体" w:hAnsi="Times New Roman"/>
                <w:color w:val="000000"/>
                <w:sz w:val="16"/>
                <w:szCs w:val="16"/>
              </w:rPr>
              <w:t>94 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69E" w14:textId="77777777" w:rsidR="00141CDF" w:rsidRDefault="00141CDF">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98A969F"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96A0"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96A1" w14:textId="77777777" w:rsidR="00141CDF" w:rsidRDefault="00DF45E0">
            <w:pPr>
              <w:jc w:val="right"/>
              <w:textAlignment w:val="center"/>
            </w:pPr>
            <w:r>
              <w:rPr>
                <w:rFonts w:ascii="Times New Roman" w:eastAsia="宋体" w:hAnsi="Times New Roman"/>
                <w:color w:val="000000"/>
                <w:sz w:val="16"/>
                <w:szCs w:val="16"/>
              </w:rPr>
              <w:t>(284)</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6A2" w14:textId="77777777" w:rsidR="00141CDF" w:rsidRDefault="00141CDF">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98A96A3"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96A4"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96A5" w14:textId="77777777" w:rsidR="00141CDF" w:rsidRDefault="00DF45E0">
            <w:pPr>
              <w:jc w:val="right"/>
              <w:textAlignment w:val="center"/>
            </w:pPr>
            <w:r>
              <w:rPr>
                <w:rFonts w:ascii="Times New Roman" w:eastAsia="宋体" w:hAnsi="Times New Roman"/>
                <w:color w:val="000000"/>
                <w:sz w:val="16"/>
                <w:szCs w:val="16"/>
              </w:rPr>
              <w:t>(17)</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6A6" w14:textId="77777777" w:rsidR="00141CDF" w:rsidRDefault="00141CDF">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98A96A7"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96A8"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96A9" w14:textId="77777777" w:rsidR="00141CDF" w:rsidRDefault="00DF45E0">
            <w:pPr>
              <w:jc w:val="right"/>
              <w:textAlignment w:val="center"/>
            </w:pPr>
            <w:r>
              <w:rPr>
                <w:rFonts w:ascii="Times New Roman" w:eastAsia="宋体" w:hAnsi="Times New Roman"/>
                <w:color w:val="000000"/>
                <w:sz w:val="16"/>
                <w:szCs w:val="16"/>
              </w:rPr>
              <w:t>(7,946)</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6AA" w14:textId="77777777" w:rsidR="00141CDF" w:rsidRDefault="00141CDF">
            <w:pPr>
              <w:jc w:val="right"/>
              <w:rPr>
                <w:rFonts w:ascii="宋体"/>
              </w:rPr>
            </w:pPr>
          </w:p>
        </w:tc>
      </w:tr>
      <w:tr w:rsidR="00141CDF" w14:paraId="098A96B7" w14:textId="77777777">
        <w:trPr>
          <w:hidden/>
        </w:trPr>
        <w:tc>
          <w:tcPr>
            <w:tcW w:w="0" w:type="auto"/>
            <w:gridSpan w:val="3"/>
            <w:shd w:val="clear" w:color="auto" w:fill="auto"/>
            <w:vAlign w:val="bottom"/>
          </w:tcPr>
          <w:p w14:paraId="098A96AC" w14:textId="77777777" w:rsidR="00141CDF" w:rsidRDefault="00141CDF">
            <w:pPr>
              <w:rPr>
                <w:rFonts w:ascii="宋体"/>
                <w:vanish/>
              </w:rPr>
            </w:pPr>
          </w:p>
        </w:tc>
        <w:tc>
          <w:tcPr>
            <w:tcW w:w="0" w:type="auto"/>
            <w:gridSpan w:val="3"/>
            <w:shd w:val="clear" w:color="auto" w:fill="auto"/>
            <w:vAlign w:val="bottom"/>
          </w:tcPr>
          <w:p w14:paraId="098A96AD" w14:textId="77777777" w:rsidR="00141CDF" w:rsidRDefault="00141CDF">
            <w:pPr>
              <w:rPr>
                <w:rFonts w:ascii="宋体"/>
                <w:vanish/>
              </w:rPr>
            </w:pPr>
          </w:p>
        </w:tc>
        <w:tc>
          <w:tcPr>
            <w:tcW w:w="0" w:type="auto"/>
            <w:gridSpan w:val="3"/>
            <w:shd w:val="clear" w:color="auto" w:fill="auto"/>
            <w:vAlign w:val="bottom"/>
          </w:tcPr>
          <w:p w14:paraId="098A96AE" w14:textId="77777777" w:rsidR="00141CDF" w:rsidRDefault="00141CDF">
            <w:pPr>
              <w:rPr>
                <w:rFonts w:ascii="宋体"/>
                <w:vanish/>
              </w:rPr>
            </w:pPr>
          </w:p>
        </w:tc>
        <w:tc>
          <w:tcPr>
            <w:tcW w:w="0" w:type="auto"/>
            <w:gridSpan w:val="3"/>
            <w:shd w:val="clear" w:color="auto" w:fill="auto"/>
            <w:vAlign w:val="bottom"/>
          </w:tcPr>
          <w:p w14:paraId="098A96AF" w14:textId="77777777" w:rsidR="00141CDF" w:rsidRDefault="00141CDF">
            <w:pPr>
              <w:rPr>
                <w:rFonts w:ascii="宋体"/>
                <w:vanish/>
              </w:rPr>
            </w:pPr>
          </w:p>
        </w:tc>
        <w:tc>
          <w:tcPr>
            <w:tcW w:w="0" w:type="auto"/>
            <w:gridSpan w:val="3"/>
            <w:shd w:val="clear" w:color="auto" w:fill="auto"/>
            <w:vAlign w:val="bottom"/>
          </w:tcPr>
          <w:p w14:paraId="098A96B0" w14:textId="77777777" w:rsidR="00141CDF" w:rsidRDefault="00141CDF">
            <w:pPr>
              <w:rPr>
                <w:rFonts w:ascii="宋体"/>
                <w:vanish/>
              </w:rPr>
            </w:pPr>
          </w:p>
        </w:tc>
        <w:tc>
          <w:tcPr>
            <w:tcW w:w="0" w:type="auto"/>
            <w:gridSpan w:val="3"/>
            <w:shd w:val="clear" w:color="auto" w:fill="auto"/>
            <w:vAlign w:val="bottom"/>
          </w:tcPr>
          <w:p w14:paraId="098A96B1" w14:textId="77777777" w:rsidR="00141CDF" w:rsidRDefault="00141CDF">
            <w:pPr>
              <w:rPr>
                <w:rFonts w:ascii="宋体"/>
                <w:vanish/>
              </w:rPr>
            </w:pPr>
          </w:p>
        </w:tc>
        <w:tc>
          <w:tcPr>
            <w:tcW w:w="0" w:type="auto"/>
            <w:gridSpan w:val="3"/>
            <w:shd w:val="clear" w:color="auto" w:fill="auto"/>
            <w:vAlign w:val="bottom"/>
          </w:tcPr>
          <w:p w14:paraId="098A96B2" w14:textId="77777777" w:rsidR="00141CDF" w:rsidRDefault="00141CDF">
            <w:pPr>
              <w:rPr>
                <w:rFonts w:ascii="宋体"/>
                <w:vanish/>
              </w:rPr>
            </w:pPr>
          </w:p>
        </w:tc>
        <w:tc>
          <w:tcPr>
            <w:tcW w:w="0" w:type="auto"/>
            <w:gridSpan w:val="3"/>
            <w:shd w:val="clear" w:color="auto" w:fill="auto"/>
            <w:vAlign w:val="bottom"/>
          </w:tcPr>
          <w:p w14:paraId="098A96B3" w14:textId="77777777" w:rsidR="00141CDF" w:rsidRDefault="00141CDF">
            <w:pPr>
              <w:rPr>
                <w:rFonts w:ascii="宋体"/>
                <w:vanish/>
              </w:rPr>
            </w:pPr>
          </w:p>
        </w:tc>
        <w:tc>
          <w:tcPr>
            <w:tcW w:w="0" w:type="auto"/>
            <w:gridSpan w:val="3"/>
            <w:shd w:val="clear" w:color="auto" w:fill="auto"/>
            <w:vAlign w:val="bottom"/>
          </w:tcPr>
          <w:p w14:paraId="098A96B4" w14:textId="77777777" w:rsidR="00141CDF" w:rsidRDefault="00141CDF">
            <w:pPr>
              <w:rPr>
                <w:rFonts w:ascii="宋体"/>
                <w:vanish/>
              </w:rPr>
            </w:pPr>
          </w:p>
        </w:tc>
        <w:tc>
          <w:tcPr>
            <w:tcW w:w="0" w:type="auto"/>
            <w:gridSpan w:val="3"/>
            <w:shd w:val="clear" w:color="auto" w:fill="auto"/>
            <w:vAlign w:val="bottom"/>
          </w:tcPr>
          <w:p w14:paraId="098A96B5" w14:textId="77777777" w:rsidR="00141CDF" w:rsidRDefault="00141CDF">
            <w:pPr>
              <w:rPr>
                <w:rFonts w:ascii="宋体"/>
                <w:vanish/>
              </w:rPr>
            </w:pPr>
          </w:p>
        </w:tc>
        <w:tc>
          <w:tcPr>
            <w:tcW w:w="0" w:type="auto"/>
            <w:gridSpan w:val="3"/>
            <w:shd w:val="clear" w:color="auto" w:fill="auto"/>
            <w:vAlign w:val="bottom"/>
          </w:tcPr>
          <w:p w14:paraId="098A96B6" w14:textId="77777777" w:rsidR="00141CDF" w:rsidRDefault="00141CDF">
            <w:pPr>
              <w:rPr>
                <w:rFonts w:ascii="宋体"/>
                <w:vanish/>
              </w:rPr>
            </w:pPr>
          </w:p>
        </w:tc>
      </w:tr>
      <w:tr w:rsidR="00141CDF" w14:paraId="098A96C8" w14:textId="77777777">
        <w:tc>
          <w:tcPr>
            <w:tcW w:w="0" w:type="auto"/>
            <w:gridSpan w:val="3"/>
            <w:shd w:val="clear" w:color="auto" w:fill="FFFFFF"/>
            <w:tcMar>
              <w:top w:w="40" w:type="dxa"/>
              <w:left w:w="20" w:type="dxa"/>
              <w:bottom w:w="40" w:type="dxa"/>
              <w:right w:w="20" w:type="dxa"/>
            </w:tcMar>
            <w:vAlign w:val="bottom"/>
          </w:tcPr>
          <w:p w14:paraId="098A96B8" w14:textId="77777777" w:rsidR="00141CDF" w:rsidRDefault="00DF45E0">
            <w:pPr>
              <w:textAlignment w:val="bottom"/>
            </w:pPr>
            <w:r>
              <w:rPr>
                <w:rFonts w:ascii="Times New Roman" w:eastAsia="宋体" w:hAnsi="Times New Roman"/>
                <w:color w:val="000000"/>
                <w:sz w:val="16"/>
                <w:szCs w:val="16"/>
              </w:rPr>
              <w:t xml:space="preserve">Other </w:t>
            </w:r>
            <w:r>
              <w:rPr>
                <w:rFonts w:ascii="Times New Roman" w:eastAsia="宋体" w:hAnsi="Times New Roman"/>
                <w:color w:val="000000"/>
                <w:sz w:val="16"/>
                <w:szCs w:val="16"/>
              </w:rPr>
              <w:t>comprehensive income (loss) before reclassifications, net</w:t>
            </w:r>
          </w:p>
        </w:tc>
        <w:tc>
          <w:tcPr>
            <w:tcW w:w="0" w:type="auto"/>
            <w:gridSpan w:val="3"/>
            <w:shd w:val="clear" w:color="auto" w:fill="FFFFFF"/>
            <w:tcMar>
              <w:top w:w="0" w:type="dxa"/>
              <w:left w:w="20" w:type="dxa"/>
              <w:bottom w:w="0" w:type="dxa"/>
              <w:right w:w="20" w:type="dxa"/>
            </w:tcMar>
            <w:vAlign w:val="bottom"/>
          </w:tcPr>
          <w:p w14:paraId="098A96B9"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bottom"/>
          </w:tcPr>
          <w:p w14:paraId="098A96BA" w14:textId="77777777" w:rsidR="00141CDF" w:rsidRDefault="00DF45E0">
            <w:pPr>
              <w:jc w:val="right"/>
              <w:textAlignment w:val="bottom"/>
            </w:pPr>
            <w:r>
              <w:rPr>
                <w:rFonts w:ascii="Times New Roman" w:eastAsia="宋体" w:hAnsi="Times New Roman"/>
                <w:color w:val="000000"/>
                <w:sz w:val="16"/>
                <w:szCs w:val="16"/>
              </w:rPr>
              <w:t>123 </w:t>
            </w:r>
          </w:p>
        </w:tc>
        <w:tc>
          <w:tcPr>
            <w:tcW w:w="0" w:type="auto"/>
            <w:shd w:val="clear" w:color="auto" w:fill="FFFFFF"/>
            <w:tcMar>
              <w:top w:w="40" w:type="dxa"/>
              <w:left w:w="0" w:type="dxa"/>
              <w:bottom w:w="40" w:type="dxa"/>
              <w:right w:w="20" w:type="dxa"/>
            </w:tcMar>
            <w:vAlign w:val="bottom"/>
          </w:tcPr>
          <w:p w14:paraId="098A96BB"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6BC"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bottom"/>
          </w:tcPr>
          <w:p w14:paraId="098A96BD" w14:textId="77777777" w:rsidR="00141CDF" w:rsidRDefault="00DF45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98A96BE"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6BF"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bottom"/>
          </w:tcPr>
          <w:p w14:paraId="098A96C0" w14:textId="77777777" w:rsidR="00141CDF" w:rsidRDefault="00DF45E0">
            <w:pPr>
              <w:jc w:val="right"/>
              <w:textAlignment w:val="bottom"/>
            </w:pPr>
            <w:r>
              <w:rPr>
                <w:rFonts w:ascii="Times New Roman" w:eastAsia="宋体" w:hAnsi="Times New Roman"/>
                <w:color w:val="000000"/>
                <w:sz w:val="16"/>
                <w:szCs w:val="16"/>
              </w:rPr>
              <w:t>(193)</w:t>
            </w:r>
          </w:p>
        </w:tc>
        <w:tc>
          <w:tcPr>
            <w:tcW w:w="0" w:type="auto"/>
            <w:shd w:val="clear" w:color="auto" w:fill="FFFFFF"/>
            <w:tcMar>
              <w:top w:w="40" w:type="dxa"/>
              <w:left w:w="0" w:type="dxa"/>
              <w:bottom w:w="40" w:type="dxa"/>
              <w:right w:w="20" w:type="dxa"/>
            </w:tcMar>
            <w:vAlign w:val="bottom"/>
          </w:tcPr>
          <w:p w14:paraId="098A96C1"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6C2"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bottom"/>
          </w:tcPr>
          <w:p w14:paraId="098A96C3" w14:textId="77777777" w:rsidR="00141CDF" w:rsidRDefault="00DF45E0">
            <w:pPr>
              <w:jc w:val="right"/>
              <w:textAlignment w:val="bottom"/>
            </w:pPr>
            <w:r>
              <w:rPr>
                <w:rFonts w:ascii="Times New Roman" w:eastAsia="宋体" w:hAnsi="Times New Roman"/>
                <w:color w:val="000000"/>
                <w:sz w:val="16"/>
                <w:szCs w:val="16"/>
              </w:rPr>
              <w:t>(3)</w:t>
            </w:r>
          </w:p>
        </w:tc>
        <w:tc>
          <w:tcPr>
            <w:tcW w:w="0" w:type="auto"/>
            <w:shd w:val="clear" w:color="auto" w:fill="FFFFFF"/>
            <w:tcMar>
              <w:top w:w="40" w:type="dxa"/>
              <w:left w:w="0" w:type="dxa"/>
              <w:bottom w:w="40" w:type="dxa"/>
              <w:right w:w="20" w:type="dxa"/>
            </w:tcMar>
            <w:vAlign w:val="bottom"/>
          </w:tcPr>
          <w:p w14:paraId="098A96C4"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6C5"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bottom"/>
          </w:tcPr>
          <w:p w14:paraId="098A96C6" w14:textId="77777777" w:rsidR="00141CDF" w:rsidRDefault="00DF45E0">
            <w:pPr>
              <w:jc w:val="right"/>
              <w:textAlignment w:val="bottom"/>
            </w:pPr>
            <w:r>
              <w:rPr>
                <w:rFonts w:ascii="Times New Roman" w:eastAsia="宋体" w:hAnsi="Times New Roman"/>
                <w:color w:val="000000"/>
                <w:sz w:val="16"/>
                <w:szCs w:val="16"/>
              </w:rPr>
              <w:t>(73)</w:t>
            </w:r>
          </w:p>
        </w:tc>
        <w:tc>
          <w:tcPr>
            <w:tcW w:w="0" w:type="auto"/>
            <w:shd w:val="clear" w:color="auto" w:fill="FFFFFF"/>
            <w:tcMar>
              <w:top w:w="40" w:type="dxa"/>
              <w:left w:w="0" w:type="dxa"/>
              <w:bottom w:w="40" w:type="dxa"/>
              <w:right w:w="20" w:type="dxa"/>
            </w:tcMar>
            <w:vAlign w:val="bottom"/>
          </w:tcPr>
          <w:p w14:paraId="098A96C7" w14:textId="77777777" w:rsidR="00141CDF" w:rsidRDefault="00141CDF">
            <w:pPr>
              <w:jc w:val="right"/>
              <w:rPr>
                <w:rFonts w:ascii="宋体"/>
              </w:rPr>
            </w:pPr>
          </w:p>
        </w:tc>
      </w:tr>
      <w:tr w:rsidR="00141CDF" w14:paraId="098A96D9" w14:textId="77777777">
        <w:tc>
          <w:tcPr>
            <w:tcW w:w="0" w:type="auto"/>
            <w:gridSpan w:val="3"/>
            <w:shd w:val="clear" w:color="auto" w:fill="CCEEFF"/>
            <w:tcMar>
              <w:top w:w="40" w:type="dxa"/>
              <w:left w:w="20" w:type="dxa"/>
              <w:bottom w:w="40" w:type="dxa"/>
              <w:right w:w="20" w:type="dxa"/>
            </w:tcMar>
            <w:vAlign w:val="bottom"/>
          </w:tcPr>
          <w:p w14:paraId="098A96C9" w14:textId="77777777" w:rsidR="00141CDF" w:rsidRDefault="00DF45E0">
            <w:pPr>
              <w:textAlignment w:val="bottom"/>
            </w:pPr>
            <w:r>
              <w:rPr>
                <w:rFonts w:ascii="Times New Roman" w:eastAsia="宋体" w:hAnsi="Times New Roman"/>
                <w:color w:val="000000"/>
                <w:sz w:val="16"/>
                <w:szCs w:val="16"/>
              </w:rPr>
              <w:t>Reclassifications to income, net</w:t>
            </w:r>
          </w:p>
        </w:tc>
        <w:tc>
          <w:tcPr>
            <w:tcW w:w="0" w:type="auto"/>
            <w:gridSpan w:val="3"/>
            <w:shd w:val="clear" w:color="auto" w:fill="CCEEFF"/>
            <w:tcMar>
              <w:top w:w="0" w:type="dxa"/>
              <w:left w:w="20" w:type="dxa"/>
              <w:bottom w:w="0" w:type="dxa"/>
              <w:right w:w="20" w:type="dxa"/>
            </w:tcMar>
            <w:vAlign w:val="bottom"/>
          </w:tcPr>
          <w:p w14:paraId="098A96CA"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bottom"/>
          </w:tcPr>
          <w:p w14:paraId="098A96CB" w14:textId="77777777" w:rsidR="00141CDF" w:rsidRDefault="00DF45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98A96CC"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6CD"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bottom"/>
          </w:tcPr>
          <w:p w14:paraId="098A96CE" w14:textId="77777777" w:rsidR="00141CDF" w:rsidRDefault="00DF45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98A96CF"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6D0"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bottom"/>
          </w:tcPr>
          <w:p w14:paraId="098A96D1" w14:textId="77777777" w:rsidR="00141CDF" w:rsidRDefault="00DF45E0">
            <w:pPr>
              <w:jc w:val="right"/>
              <w:textAlignment w:val="bottom"/>
            </w:pPr>
            <w:r>
              <w:rPr>
                <w:rFonts w:ascii="Times New Roman" w:eastAsia="宋体" w:hAnsi="Times New Roman"/>
                <w:color w:val="000000"/>
                <w:sz w:val="16"/>
                <w:szCs w:val="16"/>
              </w:rPr>
              <w:t>38 </w:t>
            </w:r>
          </w:p>
        </w:tc>
        <w:tc>
          <w:tcPr>
            <w:tcW w:w="0" w:type="auto"/>
            <w:shd w:val="clear" w:color="auto" w:fill="CCEEFF"/>
            <w:tcMar>
              <w:top w:w="40" w:type="dxa"/>
              <w:left w:w="0" w:type="dxa"/>
              <w:bottom w:w="40" w:type="dxa"/>
              <w:right w:w="20" w:type="dxa"/>
            </w:tcMar>
            <w:vAlign w:val="bottom"/>
          </w:tcPr>
          <w:p w14:paraId="098A96D2"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6D3"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bottom"/>
          </w:tcPr>
          <w:p w14:paraId="098A96D4" w14:textId="77777777" w:rsidR="00141CDF" w:rsidRDefault="00DF45E0">
            <w:pPr>
              <w:jc w:val="right"/>
              <w:textAlignment w:val="bottom"/>
            </w:pPr>
            <w:r>
              <w:rPr>
                <w:rFonts w:ascii="Times New Roman" w:eastAsia="宋体" w:hAnsi="Times New Roman"/>
                <w:color w:val="000000"/>
                <w:sz w:val="16"/>
                <w:szCs w:val="16"/>
              </w:rPr>
              <w:t>5 </w:t>
            </w:r>
          </w:p>
        </w:tc>
        <w:tc>
          <w:tcPr>
            <w:tcW w:w="0" w:type="auto"/>
            <w:shd w:val="clear" w:color="auto" w:fill="CCEEFF"/>
            <w:tcMar>
              <w:top w:w="40" w:type="dxa"/>
              <w:left w:w="0" w:type="dxa"/>
              <w:bottom w:w="40" w:type="dxa"/>
              <w:right w:w="20" w:type="dxa"/>
            </w:tcMar>
            <w:vAlign w:val="bottom"/>
          </w:tcPr>
          <w:p w14:paraId="098A96D5"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6D6"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bottom"/>
          </w:tcPr>
          <w:p w14:paraId="098A96D7" w14:textId="77777777" w:rsidR="00141CDF" w:rsidRDefault="00DF45E0">
            <w:pPr>
              <w:jc w:val="right"/>
              <w:textAlignment w:val="bottom"/>
            </w:pPr>
            <w:r>
              <w:rPr>
                <w:rFonts w:ascii="Times New Roman" w:eastAsia="宋体" w:hAnsi="Times New Roman"/>
                <w:color w:val="000000"/>
                <w:sz w:val="16"/>
                <w:szCs w:val="16"/>
              </w:rPr>
              <w:t>43 </w:t>
            </w:r>
          </w:p>
        </w:tc>
        <w:tc>
          <w:tcPr>
            <w:tcW w:w="0" w:type="auto"/>
            <w:shd w:val="clear" w:color="auto" w:fill="CCEEFF"/>
            <w:tcMar>
              <w:top w:w="40" w:type="dxa"/>
              <w:left w:w="0" w:type="dxa"/>
              <w:bottom w:w="40" w:type="dxa"/>
              <w:right w:w="20" w:type="dxa"/>
            </w:tcMar>
            <w:vAlign w:val="bottom"/>
          </w:tcPr>
          <w:p w14:paraId="098A96D8" w14:textId="77777777" w:rsidR="00141CDF" w:rsidRDefault="00141CDF">
            <w:pPr>
              <w:jc w:val="right"/>
              <w:rPr>
                <w:rFonts w:ascii="宋体"/>
              </w:rPr>
            </w:pPr>
          </w:p>
        </w:tc>
      </w:tr>
      <w:tr w:rsidR="00141CDF" w14:paraId="098A96EF" w14:textId="77777777">
        <w:tc>
          <w:tcPr>
            <w:tcW w:w="0" w:type="auto"/>
            <w:gridSpan w:val="3"/>
            <w:shd w:val="clear" w:color="auto" w:fill="FFFFFF"/>
            <w:tcMar>
              <w:top w:w="40" w:type="dxa"/>
              <w:left w:w="20" w:type="dxa"/>
              <w:bottom w:w="40" w:type="dxa"/>
              <w:right w:w="20" w:type="dxa"/>
            </w:tcMar>
            <w:vAlign w:val="bottom"/>
          </w:tcPr>
          <w:p w14:paraId="098A96DA" w14:textId="77777777" w:rsidR="00141CDF" w:rsidRDefault="00DF45E0">
            <w:pPr>
              <w:textAlignment w:val="bottom"/>
            </w:pPr>
            <w:r>
              <w:rPr>
                <w:rFonts w:ascii="Times New Roman" w:eastAsia="宋体" w:hAnsi="Times New Roman"/>
                <w:b/>
                <w:bCs/>
                <w:color w:val="000000"/>
                <w:sz w:val="16"/>
                <w:szCs w:val="16"/>
              </w:rPr>
              <w:t>Balances as of July 31, 2021</w:t>
            </w:r>
          </w:p>
        </w:tc>
        <w:tc>
          <w:tcPr>
            <w:tcW w:w="0" w:type="auto"/>
            <w:gridSpan w:val="3"/>
            <w:shd w:val="clear" w:color="auto" w:fill="FFFFFF"/>
            <w:tcMar>
              <w:top w:w="0" w:type="dxa"/>
              <w:left w:w="20" w:type="dxa"/>
              <w:bottom w:w="0" w:type="dxa"/>
              <w:right w:w="20" w:type="dxa"/>
            </w:tcMar>
            <w:vAlign w:val="bottom"/>
          </w:tcPr>
          <w:p w14:paraId="098A96DB" w14:textId="77777777" w:rsidR="00141CDF" w:rsidRDefault="00141C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98A96DC"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98A96DD" w14:textId="77777777" w:rsidR="00141CDF" w:rsidRDefault="00DF45E0">
            <w:pPr>
              <w:jc w:val="right"/>
              <w:textAlignment w:val="center"/>
            </w:pPr>
            <w:r>
              <w:rPr>
                <w:rFonts w:ascii="Times New Roman" w:eastAsia="宋体" w:hAnsi="Times New Roman"/>
                <w:color w:val="000000"/>
                <w:sz w:val="16"/>
                <w:szCs w:val="16"/>
              </w:rPr>
              <w:t>(7,616)</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96DE" w14:textId="77777777" w:rsidR="00141CDF" w:rsidRDefault="00141CDF">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98A96DF" w14:textId="77777777" w:rsidR="00141CDF" w:rsidRDefault="00141C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98A96E0"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98A96E1" w14:textId="77777777" w:rsidR="00141CDF" w:rsidRDefault="00DF45E0">
            <w:pPr>
              <w:jc w:val="right"/>
              <w:textAlignment w:val="center"/>
            </w:pPr>
            <w:r>
              <w:rPr>
                <w:rFonts w:ascii="Times New Roman" w:eastAsia="宋体" w:hAnsi="Times New Roman"/>
                <w:color w:val="000000"/>
                <w:sz w:val="16"/>
                <w:szCs w:val="16"/>
              </w:rPr>
              <w:t>94 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96E2" w14:textId="77777777" w:rsidR="00141CDF" w:rsidRDefault="00141CDF">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98A96E3" w14:textId="77777777" w:rsidR="00141CDF" w:rsidRDefault="00141C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98A96E4"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98A96E5" w14:textId="77777777" w:rsidR="00141CDF" w:rsidRDefault="00DF45E0">
            <w:pPr>
              <w:jc w:val="right"/>
              <w:textAlignment w:val="center"/>
            </w:pPr>
            <w:r>
              <w:rPr>
                <w:rFonts w:ascii="Times New Roman" w:eastAsia="宋体" w:hAnsi="Times New Roman"/>
                <w:color w:val="000000"/>
                <w:sz w:val="16"/>
                <w:szCs w:val="16"/>
              </w:rPr>
              <w:t>(439)</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96E6" w14:textId="77777777" w:rsidR="00141CDF" w:rsidRDefault="00141CDF">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98A96E7" w14:textId="77777777" w:rsidR="00141CDF" w:rsidRDefault="00141C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98A96E8"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98A96E9" w14:textId="77777777" w:rsidR="00141CDF" w:rsidRDefault="00DF45E0">
            <w:pPr>
              <w:jc w:val="right"/>
              <w:textAlignment w:val="center"/>
            </w:pPr>
            <w:r>
              <w:rPr>
                <w:rFonts w:ascii="Times New Roman" w:eastAsia="宋体" w:hAnsi="Times New Roman"/>
                <w:color w:val="000000"/>
                <w:sz w:val="16"/>
                <w:szCs w:val="16"/>
              </w:rPr>
              <w:t>(15)</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96EA" w14:textId="77777777" w:rsidR="00141CDF" w:rsidRDefault="00141CDF">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98A96EB" w14:textId="77777777" w:rsidR="00141CDF" w:rsidRDefault="00141C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98A96EC"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98A96ED" w14:textId="77777777" w:rsidR="00141CDF" w:rsidRDefault="00DF45E0">
            <w:pPr>
              <w:jc w:val="right"/>
              <w:textAlignment w:val="center"/>
            </w:pPr>
            <w:r>
              <w:rPr>
                <w:rFonts w:ascii="Times New Roman" w:eastAsia="宋体" w:hAnsi="Times New Roman"/>
                <w:color w:val="000000"/>
                <w:sz w:val="16"/>
                <w:szCs w:val="16"/>
              </w:rPr>
              <w:t>(7,976)</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96EE" w14:textId="77777777" w:rsidR="00141CDF" w:rsidRDefault="00141CDF">
            <w:pPr>
              <w:jc w:val="right"/>
              <w:rPr>
                <w:rFonts w:ascii="宋体"/>
              </w:rPr>
            </w:pPr>
          </w:p>
        </w:tc>
      </w:tr>
      <w:tr w:rsidR="00141CDF" w14:paraId="098A96FB" w14:textId="77777777">
        <w:trPr>
          <w:hidden/>
        </w:trPr>
        <w:tc>
          <w:tcPr>
            <w:tcW w:w="0" w:type="auto"/>
            <w:gridSpan w:val="3"/>
            <w:shd w:val="clear" w:color="auto" w:fill="auto"/>
            <w:vAlign w:val="bottom"/>
          </w:tcPr>
          <w:p w14:paraId="098A96F0" w14:textId="77777777" w:rsidR="00141CDF" w:rsidRDefault="00141CDF">
            <w:pPr>
              <w:rPr>
                <w:rFonts w:ascii="宋体"/>
                <w:vanish/>
              </w:rPr>
            </w:pPr>
          </w:p>
        </w:tc>
        <w:tc>
          <w:tcPr>
            <w:tcW w:w="0" w:type="auto"/>
            <w:gridSpan w:val="3"/>
            <w:shd w:val="clear" w:color="auto" w:fill="auto"/>
            <w:vAlign w:val="bottom"/>
          </w:tcPr>
          <w:p w14:paraId="098A96F1" w14:textId="77777777" w:rsidR="00141CDF" w:rsidRDefault="00141CDF">
            <w:pPr>
              <w:rPr>
                <w:rFonts w:ascii="宋体"/>
                <w:vanish/>
              </w:rPr>
            </w:pPr>
          </w:p>
        </w:tc>
        <w:tc>
          <w:tcPr>
            <w:tcW w:w="0" w:type="auto"/>
            <w:gridSpan w:val="3"/>
            <w:shd w:val="clear" w:color="auto" w:fill="auto"/>
            <w:vAlign w:val="bottom"/>
          </w:tcPr>
          <w:p w14:paraId="098A96F2" w14:textId="77777777" w:rsidR="00141CDF" w:rsidRDefault="00141CDF">
            <w:pPr>
              <w:rPr>
                <w:rFonts w:ascii="宋体"/>
                <w:vanish/>
              </w:rPr>
            </w:pPr>
          </w:p>
        </w:tc>
        <w:tc>
          <w:tcPr>
            <w:tcW w:w="0" w:type="auto"/>
            <w:gridSpan w:val="3"/>
            <w:shd w:val="clear" w:color="auto" w:fill="auto"/>
            <w:vAlign w:val="bottom"/>
          </w:tcPr>
          <w:p w14:paraId="098A96F3" w14:textId="77777777" w:rsidR="00141CDF" w:rsidRDefault="00141CDF">
            <w:pPr>
              <w:rPr>
                <w:rFonts w:ascii="宋体"/>
                <w:vanish/>
              </w:rPr>
            </w:pPr>
          </w:p>
        </w:tc>
        <w:tc>
          <w:tcPr>
            <w:tcW w:w="0" w:type="auto"/>
            <w:gridSpan w:val="3"/>
            <w:shd w:val="clear" w:color="auto" w:fill="auto"/>
            <w:vAlign w:val="bottom"/>
          </w:tcPr>
          <w:p w14:paraId="098A96F4" w14:textId="77777777" w:rsidR="00141CDF" w:rsidRDefault="00141CDF">
            <w:pPr>
              <w:rPr>
                <w:rFonts w:ascii="宋体"/>
                <w:vanish/>
              </w:rPr>
            </w:pPr>
          </w:p>
        </w:tc>
        <w:tc>
          <w:tcPr>
            <w:tcW w:w="0" w:type="auto"/>
            <w:gridSpan w:val="3"/>
            <w:shd w:val="clear" w:color="auto" w:fill="auto"/>
            <w:vAlign w:val="bottom"/>
          </w:tcPr>
          <w:p w14:paraId="098A96F5" w14:textId="77777777" w:rsidR="00141CDF" w:rsidRDefault="00141CDF">
            <w:pPr>
              <w:rPr>
                <w:rFonts w:ascii="宋体"/>
                <w:vanish/>
              </w:rPr>
            </w:pPr>
          </w:p>
        </w:tc>
        <w:tc>
          <w:tcPr>
            <w:tcW w:w="0" w:type="auto"/>
            <w:gridSpan w:val="3"/>
            <w:shd w:val="clear" w:color="auto" w:fill="auto"/>
            <w:vAlign w:val="bottom"/>
          </w:tcPr>
          <w:p w14:paraId="098A96F6" w14:textId="77777777" w:rsidR="00141CDF" w:rsidRDefault="00141CDF">
            <w:pPr>
              <w:rPr>
                <w:rFonts w:ascii="宋体"/>
                <w:vanish/>
              </w:rPr>
            </w:pPr>
          </w:p>
        </w:tc>
        <w:tc>
          <w:tcPr>
            <w:tcW w:w="0" w:type="auto"/>
            <w:gridSpan w:val="3"/>
            <w:shd w:val="clear" w:color="auto" w:fill="auto"/>
            <w:vAlign w:val="bottom"/>
          </w:tcPr>
          <w:p w14:paraId="098A96F7" w14:textId="77777777" w:rsidR="00141CDF" w:rsidRDefault="00141CDF">
            <w:pPr>
              <w:rPr>
                <w:rFonts w:ascii="宋体"/>
                <w:vanish/>
              </w:rPr>
            </w:pPr>
          </w:p>
        </w:tc>
        <w:tc>
          <w:tcPr>
            <w:tcW w:w="0" w:type="auto"/>
            <w:gridSpan w:val="3"/>
            <w:shd w:val="clear" w:color="auto" w:fill="auto"/>
            <w:vAlign w:val="bottom"/>
          </w:tcPr>
          <w:p w14:paraId="098A96F8" w14:textId="77777777" w:rsidR="00141CDF" w:rsidRDefault="00141CDF">
            <w:pPr>
              <w:rPr>
                <w:rFonts w:ascii="宋体"/>
                <w:vanish/>
              </w:rPr>
            </w:pPr>
          </w:p>
        </w:tc>
        <w:tc>
          <w:tcPr>
            <w:tcW w:w="0" w:type="auto"/>
            <w:gridSpan w:val="3"/>
            <w:shd w:val="clear" w:color="auto" w:fill="auto"/>
            <w:vAlign w:val="bottom"/>
          </w:tcPr>
          <w:p w14:paraId="098A96F9" w14:textId="77777777" w:rsidR="00141CDF" w:rsidRDefault="00141CDF">
            <w:pPr>
              <w:rPr>
                <w:rFonts w:ascii="宋体"/>
                <w:vanish/>
              </w:rPr>
            </w:pPr>
          </w:p>
        </w:tc>
        <w:tc>
          <w:tcPr>
            <w:tcW w:w="0" w:type="auto"/>
            <w:gridSpan w:val="3"/>
            <w:shd w:val="clear" w:color="auto" w:fill="auto"/>
            <w:vAlign w:val="bottom"/>
          </w:tcPr>
          <w:p w14:paraId="098A96FA" w14:textId="77777777" w:rsidR="00141CDF" w:rsidRDefault="00141CDF">
            <w:pPr>
              <w:rPr>
                <w:rFonts w:ascii="宋体"/>
                <w:vanish/>
              </w:rPr>
            </w:pPr>
          </w:p>
        </w:tc>
      </w:tr>
      <w:tr w:rsidR="00141CDF" w14:paraId="098A9707" w14:textId="77777777">
        <w:trPr>
          <w:hidden/>
        </w:trPr>
        <w:tc>
          <w:tcPr>
            <w:tcW w:w="0" w:type="auto"/>
            <w:gridSpan w:val="3"/>
            <w:shd w:val="clear" w:color="auto" w:fill="auto"/>
            <w:vAlign w:val="bottom"/>
          </w:tcPr>
          <w:p w14:paraId="098A96FC" w14:textId="77777777" w:rsidR="00141CDF" w:rsidRDefault="00141CDF">
            <w:pPr>
              <w:rPr>
                <w:rFonts w:ascii="宋体"/>
                <w:vanish/>
              </w:rPr>
            </w:pPr>
          </w:p>
        </w:tc>
        <w:tc>
          <w:tcPr>
            <w:tcW w:w="0" w:type="auto"/>
            <w:gridSpan w:val="3"/>
            <w:shd w:val="clear" w:color="auto" w:fill="auto"/>
            <w:vAlign w:val="bottom"/>
          </w:tcPr>
          <w:p w14:paraId="098A96FD" w14:textId="77777777" w:rsidR="00141CDF" w:rsidRDefault="00141CDF">
            <w:pPr>
              <w:rPr>
                <w:rFonts w:ascii="宋体"/>
                <w:vanish/>
              </w:rPr>
            </w:pPr>
          </w:p>
        </w:tc>
        <w:tc>
          <w:tcPr>
            <w:tcW w:w="0" w:type="auto"/>
            <w:gridSpan w:val="3"/>
            <w:shd w:val="clear" w:color="auto" w:fill="auto"/>
            <w:vAlign w:val="bottom"/>
          </w:tcPr>
          <w:p w14:paraId="098A96FE" w14:textId="77777777" w:rsidR="00141CDF" w:rsidRDefault="00141CDF">
            <w:pPr>
              <w:rPr>
                <w:rFonts w:ascii="宋体"/>
                <w:vanish/>
              </w:rPr>
            </w:pPr>
          </w:p>
        </w:tc>
        <w:tc>
          <w:tcPr>
            <w:tcW w:w="0" w:type="auto"/>
            <w:gridSpan w:val="3"/>
            <w:shd w:val="clear" w:color="auto" w:fill="auto"/>
            <w:vAlign w:val="bottom"/>
          </w:tcPr>
          <w:p w14:paraId="098A96FF" w14:textId="77777777" w:rsidR="00141CDF" w:rsidRDefault="00141CDF">
            <w:pPr>
              <w:rPr>
                <w:rFonts w:ascii="宋体"/>
                <w:vanish/>
              </w:rPr>
            </w:pPr>
          </w:p>
        </w:tc>
        <w:tc>
          <w:tcPr>
            <w:tcW w:w="0" w:type="auto"/>
            <w:gridSpan w:val="3"/>
            <w:shd w:val="clear" w:color="auto" w:fill="auto"/>
            <w:vAlign w:val="bottom"/>
          </w:tcPr>
          <w:p w14:paraId="098A9700" w14:textId="77777777" w:rsidR="00141CDF" w:rsidRDefault="00141CDF">
            <w:pPr>
              <w:rPr>
                <w:rFonts w:ascii="宋体"/>
                <w:vanish/>
              </w:rPr>
            </w:pPr>
          </w:p>
        </w:tc>
        <w:tc>
          <w:tcPr>
            <w:tcW w:w="0" w:type="auto"/>
            <w:gridSpan w:val="3"/>
            <w:shd w:val="clear" w:color="auto" w:fill="auto"/>
            <w:vAlign w:val="bottom"/>
          </w:tcPr>
          <w:p w14:paraId="098A9701" w14:textId="77777777" w:rsidR="00141CDF" w:rsidRDefault="00141CDF">
            <w:pPr>
              <w:rPr>
                <w:rFonts w:ascii="宋体"/>
                <w:vanish/>
              </w:rPr>
            </w:pPr>
          </w:p>
        </w:tc>
        <w:tc>
          <w:tcPr>
            <w:tcW w:w="0" w:type="auto"/>
            <w:gridSpan w:val="3"/>
            <w:shd w:val="clear" w:color="auto" w:fill="auto"/>
            <w:vAlign w:val="bottom"/>
          </w:tcPr>
          <w:p w14:paraId="098A9702" w14:textId="77777777" w:rsidR="00141CDF" w:rsidRDefault="00141CDF">
            <w:pPr>
              <w:rPr>
                <w:rFonts w:ascii="宋体"/>
                <w:vanish/>
              </w:rPr>
            </w:pPr>
          </w:p>
        </w:tc>
        <w:tc>
          <w:tcPr>
            <w:tcW w:w="0" w:type="auto"/>
            <w:gridSpan w:val="3"/>
            <w:shd w:val="clear" w:color="auto" w:fill="auto"/>
            <w:vAlign w:val="bottom"/>
          </w:tcPr>
          <w:p w14:paraId="098A9703" w14:textId="77777777" w:rsidR="00141CDF" w:rsidRDefault="00141CDF">
            <w:pPr>
              <w:rPr>
                <w:rFonts w:ascii="宋体"/>
                <w:vanish/>
              </w:rPr>
            </w:pPr>
          </w:p>
        </w:tc>
        <w:tc>
          <w:tcPr>
            <w:tcW w:w="0" w:type="auto"/>
            <w:gridSpan w:val="3"/>
            <w:shd w:val="clear" w:color="auto" w:fill="auto"/>
            <w:vAlign w:val="bottom"/>
          </w:tcPr>
          <w:p w14:paraId="098A9704" w14:textId="77777777" w:rsidR="00141CDF" w:rsidRDefault="00141CDF">
            <w:pPr>
              <w:rPr>
                <w:rFonts w:ascii="宋体"/>
                <w:vanish/>
              </w:rPr>
            </w:pPr>
          </w:p>
        </w:tc>
        <w:tc>
          <w:tcPr>
            <w:tcW w:w="0" w:type="auto"/>
            <w:gridSpan w:val="3"/>
            <w:shd w:val="clear" w:color="auto" w:fill="auto"/>
            <w:vAlign w:val="bottom"/>
          </w:tcPr>
          <w:p w14:paraId="098A9705" w14:textId="77777777" w:rsidR="00141CDF" w:rsidRDefault="00141CDF">
            <w:pPr>
              <w:rPr>
                <w:rFonts w:ascii="宋体"/>
                <w:vanish/>
              </w:rPr>
            </w:pPr>
          </w:p>
        </w:tc>
        <w:tc>
          <w:tcPr>
            <w:tcW w:w="0" w:type="auto"/>
            <w:gridSpan w:val="3"/>
            <w:shd w:val="clear" w:color="auto" w:fill="auto"/>
            <w:vAlign w:val="bottom"/>
          </w:tcPr>
          <w:p w14:paraId="098A9706" w14:textId="77777777" w:rsidR="00141CDF" w:rsidRDefault="00141CDF">
            <w:pPr>
              <w:rPr>
                <w:rFonts w:ascii="宋体"/>
                <w:vanish/>
              </w:rPr>
            </w:pPr>
          </w:p>
        </w:tc>
      </w:tr>
      <w:tr w:rsidR="00141CDF" w14:paraId="098A9713" w14:textId="77777777">
        <w:trPr>
          <w:hidden/>
        </w:trPr>
        <w:tc>
          <w:tcPr>
            <w:tcW w:w="0" w:type="auto"/>
            <w:gridSpan w:val="3"/>
            <w:shd w:val="clear" w:color="auto" w:fill="auto"/>
            <w:vAlign w:val="bottom"/>
          </w:tcPr>
          <w:p w14:paraId="098A9708" w14:textId="77777777" w:rsidR="00141CDF" w:rsidRDefault="00141CDF">
            <w:pPr>
              <w:rPr>
                <w:rFonts w:ascii="宋体"/>
                <w:vanish/>
              </w:rPr>
            </w:pPr>
          </w:p>
        </w:tc>
        <w:tc>
          <w:tcPr>
            <w:tcW w:w="0" w:type="auto"/>
            <w:gridSpan w:val="3"/>
            <w:shd w:val="clear" w:color="auto" w:fill="auto"/>
            <w:vAlign w:val="bottom"/>
          </w:tcPr>
          <w:p w14:paraId="098A9709" w14:textId="77777777" w:rsidR="00141CDF" w:rsidRDefault="00141CDF">
            <w:pPr>
              <w:rPr>
                <w:rFonts w:ascii="宋体"/>
                <w:vanish/>
              </w:rPr>
            </w:pPr>
          </w:p>
        </w:tc>
        <w:tc>
          <w:tcPr>
            <w:tcW w:w="0" w:type="auto"/>
            <w:gridSpan w:val="3"/>
            <w:shd w:val="clear" w:color="auto" w:fill="auto"/>
            <w:vAlign w:val="bottom"/>
          </w:tcPr>
          <w:p w14:paraId="098A970A" w14:textId="77777777" w:rsidR="00141CDF" w:rsidRDefault="00141CDF">
            <w:pPr>
              <w:rPr>
                <w:rFonts w:ascii="宋体"/>
                <w:vanish/>
              </w:rPr>
            </w:pPr>
          </w:p>
        </w:tc>
        <w:tc>
          <w:tcPr>
            <w:tcW w:w="0" w:type="auto"/>
            <w:gridSpan w:val="3"/>
            <w:shd w:val="clear" w:color="auto" w:fill="auto"/>
            <w:vAlign w:val="bottom"/>
          </w:tcPr>
          <w:p w14:paraId="098A970B" w14:textId="77777777" w:rsidR="00141CDF" w:rsidRDefault="00141CDF">
            <w:pPr>
              <w:rPr>
                <w:rFonts w:ascii="宋体"/>
                <w:vanish/>
              </w:rPr>
            </w:pPr>
          </w:p>
        </w:tc>
        <w:tc>
          <w:tcPr>
            <w:tcW w:w="0" w:type="auto"/>
            <w:gridSpan w:val="3"/>
            <w:shd w:val="clear" w:color="auto" w:fill="auto"/>
            <w:vAlign w:val="bottom"/>
          </w:tcPr>
          <w:p w14:paraId="098A970C" w14:textId="77777777" w:rsidR="00141CDF" w:rsidRDefault="00141CDF">
            <w:pPr>
              <w:rPr>
                <w:rFonts w:ascii="宋体"/>
                <w:vanish/>
              </w:rPr>
            </w:pPr>
          </w:p>
        </w:tc>
        <w:tc>
          <w:tcPr>
            <w:tcW w:w="0" w:type="auto"/>
            <w:gridSpan w:val="3"/>
            <w:shd w:val="clear" w:color="auto" w:fill="auto"/>
            <w:vAlign w:val="bottom"/>
          </w:tcPr>
          <w:p w14:paraId="098A970D" w14:textId="77777777" w:rsidR="00141CDF" w:rsidRDefault="00141CDF">
            <w:pPr>
              <w:rPr>
                <w:rFonts w:ascii="宋体"/>
                <w:vanish/>
              </w:rPr>
            </w:pPr>
          </w:p>
        </w:tc>
        <w:tc>
          <w:tcPr>
            <w:tcW w:w="0" w:type="auto"/>
            <w:gridSpan w:val="3"/>
            <w:shd w:val="clear" w:color="auto" w:fill="auto"/>
            <w:vAlign w:val="bottom"/>
          </w:tcPr>
          <w:p w14:paraId="098A970E" w14:textId="77777777" w:rsidR="00141CDF" w:rsidRDefault="00141CDF">
            <w:pPr>
              <w:rPr>
                <w:rFonts w:ascii="宋体"/>
                <w:vanish/>
              </w:rPr>
            </w:pPr>
          </w:p>
        </w:tc>
        <w:tc>
          <w:tcPr>
            <w:tcW w:w="0" w:type="auto"/>
            <w:gridSpan w:val="3"/>
            <w:shd w:val="clear" w:color="auto" w:fill="auto"/>
            <w:vAlign w:val="bottom"/>
          </w:tcPr>
          <w:p w14:paraId="098A970F" w14:textId="77777777" w:rsidR="00141CDF" w:rsidRDefault="00141CDF">
            <w:pPr>
              <w:rPr>
                <w:rFonts w:ascii="宋体"/>
                <w:vanish/>
              </w:rPr>
            </w:pPr>
          </w:p>
        </w:tc>
        <w:tc>
          <w:tcPr>
            <w:tcW w:w="0" w:type="auto"/>
            <w:gridSpan w:val="3"/>
            <w:shd w:val="clear" w:color="auto" w:fill="auto"/>
            <w:vAlign w:val="bottom"/>
          </w:tcPr>
          <w:p w14:paraId="098A9710" w14:textId="77777777" w:rsidR="00141CDF" w:rsidRDefault="00141CDF">
            <w:pPr>
              <w:rPr>
                <w:rFonts w:ascii="宋体"/>
                <w:vanish/>
              </w:rPr>
            </w:pPr>
          </w:p>
        </w:tc>
        <w:tc>
          <w:tcPr>
            <w:tcW w:w="0" w:type="auto"/>
            <w:gridSpan w:val="3"/>
            <w:shd w:val="clear" w:color="auto" w:fill="auto"/>
            <w:vAlign w:val="bottom"/>
          </w:tcPr>
          <w:p w14:paraId="098A9711" w14:textId="77777777" w:rsidR="00141CDF" w:rsidRDefault="00141CDF">
            <w:pPr>
              <w:rPr>
                <w:rFonts w:ascii="宋体"/>
                <w:vanish/>
              </w:rPr>
            </w:pPr>
          </w:p>
        </w:tc>
        <w:tc>
          <w:tcPr>
            <w:tcW w:w="0" w:type="auto"/>
            <w:gridSpan w:val="3"/>
            <w:shd w:val="clear" w:color="auto" w:fill="auto"/>
            <w:vAlign w:val="bottom"/>
          </w:tcPr>
          <w:p w14:paraId="098A9712" w14:textId="77777777" w:rsidR="00141CDF" w:rsidRDefault="00141CDF">
            <w:pPr>
              <w:rPr>
                <w:rFonts w:ascii="宋体"/>
                <w:vanish/>
              </w:rPr>
            </w:pPr>
          </w:p>
        </w:tc>
      </w:tr>
    </w:tbl>
    <w:p w14:paraId="098A9714" w14:textId="77777777" w:rsidR="00141CDF" w:rsidRDefault="00DF45E0">
      <w:pPr>
        <w:spacing w:before="80" w:after="100"/>
        <w:ind w:hanging="180"/>
      </w:pPr>
      <w:r>
        <w:rPr>
          <w:rFonts w:ascii="Times New Roman" w:eastAsia="宋体" w:hAnsi="Times New Roman"/>
          <w:color w:val="000000"/>
          <w:sz w:val="10"/>
          <w:szCs w:val="10"/>
        </w:rPr>
        <w:t>(1)</w:t>
      </w:r>
      <w:r>
        <w:rPr>
          <w:rFonts w:ascii="Times New Roman" w:eastAsia="宋体" w:hAnsi="Times New Roman"/>
          <w:color w:val="000000"/>
          <w:sz w:val="16"/>
          <w:szCs w:val="16"/>
        </w:rPr>
        <w:t xml:space="preserve"> Upon closing of the sale of the Company's operations in the U.K. and Japan during the first quarter of fiscal 2022, these amounts were released from accumulated other comprehensive loss, the majority of which was considered in the impairment evaluation wh</w:t>
      </w:r>
      <w:r>
        <w:rPr>
          <w:rFonts w:ascii="Times New Roman" w:eastAsia="宋体" w:hAnsi="Times New Roman"/>
          <w:color w:val="000000"/>
          <w:sz w:val="16"/>
          <w:szCs w:val="16"/>
        </w:rPr>
        <w:t>en the individual disposal groups met the held for sale classification in fiscal 2021.</w:t>
      </w:r>
    </w:p>
    <w:p w14:paraId="098A9715" w14:textId="77777777" w:rsidR="00141CDF" w:rsidRDefault="00DF45E0">
      <w:pPr>
        <w:jc w:val="center"/>
      </w:pPr>
      <w:r>
        <w:rPr>
          <w:rFonts w:ascii="Times New Roman" w:eastAsia="宋体" w:hAnsi="Times New Roman"/>
          <w:color w:val="000000"/>
          <w:sz w:val="20"/>
          <w:szCs w:val="20"/>
        </w:rPr>
        <w:t>9</w:t>
      </w:r>
    </w:p>
    <w:p w14:paraId="098A9716" w14:textId="77777777" w:rsidR="00141CDF" w:rsidRDefault="00DF45E0">
      <w:r>
        <w:pict w14:anchorId="098AA657">
          <v:rect id="_x0000_i1033" style="width:415.3pt;height:1.5pt" o:hralign="center" o:hrstd="t" o:hr="t" fillcolor="#a0a0a0" stroked="f"/>
        </w:pict>
      </w:r>
    </w:p>
    <w:p w14:paraId="098A9717" w14:textId="77777777" w:rsidR="00141CDF" w:rsidRDefault="00DF45E0">
      <w:hyperlink r:id="rId55" w:anchor="i24a2f296795646fa8b5ba32fd1359591_7" w:history="1">
        <w:r>
          <w:rPr>
            <w:rStyle w:val="a5"/>
            <w:rFonts w:ascii="Times New Roman" w:eastAsia="宋体" w:hAnsi="Times New Roman"/>
            <w:sz w:val="20"/>
            <w:szCs w:val="20"/>
          </w:rPr>
          <w:t xml:space="preserve">Table of </w:t>
        </w:r>
      </w:hyperlink>
      <w:hyperlink r:id="rId56" w:anchor="i24a2f296795646fa8b5ba32fd1359591_7" w:history="1">
        <w:r>
          <w:rPr>
            <w:rStyle w:val="a5"/>
            <w:rFonts w:ascii="Times New Roman" w:eastAsia="宋体" w:hAnsi="Times New Roman"/>
            <w:sz w:val="20"/>
            <w:szCs w:val="20"/>
          </w:rPr>
          <w:t>Contents</w:t>
        </w:r>
      </w:hyperlink>
    </w:p>
    <w:p w14:paraId="098A9718" w14:textId="77777777" w:rsidR="00141CDF" w:rsidRDefault="00DF45E0">
      <w:pPr>
        <w:spacing w:before="240"/>
      </w:pPr>
      <w:r>
        <w:rPr>
          <w:rFonts w:ascii="Times New Roman" w:eastAsia="宋体" w:hAnsi="Times New Roman"/>
          <w:b/>
          <w:bCs/>
          <w:color w:val="000000"/>
          <w:sz w:val="20"/>
          <w:szCs w:val="20"/>
        </w:rPr>
        <w:t>Note 4. Short-term Borrowings and Long-term Debt</w:t>
      </w:r>
    </w:p>
    <w:p w14:paraId="098A9719" w14:textId="77777777" w:rsidR="00141CDF" w:rsidRDefault="00DF45E0">
      <w:pPr>
        <w:spacing w:before="180" w:after="100"/>
      </w:pPr>
      <w:r>
        <w:rPr>
          <w:rFonts w:ascii="Times New Roman" w:eastAsia="宋体" w:hAnsi="Times New Roman"/>
          <w:color w:val="000000"/>
          <w:sz w:val="20"/>
          <w:szCs w:val="20"/>
        </w:rPr>
        <w:t xml:space="preserve">The Company has various committed lines of credit </w:t>
      </w:r>
      <w:r>
        <w:rPr>
          <w:rFonts w:ascii="Times New Roman" w:eastAsia="宋体" w:hAnsi="Times New Roman"/>
          <w:color w:val="000000"/>
          <w:sz w:val="20"/>
          <w:szCs w:val="20"/>
        </w:rPr>
        <w:t>in the U.S. that are used to support its commercial paper program. In April 2022, the Company renewed and extended its existing 364-day revolving credit facility of $10.0 billion as well as its five-year credit facility of $5.0 billion. In total, the Compa</w:t>
      </w:r>
      <w:r>
        <w:rPr>
          <w:rFonts w:ascii="Times New Roman" w:eastAsia="宋体" w:hAnsi="Times New Roman"/>
          <w:color w:val="000000"/>
          <w:sz w:val="20"/>
          <w:szCs w:val="20"/>
        </w:rPr>
        <w:t>ny had committed lines of credit in the U.S. of $15.0 billion at July 31, 2022 and January 31, 2022, all undrawn.</w:t>
      </w:r>
    </w:p>
    <w:p w14:paraId="098A971A" w14:textId="77777777" w:rsidR="00141CDF" w:rsidRDefault="00DF45E0">
      <w:pPr>
        <w:spacing w:before="100"/>
      </w:pPr>
      <w:r>
        <w:rPr>
          <w:rFonts w:ascii="Times New Roman" w:eastAsia="宋体" w:hAnsi="Times New Roman"/>
          <w:color w:val="000000"/>
          <w:sz w:val="20"/>
          <w:szCs w:val="20"/>
        </w:rPr>
        <w:t>The following table provides the changes in the Company's long-term debt for the six months ended July 31, 2022:</w:t>
      </w:r>
    </w:p>
    <w:tbl>
      <w:tblPr>
        <w:tblW w:w="4985" w:type="pct"/>
        <w:tblCellMar>
          <w:top w:w="15" w:type="dxa"/>
          <w:left w:w="15" w:type="dxa"/>
          <w:bottom w:w="15" w:type="dxa"/>
          <w:right w:w="15" w:type="dxa"/>
        </w:tblCellMar>
        <w:tblLook w:val="04A0" w:firstRow="1" w:lastRow="0" w:firstColumn="1" w:lastColumn="0" w:noHBand="0" w:noVBand="1"/>
      </w:tblPr>
      <w:tblGrid>
        <w:gridCol w:w="41"/>
        <w:gridCol w:w="4305"/>
        <w:gridCol w:w="38"/>
        <w:gridCol w:w="36"/>
        <w:gridCol w:w="36"/>
        <w:gridCol w:w="36"/>
        <w:gridCol w:w="101"/>
        <w:gridCol w:w="1063"/>
        <w:gridCol w:w="36"/>
        <w:gridCol w:w="36"/>
        <w:gridCol w:w="36"/>
        <w:gridCol w:w="36"/>
        <w:gridCol w:w="101"/>
        <w:gridCol w:w="1065"/>
        <w:gridCol w:w="36"/>
        <w:gridCol w:w="36"/>
        <w:gridCol w:w="36"/>
        <w:gridCol w:w="36"/>
        <w:gridCol w:w="100"/>
        <w:gridCol w:w="1065"/>
        <w:gridCol w:w="36"/>
      </w:tblGrid>
      <w:tr w:rsidR="00141CDF" w14:paraId="098A9730" w14:textId="77777777">
        <w:tc>
          <w:tcPr>
            <w:tcW w:w="50" w:type="pct"/>
            <w:shd w:val="clear" w:color="auto" w:fill="auto"/>
            <w:vAlign w:val="bottom"/>
          </w:tcPr>
          <w:p w14:paraId="098A971B" w14:textId="77777777" w:rsidR="00141CDF" w:rsidRDefault="00141CDF">
            <w:pPr>
              <w:rPr>
                <w:rFonts w:ascii="宋体"/>
              </w:rPr>
            </w:pPr>
          </w:p>
        </w:tc>
        <w:tc>
          <w:tcPr>
            <w:tcW w:w="2613" w:type="pct"/>
            <w:shd w:val="clear" w:color="auto" w:fill="auto"/>
            <w:vAlign w:val="bottom"/>
          </w:tcPr>
          <w:p w14:paraId="098A971C" w14:textId="77777777" w:rsidR="00141CDF" w:rsidRDefault="00141CDF">
            <w:pPr>
              <w:rPr>
                <w:rFonts w:ascii="宋体"/>
              </w:rPr>
            </w:pPr>
          </w:p>
        </w:tc>
        <w:tc>
          <w:tcPr>
            <w:tcW w:w="5" w:type="pct"/>
            <w:shd w:val="clear" w:color="auto" w:fill="auto"/>
            <w:vAlign w:val="bottom"/>
          </w:tcPr>
          <w:p w14:paraId="098A971D" w14:textId="77777777" w:rsidR="00141CDF" w:rsidRDefault="00141CDF">
            <w:pPr>
              <w:rPr>
                <w:rFonts w:ascii="宋体"/>
              </w:rPr>
            </w:pPr>
          </w:p>
        </w:tc>
        <w:tc>
          <w:tcPr>
            <w:tcW w:w="5" w:type="pct"/>
            <w:shd w:val="clear" w:color="auto" w:fill="auto"/>
            <w:vAlign w:val="bottom"/>
          </w:tcPr>
          <w:p w14:paraId="098A971E" w14:textId="77777777" w:rsidR="00141CDF" w:rsidRDefault="00141CDF">
            <w:pPr>
              <w:rPr>
                <w:rFonts w:ascii="宋体"/>
              </w:rPr>
            </w:pPr>
          </w:p>
        </w:tc>
        <w:tc>
          <w:tcPr>
            <w:tcW w:w="26" w:type="pct"/>
            <w:shd w:val="clear" w:color="auto" w:fill="auto"/>
            <w:vAlign w:val="bottom"/>
          </w:tcPr>
          <w:p w14:paraId="098A971F" w14:textId="77777777" w:rsidR="00141CDF" w:rsidRDefault="00141CDF">
            <w:pPr>
              <w:rPr>
                <w:rFonts w:ascii="宋体"/>
              </w:rPr>
            </w:pPr>
          </w:p>
        </w:tc>
        <w:tc>
          <w:tcPr>
            <w:tcW w:w="5" w:type="pct"/>
            <w:shd w:val="clear" w:color="auto" w:fill="auto"/>
            <w:vAlign w:val="bottom"/>
          </w:tcPr>
          <w:p w14:paraId="098A9720" w14:textId="77777777" w:rsidR="00141CDF" w:rsidRDefault="00141CDF">
            <w:pPr>
              <w:rPr>
                <w:rFonts w:ascii="宋体"/>
              </w:rPr>
            </w:pPr>
          </w:p>
        </w:tc>
        <w:tc>
          <w:tcPr>
            <w:tcW w:w="50" w:type="pct"/>
            <w:shd w:val="clear" w:color="auto" w:fill="auto"/>
            <w:vAlign w:val="bottom"/>
          </w:tcPr>
          <w:p w14:paraId="098A9721" w14:textId="77777777" w:rsidR="00141CDF" w:rsidRDefault="00141CDF">
            <w:pPr>
              <w:rPr>
                <w:rFonts w:ascii="宋体"/>
              </w:rPr>
            </w:pPr>
          </w:p>
        </w:tc>
        <w:tc>
          <w:tcPr>
            <w:tcW w:w="685" w:type="pct"/>
            <w:shd w:val="clear" w:color="auto" w:fill="auto"/>
            <w:vAlign w:val="bottom"/>
          </w:tcPr>
          <w:p w14:paraId="098A9722" w14:textId="77777777" w:rsidR="00141CDF" w:rsidRDefault="00141CDF">
            <w:pPr>
              <w:rPr>
                <w:rFonts w:ascii="宋体"/>
              </w:rPr>
            </w:pPr>
          </w:p>
        </w:tc>
        <w:tc>
          <w:tcPr>
            <w:tcW w:w="5" w:type="pct"/>
            <w:shd w:val="clear" w:color="auto" w:fill="auto"/>
            <w:vAlign w:val="bottom"/>
          </w:tcPr>
          <w:p w14:paraId="098A9723" w14:textId="77777777" w:rsidR="00141CDF" w:rsidRDefault="00141CDF">
            <w:pPr>
              <w:rPr>
                <w:rFonts w:ascii="宋体"/>
              </w:rPr>
            </w:pPr>
          </w:p>
        </w:tc>
        <w:tc>
          <w:tcPr>
            <w:tcW w:w="5" w:type="pct"/>
            <w:shd w:val="clear" w:color="auto" w:fill="auto"/>
            <w:vAlign w:val="bottom"/>
          </w:tcPr>
          <w:p w14:paraId="098A9724" w14:textId="77777777" w:rsidR="00141CDF" w:rsidRDefault="00141CDF">
            <w:pPr>
              <w:rPr>
                <w:rFonts w:ascii="宋体"/>
              </w:rPr>
            </w:pPr>
          </w:p>
        </w:tc>
        <w:tc>
          <w:tcPr>
            <w:tcW w:w="26" w:type="pct"/>
            <w:shd w:val="clear" w:color="auto" w:fill="auto"/>
            <w:vAlign w:val="bottom"/>
          </w:tcPr>
          <w:p w14:paraId="098A9725" w14:textId="77777777" w:rsidR="00141CDF" w:rsidRDefault="00141CDF">
            <w:pPr>
              <w:rPr>
                <w:rFonts w:ascii="宋体"/>
              </w:rPr>
            </w:pPr>
          </w:p>
        </w:tc>
        <w:tc>
          <w:tcPr>
            <w:tcW w:w="5" w:type="pct"/>
            <w:shd w:val="clear" w:color="auto" w:fill="auto"/>
            <w:vAlign w:val="bottom"/>
          </w:tcPr>
          <w:p w14:paraId="098A9726" w14:textId="77777777" w:rsidR="00141CDF" w:rsidRDefault="00141CDF">
            <w:pPr>
              <w:rPr>
                <w:rFonts w:ascii="宋体"/>
              </w:rPr>
            </w:pPr>
          </w:p>
        </w:tc>
        <w:tc>
          <w:tcPr>
            <w:tcW w:w="50" w:type="pct"/>
            <w:shd w:val="clear" w:color="auto" w:fill="auto"/>
            <w:vAlign w:val="bottom"/>
          </w:tcPr>
          <w:p w14:paraId="098A9727" w14:textId="77777777" w:rsidR="00141CDF" w:rsidRDefault="00141CDF">
            <w:pPr>
              <w:rPr>
                <w:rFonts w:ascii="宋体"/>
              </w:rPr>
            </w:pPr>
          </w:p>
        </w:tc>
        <w:tc>
          <w:tcPr>
            <w:tcW w:w="685" w:type="pct"/>
            <w:shd w:val="clear" w:color="auto" w:fill="auto"/>
            <w:vAlign w:val="bottom"/>
          </w:tcPr>
          <w:p w14:paraId="098A9728" w14:textId="77777777" w:rsidR="00141CDF" w:rsidRDefault="00141CDF">
            <w:pPr>
              <w:rPr>
                <w:rFonts w:ascii="宋体"/>
              </w:rPr>
            </w:pPr>
          </w:p>
        </w:tc>
        <w:tc>
          <w:tcPr>
            <w:tcW w:w="5" w:type="pct"/>
            <w:shd w:val="clear" w:color="auto" w:fill="auto"/>
            <w:vAlign w:val="bottom"/>
          </w:tcPr>
          <w:p w14:paraId="098A9729" w14:textId="77777777" w:rsidR="00141CDF" w:rsidRDefault="00141CDF">
            <w:pPr>
              <w:rPr>
                <w:rFonts w:ascii="宋体"/>
              </w:rPr>
            </w:pPr>
          </w:p>
        </w:tc>
        <w:tc>
          <w:tcPr>
            <w:tcW w:w="5" w:type="pct"/>
            <w:shd w:val="clear" w:color="auto" w:fill="auto"/>
            <w:vAlign w:val="bottom"/>
          </w:tcPr>
          <w:p w14:paraId="098A972A" w14:textId="77777777" w:rsidR="00141CDF" w:rsidRDefault="00141CDF">
            <w:pPr>
              <w:rPr>
                <w:rFonts w:ascii="宋体"/>
              </w:rPr>
            </w:pPr>
          </w:p>
        </w:tc>
        <w:tc>
          <w:tcPr>
            <w:tcW w:w="26" w:type="pct"/>
            <w:shd w:val="clear" w:color="auto" w:fill="auto"/>
            <w:vAlign w:val="bottom"/>
          </w:tcPr>
          <w:p w14:paraId="098A972B" w14:textId="77777777" w:rsidR="00141CDF" w:rsidRDefault="00141CDF">
            <w:pPr>
              <w:rPr>
                <w:rFonts w:ascii="宋体"/>
              </w:rPr>
            </w:pPr>
          </w:p>
        </w:tc>
        <w:tc>
          <w:tcPr>
            <w:tcW w:w="5" w:type="pct"/>
            <w:shd w:val="clear" w:color="auto" w:fill="auto"/>
            <w:vAlign w:val="bottom"/>
          </w:tcPr>
          <w:p w14:paraId="098A972C" w14:textId="77777777" w:rsidR="00141CDF" w:rsidRDefault="00141CDF">
            <w:pPr>
              <w:rPr>
                <w:rFonts w:ascii="宋体"/>
              </w:rPr>
            </w:pPr>
          </w:p>
        </w:tc>
        <w:tc>
          <w:tcPr>
            <w:tcW w:w="50" w:type="pct"/>
            <w:shd w:val="clear" w:color="auto" w:fill="auto"/>
            <w:vAlign w:val="bottom"/>
          </w:tcPr>
          <w:p w14:paraId="098A972D" w14:textId="77777777" w:rsidR="00141CDF" w:rsidRDefault="00141CDF">
            <w:pPr>
              <w:rPr>
                <w:rFonts w:ascii="宋体"/>
              </w:rPr>
            </w:pPr>
          </w:p>
        </w:tc>
        <w:tc>
          <w:tcPr>
            <w:tcW w:w="685" w:type="pct"/>
            <w:shd w:val="clear" w:color="auto" w:fill="auto"/>
            <w:vAlign w:val="bottom"/>
          </w:tcPr>
          <w:p w14:paraId="098A972E" w14:textId="77777777" w:rsidR="00141CDF" w:rsidRDefault="00141CDF">
            <w:pPr>
              <w:rPr>
                <w:rFonts w:ascii="宋体"/>
              </w:rPr>
            </w:pPr>
          </w:p>
        </w:tc>
        <w:tc>
          <w:tcPr>
            <w:tcW w:w="5" w:type="pct"/>
            <w:shd w:val="clear" w:color="auto" w:fill="auto"/>
            <w:vAlign w:val="bottom"/>
          </w:tcPr>
          <w:p w14:paraId="098A972F" w14:textId="77777777" w:rsidR="00141CDF" w:rsidRDefault="00141CDF">
            <w:pPr>
              <w:rPr>
                <w:rFonts w:ascii="宋体"/>
              </w:rPr>
            </w:pPr>
          </w:p>
        </w:tc>
      </w:tr>
      <w:tr w:rsidR="00141CDF" w14:paraId="098A9738" w14:textId="77777777">
        <w:tc>
          <w:tcPr>
            <w:tcW w:w="0" w:type="auto"/>
            <w:gridSpan w:val="3"/>
            <w:shd w:val="clear" w:color="auto" w:fill="auto"/>
            <w:tcMar>
              <w:top w:w="40" w:type="dxa"/>
              <w:left w:w="20" w:type="dxa"/>
              <w:bottom w:w="40" w:type="dxa"/>
              <w:right w:w="20" w:type="dxa"/>
            </w:tcMar>
            <w:vAlign w:val="bottom"/>
          </w:tcPr>
          <w:p w14:paraId="098A9731" w14:textId="77777777" w:rsidR="00141CDF" w:rsidRDefault="00DF45E0">
            <w:pPr>
              <w:textAlignment w:val="bottom"/>
            </w:pPr>
            <w:r>
              <w:rPr>
                <w:rFonts w:ascii="Times New Roman" w:eastAsia="宋体" w:hAnsi="Times New Roman"/>
                <w:i/>
                <w:iCs/>
                <w:color w:val="000000"/>
                <w:sz w:val="16"/>
                <w:szCs w:val="16"/>
              </w:rPr>
              <w:t>(Amounts i</w:t>
            </w:r>
            <w:r>
              <w:rPr>
                <w:rFonts w:ascii="Times New Roman" w:eastAsia="宋体" w:hAnsi="Times New Roman"/>
                <w:i/>
                <w:iCs/>
                <w:color w:val="000000"/>
                <w:sz w:val="16"/>
                <w:szCs w:val="16"/>
              </w:rPr>
              <w:t>n millions)</w:t>
            </w:r>
          </w:p>
        </w:tc>
        <w:tc>
          <w:tcPr>
            <w:tcW w:w="0" w:type="auto"/>
            <w:gridSpan w:val="3"/>
            <w:shd w:val="clear" w:color="auto" w:fill="auto"/>
            <w:tcMar>
              <w:top w:w="0" w:type="dxa"/>
              <w:left w:w="20" w:type="dxa"/>
              <w:bottom w:w="0" w:type="dxa"/>
              <w:right w:w="20" w:type="dxa"/>
            </w:tcMar>
            <w:vAlign w:val="bottom"/>
          </w:tcPr>
          <w:p w14:paraId="098A9732"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9733" w14:textId="77777777" w:rsidR="00141CDF" w:rsidRDefault="00DF45E0">
            <w:pPr>
              <w:jc w:val="center"/>
              <w:textAlignment w:val="bottom"/>
            </w:pPr>
            <w:r>
              <w:rPr>
                <w:rFonts w:ascii="Times New Roman" w:eastAsia="宋体" w:hAnsi="Times New Roman"/>
                <w:b/>
                <w:bCs/>
                <w:color w:val="000000"/>
                <w:sz w:val="16"/>
                <w:szCs w:val="16"/>
              </w:rPr>
              <w:t>Long-term debt due within one year</w:t>
            </w:r>
          </w:p>
        </w:tc>
        <w:tc>
          <w:tcPr>
            <w:tcW w:w="0" w:type="auto"/>
            <w:gridSpan w:val="3"/>
            <w:shd w:val="clear" w:color="auto" w:fill="auto"/>
            <w:tcMar>
              <w:top w:w="0" w:type="dxa"/>
              <w:left w:w="20" w:type="dxa"/>
              <w:bottom w:w="0" w:type="dxa"/>
              <w:right w:w="20" w:type="dxa"/>
            </w:tcMar>
            <w:vAlign w:val="bottom"/>
          </w:tcPr>
          <w:p w14:paraId="098A9734"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9735" w14:textId="77777777" w:rsidR="00141CDF" w:rsidRDefault="00DF45E0">
            <w:pPr>
              <w:jc w:val="center"/>
              <w:textAlignment w:val="bottom"/>
            </w:pPr>
            <w:r>
              <w:rPr>
                <w:rFonts w:ascii="Times New Roman" w:eastAsia="宋体" w:hAnsi="Times New Roman"/>
                <w:b/>
                <w:bCs/>
                <w:color w:val="000000"/>
                <w:sz w:val="16"/>
                <w:szCs w:val="16"/>
              </w:rPr>
              <w:t>Long-term debt</w:t>
            </w:r>
          </w:p>
        </w:tc>
        <w:tc>
          <w:tcPr>
            <w:tcW w:w="0" w:type="auto"/>
            <w:gridSpan w:val="3"/>
            <w:shd w:val="clear" w:color="auto" w:fill="auto"/>
            <w:tcMar>
              <w:top w:w="0" w:type="dxa"/>
              <w:left w:w="20" w:type="dxa"/>
              <w:bottom w:w="0" w:type="dxa"/>
              <w:right w:w="20" w:type="dxa"/>
            </w:tcMar>
            <w:vAlign w:val="bottom"/>
          </w:tcPr>
          <w:p w14:paraId="098A9736"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9737" w14:textId="77777777" w:rsidR="00141CDF" w:rsidRDefault="00DF45E0">
            <w:pPr>
              <w:jc w:val="center"/>
              <w:textAlignment w:val="bottom"/>
            </w:pPr>
            <w:r>
              <w:rPr>
                <w:rFonts w:ascii="Times New Roman" w:eastAsia="宋体" w:hAnsi="Times New Roman"/>
                <w:b/>
                <w:bCs/>
                <w:color w:val="000000"/>
                <w:sz w:val="16"/>
                <w:szCs w:val="16"/>
              </w:rPr>
              <w:t>Total</w:t>
            </w:r>
          </w:p>
        </w:tc>
      </w:tr>
      <w:tr w:rsidR="00141CDF" w14:paraId="098A9746" w14:textId="77777777">
        <w:tc>
          <w:tcPr>
            <w:tcW w:w="0" w:type="auto"/>
            <w:gridSpan w:val="3"/>
            <w:shd w:val="clear" w:color="auto" w:fill="CCEEFF"/>
            <w:tcMar>
              <w:top w:w="40" w:type="dxa"/>
              <w:left w:w="20" w:type="dxa"/>
              <w:bottom w:w="40" w:type="dxa"/>
              <w:right w:w="20" w:type="dxa"/>
            </w:tcMar>
            <w:vAlign w:val="center"/>
          </w:tcPr>
          <w:p w14:paraId="098A9739" w14:textId="77777777" w:rsidR="00141CDF" w:rsidRDefault="00DF45E0">
            <w:pPr>
              <w:textAlignment w:val="center"/>
            </w:pPr>
            <w:r>
              <w:rPr>
                <w:rFonts w:ascii="Times New Roman" w:eastAsia="宋体" w:hAnsi="Times New Roman"/>
                <w:b/>
                <w:bCs/>
                <w:color w:val="000000"/>
                <w:sz w:val="16"/>
                <w:szCs w:val="16"/>
              </w:rPr>
              <w:t>Balances as of February 1, 2022</w:t>
            </w:r>
          </w:p>
        </w:tc>
        <w:tc>
          <w:tcPr>
            <w:tcW w:w="0" w:type="auto"/>
            <w:gridSpan w:val="3"/>
            <w:shd w:val="clear" w:color="auto" w:fill="CCEEFF"/>
            <w:tcMar>
              <w:top w:w="0" w:type="dxa"/>
              <w:left w:w="20" w:type="dxa"/>
              <w:bottom w:w="0" w:type="dxa"/>
              <w:right w:w="20" w:type="dxa"/>
            </w:tcMar>
            <w:vAlign w:val="bottom"/>
          </w:tcPr>
          <w:p w14:paraId="098A973A"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973B"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973C" w14:textId="77777777" w:rsidR="00141CDF" w:rsidRDefault="00DF45E0">
            <w:pPr>
              <w:jc w:val="right"/>
              <w:textAlignment w:val="center"/>
            </w:pPr>
            <w:r>
              <w:rPr>
                <w:rFonts w:ascii="Times New Roman" w:eastAsia="宋体" w:hAnsi="Times New Roman"/>
                <w:color w:val="000000"/>
                <w:sz w:val="16"/>
                <w:szCs w:val="16"/>
              </w:rPr>
              <w:t>2,803 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73D"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73E"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973F"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9740" w14:textId="77777777" w:rsidR="00141CDF" w:rsidRDefault="00DF45E0">
            <w:pPr>
              <w:jc w:val="right"/>
              <w:textAlignment w:val="center"/>
            </w:pPr>
            <w:r>
              <w:rPr>
                <w:rFonts w:ascii="Times New Roman" w:eastAsia="宋体" w:hAnsi="Times New Roman"/>
                <w:color w:val="000000"/>
                <w:sz w:val="16"/>
                <w:szCs w:val="16"/>
              </w:rPr>
              <w:t>34,864 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741"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742"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9743"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9744" w14:textId="77777777" w:rsidR="00141CDF" w:rsidRDefault="00DF45E0">
            <w:pPr>
              <w:jc w:val="right"/>
              <w:textAlignment w:val="center"/>
            </w:pPr>
            <w:r>
              <w:rPr>
                <w:rFonts w:ascii="Times New Roman" w:eastAsia="宋体" w:hAnsi="Times New Roman"/>
                <w:color w:val="000000"/>
                <w:sz w:val="16"/>
                <w:szCs w:val="16"/>
              </w:rPr>
              <w:t>37,667 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745" w14:textId="77777777" w:rsidR="00141CDF" w:rsidRDefault="00141CDF">
            <w:pPr>
              <w:jc w:val="right"/>
              <w:rPr>
                <w:rFonts w:ascii="宋体"/>
              </w:rPr>
            </w:pPr>
          </w:p>
        </w:tc>
      </w:tr>
      <w:tr w:rsidR="00141CDF" w14:paraId="098A974E" w14:textId="77777777">
        <w:trPr>
          <w:hidden/>
        </w:trPr>
        <w:tc>
          <w:tcPr>
            <w:tcW w:w="0" w:type="auto"/>
            <w:gridSpan w:val="3"/>
            <w:shd w:val="clear" w:color="auto" w:fill="auto"/>
            <w:vAlign w:val="bottom"/>
          </w:tcPr>
          <w:p w14:paraId="098A9747" w14:textId="77777777" w:rsidR="00141CDF" w:rsidRDefault="00141CDF">
            <w:pPr>
              <w:rPr>
                <w:rFonts w:ascii="宋体"/>
                <w:vanish/>
              </w:rPr>
            </w:pPr>
          </w:p>
        </w:tc>
        <w:tc>
          <w:tcPr>
            <w:tcW w:w="0" w:type="auto"/>
            <w:gridSpan w:val="3"/>
            <w:shd w:val="clear" w:color="auto" w:fill="auto"/>
            <w:vAlign w:val="bottom"/>
          </w:tcPr>
          <w:p w14:paraId="098A9748" w14:textId="77777777" w:rsidR="00141CDF" w:rsidRDefault="00141CDF">
            <w:pPr>
              <w:rPr>
                <w:rFonts w:ascii="宋体"/>
                <w:vanish/>
              </w:rPr>
            </w:pPr>
          </w:p>
        </w:tc>
        <w:tc>
          <w:tcPr>
            <w:tcW w:w="0" w:type="auto"/>
            <w:gridSpan w:val="3"/>
            <w:shd w:val="clear" w:color="auto" w:fill="auto"/>
            <w:vAlign w:val="bottom"/>
          </w:tcPr>
          <w:p w14:paraId="098A9749" w14:textId="77777777" w:rsidR="00141CDF" w:rsidRDefault="00141CDF">
            <w:pPr>
              <w:rPr>
                <w:rFonts w:ascii="宋体"/>
                <w:vanish/>
              </w:rPr>
            </w:pPr>
          </w:p>
        </w:tc>
        <w:tc>
          <w:tcPr>
            <w:tcW w:w="0" w:type="auto"/>
            <w:gridSpan w:val="3"/>
            <w:shd w:val="clear" w:color="auto" w:fill="auto"/>
            <w:vAlign w:val="bottom"/>
          </w:tcPr>
          <w:p w14:paraId="098A974A" w14:textId="77777777" w:rsidR="00141CDF" w:rsidRDefault="00141CDF">
            <w:pPr>
              <w:rPr>
                <w:rFonts w:ascii="宋体"/>
                <w:vanish/>
              </w:rPr>
            </w:pPr>
          </w:p>
        </w:tc>
        <w:tc>
          <w:tcPr>
            <w:tcW w:w="0" w:type="auto"/>
            <w:gridSpan w:val="3"/>
            <w:shd w:val="clear" w:color="auto" w:fill="auto"/>
            <w:vAlign w:val="bottom"/>
          </w:tcPr>
          <w:p w14:paraId="098A974B" w14:textId="77777777" w:rsidR="00141CDF" w:rsidRDefault="00141CDF">
            <w:pPr>
              <w:rPr>
                <w:rFonts w:ascii="宋体"/>
                <w:vanish/>
              </w:rPr>
            </w:pPr>
          </w:p>
        </w:tc>
        <w:tc>
          <w:tcPr>
            <w:tcW w:w="0" w:type="auto"/>
            <w:gridSpan w:val="3"/>
            <w:shd w:val="clear" w:color="auto" w:fill="auto"/>
            <w:vAlign w:val="bottom"/>
          </w:tcPr>
          <w:p w14:paraId="098A974C" w14:textId="77777777" w:rsidR="00141CDF" w:rsidRDefault="00141CDF">
            <w:pPr>
              <w:rPr>
                <w:rFonts w:ascii="宋体"/>
                <w:vanish/>
              </w:rPr>
            </w:pPr>
          </w:p>
        </w:tc>
        <w:tc>
          <w:tcPr>
            <w:tcW w:w="0" w:type="auto"/>
            <w:gridSpan w:val="3"/>
            <w:shd w:val="clear" w:color="auto" w:fill="auto"/>
            <w:vAlign w:val="bottom"/>
          </w:tcPr>
          <w:p w14:paraId="098A974D" w14:textId="77777777" w:rsidR="00141CDF" w:rsidRDefault="00141CDF">
            <w:pPr>
              <w:rPr>
                <w:rFonts w:ascii="宋体"/>
                <w:vanish/>
              </w:rPr>
            </w:pPr>
          </w:p>
        </w:tc>
      </w:tr>
      <w:tr w:rsidR="00141CDF" w14:paraId="098A9759" w14:textId="77777777">
        <w:tc>
          <w:tcPr>
            <w:tcW w:w="0" w:type="auto"/>
            <w:gridSpan w:val="3"/>
            <w:shd w:val="clear" w:color="auto" w:fill="FFFFFF"/>
            <w:tcMar>
              <w:top w:w="40" w:type="dxa"/>
              <w:left w:w="20" w:type="dxa"/>
              <w:bottom w:w="40" w:type="dxa"/>
              <w:right w:w="20" w:type="dxa"/>
            </w:tcMar>
            <w:vAlign w:val="center"/>
          </w:tcPr>
          <w:p w14:paraId="098A974F" w14:textId="77777777" w:rsidR="00141CDF" w:rsidRDefault="00DF45E0">
            <w:pPr>
              <w:textAlignment w:val="center"/>
            </w:pPr>
            <w:r>
              <w:rPr>
                <w:rFonts w:ascii="Times New Roman" w:eastAsia="宋体" w:hAnsi="Times New Roman"/>
                <w:color w:val="000000"/>
                <w:sz w:val="16"/>
                <w:szCs w:val="16"/>
              </w:rPr>
              <w:t>Repayments of long-term debt</w:t>
            </w:r>
          </w:p>
        </w:tc>
        <w:tc>
          <w:tcPr>
            <w:tcW w:w="0" w:type="auto"/>
            <w:gridSpan w:val="3"/>
            <w:shd w:val="clear" w:color="auto" w:fill="FFFFFF"/>
            <w:tcMar>
              <w:top w:w="0" w:type="dxa"/>
              <w:left w:w="20" w:type="dxa"/>
              <w:bottom w:w="0" w:type="dxa"/>
              <w:right w:w="20" w:type="dxa"/>
            </w:tcMar>
            <w:vAlign w:val="bottom"/>
          </w:tcPr>
          <w:p w14:paraId="098A9750"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751" w14:textId="77777777" w:rsidR="00141CDF" w:rsidRDefault="00DF45E0">
            <w:pPr>
              <w:jc w:val="right"/>
              <w:textAlignment w:val="center"/>
            </w:pPr>
            <w:r>
              <w:rPr>
                <w:rFonts w:ascii="Times New Roman" w:eastAsia="宋体" w:hAnsi="Times New Roman"/>
                <w:color w:val="000000"/>
                <w:sz w:val="16"/>
                <w:szCs w:val="16"/>
              </w:rPr>
              <w:t>(1,439)</w:t>
            </w:r>
          </w:p>
        </w:tc>
        <w:tc>
          <w:tcPr>
            <w:tcW w:w="0" w:type="auto"/>
            <w:shd w:val="clear" w:color="auto" w:fill="FFFFFF"/>
            <w:tcMar>
              <w:top w:w="40" w:type="dxa"/>
              <w:left w:w="0" w:type="dxa"/>
              <w:bottom w:w="40" w:type="dxa"/>
              <w:right w:w="20" w:type="dxa"/>
            </w:tcMar>
            <w:vAlign w:val="center"/>
          </w:tcPr>
          <w:p w14:paraId="098A9752"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753"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754"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9755"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756"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757" w14:textId="77777777" w:rsidR="00141CDF" w:rsidRDefault="00DF45E0">
            <w:pPr>
              <w:jc w:val="right"/>
              <w:textAlignment w:val="center"/>
            </w:pPr>
            <w:r>
              <w:rPr>
                <w:rFonts w:ascii="Times New Roman" w:eastAsia="宋体" w:hAnsi="Times New Roman"/>
                <w:color w:val="000000"/>
                <w:sz w:val="16"/>
                <w:szCs w:val="16"/>
              </w:rPr>
              <w:t>(1,439)</w:t>
            </w:r>
          </w:p>
        </w:tc>
        <w:tc>
          <w:tcPr>
            <w:tcW w:w="0" w:type="auto"/>
            <w:shd w:val="clear" w:color="auto" w:fill="FFFFFF"/>
            <w:tcMar>
              <w:top w:w="40" w:type="dxa"/>
              <w:left w:w="0" w:type="dxa"/>
              <w:bottom w:w="40" w:type="dxa"/>
              <w:right w:w="20" w:type="dxa"/>
            </w:tcMar>
            <w:vAlign w:val="center"/>
          </w:tcPr>
          <w:p w14:paraId="098A9758" w14:textId="77777777" w:rsidR="00141CDF" w:rsidRDefault="00141CDF">
            <w:pPr>
              <w:jc w:val="right"/>
              <w:rPr>
                <w:rFonts w:ascii="宋体"/>
              </w:rPr>
            </w:pPr>
          </w:p>
        </w:tc>
      </w:tr>
      <w:tr w:rsidR="00141CDF" w14:paraId="098A9764" w14:textId="77777777">
        <w:tc>
          <w:tcPr>
            <w:tcW w:w="0" w:type="auto"/>
            <w:gridSpan w:val="3"/>
            <w:shd w:val="clear" w:color="auto" w:fill="CCEEFF"/>
            <w:tcMar>
              <w:top w:w="40" w:type="dxa"/>
              <w:left w:w="20" w:type="dxa"/>
              <w:bottom w:w="40" w:type="dxa"/>
              <w:right w:w="20" w:type="dxa"/>
            </w:tcMar>
            <w:vAlign w:val="center"/>
          </w:tcPr>
          <w:p w14:paraId="098A975A" w14:textId="77777777" w:rsidR="00141CDF" w:rsidRDefault="00DF45E0">
            <w:pPr>
              <w:textAlignment w:val="center"/>
            </w:pPr>
            <w:r>
              <w:rPr>
                <w:rFonts w:ascii="Times New Roman" w:eastAsia="宋体" w:hAnsi="Times New Roman"/>
                <w:color w:val="000000"/>
                <w:sz w:val="16"/>
                <w:szCs w:val="16"/>
              </w:rPr>
              <w:t>Reclassifications of long-term debt</w:t>
            </w:r>
          </w:p>
        </w:tc>
        <w:tc>
          <w:tcPr>
            <w:tcW w:w="0" w:type="auto"/>
            <w:gridSpan w:val="3"/>
            <w:shd w:val="clear" w:color="auto" w:fill="CCEEFF"/>
            <w:tcMar>
              <w:top w:w="0" w:type="dxa"/>
              <w:left w:w="20" w:type="dxa"/>
              <w:bottom w:w="0" w:type="dxa"/>
              <w:right w:w="20" w:type="dxa"/>
            </w:tcMar>
            <w:vAlign w:val="bottom"/>
          </w:tcPr>
          <w:p w14:paraId="098A975B"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75C" w14:textId="77777777" w:rsidR="00141CDF" w:rsidRDefault="00DF45E0">
            <w:pPr>
              <w:jc w:val="right"/>
              <w:textAlignment w:val="center"/>
            </w:pPr>
            <w:r>
              <w:rPr>
                <w:rFonts w:ascii="Times New Roman" w:eastAsia="宋体" w:hAnsi="Times New Roman"/>
                <w:color w:val="000000"/>
                <w:sz w:val="16"/>
                <w:szCs w:val="16"/>
              </w:rPr>
              <w:t>4,030 </w:t>
            </w:r>
          </w:p>
        </w:tc>
        <w:tc>
          <w:tcPr>
            <w:tcW w:w="0" w:type="auto"/>
            <w:shd w:val="clear" w:color="auto" w:fill="CCEEFF"/>
            <w:tcMar>
              <w:top w:w="40" w:type="dxa"/>
              <w:left w:w="0" w:type="dxa"/>
              <w:bottom w:w="40" w:type="dxa"/>
              <w:right w:w="20" w:type="dxa"/>
            </w:tcMar>
            <w:vAlign w:val="center"/>
          </w:tcPr>
          <w:p w14:paraId="098A975D"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75E"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75F" w14:textId="77777777" w:rsidR="00141CDF" w:rsidRDefault="00DF45E0">
            <w:pPr>
              <w:jc w:val="right"/>
              <w:textAlignment w:val="center"/>
            </w:pPr>
            <w:r>
              <w:rPr>
                <w:rFonts w:ascii="Times New Roman" w:eastAsia="宋体" w:hAnsi="Times New Roman"/>
                <w:color w:val="000000"/>
                <w:sz w:val="16"/>
                <w:szCs w:val="16"/>
              </w:rPr>
              <w:t>(4,030)</w:t>
            </w:r>
          </w:p>
        </w:tc>
        <w:tc>
          <w:tcPr>
            <w:tcW w:w="0" w:type="auto"/>
            <w:shd w:val="clear" w:color="auto" w:fill="CCEEFF"/>
            <w:tcMar>
              <w:top w:w="40" w:type="dxa"/>
              <w:left w:w="0" w:type="dxa"/>
              <w:bottom w:w="40" w:type="dxa"/>
              <w:right w:w="20" w:type="dxa"/>
            </w:tcMar>
            <w:vAlign w:val="center"/>
          </w:tcPr>
          <w:p w14:paraId="098A9760"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761"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762"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098A9763" w14:textId="77777777" w:rsidR="00141CDF" w:rsidRDefault="00141CDF">
            <w:pPr>
              <w:jc w:val="right"/>
              <w:rPr>
                <w:rFonts w:ascii="宋体"/>
              </w:rPr>
            </w:pPr>
          </w:p>
        </w:tc>
      </w:tr>
      <w:tr w:rsidR="00141CDF" w14:paraId="098A976F" w14:textId="77777777">
        <w:tc>
          <w:tcPr>
            <w:tcW w:w="0" w:type="auto"/>
            <w:gridSpan w:val="3"/>
            <w:shd w:val="clear" w:color="auto" w:fill="FFFFFF"/>
            <w:tcMar>
              <w:top w:w="40" w:type="dxa"/>
              <w:left w:w="20" w:type="dxa"/>
              <w:bottom w:w="40" w:type="dxa"/>
              <w:right w:w="20" w:type="dxa"/>
            </w:tcMar>
            <w:vAlign w:val="bottom"/>
          </w:tcPr>
          <w:p w14:paraId="098A9765" w14:textId="77777777" w:rsidR="00141CDF" w:rsidRDefault="00DF45E0">
            <w:pPr>
              <w:textAlignment w:val="bottom"/>
            </w:pPr>
            <w:r>
              <w:rPr>
                <w:rFonts w:ascii="Times New Roman" w:eastAsia="宋体" w:hAnsi="Times New Roman"/>
                <w:color w:val="000000"/>
                <w:sz w:val="16"/>
                <w:szCs w:val="16"/>
              </w:rPr>
              <w:t>Other</w:t>
            </w:r>
          </w:p>
        </w:tc>
        <w:tc>
          <w:tcPr>
            <w:tcW w:w="0" w:type="auto"/>
            <w:gridSpan w:val="3"/>
            <w:shd w:val="clear" w:color="auto" w:fill="FFFFFF"/>
            <w:tcMar>
              <w:top w:w="0" w:type="dxa"/>
              <w:left w:w="20" w:type="dxa"/>
              <w:bottom w:w="0" w:type="dxa"/>
              <w:right w:w="20" w:type="dxa"/>
            </w:tcMar>
            <w:vAlign w:val="bottom"/>
          </w:tcPr>
          <w:p w14:paraId="098A9766"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767" w14:textId="77777777" w:rsidR="00141CDF" w:rsidRDefault="00DF45E0">
            <w:pPr>
              <w:jc w:val="right"/>
              <w:textAlignment w:val="center"/>
            </w:pPr>
            <w:r>
              <w:rPr>
                <w:rFonts w:ascii="Times New Roman" w:eastAsia="宋体" w:hAnsi="Times New Roman"/>
                <w:color w:val="000000"/>
                <w:sz w:val="16"/>
                <w:szCs w:val="16"/>
              </w:rPr>
              <w:t>(78)</w:t>
            </w:r>
          </w:p>
        </w:tc>
        <w:tc>
          <w:tcPr>
            <w:tcW w:w="0" w:type="auto"/>
            <w:shd w:val="clear" w:color="auto" w:fill="FFFFFF"/>
            <w:tcMar>
              <w:top w:w="40" w:type="dxa"/>
              <w:left w:w="0" w:type="dxa"/>
              <w:bottom w:w="40" w:type="dxa"/>
              <w:right w:w="20" w:type="dxa"/>
            </w:tcMar>
            <w:vAlign w:val="center"/>
          </w:tcPr>
          <w:p w14:paraId="098A9768"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769"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76A" w14:textId="77777777" w:rsidR="00141CDF" w:rsidRDefault="00DF45E0">
            <w:pPr>
              <w:jc w:val="right"/>
              <w:textAlignment w:val="center"/>
            </w:pPr>
            <w:r>
              <w:rPr>
                <w:rFonts w:ascii="Times New Roman" w:eastAsia="宋体" w:hAnsi="Times New Roman"/>
                <w:color w:val="000000"/>
                <w:sz w:val="16"/>
                <w:szCs w:val="16"/>
              </w:rPr>
              <w:t>(1,033)</w:t>
            </w:r>
          </w:p>
        </w:tc>
        <w:tc>
          <w:tcPr>
            <w:tcW w:w="0" w:type="auto"/>
            <w:shd w:val="clear" w:color="auto" w:fill="FFFFFF"/>
            <w:tcMar>
              <w:top w:w="40" w:type="dxa"/>
              <w:left w:w="0" w:type="dxa"/>
              <w:bottom w:w="40" w:type="dxa"/>
              <w:right w:w="20" w:type="dxa"/>
            </w:tcMar>
            <w:vAlign w:val="center"/>
          </w:tcPr>
          <w:p w14:paraId="098A976B"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76C"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76D" w14:textId="77777777" w:rsidR="00141CDF" w:rsidRDefault="00DF45E0">
            <w:pPr>
              <w:jc w:val="right"/>
              <w:textAlignment w:val="center"/>
            </w:pPr>
            <w:r>
              <w:rPr>
                <w:rFonts w:ascii="Times New Roman" w:eastAsia="宋体" w:hAnsi="Times New Roman"/>
                <w:color w:val="000000"/>
                <w:sz w:val="16"/>
                <w:szCs w:val="16"/>
              </w:rPr>
              <w:t>(1,111)</w:t>
            </w:r>
          </w:p>
        </w:tc>
        <w:tc>
          <w:tcPr>
            <w:tcW w:w="0" w:type="auto"/>
            <w:shd w:val="clear" w:color="auto" w:fill="FFFFFF"/>
            <w:tcMar>
              <w:top w:w="40" w:type="dxa"/>
              <w:left w:w="0" w:type="dxa"/>
              <w:bottom w:w="40" w:type="dxa"/>
              <w:right w:w="20" w:type="dxa"/>
            </w:tcMar>
            <w:vAlign w:val="center"/>
          </w:tcPr>
          <w:p w14:paraId="098A976E" w14:textId="77777777" w:rsidR="00141CDF" w:rsidRDefault="00141CDF">
            <w:pPr>
              <w:jc w:val="right"/>
              <w:rPr>
                <w:rFonts w:ascii="宋体"/>
              </w:rPr>
            </w:pPr>
          </w:p>
        </w:tc>
      </w:tr>
      <w:tr w:rsidR="00141CDF" w14:paraId="098A977D" w14:textId="77777777">
        <w:tc>
          <w:tcPr>
            <w:tcW w:w="0" w:type="auto"/>
            <w:gridSpan w:val="3"/>
            <w:shd w:val="clear" w:color="auto" w:fill="CCEEFF"/>
            <w:tcMar>
              <w:top w:w="40" w:type="dxa"/>
              <w:left w:w="20" w:type="dxa"/>
              <w:bottom w:w="40" w:type="dxa"/>
              <w:right w:w="20" w:type="dxa"/>
            </w:tcMar>
            <w:vAlign w:val="center"/>
          </w:tcPr>
          <w:p w14:paraId="098A9770" w14:textId="77777777" w:rsidR="00141CDF" w:rsidRDefault="00DF45E0">
            <w:pPr>
              <w:textAlignment w:val="center"/>
            </w:pPr>
            <w:r>
              <w:rPr>
                <w:rFonts w:ascii="Times New Roman" w:eastAsia="宋体" w:hAnsi="Times New Roman"/>
                <w:b/>
                <w:bCs/>
                <w:color w:val="000000"/>
                <w:sz w:val="16"/>
                <w:szCs w:val="16"/>
              </w:rPr>
              <w:t>Balance</w:t>
            </w:r>
            <w:r>
              <w:rPr>
                <w:rFonts w:ascii="Times New Roman" w:eastAsia="宋体" w:hAnsi="Times New Roman"/>
                <w:b/>
                <w:bCs/>
                <w:color w:val="000000"/>
                <w:sz w:val="16"/>
                <w:szCs w:val="16"/>
              </w:rPr>
              <w:t>s as of July 31, 2022</w:t>
            </w:r>
          </w:p>
        </w:tc>
        <w:tc>
          <w:tcPr>
            <w:tcW w:w="0" w:type="auto"/>
            <w:gridSpan w:val="3"/>
            <w:shd w:val="clear" w:color="auto" w:fill="CCEEFF"/>
            <w:tcMar>
              <w:top w:w="0" w:type="dxa"/>
              <w:left w:w="20" w:type="dxa"/>
              <w:bottom w:w="0" w:type="dxa"/>
              <w:right w:w="20" w:type="dxa"/>
            </w:tcMar>
            <w:vAlign w:val="bottom"/>
          </w:tcPr>
          <w:p w14:paraId="098A9771" w14:textId="77777777" w:rsidR="00141CDF" w:rsidRDefault="00141CD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98A9772"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98A9773" w14:textId="77777777" w:rsidR="00141CDF" w:rsidRDefault="00DF45E0">
            <w:pPr>
              <w:jc w:val="right"/>
              <w:textAlignment w:val="center"/>
            </w:pPr>
            <w:r>
              <w:rPr>
                <w:rFonts w:ascii="Times New Roman" w:eastAsia="宋体" w:hAnsi="Times New Roman"/>
                <w:color w:val="000000"/>
                <w:sz w:val="16"/>
                <w:szCs w:val="16"/>
              </w:rPr>
              <w:t>5,316 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98A9774"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775" w14:textId="77777777" w:rsidR="00141CDF" w:rsidRDefault="00141CD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98A9776"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98A9777" w14:textId="77777777" w:rsidR="00141CDF" w:rsidRDefault="00DF45E0">
            <w:pPr>
              <w:jc w:val="right"/>
              <w:textAlignment w:val="center"/>
            </w:pPr>
            <w:r>
              <w:rPr>
                <w:rFonts w:ascii="Times New Roman" w:eastAsia="宋体" w:hAnsi="Times New Roman"/>
                <w:color w:val="000000"/>
                <w:sz w:val="16"/>
                <w:szCs w:val="16"/>
              </w:rPr>
              <w:t>29,801 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98A9778"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779" w14:textId="77777777" w:rsidR="00141CDF" w:rsidRDefault="00141CD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98A977A"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98A977B" w14:textId="77777777" w:rsidR="00141CDF" w:rsidRDefault="00DF45E0">
            <w:pPr>
              <w:jc w:val="right"/>
              <w:textAlignment w:val="center"/>
            </w:pPr>
            <w:r>
              <w:rPr>
                <w:rFonts w:ascii="Times New Roman" w:eastAsia="宋体" w:hAnsi="Times New Roman"/>
                <w:color w:val="000000"/>
                <w:sz w:val="16"/>
                <w:szCs w:val="16"/>
              </w:rPr>
              <w:t>35,117 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98A977C" w14:textId="77777777" w:rsidR="00141CDF" w:rsidRDefault="00141CDF">
            <w:pPr>
              <w:jc w:val="right"/>
              <w:rPr>
                <w:rFonts w:ascii="宋体"/>
              </w:rPr>
            </w:pPr>
          </w:p>
        </w:tc>
      </w:tr>
    </w:tbl>
    <w:p w14:paraId="098A977E" w14:textId="77777777" w:rsidR="00141CDF" w:rsidRDefault="00DF45E0">
      <w:pPr>
        <w:spacing w:before="240"/>
      </w:pPr>
      <w:r>
        <w:rPr>
          <w:rFonts w:ascii="Times New Roman" w:eastAsia="宋体" w:hAnsi="Times New Roman"/>
          <w:b/>
          <w:bCs/>
          <w:color w:val="000000"/>
          <w:sz w:val="20"/>
          <w:szCs w:val="20"/>
        </w:rPr>
        <w:t>Note 5. Fair Value Measurements</w:t>
      </w:r>
    </w:p>
    <w:p w14:paraId="098A977F" w14:textId="77777777" w:rsidR="00141CDF" w:rsidRDefault="00DF45E0">
      <w:pPr>
        <w:spacing w:before="180"/>
      </w:pPr>
      <w:r>
        <w:rPr>
          <w:rFonts w:ascii="Times New Roman" w:eastAsia="宋体" w:hAnsi="Times New Roman"/>
          <w:color w:val="000000"/>
          <w:sz w:val="20"/>
          <w:szCs w:val="20"/>
        </w:rPr>
        <w:t>Assets and liabilities recorded at fair value are measured using the fair value hierarchy, which prioritizes the inputs used in measuri</w:t>
      </w:r>
      <w:r>
        <w:rPr>
          <w:rFonts w:ascii="Times New Roman" w:eastAsia="宋体" w:hAnsi="Times New Roman"/>
          <w:color w:val="000000"/>
          <w:sz w:val="20"/>
          <w:szCs w:val="20"/>
        </w:rPr>
        <w:t>ng fair value. The levels of the fair value hierarchy are:</w:t>
      </w:r>
    </w:p>
    <w:p w14:paraId="098A9780" w14:textId="77777777" w:rsidR="00141CDF" w:rsidRDefault="00DF45E0">
      <w:pPr>
        <w:spacing w:before="100"/>
        <w:ind w:hanging="360"/>
      </w:pPr>
      <w:r>
        <w:rPr>
          <w:rFonts w:ascii="Times New Roman" w:eastAsia="宋体" w:hAnsi="Times New Roman"/>
          <w:color w:val="000000"/>
          <w:sz w:val="20"/>
          <w:szCs w:val="20"/>
        </w:rPr>
        <w:t>•Level 1: observable inputs such as quoted prices in active markets;</w:t>
      </w:r>
    </w:p>
    <w:p w14:paraId="098A9781" w14:textId="77777777" w:rsidR="00141CDF" w:rsidRDefault="00DF45E0">
      <w:pPr>
        <w:spacing w:before="100"/>
        <w:ind w:hanging="360"/>
      </w:pPr>
      <w:r>
        <w:rPr>
          <w:rFonts w:ascii="Times New Roman" w:eastAsia="宋体" w:hAnsi="Times New Roman"/>
          <w:color w:val="000000"/>
          <w:sz w:val="20"/>
          <w:szCs w:val="20"/>
        </w:rPr>
        <w:t>•Level 2: inputs other than quoted prices in active markets that are either directly or indirectly observable; and</w:t>
      </w:r>
    </w:p>
    <w:p w14:paraId="098A9782" w14:textId="77777777" w:rsidR="00141CDF" w:rsidRDefault="00DF45E0">
      <w:pPr>
        <w:spacing w:before="100"/>
        <w:ind w:hanging="360"/>
      </w:pPr>
      <w:r>
        <w:rPr>
          <w:rFonts w:ascii="Times New Roman" w:eastAsia="宋体" w:hAnsi="Times New Roman"/>
          <w:color w:val="000000"/>
          <w:sz w:val="20"/>
          <w:szCs w:val="20"/>
        </w:rPr>
        <w:t xml:space="preserve">•Level 3: </w:t>
      </w:r>
      <w:r>
        <w:rPr>
          <w:rFonts w:ascii="Times New Roman" w:eastAsia="宋体" w:hAnsi="Times New Roman"/>
          <w:color w:val="000000"/>
          <w:sz w:val="20"/>
          <w:szCs w:val="20"/>
        </w:rPr>
        <w:t>unobservable inputs for which little or no market data exists, therefore requiring the Company to develop its own assumptions.</w:t>
      </w:r>
    </w:p>
    <w:p w14:paraId="098A9783" w14:textId="77777777" w:rsidR="00141CDF" w:rsidRDefault="00DF45E0">
      <w:pPr>
        <w:spacing w:before="100"/>
      </w:pPr>
      <w:r>
        <w:rPr>
          <w:rFonts w:ascii="Times New Roman" w:eastAsia="宋体" w:hAnsi="Times New Roman"/>
          <w:color w:val="000000"/>
          <w:sz w:val="20"/>
          <w:szCs w:val="20"/>
        </w:rPr>
        <w:t>The Company measures the fair value of certain equity investments, including certain equity method investments, on a recurring ba</w:t>
      </w:r>
      <w:r>
        <w:rPr>
          <w:rFonts w:ascii="Times New Roman" w:eastAsia="宋体" w:hAnsi="Times New Roman"/>
          <w:color w:val="000000"/>
          <w:sz w:val="20"/>
          <w:szCs w:val="20"/>
        </w:rPr>
        <w:t>sis in the accompanying Condensed Consolidated Balance Sheets. The fair value of these investments is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765"/>
        <w:gridCol w:w="37"/>
        <w:gridCol w:w="36"/>
        <w:gridCol w:w="36"/>
        <w:gridCol w:w="36"/>
        <w:gridCol w:w="36"/>
        <w:gridCol w:w="36"/>
        <w:gridCol w:w="36"/>
        <w:gridCol w:w="36"/>
        <w:gridCol w:w="36"/>
        <w:gridCol w:w="36"/>
        <w:gridCol w:w="100"/>
        <w:gridCol w:w="877"/>
        <w:gridCol w:w="36"/>
        <w:gridCol w:w="36"/>
        <w:gridCol w:w="36"/>
        <w:gridCol w:w="36"/>
        <w:gridCol w:w="36"/>
        <w:gridCol w:w="100"/>
        <w:gridCol w:w="879"/>
        <w:gridCol w:w="36"/>
      </w:tblGrid>
      <w:tr w:rsidR="00141CDF" w14:paraId="098A979A" w14:textId="77777777">
        <w:trPr>
          <w:jc w:val="center"/>
        </w:trPr>
        <w:tc>
          <w:tcPr>
            <w:tcW w:w="50" w:type="pct"/>
            <w:shd w:val="clear" w:color="auto" w:fill="auto"/>
            <w:vAlign w:val="bottom"/>
          </w:tcPr>
          <w:p w14:paraId="098A9784" w14:textId="77777777" w:rsidR="00141CDF" w:rsidRDefault="00141CDF">
            <w:pPr>
              <w:rPr>
                <w:rFonts w:ascii="宋体"/>
              </w:rPr>
            </w:pPr>
          </w:p>
        </w:tc>
        <w:tc>
          <w:tcPr>
            <w:tcW w:w="3614" w:type="pct"/>
            <w:shd w:val="clear" w:color="auto" w:fill="auto"/>
            <w:vAlign w:val="bottom"/>
          </w:tcPr>
          <w:p w14:paraId="098A9785" w14:textId="77777777" w:rsidR="00141CDF" w:rsidRDefault="00141CDF">
            <w:pPr>
              <w:rPr>
                <w:rFonts w:ascii="宋体"/>
              </w:rPr>
            </w:pPr>
          </w:p>
        </w:tc>
        <w:tc>
          <w:tcPr>
            <w:tcW w:w="5" w:type="pct"/>
            <w:shd w:val="clear" w:color="auto" w:fill="auto"/>
            <w:vAlign w:val="bottom"/>
          </w:tcPr>
          <w:p w14:paraId="098A9786" w14:textId="77777777" w:rsidR="00141CDF" w:rsidRDefault="00141CDF">
            <w:pPr>
              <w:rPr>
                <w:rFonts w:ascii="宋体"/>
              </w:rPr>
            </w:pPr>
          </w:p>
        </w:tc>
        <w:tc>
          <w:tcPr>
            <w:tcW w:w="0" w:type="auto"/>
            <w:shd w:val="clear" w:color="auto" w:fill="auto"/>
            <w:vAlign w:val="bottom"/>
          </w:tcPr>
          <w:p w14:paraId="098A9787" w14:textId="77777777" w:rsidR="00141CDF" w:rsidRDefault="00141CDF">
            <w:pPr>
              <w:rPr>
                <w:rFonts w:ascii="宋体"/>
                <w:vanish/>
              </w:rPr>
            </w:pPr>
          </w:p>
        </w:tc>
        <w:tc>
          <w:tcPr>
            <w:tcW w:w="0" w:type="auto"/>
            <w:shd w:val="clear" w:color="auto" w:fill="auto"/>
            <w:vAlign w:val="bottom"/>
          </w:tcPr>
          <w:p w14:paraId="098A9788" w14:textId="77777777" w:rsidR="00141CDF" w:rsidRDefault="00141CDF">
            <w:pPr>
              <w:rPr>
                <w:rFonts w:ascii="宋体"/>
                <w:vanish/>
              </w:rPr>
            </w:pPr>
          </w:p>
        </w:tc>
        <w:tc>
          <w:tcPr>
            <w:tcW w:w="0" w:type="auto"/>
            <w:shd w:val="clear" w:color="auto" w:fill="auto"/>
            <w:vAlign w:val="bottom"/>
          </w:tcPr>
          <w:p w14:paraId="098A9789" w14:textId="77777777" w:rsidR="00141CDF" w:rsidRDefault="00141CDF">
            <w:pPr>
              <w:rPr>
                <w:rFonts w:ascii="宋体"/>
                <w:vanish/>
              </w:rPr>
            </w:pPr>
          </w:p>
        </w:tc>
        <w:tc>
          <w:tcPr>
            <w:tcW w:w="0" w:type="auto"/>
            <w:shd w:val="clear" w:color="auto" w:fill="auto"/>
            <w:vAlign w:val="bottom"/>
          </w:tcPr>
          <w:p w14:paraId="098A978A" w14:textId="77777777" w:rsidR="00141CDF" w:rsidRDefault="00141CDF">
            <w:pPr>
              <w:rPr>
                <w:rFonts w:ascii="宋体"/>
                <w:vanish/>
              </w:rPr>
            </w:pPr>
          </w:p>
        </w:tc>
        <w:tc>
          <w:tcPr>
            <w:tcW w:w="0" w:type="auto"/>
            <w:shd w:val="clear" w:color="auto" w:fill="auto"/>
            <w:vAlign w:val="bottom"/>
          </w:tcPr>
          <w:p w14:paraId="098A978B" w14:textId="77777777" w:rsidR="00141CDF" w:rsidRDefault="00141CDF">
            <w:pPr>
              <w:rPr>
                <w:rFonts w:ascii="宋体"/>
                <w:vanish/>
              </w:rPr>
            </w:pPr>
          </w:p>
        </w:tc>
        <w:tc>
          <w:tcPr>
            <w:tcW w:w="0" w:type="auto"/>
            <w:shd w:val="clear" w:color="auto" w:fill="auto"/>
            <w:vAlign w:val="bottom"/>
          </w:tcPr>
          <w:p w14:paraId="098A978C" w14:textId="77777777" w:rsidR="00141CDF" w:rsidRDefault="00141CDF">
            <w:pPr>
              <w:rPr>
                <w:rFonts w:ascii="宋体"/>
                <w:vanish/>
              </w:rPr>
            </w:pPr>
          </w:p>
        </w:tc>
        <w:tc>
          <w:tcPr>
            <w:tcW w:w="5" w:type="pct"/>
            <w:shd w:val="clear" w:color="auto" w:fill="auto"/>
            <w:vAlign w:val="bottom"/>
          </w:tcPr>
          <w:p w14:paraId="098A978D" w14:textId="77777777" w:rsidR="00141CDF" w:rsidRDefault="00141CDF">
            <w:pPr>
              <w:rPr>
                <w:rFonts w:ascii="宋体"/>
              </w:rPr>
            </w:pPr>
          </w:p>
        </w:tc>
        <w:tc>
          <w:tcPr>
            <w:tcW w:w="19" w:type="pct"/>
            <w:shd w:val="clear" w:color="auto" w:fill="auto"/>
            <w:vAlign w:val="bottom"/>
          </w:tcPr>
          <w:p w14:paraId="098A978E" w14:textId="77777777" w:rsidR="00141CDF" w:rsidRDefault="00141CDF">
            <w:pPr>
              <w:rPr>
                <w:rFonts w:ascii="宋体"/>
              </w:rPr>
            </w:pPr>
          </w:p>
        </w:tc>
        <w:tc>
          <w:tcPr>
            <w:tcW w:w="5" w:type="pct"/>
            <w:shd w:val="clear" w:color="auto" w:fill="auto"/>
            <w:vAlign w:val="bottom"/>
          </w:tcPr>
          <w:p w14:paraId="098A978F" w14:textId="77777777" w:rsidR="00141CDF" w:rsidRDefault="00141CDF">
            <w:pPr>
              <w:rPr>
                <w:rFonts w:ascii="宋体"/>
              </w:rPr>
            </w:pPr>
          </w:p>
        </w:tc>
        <w:tc>
          <w:tcPr>
            <w:tcW w:w="50" w:type="pct"/>
            <w:shd w:val="clear" w:color="auto" w:fill="auto"/>
            <w:vAlign w:val="bottom"/>
          </w:tcPr>
          <w:p w14:paraId="098A9790" w14:textId="77777777" w:rsidR="00141CDF" w:rsidRDefault="00141CDF">
            <w:pPr>
              <w:rPr>
                <w:rFonts w:ascii="宋体"/>
              </w:rPr>
            </w:pPr>
          </w:p>
        </w:tc>
        <w:tc>
          <w:tcPr>
            <w:tcW w:w="580" w:type="pct"/>
            <w:shd w:val="clear" w:color="auto" w:fill="auto"/>
            <w:vAlign w:val="bottom"/>
          </w:tcPr>
          <w:p w14:paraId="098A9791" w14:textId="77777777" w:rsidR="00141CDF" w:rsidRDefault="00141CDF">
            <w:pPr>
              <w:rPr>
                <w:rFonts w:ascii="宋体"/>
              </w:rPr>
            </w:pPr>
          </w:p>
        </w:tc>
        <w:tc>
          <w:tcPr>
            <w:tcW w:w="5" w:type="pct"/>
            <w:shd w:val="clear" w:color="auto" w:fill="auto"/>
            <w:vAlign w:val="bottom"/>
          </w:tcPr>
          <w:p w14:paraId="098A9792" w14:textId="77777777" w:rsidR="00141CDF" w:rsidRDefault="00141CDF">
            <w:pPr>
              <w:rPr>
                <w:rFonts w:ascii="宋体"/>
              </w:rPr>
            </w:pPr>
          </w:p>
        </w:tc>
        <w:tc>
          <w:tcPr>
            <w:tcW w:w="5" w:type="pct"/>
            <w:shd w:val="clear" w:color="auto" w:fill="auto"/>
            <w:vAlign w:val="bottom"/>
          </w:tcPr>
          <w:p w14:paraId="098A9793" w14:textId="77777777" w:rsidR="00141CDF" w:rsidRDefault="00141CDF">
            <w:pPr>
              <w:rPr>
                <w:rFonts w:ascii="宋体"/>
              </w:rPr>
            </w:pPr>
          </w:p>
        </w:tc>
        <w:tc>
          <w:tcPr>
            <w:tcW w:w="19" w:type="pct"/>
            <w:shd w:val="clear" w:color="auto" w:fill="auto"/>
            <w:vAlign w:val="bottom"/>
          </w:tcPr>
          <w:p w14:paraId="098A9794" w14:textId="77777777" w:rsidR="00141CDF" w:rsidRDefault="00141CDF">
            <w:pPr>
              <w:rPr>
                <w:rFonts w:ascii="宋体"/>
              </w:rPr>
            </w:pPr>
          </w:p>
        </w:tc>
        <w:tc>
          <w:tcPr>
            <w:tcW w:w="5" w:type="pct"/>
            <w:shd w:val="clear" w:color="auto" w:fill="auto"/>
            <w:vAlign w:val="bottom"/>
          </w:tcPr>
          <w:p w14:paraId="098A9795" w14:textId="77777777" w:rsidR="00141CDF" w:rsidRDefault="00141CDF">
            <w:pPr>
              <w:rPr>
                <w:rFonts w:ascii="宋体"/>
              </w:rPr>
            </w:pPr>
          </w:p>
        </w:tc>
        <w:tc>
          <w:tcPr>
            <w:tcW w:w="0" w:type="auto"/>
            <w:shd w:val="clear" w:color="auto" w:fill="auto"/>
            <w:vAlign w:val="bottom"/>
          </w:tcPr>
          <w:p w14:paraId="098A9796" w14:textId="77777777" w:rsidR="00141CDF" w:rsidRDefault="00141CDF">
            <w:pPr>
              <w:rPr>
                <w:rFonts w:ascii="宋体"/>
                <w:vanish/>
              </w:rPr>
            </w:pPr>
          </w:p>
        </w:tc>
        <w:tc>
          <w:tcPr>
            <w:tcW w:w="50" w:type="pct"/>
            <w:shd w:val="clear" w:color="auto" w:fill="auto"/>
            <w:vAlign w:val="bottom"/>
          </w:tcPr>
          <w:p w14:paraId="098A9797" w14:textId="77777777" w:rsidR="00141CDF" w:rsidRDefault="00141CDF">
            <w:pPr>
              <w:rPr>
                <w:rFonts w:ascii="宋体"/>
              </w:rPr>
            </w:pPr>
          </w:p>
        </w:tc>
        <w:tc>
          <w:tcPr>
            <w:tcW w:w="581" w:type="pct"/>
            <w:shd w:val="clear" w:color="auto" w:fill="auto"/>
            <w:vAlign w:val="bottom"/>
          </w:tcPr>
          <w:p w14:paraId="098A9798" w14:textId="77777777" w:rsidR="00141CDF" w:rsidRDefault="00141CDF">
            <w:pPr>
              <w:rPr>
                <w:rFonts w:ascii="宋体"/>
              </w:rPr>
            </w:pPr>
          </w:p>
        </w:tc>
        <w:tc>
          <w:tcPr>
            <w:tcW w:w="5" w:type="pct"/>
            <w:shd w:val="clear" w:color="auto" w:fill="auto"/>
            <w:vAlign w:val="bottom"/>
          </w:tcPr>
          <w:p w14:paraId="098A9799" w14:textId="77777777" w:rsidR="00141CDF" w:rsidRDefault="00141CDF">
            <w:pPr>
              <w:rPr>
                <w:rFonts w:ascii="宋体"/>
              </w:rPr>
            </w:pPr>
          </w:p>
        </w:tc>
      </w:tr>
      <w:tr w:rsidR="00141CDF" w14:paraId="098A97A7" w14:textId="77777777">
        <w:trPr>
          <w:jc w:val="center"/>
        </w:trPr>
        <w:tc>
          <w:tcPr>
            <w:tcW w:w="0" w:type="auto"/>
            <w:gridSpan w:val="3"/>
            <w:shd w:val="clear" w:color="auto" w:fill="auto"/>
            <w:tcMar>
              <w:top w:w="40" w:type="dxa"/>
              <w:left w:w="20" w:type="dxa"/>
              <w:bottom w:w="40" w:type="dxa"/>
              <w:right w:w="20" w:type="dxa"/>
            </w:tcMar>
            <w:vAlign w:val="bottom"/>
          </w:tcPr>
          <w:p w14:paraId="098A979B" w14:textId="77777777" w:rsidR="00141CDF" w:rsidRDefault="00DF45E0">
            <w:pPr>
              <w:textAlignment w:val="bottom"/>
            </w:pPr>
            <w:r>
              <w:rPr>
                <w:rFonts w:ascii="Times New Roman" w:eastAsia="宋体" w:hAnsi="Times New Roman"/>
                <w:i/>
                <w:iCs/>
                <w:color w:val="000000"/>
                <w:sz w:val="16"/>
                <w:szCs w:val="16"/>
              </w:rPr>
              <w:t>(Amounts in millions)</w:t>
            </w:r>
          </w:p>
        </w:tc>
        <w:tc>
          <w:tcPr>
            <w:tcW w:w="0" w:type="auto"/>
            <w:shd w:val="clear" w:color="auto" w:fill="auto"/>
            <w:vAlign w:val="bottom"/>
          </w:tcPr>
          <w:p w14:paraId="098A979C" w14:textId="77777777" w:rsidR="00141CDF" w:rsidRDefault="00141CDF">
            <w:pPr>
              <w:rPr>
                <w:rFonts w:ascii="宋体"/>
                <w:vanish/>
              </w:rPr>
            </w:pPr>
          </w:p>
        </w:tc>
        <w:tc>
          <w:tcPr>
            <w:tcW w:w="0" w:type="auto"/>
            <w:shd w:val="clear" w:color="auto" w:fill="auto"/>
            <w:vAlign w:val="bottom"/>
          </w:tcPr>
          <w:p w14:paraId="098A979D" w14:textId="77777777" w:rsidR="00141CDF" w:rsidRDefault="00141CDF">
            <w:pPr>
              <w:rPr>
                <w:rFonts w:ascii="宋体"/>
                <w:vanish/>
              </w:rPr>
            </w:pPr>
          </w:p>
        </w:tc>
        <w:tc>
          <w:tcPr>
            <w:tcW w:w="0" w:type="auto"/>
            <w:shd w:val="clear" w:color="auto" w:fill="auto"/>
            <w:vAlign w:val="bottom"/>
          </w:tcPr>
          <w:p w14:paraId="098A979E" w14:textId="77777777" w:rsidR="00141CDF" w:rsidRDefault="00141CDF">
            <w:pPr>
              <w:rPr>
                <w:rFonts w:ascii="宋体"/>
                <w:vanish/>
              </w:rPr>
            </w:pPr>
          </w:p>
        </w:tc>
        <w:tc>
          <w:tcPr>
            <w:tcW w:w="0" w:type="auto"/>
            <w:shd w:val="clear" w:color="auto" w:fill="auto"/>
            <w:vAlign w:val="bottom"/>
          </w:tcPr>
          <w:p w14:paraId="098A979F" w14:textId="77777777" w:rsidR="00141CDF" w:rsidRDefault="00141CDF">
            <w:pPr>
              <w:rPr>
                <w:rFonts w:ascii="宋体"/>
                <w:vanish/>
              </w:rPr>
            </w:pPr>
          </w:p>
        </w:tc>
        <w:tc>
          <w:tcPr>
            <w:tcW w:w="0" w:type="auto"/>
            <w:shd w:val="clear" w:color="auto" w:fill="auto"/>
            <w:vAlign w:val="bottom"/>
          </w:tcPr>
          <w:p w14:paraId="098A97A0" w14:textId="77777777" w:rsidR="00141CDF" w:rsidRDefault="00141CDF">
            <w:pPr>
              <w:rPr>
                <w:rFonts w:ascii="宋体"/>
                <w:vanish/>
              </w:rPr>
            </w:pPr>
          </w:p>
        </w:tc>
        <w:tc>
          <w:tcPr>
            <w:tcW w:w="0" w:type="auto"/>
            <w:shd w:val="clear" w:color="auto" w:fill="auto"/>
            <w:vAlign w:val="bottom"/>
          </w:tcPr>
          <w:p w14:paraId="098A97A1" w14:textId="77777777" w:rsidR="00141CDF" w:rsidRDefault="00141CDF">
            <w:pPr>
              <w:rPr>
                <w:rFonts w:ascii="宋体"/>
                <w:vanish/>
              </w:rPr>
            </w:pPr>
          </w:p>
        </w:tc>
        <w:tc>
          <w:tcPr>
            <w:tcW w:w="0" w:type="auto"/>
            <w:gridSpan w:val="3"/>
            <w:shd w:val="clear" w:color="auto" w:fill="auto"/>
            <w:tcMar>
              <w:top w:w="0" w:type="dxa"/>
              <w:left w:w="20" w:type="dxa"/>
              <w:bottom w:w="0" w:type="dxa"/>
              <w:right w:w="20" w:type="dxa"/>
            </w:tcMar>
            <w:vAlign w:val="bottom"/>
          </w:tcPr>
          <w:p w14:paraId="098A97A2"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97A3" w14:textId="77777777" w:rsidR="00141CDF" w:rsidRDefault="00DF45E0">
            <w:pPr>
              <w:jc w:val="center"/>
              <w:textAlignment w:val="bottom"/>
            </w:pPr>
            <w:r>
              <w:rPr>
                <w:rFonts w:ascii="Times New Roman" w:eastAsia="宋体" w:hAnsi="Times New Roman"/>
                <w:b/>
                <w:bCs/>
                <w:color w:val="000000"/>
                <w:sz w:val="16"/>
                <w:szCs w:val="16"/>
              </w:rPr>
              <w:t>Fair Value as of July 31, 2022</w:t>
            </w:r>
          </w:p>
        </w:tc>
        <w:tc>
          <w:tcPr>
            <w:tcW w:w="0" w:type="auto"/>
            <w:gridSpan w:val="3"/>
            <w:shd w:val="clear" w:color="auto" w:fill="auto"/>
            <w:tcMar>
              <w:top w:w="0" w:type="dxa"/>
              <w:left w:w="20" w:type="dxa"/>
              <w:bottom w:w="0" w:type="dxa"/>
              <w:right w:w="20" w:type="dxa"/>
            </w:tcMar>
            <w:vAlign w:val="bottom"/>
          </w:tcPr>
          <w:p w14:paraId="098A97A4" w14:textId="77777777" w:rsidR="00141CDF" w:rsidRDefault="00141CDF">
            <w:pPr>
              <w:rPr>
                <w:rFonts w:ascii="宋体"/>
              </w:rPr>
            </w:pPr>
          </w:p>
        </w:tc>
        <w:tc>
          <w:tcPr>
            <w:tcW w:w="0" w:type="auto"/>
            <w:shd w:val="clear" w:color="auto" w:fill="auto"/>
            <w:vAlign w:val="bottom"/>
          </w:tcPr>
          <w:p w14:paraId="098A97A5" w14:textId="77777777" w:rsidR="00141CDF" w:rsidRDefault="00141CDF">
            <w:pPr>
              <w:rPr>
                <w:rFonts w:ascii="宋体"/>
                <w:vanish/>
              </w:rPr>
            </w:pPr>
          </w:p>
        </w:tc>
        <w:tc>
          <w:tcPr>
            <w:tcW w:w="0" w:type="auto"/>
            <w:gridSpan w:val="3"/>
            <w:shd w:val="clear" w:color="auto" w:fill="auto"/>
            <w:tcMar>
              <w:top w:w="40" w:type="dxa"/>
              <w:left w:w="20" w:type="dxa"/>
              <w:bottom w:w="40" w:type="dxa"/>
              <w:right w:w="20" w:type="dxa"/>
            </w:tcMar>
            <w:vAlign w:val="bottom"/>
          </w:tcPr>
          <w:p w14:paraId="098A97A6" w14:textId="77777777" w:rsidR="00141CDF" w:rsidRDefault="00DF45E0">
            <w:pPr>
              <w:jc w:val="center"/>
              <w:textAlignment w:val="bottom"/>
            </w:pPr>
            <w:r>
              <w:rPr>
                <w:rFonts w:ascii="Times New Roman" w:eastAsia="宋体" w:hAnsi="Times New Roman"/>
                <w:b/>
                <w:bCs/>
                <w:color w:val="000000"/>
                <w:sz w:val="16"/>
                <w:szCs w:val="16"/>
              </w:rPr>
              <w:t>Fair Value as of January 31, 2022</w:t>
            </w:r>
          </w:p>
        </w:tc>
      </w:tr>
      <w:tr w:rsidR="00141CDF" w14:paraId="098A97B8" w14:textId="77777777">
        <w:trPr>
          <w:jc w:val="center"/>
        </w:trPr>
        <w:tc>
          <w:tcPr>
            <w:tcW w:w="0" w:type="auto"/>
            <w:gridSpan w:val="3"/>
            <w:shd w:val="clear" w:color="auto" w:fill="CCEEFF"/>
            <w:tcMar>
              <w:top w:w="40" w:type="dxa"/>
              <w:left w:w="20" w:type="dxa"/>
              <w:bottom w:w="40" w:type="dxa"/>
              <w:right w:w="20" w:type="dxa"/>
            </w:tcMar>
            <w:vAlign w:val="bottom"/>
          </w:tcPr>
          <w:p w14:paraId="098A97A8" w14:textId="77777777" w:rsidR="00141CDF" w:rsidRDefault="00DF45E0">
            <w:pPr>
              <w:textAlignment w:val="bottom"/>
            </w:pPr>
            <w:r>
              <w:rPr>
                <w:rFonts w:ascii="Times New Roman" w:eastAsia="宋体" w:hAnsi="Times New Roman"/>
                <w:color w:val="000000"/>
                <w:sz w:val="16"/>
                <w:szCs w:val="16"/>
              </w:rPr>
              <w:t xml:space="preserve">Equity </w:t>
            </w:r>
            <w:r>
              <w:rPr>
                <w:rFonts w:ascii="Times New Roman" w:eastAsia="宋体" w:hAnsi="Times New Roman"/>
                <w:color w:val="000000"/>
                <w:sz w:val="16"/>
                <w:szCs w:val="16"/>
              </w:rPr>
              <w:t>investments measured using Level 1 inputs</w:t>
            </w:r>
          </w:p>
        </w:tc>
        <w:tc>
          <w:tcPr>
            <w:tcW w:w="0" w:type="auto"/>
            <w:shd w:val="clear" w:color="auto" w:fill="auto"/>
            <w:vAlign w:val="bottom"/>
          </w:tcPr>
          <w:p w14:paraId="098A97A9" w14:textId="77777777" w:rsidR="00141CDF" w:rsidRDefault="00141CDF">
            <w:pPr>
              <w:rPr>
                <w:rFonts w:ascii="宋体"/>
                <w:vanish/>
              </w:rPr>
            </w:pPr>
          </w:p>
        </w:tc>
        <w:tc>
          <w:tcPr>
            <w:tcW w:w="0" w:type="auto"/>
            <w:shd w:val="clear" w:color="auto" w:fill="auto"/>
            <w:vAlign w:val="bottom"/>
          </w:tcPr>
          <w:p w14:paraId="098A97AA" w14:textId="77777777" w:rsidR="00141CDF" w:rsidRDefault="00141CDF">
            <w:pPr>
              <w:rPr>
                <w:rFonts w:ascii="宋体"/>
                <w:vanish/>
              </w:rPr>
            </w:pPr>
          </w:p>
        </w:tc>
        <w:tc>
          <w:tcPr>
            <w:tcW w:w="0" w:type="auto"/>
            <w:shd w:val="clear" w:color="auto" w:fill="auto"/>
            <w:vAlign w:val="bottom"/>
          </w:tcPr>
          <w:p w14:paraId="098A97AB" w14:textId="77777777" w:rsidR="00141CDF" w:rsidRDefault="00141CDF">
            <w:pPr>
              <w:rPr>
                <w:rFonts w:ascii="宋体"/>
                <w:vanish/>
              </w:rPr>
            </w:pPr>
          </w:p>
        </w:tc>
        <w:tc>
          <w:tcPr>
            <w:tcW w:w="0" w:type="auto"/>
            <w:shd w:val="clear" w:color="auto" w:fill="auto"/>
            <w:vAlign w:val="bottom"/>
          </w:tcPr>
          <w:p w14:paraId="098A97AC" w14:textId="77777777" w:rsidR="00141CDF" w:rsidRDefault="00141CDF">
            <w:pPr>
              <w:rPr>
                <w:rFonts w:ascii="宋体"/>
                <w:vanish/>
              </w:rPr>
            </w:pPr>
          </w:p>
        </w:tc>
        <w:tc>
          <w:tcPr>
            <w:tcW w:w="0" w:type="auto"/>
            <w:shd w:val="clear" w:color="auto" w:fill="auto"/>
            <w:vAlign w:val="bottom"/>
          </w:tcPr>
          <w:p w14:paraId="098A97AD" w14:textId="77777777" w:rsidR="00141CDF" w:rsidRDefault="00141CDF">
            <w:pPr>
              <w:rPr>
                <w:rFonts w:ascii="宋体"/>
                <w:vanish/>
              </w:rPr>
            </w:pPr>
          </w:p>
        </w:tc>
        <w:tc>
          <w:tcPr>
            <w:tcW w:w="0" w:type="auto"/>
            <w:shd w:val="clear" w:color="auto" w:fill="auto"/>
            <w:vAlign w:val="bottom"/>
          </w:tcPr>
          <w:p w14:paraId="098A97AE" w14:textId="77777777" w:rsidR="00141CDF" w:rsidRDefault="00141CDF">
            <w:pPr>
              <w:rPr>
                <w:rFonts w:ascii="宋体"/>
                <w:vanish/>
              </w:rPr>
            </w:pPr>
          </w:p>
        </w:tc>
        <w:tc>
          <w:tcPr>
            <w:tcW w:w="0" w:type="auto"/>
            <w:gridSpan w:val="3"/>
            <w:shd w:val="clear" w:color="auto" w:fill="CCEEFF"/>
            <w:tcMar>
              <w:top w:w="0" w:type="dxa"/>
              <w:left w:w="20" w:type="dxa"/>
              <w:bottom w:w="0" w:type="dxa"/>
              <w:right w:w="20" w:type="dxa"/>
            </w:tcMar>
            <w:vAlign w:val="bottom"/>
          </w:tcPr>
          <w:p w14:paraId="098A97AF"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98A97B0" w14:textId="77777777" w:rsidR="00141CDF" w:rsidRDefault="00DF45E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98A97B1" w14:textId="77777777" w:rsidR="00141CDF" w:rsidRDefault="00DF45E0">
            <w:pPr>
              <w:jc w:val="right"/>
              <w:textAlignment w:val="bottom"/>
            </w:pPr>
            <w:r>
              <w:rPr>
                <w:rFonts w:ascii="Times New Roman" w:eastAsia="宋体" w:hAnsi="Times New Roman"/>
                <w:color w:val="000000"/>
                <w:sz w:val="16"/>
                <w:szCs w:val="16"/>
              </w:rPr>
              <w:t>4,773 </w:t>
            </w:r>
          </w:p>
        </w:tc>
        <w:tc>
          <w:tcPr>
            <w:tcW w:w="0" w:type="auto"/>
            <w:tcBorders>
              <w:top w:val="single" w:sz="8" w:space="0" w:color="000000"/>
            </w:tcBorders>
            <w:shd w:val="clear" w:color="auto" w:fill="CCEEFF"/>
            <w:tcMar>
              <w:top w:w="40" w:type="dxa"/>
              <w:left w:w="0" w:type="dxa"/>
              <w:bottom w:w="40" w:type="dxa"/>
              <w:right w:w="20" w:type="dxa"/>
            </w:tcMar>
            <w:vAlign w:val="bottom"/>
          </w:tcPr>
          <w:p w14:paraId="098A97B2"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7B3" w14:textId="77777777" w:rsidR="00141CDF" w:rsidRDefault="00141CDF">
            <w:pPr>
              <w:rPr>
                <w:rFonts w:ascii="宋体"/>
              </w:rPr>
            </w:pPr>
          </w:p>
        </w:tc>
        <w:tc>
          <w:tcPr>
            <w:tcW w:w="0" w:type="auto"/>
            <w:shd w:val="clear" w:color="auto" w:fill="auto"/>
            <w:vAlign w:val="bottom"/>
          </w:tcPr>
          <w:p w14:paraId="098A97B4" w14:textId="77777777" w:rsidR="00141CDF" w:rsidRDefault="00141CDF">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98A97B5" w14:textId="77777777" w:rsidR="00141CDF" w:rsidRDefault="00DF45E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98A97B6" w14:textId="77777777" w:rsidR="00141CDF" w:rsidRDefault="00DF45E0">
            <w:pPr>
              <w:jc w:val="right"/>
              <w:textAlignment w:val="bottom"/>
            </w:pPr>
            <w:r>
              <w:rPr>
                <w:rFonts w:ascii="Times New Roman" w:eastAsia="宋体" w:hAnsi="Times New Roman"/>
                <w:color w:val="000000"/>
                <w:sz w:val="16"/>
                <w:szCs w:val="16"/>
              </w:rPr>
              <w:t>6,069 </w:t>
            </w:r>
          </w:p>
        </w:tc>
        <w:tc>
          <w:tcPr>
            <w:tcW w:w="0" w:type="auto"/>
            <w:tcBorders>
              <w:top w:val="single" w:sz="8" w:space="0" w:color="000000"/>
            </w:tcBorders>
            <w:shd w:val="clear" w:color="auto" w:fill="CCEEFF"/>
            <w:tcMar>
              <w:top w:w="40" w:type="dxa"/>
              <w:left w:w="0" w:type="dxa"/>
              <w:bottom w:w="40" w:type="dxa"/>
              <w:right w:w="20" w:type="dxa"/>
            </w:tcMar>
            <w:vAlign w:val="bottom"/>
          </w:tcPr>
          <w:p w14:paraId="098A97B7" w14:textId="77777777" w:rsidR="00141CDF" w:rsidRDefault="00141CDF">
            <w:pPr>
              <w:jc w:val="right"/>
              <w:rPr>
                <w:rFonts w:ascii="宋体"/>
              </w:rPr>
            </w:pPr>
          </w:p>
        </w:tc>
      </w:tr>
      <w:tr w:rsidR="00141CDF" w14:paraId="098A97C7" w14:textId="77777777">
        <w:trPr>
          <w:jc w:val="center"/>
        </w:trPr>
        <w:tc>
          <w:tcPr>
            <w:tcW w:w="0" w:type="auto"/>
            <w:gridSpan w:val="3"/>
            <w:shd w:val="clear" w:color="auto" w:fill="FFFFFF"/>
            <w:tcMar>
              <w:top w:w="40" w:type="dxa"/>
              <w:left w:w="20" w:type="dxa"/>
              <w:bottom w:w="40" w:type="dxa"/>
              <w:right w:w="20" w:type="dxa"/>
            </w:tcMar>
            <w:vAlign w:val="bottom"/>
          </w:tcPr>
          <w:p w14:paraId="098A97B9" w14:textId="77777777" w:rsidR="00141CDF" w:rsidRDefault="00DF45E0">
            <w:pPr>
              <w:textAlignment w:val="bottom"/>
            </w:pPr>
            <w:r>
              <w:rPr>
                <w:rFonts w:ascii="Times New Roman" w:eastAsia="宋体" w:hAnsi="Times New Roman"/>
                <w:color w:val="000000"/>
                <w:sz w:val="16"/>
                <w:szCs w:val="16"/>
              </w:rPr>
              <w:t>Equity investments measured using Level 2 inputs</w:t>
            </w:r>
          </w:p>
        </w:tc>
        <w:tc>
          <w:tcPr>
            <w:tcW w:w="0" w:type="auto"/>
            <w:shd w:val="clear" w:color="auto" w:fill="auto"/>
            <w:vAlign w:val="bottom"/>
          </w:tcPr>
          <w:p w14:paraId="098A97BA" w14:textId="77777777" w:rsidR="00141CDF" w:rsidRDefault="00141CDF">
            <w:pPr>
              <w:rPr>
                <w:rFonts w:ascii="宋体"/>
                <w:vanish/>
              </w:rPr>
            </w:pPr>
          </w:p>
        </w:tc>
        <w:tc>
          <w:tcPr>
            <w:tcW w:w="0" w:type="auto"/>
            <w:shd w:val="clear" w:color="auto" w:fill="auto"/>
            <w:vAlign w:val="bottom"/>
          </w:tcPr>
          <w:p w14:paraId="098A97BB" w14:textId="77777777" w:rsidR="00141CDF" w:rsidRDefault="00141CDF">
            <w:pPr>
              <w:rPr>
                <w:rFonts w:ascii="宋体"/>
                <w:vanish/>
              </w:rPr>
            </w:pPr>
          </w:p>
        </w:tc>
        <w:tc>
          <w:tcPr>
            <w:tcW w:w="0" w:type="auto"/>
            <w:shd w:val="clear" w:color="auto" w:fill="auto"/>
            <w:vAlign w:val="bottom"/>
          </w:tcPr>
          <w:p w14:paraId="098A97BC" w14:textId="77777777" w:rsidR="00141CDF" w:rsidRDefault="00141CDF">
            <w:pPr>
              <w:rPr>
                <w:rFonts w:ascii="宋体"/>
                <w:vanish/>
              </w:rPr>
            </w:pPr>
          </w:p>
        </w:tc>
        <w:tc>
          <w:tcPr>
            <w:tcW w:w="0" w:type="auto"/>
            <w:shd w:val="clear" w:color="auto" w:fill="auto"/>
            <w:vAlign w:val="bottom"/>
          </w:tcPr>
          <w:p w14:paraId="098A97BD" w14:textId="77777777" w:rsidR="00141CDF" w:rsidRDefault="00141CDF">
            <w:pPr>
              <w:rPr>
                <w:rFonts w:ascii="宋体"/>
                <w:vanish/>
              </w:rPr>
            </w:pPr>
          </w:p>
        </w:tc>
        <w:tc>
          <w:tcPr>
            <w:tcW w:w="0" w:type="auto"/>
            <w:shd w:val="clear" w:color="auto" w:fill="auto"/>
            <w:vAlign w:val="bottom"/>
          </w:tcPr>
          <w:p w14:paraId="098A97BE" w14:textId="77777777" w:rsidR="00141CDF" w:rsidRDefault="00141CDF">
            <w:pPr>
              <w:rPr>
                <w:rFonts w:ascii="宋体"/>
                <w:vanish/>
              </w:rPr>
            </w:pPr>
          </w:p>
        </w:tc>
        <w:tc>
          <w:tcPr>
            <w:tcW w:w="0" w:type="auto"/>
            <w:shd w:val="clear" w:color="auto" w:fill="auto"/>
            <w:vAlign w:val="bottom"/>
          </w:tcPr>
          <w:p w14:paraId="098A97BF" w14:textId="77777777" w:rsidR="00141CDF" w:rsidRDefault="00141CDF">
            <w:pPr>
              <w:rPr>
                <w:rFonts w:ascii="宋体"/>
                <w:vanish/>
              </w:rPr>
            </w:pPr>
          </w:p>
        </w:tc>
        <w:tc>
          <w:tcPr>
            <w:tcW w:w="0" w:type="auto"/>
            <w:gridSpan w:val="3"/>
            <w:shd w:val="clear" w:color="auto" w:fill="FFFFFF"/>
            <w:tcMar>
              <w:top w:w="0" w:type="dxa"/>
              <w:left w:w="20" w:type="dxa"/>
              <w:bottom w:w="0" w:type="dxa"/>
              <w:right w:w="20" w:type="dxa"/>
            </w:tcMar>
            <w:vAlign w:val="bottom"/>
          </w:tcPr>
          <w:p w14:paraId="098A97C0"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bottom"/>
          </w:tcPr>
          <w:p w14:paraId="098A97C1" w14:textId="77777777" w:rsidR="00141CDF" w:rsidRDefault="00DF45E0">
            <w:pPr>
              <w:jc w:val="right"/>
              <w:textAlignment w:val="bottom"/>
            </w:pPr>
            <w:r>
              <w:rPr>
                <w:rFonts w:ascii="Times New Roman" w:eastAsia="宋体" w:hAnsi="Times New Roman"/>
                <w:color w:val="000000"/>
                <w:sz w:val="16"/>
                <w:szCs w:val="16"/>
              </w:rPr>
              <w:t>5,919 </w:t>
            </w:r>
          </w:p>
        </w:tc>
        <w:tc>
          <w:tcPr>
            <w:tcW w:w="0" w:type="auto"/>
            <w:shd w:val="clear" w:color="auto" w:fill="FFFFFF"/>
            <w:tcMar>
              <w:top w:w="40" w:type="dxa"/>
              <w:left w:w="0" w:type="dxa"/>
              <w:bottom w:w="40" w:type="dxa"/>
              <w:right w:w="20" w:type="dxa"/>
            </w:tcMar>
            <w:vAlign w:val="bottom"/>
          </w:tcPr>
          <w:p w14:paraId="098A97C2"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7C3" w14:textId="77777777" w:rsidR="00141CDF" w:rsidRDefault="00141CDF">
            <w:pPr>
              <w:rPr>
                <w:rFonts w:ascii="宋体"/>
              </w:rPr>
            </w:pPr>
          </w:p>
        </w:tc>
        <w:tc>
          <w:tcPr>
            <w:tcW w:w="0" w:type="auto"/>
            <w:shd w:val="clear" w:color="auto" w:fill="auto"/>
            <w:vAlign w:val="bottom"/>
          </w:tcPr>
          <w:p w14:paraId="098A97C4" w14:textId="77777777" w:rsidR="00141CDF" w:rsidRDefault="00141CDF">
            <w:pPr>
              <w:rPr>
                <w:rFonts w:ascii="宋体"/>
                <w:vanish/>
              </w:rPr>
            </w:pPr>
          </w:p>
        </w:tc>
        <w:tc>
          <w:tcPr>
            <w:tcW w:w="0" w:type="auto"/>
            <w:gridSpan w:val="2"/>
            <w:shd w:val="clear" w:color="auto" w:fill="FFFFFF"/>
            <w:tcMar>
              <w:top w:w="40" w:type="dxa"/>
              <w:left w:w="20" w:type="dxa"/>
              <w:bottom w:w="40" w:type="dxa"/>
              <w:right w:w="0" w:type="dxa"/>
            </w:tcMar>
            <w:vAlign w:val="bottom"/>
          </w:tcPr>
          <w:p w14:paraId="098A97C5" w14:textId="77777777" w:rsidR="00141CDF" w:rsidRDefault="00DF45E0">
            <w:pPr>
              <w:jc w:val="right"/>
              <w:textAlignment w:val="bottom"/>
            </w:pPr>
            <w:r>
              <w:rPr>
                <w:rFonts w:ascii="Times New Roman" w:eastAsia="宋体" w:hAnsi="Times New Roman"/>
                <w:color w:val="000000"/>
                <w:sz w:val="16"/>
                <w:szCs w:val="16"/>
              </w:rPr>
              <w:t>5,819 </w:t>
            </w:r>
          </w:p>
        </w:tc>
        <w:tc>
          <w:tcPr>
            <w:tcW w:w="0" w:type="auto"/>
            <w:shd w:val="clear" w:color="auto" w:fill="FFFFFF"/>
            <w:tcMar>
              <w:top w:w="40" w:type="dxa"/>
              <w:left w:w="0" w:type="dxa"/>
              <w:bottom w:w="40" w:type="dxa"/>
              <w:right w:w="20" w:type="dxa"/>
            </w:tcMar>
            <w:vAlign w:val="bottom"/>
          </w:tcPr>
          <w:p w14:paraId="098A97C6" w14:textId="77777777" w:rsidR="00141CDF" w:rsidRDefault="00141CDF">
            <w:pPr>
              <w:jc w:val="right"/>
              <w:rPr>
                <w:rFonts w:ascii="宋体"/>
              </w:rPr>
            </w:pPr>
          </w:p>
        </w:tc>
      </w:tr>
      <w:tr w:rsidR="00141CDF" w14:paraId="098A97D4" w14:textId="77777777">
        <w:trPr>
          <w:jc w:val="center"/>
          <w:hidden/>
        </w:trPr>
        <w:tc>
          <w:tcPr>
            <w:tcW w:w="0" w:type="auto"/>
            <w:gridSpan w:val="3"/>
            <w:shd w:val="clear" w:color="auto" w:fill="auto"/>
            <w:vAlign w:val="bottom"/>
          </w:tcPr>
          <w:p w14:paraId="098A97C8" w14:textId="77777777" w:rsidR="00141CDF" w:rsidRDefault="00141CDF">
            <w:pPr>
              <w:rPr>
                <w:rFonts w:ascii="宋体"/>
                <w:vanish/>
              </w:rPr>
            </w:pPr>
          </w:p>
        </w:tc>
        <w:tc>
          <w:tcPr>
            <w:tcW w:w="0" w:type="auto"/>
            <w:shd w:val="clear" w:color="auto" w:fill="auto"/>
            <w:vAlign w:val="bottom"/>
          </w:tcPr>
          <w:p w14:paraId="098A97C9" w14:textId="77777777" w:rsidR="00141CDF" w:rsidRDefault="00141CDF">
            <w:pPr>
              <w:rPr>
                <w:rFonts w:ascii="宋体"/>
                <w:vanish/>
              </w:rPr>
            </w:pPr>
          </w:p>
        </w:tc>
        <w:tc>
          <w:tcPr>
            <w:tcW w:w="0" w:type="auto"/>
            <w:shd w:val="clear" w:color="auto" w:fill="auto"/>
            <w:vAlign w:val="bottom"/>
          </w:tcPr>
          <w:p w14:paraId="098A97CA" w14:textId="77777777" w:rsidR="00141CDF" w:rsidRDefault="00141CDF">
            <w:pPr>
              <w:rPr>
                <w:rFonts w:ascii="宋体"/>
                <w:vanish/>
              </w:rPr>
            </w:pPr>
          </w:p>
        </w:tc>
        <w:tc>
          <w:tcPr>
            <w:tcW w:w="0" w:type="auto"/>
            <w:shd w:val="clear" w:color="auto" w:fill="auto"/>
            <w:vAlign w:val="bottom"/>
          </w:tcPr>
          <w:p w14:paraId="098A97CB" w14:textId="77777777" w:rsidR="00141CDF" w:rsidRDefault="00141CDF">
            <w:pPr>
              <w:rPr>
                <w:rFonts w:ascii="宋体"/>
                <w:vanish/>
              </w:rPr>
            </w:pPr>
          </w:p>
        </w:tc>
        <w:tc>
          <w:tcPr>
            <w:tcW w:w="0" w:type="auto"/>
            <w:shd w:val="clear" w:color="auto" w:fill="auto"/>
            <w:vAlign w:val="bottom"/>
          </w:tcPr>
          <w:p w14:paraId="098A97CC" w14:textId="77777777" w:rsidR="00141CDF" w:rsidRDefault="00141CDF">
            <w:pPr>
              <w:rPr>
                <w:rFonts w:ascii="宋体"/>
                <w:vanish/>
              </w:rPr>
            </w:pPr>
          </w:p>
        </w:tc>
        <w:tc>
          <w:tcPr>
            <w:tcW w:w="0" w:type="auto"/>
            <w:shd w:val="clear" w:color="auto" w:fill="auto"/>
            <w:vAlign w:val="bottom"/>
          </w:tcPr>
          <w:p w14:paraId="098A97CD" w14:textId="77777777" w:rsidR="00141CDF" w:rsidRDefault="00141CDF">
            <w:pPr>
              <w:rPr>
                <w:rFonts w:ascii="宋体"/>
                <w:vanish/>
              </w:rPr>
            </w:pPr>
          </w:p>
        </w:tc>
        <w:tc>
          <w:tcPr>
            <w:tcW w:w="0" w:type="auto"/>
            <w:shd w:val="clear" w:color="auto" w:fill="auto"/>
            <w:vAlign w:val="bottom"/>
          </w:tcPr>
          <w:p w14:paraId="098A97CE" w14:textId="77777777" w:rsidR="00141CDF" w:rsidRDefault="00141CDF">
            <w:pPr>
              <w:rPr>
                <w:rFonts w:ascii="宋体"/>
                <w:vanish/>
              </w:rPr>
            </w:pPr>
          </w:p>
        </w:tc>
        <w:tc>
          <w:tcPr>
            <w:tcW w:w="0" w:type="auto"/>
            <w:gridSpan w:val="3"/>
            <w:shd w:val="clear" w:color="auto" w:fill="auto"/>
            <w:vAlign w:val="bottom"/>
          </w:tcPr>
          <w:p w14:paraId="098A97CF" w14:textId="77777777" w:rsidR="00141CDF" w:rsidRDefault="00141CDF">
            <w:pPr>
              <w:rPr>
                <w:rFonts w:ascii="宋体"/>
                <w:vanish/>
              </w:rPr>
            </w:pPr>
          </w:p>
        </w:tc>
        <w:tc>
          <w:tcPr>
            <w:tcW w:w="0" w:type="auto"/>
            <w:gridSpan w:val="3"/>
            <w:shd w:val="clear" w:color="auto" w:fill="auto"/>
            <w:vAlign w:val="bottom"/>
          </w:tcPr>
          <w:p w14:paraId="098A97D0" w14:textId="77777777" w:rsidR="00141CDF" w:rsidRDefault="00141CDF">
            <w:pPr>
              <w:rPr>
                <w:rFonts w:ascii="宋体"/>
                <w:vanish/>
              </w:rPr>
            </w:pPr>
          </w:p>
        </w:tc>
        <w:tc>
          <w:tcPr>
            <w:tcW w:w="0" w:type="auto"/>
            <w:gridSpan w:val="3"/>
            <w:shd w:val="clear" w:color="auto" w:fill="auto"/>
            <w:vAlign w:val="bottom"/>
          </w:tcPr>
          <w:p w14:paraId="098A97D1" w14:textId="77777777" w:rsidR="00141CDF" w:rsidRDefault="00141CDF">
            <w:pPr>
              <w:rPr>
                <w:rFonts w:ascii="宋体"/>
                <w:vanish/>
              </w:rPr>
            </w:pPr>
          </w:p>
        </w:tc>
        <w:tc>
          <w:tcPr>
            <w:tcW w:w="0" w:type="auto"/>
            <w:shd w:val="clear" w:color="auto" w:fill="auto"/>
            <w:vAlign w:val="bottom"/>
          </w:tcPr>
          <w:p w14:paraId="098A97D2" w14:textId="77777777" w:rsidR="00141CDF" w:rsidRDefault="00141CDF">
            <w:pPr>
              <w:rPr>
                <w:rFonts w:ascii="宋体"/>
                <w:vanish/>
              </w:rPr>
            </w:pPr>
          </w:p>
        </w:tc>
        <w:tc>
          <w:tcPr>
            <w:tcW w:w="0" w:type="auto"/>
            <w:gridSpan w:val="3"/>
            <w:shd w:val="clear" w:color="auto" w:fill="auto"/>
            <w:vAlign w:val="bottom"/>
          </w:tcPr>
          <w:p w14:paraId="098A97D3" w14:textId="77777777" w:rsidR="00141CDF" w:rsidRDefault="00141CDF">
            <w:pPr>
              <w:rPr>
                <w:rFonts w:ascii="宋体"/>
                <w:vanish/>
              </w:rPr>
            </w:pPr>
          </w:p>
        </w:tc>
      </w:tr>
      <w:tr w:rsidR="00141CDF" w14:paraId="098A97E5" w14:textId="77777777">
        <w:trPr>
          <w:jc w:val="center"/>
        </w:trPr>
        <w:tc>
          <w:tcPr>
            <w:tcW w:w="0" w:type="auto"/>
            <w:gridSpan w:val="3"/>
            <w:shd w:val="clear" w:color="auto" w:fill="CCEEFF"/>
            <w:tcMar>
              <w:top w:w="40" w:type="dxa"/>
              <w:left w:w="20" w:type="dxa"/>
              <w:bottom w:w="40" w:type="dxa"/>
              <w:right w:w="20" w:type="dxa"/>
            </w:tcMar>
          </w:tcPr>
          <w:p w14:paraId="098A97D5" w14:textId="77777777" w:rsidR="00141CDF" w:rsidRDefault="00DF45E0">
            <w:pPr>
              <w:textAlignment w:val="top"/>
            </w:pPr>
            <w:r>
              <w:rPr>
                <w:rFonts w:ascii="Times New Roman" w:eastAsia="宋体" w:hAnsi="Times New Roman"/>
                <w:b/>
                <w:bCs/>
                <w:color w:val="000000"/>
                <w:sz w:val="16"/>
                <w:szCs w:val="16"/>
              </w:rPr>
              <w:t>Total</w:t>
            </w:r>
          </w:p>
        </w:tc>
        <w:tc>
          <w:tcPr>
            <w:tcW w:w="0" w:type="auto"/>
            <w:shd w:val="clear" w:color="auto" w:fill="auto"/>
            <w:vAlign w:val="bottom"/>
          </w:tcPr>
          <w:p w14:paraId="098A97D6" w14:textId="77777777" w:rsidR="00141CDF" w:rsidRDefault="00141CDF">
            <w:pPr>
              <w:rPr>
                <w:rFonts w:ascii="宋体"/>
                <w:vanish/>
              </w:rPr>
            </w:pPr>
          </w:p>
        </w:tc>
        <w:tc>
          <w:tcPr>
            <w:tcW w:w="0" w:type="auto"/>
            <w:shd w:val="clear" w:color="auto" w:fill="auto"/>
            <w:vAlign w:val="bottom"/>
          </w:tcPr>
          <w:p w14:paraId="098A97D7" w14:textId="77777777" w:rsidR="00141CDF" w:rsidRDefault="00141CDF">
            <w:pPr>
              <w:rPr>
                <w:rFonts w:ascii="宋体"/>
                <w:vanish/>
              </w:rPr>
            </w:pPr>
          </w:p>
        </w:tc>
        <w:tc>
          <w:tcPr>
            <w:tcW w:w="0" w:type="auto"/>
            <w:shd w:val="clear" w:color="auto" w:fill="auto"/>
            <w:vAlign w:val="bottom"/>
          </w:tcPr>
          <w:p w14:paraId="098A97D8" w14:textId="77777777" w:rsidR="00141CDF" w:rsidRDefault="00141CDF">
            <w:pPr>
              <w:rPr>
                <w:rFonts w:ascii="宋体"/>
                <w:vanish/>
              </w:rPr>
            </w:pPr>
          </w:p>
        </w:tc>
        <w:tc>
          <w:tcPr>
            <w:tcW w:w="0" w:type="auto"/>
            <w:shd w:val="clear" w:color="auto" w:fill="auto"/>
            <w:vAlign w:val="bottom"/>
          </w:tcPr>
          <w:p w14:paraId="098A97D9" w14:textId="77777777" w:rsidR="00141CDF" w:rsidRDefault="00141CDF">
            <w:pPr>
              <w:rPr>
                <w:rFonts w:ascii="宋体"/>
                <w:vanish/>
              </w:rPr>
            </w:pPr>
          </w:p>
        </w:tc>
        <w:tc>
          <w:tcPr>
            <w:tcW w:w="0" w:type="auto"/>
            <w:shd w:val="clear" w:color="auto" w:fill="auto"/>
            <w:vAlign w:val="bottom"/>
          </w:tcPr>
          <w:p w14:paraId="098A97DA" w14:textId="77777777" w:rsidR="00141CDF" w:rsidRDefault="00141CDF">
            <w:pPr>
              <w:rPr>
                <w:rFonts w:ascii="宋体"/>
                <w:vanish/>
              </w:rPr>
            </w:pPr>
          </w:p>
        </w:tc>
        <w:tc>
          <w:tcPr>
            <w:tcW w:w="0" w:type="auto"/>
            <w:shd w:val="clear" w:color="auto" w:fill="auto"/>
            <w:vAlign w:val="bottom"/>
          </w:tcPr>
          <w:p w14:paraId="098A97DB" w14:textId="77777777" w:rsidR="00141CDF" w:rsidRDefault="00141CDF">
            <w:pPr>
              <w:rPr>
                <w:rFonts w:ascii="宋体"/>
                <w:vanish/>
              </w:rPr>
            </w:pPr>
          </w:p>
        </w:tc>
        <w:tc>
          <w:tcPr>
            <w:tcW w:w="0" w:type="auto"/>
            <w:gridSpan w:val="3"/>
            <w:shd w:val="clear" w:color="auto" w:fill="CCEEFF"/>
            <w:tcMar>
              <w:top w:w="0" w:type="dxa"/>
              <w:left w:w="20" w:type="dxa"/>
              <w:bottom w:w="0" w:type="dxa"/>
              <w:right w:w="20" w:type="dxa"/>
            </w:tcMar>
            <w:vAlign w:val="bottom"/>
          </w:tcPr>
          <w:p w14:paraId="098A97DC" w14:textId="77777777" w:rsidR="00141CDF" w:rsidRDefault="00141CD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98A97DD" w14:textId="77777777" w:rsidR="00141CDF" w:rsidRDefault="00DF45E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98A97DE" w14:textId="77777777" w:rsidR="00141CDF" w:rsidRDefault="00DF45E0">
            <w:pPr>
              <w:jc w:val="right"/>
              <w:textAlignment w:val="bottom"/>
            </w:pPr>
            <w:r>
              <w:rPr>
                <w:rFonts w:ascii="Times New Roman" w:eastAsia="宋体" w:hAnsi="Times New Roman"/>
                <w:color w:val="000000"/>
                <w:sz w:val="16"/>
                <w:szCs w:val="16"/>
              </w:rPr>
              <w:t>10,692 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98A97DF"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7E0" w14:textId="77777777" w:rsidR="00141CDF" w:rsidRDefault="00141CDF">
            <w:pPr>
              <w:rPr>
                <w:rFonts w:ascii="宋体"/>
              </w:rPr>
            </w:pPr>
          </w:p>
        </w:tc>
        <w:tc>
          <w:tcPr>
            <w:tcW w:w="0" w:type="auto"/>
            <w:shd w:val="clear" w:color="auto" w:fill="auto"/>
            <w:vAlign w:val="bottom"/>
          </w:tcPr>
          <w:p w14:paraId="098A97E1" w14:textId="77777777" w:rsidR="00141CDF" w:rsidRDefault="00141CDF">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98A97E2" w14:textId="77777777" w:rsidR="00141CDF" w:rsidRDefault="00DF45E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98A97E3" w14:textId="77777777" w:rsidR="00141CDF" w:rsidRDefault="00DF45E0">
            <w:pPr>
              <w:jc w:val="right"/>
              <w:textAlignment w:val="bottom"/>
            </w:pPr>
            <w:r>
              <w:rPr>
                <w:rFonts w:ascii="Times New Roman" w:eastAsia="宋体" w:hAnsi="Times New Roman"/>
                <w:color w:val="000000"/>
                <w:sz w:val="16"/>
                <w:szCs w:val="16"/>
              </w:rPr>
              <w:t>11,888 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98A97E4" w14:textId="77777777" w:rsidR="00141CDF" w:rsidRDefault="00141CDF">
            <w:pPr>
              <w:jc w:val="right"/>
              <w:rPr>
                <w:rFonts w:ascii="宋体"/>
              </w:rPr>
            </w:pPr>
          </w:p>
        </w:tc>
      </w:tr>
    </w:tbl>
    <w:p w14:paraId="098A97E6" w14:textId="77777777" w:rsidR="00141CDF" w:rsidRDefault="00DF45E0">
      <w:pPr>
        <w:spacing w:before="100"/>
      </w:pPr>
      <w:r>
        <w:rPr>
          <w:rFonts w:ascii="Times New Roman" w:eastAsia="宋体" w:hAnsi="Times New Roman"/>
          <w:i/>
          <w:iCs/>
          <w:color w:val="000000"/>
          <w:sz w:val="20"/>
          <w:szCs w:val="20"/>
        </w:rPr>
        <w:t>Derivatives</w:t>
      </w:r>
    </w:p>
    <w:p w14:paraId="098A97E7" w14:textId="77777777" w:rsidR="00141CDF" w:rsidRDefault="00DF45E0">
      <w:pPr>
        <w:spacing w:before="100"/>
      </w:pPr>
      <w:r>
        <w:rPr>
          <w:rFonts w:ascii="Times New Roman" w:eastAsia="宋体" w:hAnsi="Times New Roman"/>
          <w:color w:val="000000"/>
          <w:sz w:val="20"/>
          <w:szCs w:val="20"/>
        </w:rPr>
        <w:t>The Company also has derivatives recorded at fair value. Derivative fair values are the estimated amounts the Company would receive or pay upon termination of the related derivative agreements as of the reporting dates. T</w:t>
      </w:r>
      <w:r>
        <w:rPr>
          <w:rFonts w:ascii="Times New Roman" w:eastAsia="宋体" w:hAnsi="Times New Roman"/>
          <w:color w:val="000000"/>
          <w:sz w:val="20"/>
          <w:szCs w:val="20"/>
        </w:rPr>
        <w:t>he fair values have been measured using the income approach and Level 2 inputs, which include the relevant interest rate and foreign currency forward curves. As of July 31, 2022 and January 31, 2022, the notional amounts and fair values of these derivative</w:t>
      </w:r>
      <w:r>
        <w:rPr>
          <w:rFonts w:ascii="Times New Roman" w:eastAsia="宋体" w:hAnsi="Times New Roman"/>
          <w:color w:val="000000"/>
          <w:sz w:val="20"/>
          <w:szCs w:val="20"/>
        </w:rPr>
        <w:t>s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5033"/>
        <w:gridCol w:w="38"/>
        <w:gridCol w:w="101"/>
        <w:gridCol w:w="537"/>
        <w:gridCol w:w="36"/>
        <w:gridCol w:w="36"/>
        <w:gridCol w:w="36"/>
        <w:gridCol w:w="36"/>
        <w:gridCol w:w="100"/>
        <w:gridCol w:w="467"/>
        <w:gridCol w:w="36"/>
        <w:gridCol w:w="37"/>
        <w:gridCol w:w="144"/>
        <w:gridCol w:w="36"/>
        <w:gridCol w:w="101"/>
        <w:gridCol w:w="534"/>
        <w:gridCol w:w="36"/>
        <w:gridCol w:w="36"/>
        <w:gridCol w:w="36"/>
        <w:gridCol w:w="36"/>
        <w:gridCol w:w="100"/>
        <w:gridCol w:w="492"/>
        <w:gridCol w:w="36"/>
        <w:gridCol w:w="37"/>
        <w:gridCol w:w="144"/>
        <w:gridCol w:w="36"/>
      </w:tblGrid>
      <w:tr w:rsidR="00141CDF" w14:paraId="098A9803" w14:textId="77777777">
        <w:tc>
          <w:tcPr>
            <w:tcW w:w="50" w:type="pct"/>
            <w:shd w:val="clear" w:color="auto" w:fill="auto"/>
            <w:vAlign w:val="bottom"/>
          </w:tcPr>
          <w:p w14:paraId="098A97E8" w14:textId="77777777" w:rsidR="00141CDF" w:rsidRDefault="00141CDF">
            <w:pPr>
              <w:rPr>
                <w:rFonts w:ascii="宋体"/>
              </w:rPr>
            </w:pPr>
          </w:p>
        </w:tc>
        <w:tc>
          <w:tcPr>
            <w:tcW w:w="3051" w:type="pct"/>
            <w:shd w:val="clear" w:color="auto" w:fill="auto"/>
            <w:vAlign w:val="bottom"/>
          </w:tcPr>
          <w:p w14:paraId="098A97E9" w14:textId="77777777" w:rsidR="00141CDF" w:rsidRDefault="00141CDF">
            <w:pPr>
              <w:rPr>
                <w:rFonts w:ascii="宋体"/>
              </w:rPr>
            </w:pPr>
          </w:p>
        </w:tc>
        <w:tc>
          <w:tcPr>
            <w:tcW w:w="5" w:type="pct"/>
            <w:shd w:val="clear" w:color="auto" w:fill="auto"/>
            <w:vAlign w:val="bottom"/>
          </w:tcPr>
          <w:p w14:paraId="098A97EA" w14:textId="77777777" w:rsidR="00141CDF" w:rsidRDefault="00141CDF">
            <w:pPr>
              <w:rPr>
                <w:rFonts w:ascii="宋体"/>
              </w:rPr>
            </w:pPr>
          </w:p>
        </w:tc>
        <w:tc>
          <w:tcPr>
            <w:tcW w:w="50" w:type="pct"/>
            <w:shd w:val="clear" w:color="auto" w:fill="auto"/>
            <w:vAlign w:val="bottom"/>
          </w:tcPr>
          <w:p w14:paraId="098A97EB" w14:textId="77777777" w:rsidR="00141CDF" w:rsidRDefault="00141CDF">
            <w:pPr>
              <w:rPr>
                <w:rFonts w:ascii="宋体"/>
              </w:rPr>
            </w:pPr>
          </w:p>
        </w:tc>
        <w:tc>
          <w:tcPr>
            <w:tcW w:w="332" w:type="pct"/>
            <w:shd w:val="clear" w:color="auto" w:fill="auto"/>
            <w:vAlign w:val="bottom"/>
          </w:tcPr>
          <w:p w14:paraId="098A97EC" w14:textId="77777777" w:rsidR="00141CDF" w:rsidRDefault="00141CDF">
            <w:pPr>
              <w:rPr>
                <w:rFonts w:ascii="宋体"/>
              </w:rPr>
            </w:pPr>
          </w:p>
        </w:tc>
        <w:tc>
          <w:tcPr>
            <w:tcW w:w="5" w:type="pct"/>
            <w:shd w:val="clear" w:color="auto" w:fill="auto"/>
            <w:vAlign w:val="bottom"/>
          </w:tcPr>
          <w:p w14:paraId="098A97ED" w14:textId="77777777" w:rsidR="00141CDF" w:rsidRDefault="00141CDF">
            <w:pPr>
              <w:rPr>
                <w:rFonts w:ascii="宋体"/>
              </w:rPr>
            </w:pPr>
          </w:p>
        </w:tc>
        <w:tc>
          <w:tcPr>
            <w:tcW w:w="5" w:type="pct"/>
            <w:shd w:val="clear" w:color="auto" w:fill="auto"/>
            <w:vAlign w:val="bottom"/>
          </w:tcPr>
          <w:p w14:paraId="098A97EE" w14:textId="77777777" w:rsidR="00141CDF" w:rsidRDefault="00141CDF">
            <w:pPr>
              <w:rPr>
                <w:rFonts w:ascii="宋体"/>
              </w:rPr>
            </w:pPr>
          </w:p>
        </w:tc>
        <w:tc>
          <w:tcPr>
            <w:tcW w:w="26" w:type="pct"/>
            <w:shd w:val="clear" w:color="auto" w:fill="auto"/>
            <w:vAlign w:val="bottom"/>
          </w:tcPr>
          <w:p w14:paraId="098A97EF" w14:textId="77777777" w:rsidR="00141CDF" w:rsidRDefault="00141CDF">
            <w:pPr>
              <w:rPr>
                <w:rFonts w:ascii="宋体"/>
              </w:rPr>
            </w:pPr>
          </w:p>
        </w:tc>
        <w:tc>
          <w:tcPr>
            <w:tcW w:w="5" w:type="pct"/>
            <w:shd w:val="clear" w:color="auto" w:fill="auto"/>
            <w:vAlign w:val="bottom"/>
          </w:tcPr>
          <w:p w14:paraId="098A97F0" w14:textId="77777777" w:rsidR="00141CDF" w:rsidRDefault="00141CDF">
            <w:pPr>
              <w:rPr>
                <w:rFonts w:ascii="宋体"/>
              </w:rPr>
            </w:pPr>
          </w:p>
        </w:tc>
        <w:tc>
          <w:tcPr>
            <w:tcW w:w="50" w:type="pct"/>
            <w:shd w:val="clear" w:color="auto" w:fill="auto"/>
            <w:vAlign w:val="bottom"/>
          </w:tcPr>
          <w:p w14:paraId="098A97F1" w14:textId="77777777" w:rsidR="00141CDF" w:rsidRDefault="00141CDF">
            <w:pPr>
              <w:rPr>
                <w:rFonts w:ascii="宋体"/>
              </w:rPr>
            </w:pPr>
          </w:p>
        </w:tc>
        <w:tc>
          <w:tcPr>
            <w:tcW w:w="354" w:type="pct"/>
            <w:shd w:val="clear" w:color="auto" w:fill="auto"/>
            <w:vAlign w:val="bottom"/>
          </w:tcPr>
          <w:p w14:paraId="098A97F2" w14:textId="77777777" w:rsidR="00141CDF" w:rsidRDefault="00141CDF">
            <w:pPr>
              <w:rPr>
                <w:rFonts w:ascii="宋体"/>
              </w:rPr>
            </w:pPr>
          </w:p>
        </w:tc>
        <w:tc>
          <w:tcPr>
            <w:tcW w:w="5" w:type="pct"/>
            <w:shd w:val="clear" w:color="auto" w:fill="auto"/>
            <w:vAlign w:val="bottom"/>
          </w:tcPr>
          <w:p w14:paraId="098A97F3" w14:textId="77777777" w:rsidR="00141CDF" w:rsidRDefault="00141CDF">
            <w:pPr>
              <w:rPr>
                <w:rFonts w:ascii="宋体"/>
              </w:rPr>
            </w:pPr>
          </w:p>
        </w:tc>
        <w:tc>
          <w:tcPr>
            <w:tcW w:w="5" w:type="pct"/>
            <w:shd w:val="clear" w:color="auto" w:fill="auto"/>
            <w:vAlign w:val="bottom"/>
          </w:tcPr>
          <w:p w14:paraId="098A97F4" w14:textId="77777777" w:rsidR="00141CDF" w:rsidRDefault="00141CDF">
            <w:pPr>
              <w:rPr>
                <w:rFonts w:ascii="宋体"/>
              </w:rPr>
            </w:pPr>
          </w:p>
        </w:tc>
        <w:tc>
          <w:tcPr>
            <w:tcW w:w="106" w:type="pct"/>
            <w:shd w:val="clear" w:color="auto" w:fill="auto"/>
            <w:vAlign w:val="bottom"/>
          </w:tcPr>
          <w:p w14:paraId="098A97F5" w14:textId="77777777" w:rsidR="00141CDF" w:rsidRDefault="00141CDF">
            <w:pPr>
              <w:rPr>
                <w:rFonts w:ascii="宋体"/>
              </w:rPr>
            </w:pPr>
          </w:p>
        </w:tc>
        <w:tc>
          <w:tcPr>
            <w:tcW w:w="5" w:type="pct"/>
            <w:shd w:val="clear" w:color="auto" w:fill="auto"/>
            <w:vAlign w:val="bottom"/>
          </w:tcPr>
          <w:p w14:paraId="098A97F6" w14:textId="77777777" w:rsidR="00141CDF" w:rsidRDefault="00141CDF">
            <w:pPr>
              <w:rPr>
                <w:rFonts w:ascii="宋体"/>
              </w:rPr>
            </w:pPr>
          </w:p>
        </w:tc>
        <w:tc>
          <w:tcPr>
            <w:tcW w:w="50" w:type="pct"/>
            <w:shd w:val="clear" w:color="auto" w:fill="auto"/>
            <w:vAlign w:val="bottom"/>
          </w:tcPr>
          <w:p w14:paraId="098A97F7" w14:textId="77777777" w:rsidR="00141CDF" w:rsidRDefault="00141CDF">
            <w:pPr>
              <w:rPr>
                <w:rFonts w:ascii="宋体"/>
              </w:rPr>
            </w:pPr>
          </w:p>
        </w:tc>
        <w:tc>
          <w:tcPr>
            <w:tcW w:w="317" w:type="pct"/>
            <w:shd w:val="clear" w:color="auto" w:fill="auto"/>
            <w:vAlign w:val="bottom"/>
          </w:tcPr>
          <w:p w14:paraId="098A97F8" w14:textId="77777777" w:rsidR="00141CDF" w:rsidRDefault="00141CDF">
            <w:pPr>
              <w:rPr>
                <w:rFonts w:ascii="宋体"/>
              </w:rPr>
            </w:pPr>
          </w:p>
        </w:tc>
        <w:tc>
          <w:tcPr>
            <w:tcW w:w="5" w:type="pct"/>
            <w:shd w:val="clear" w:color="auto" w:fill="auto"/>
            <w:vAlign w:val="bottom"/>
          </w:tcPr>
          <w:p w14:paraId="098A97F9" w14:textId="77777777" w:rsidR="00141CDF" w:rsidRDefault="00141CDF">
            <w:pPr>
              <w:rPr>
                <w:rFonts w:ascii="宋体"/>
              </w:rPr>
            </w:pPr>
          </w:p>
        </w:tc>
        <w:tc>
          <w:tcPr>
            <w:tcW w:w="5" w:type="pct"/>
            <w:shd w:val="clear" w:color="auto" w:fill="auto"/>
            <w:vAlign w:val="bottom"/>
          </w:tcPr>
          <w:p w14:paraId="098A97FA" w14:textId="77777777" w:rsidR="00141CDF" w:rsidRDefault="00141CDF">
            <w:pPr>
              <w:rPr>
                <w:rFonts w:ascii="宋体"/>
              </w:rPr>
            </w:pPr>
          </w:p>
        </w:tc>
        <w:tc>
          <w:tcPr>
            <w:tcW w:w="26" w:type="pct"/>
            <w:shd w:val="clear" w:color="auto" w:fill="auto"/>
            <w:vAlign w:val="bottom"/>
          </w:tcPr>
          <w:p w14:paraId="098A97FB" w14:textId="77777777" w:rsidR="00141CDF" w:rsidRDefault="00141CDF">
            <w:pPr>
              <w:rPr>
                <w:rFonts w:ascii="宋体"/>
              </w:rPr>
            </w:pPr>
          </w:p>
        </w:tc>
        <w:tc>
          <w:tcPr>
            <w:tcW w:w="5" w:type="pct"/>
            <w:shd w:val="clear" w:color="auto" w:fill="auto"/>
            <w:vAlign w:val="bottom"/>
          </w:tcPr>
          <w:p w14:paraId="098A97FC" w14:textId="77777777" w:rsidR="00141CDF" w:rsidRDefault="00141CDF">
            <w:pPr>
              <w:rPr>
                <w:rFonts w:ascii="宋体"/>
              </w:rPr>
            </w:pPr>
          </w:p>
        </w:tc>
        <w:tc>
          <w:tcPr>
            <w:tcW w:w="50" w:type="pct"/>
            <w:shd w:val="clear" w:color="auto" w:fill="auto"/>
            <w:vAlign w:val="bottom"/>
          </w:tcPr>
          <w:p w14:paraId="098A97FD" w14:textId="77777777" w:rsidR="00141CDF" w:rsidRDefault="00141CDF">
            <w:pPr>
              <w:rPr>
                <w:rFonts w:ascii="宋体"/>
              </w:rPr>
            </w:pPr>
          </w:p>
        </w:tc>
        <w:tc>
          <w:tcPr>
            <w:tcW w:w="361" w:type="pct"/>
            <w:shd w:val="clear" w:color="auto" w:fill="auto"/>
            <w:vAlign w:val="bottom"/>
          </w:tcPr>
          <w:p w14:paraId="098A97FE" w14:textId="77777777" w:rsidR="00141CDF" w:rsidRDefault="00141CDF">
            <w:pPr>
              <w:rPr>
                <w:rFonts w:ascii="宋体"/>
              </w:rPr>
            </w:pPr>
          </w:p>
        </w:tc>
        <w:tc>
          <w:tcPr>
            <w:tcW w:w="5" w:type="pct"/>
            <w:shd w:val="clear" w:color="auto" w:fill="auto"/>
            <w:vAlign w:val="bottom"/>
          </w:tcPr>
          <w:p w14:paraId="098A97FF" w14:textId="77777777" w:rsidR="00141CDF" w:rsidRDefault="00141CDF">
            <w:pPr>
              <w:rPr>
                <w:rFonts w:ascii="宋体"/>
              </w:rPr>
            </w:pPr>
          </w:p>
        </w:tc>
        <w:tc>
          <w:tcPr>
            <w:tcW w:w="5" w:type="pct"/>
            <w:shd w:val="clear" w:color="auto" w:fill="auto"/>
            <w:vAlign w:val="bottom"/>
          </w:tcPr>
          <w:p w14:paraId="098A9800" w14:textId="77777777" w:rsidR="00141CDF" w:rsidRDefault="00141CDF">
            <w:pPr>
              <w:rPr>
                <w:rFonts w:ascii="宋体"/>
              </w:rPr>
            </w:pPr>
          </w:p>
        </w:tc>
        <w:tc>
          <w:tcPr>
            <w:tcW w:w="107" w:type="pct"/>
            <w:shd w:val="clear" w:color="auto" w:fill="auto"/>
            <w:vAlign w:val="bottom"/>
          </w:tcPr>
          <w:p w14:paraId="098A9801" w14:textId="77777777" w:rsidR="00141CDF" w:rsidRDefault="00141CDF">
            <w:pPr>
              <w:rPr>
                <w:rFonts w:ascii="宋体"/>
              </w:rPr>
            </w:pPr>
          </w:p>
        </w:tc>
        <w:tc>
          <w:tcPr>
            <w:tcW w:w="5" w:type="pct"/>
            <w:shd w:val="clear" w:color="auto" w:fill="auto"/>
            <w:vAlign w:val="bottom"/>
          </w:tcPr>
          <w:p w14:paraId="098A9802" w14:textId="77777777" w:rsidR="00141CDF" w:rsidRDefault="00141CDF">
            <w:pPr>
              <w:rPr>
                <w:rFonts w:ascii="宋体"/>
              </w:rPr>
            </w:pPr>
          </w:p>
        </w:tc>
      </w:tr>
      <w:tr w:rsidR="00141CDF" w14:paraId="098A9809" w14:textId="77777777">
        <w:tc>
          <w:tcPr>
            <w:tcW w:w="0" w:type="auto"/>
            <w:gridSpan w:val="3"/>
            <w:shd w:val="clear" w:color="auto" w:fill="auto"/>
            <w:tcMar>
              <w:top w:w="40" w:type="dxa"/>
              <w:left w:w="20" w:type="dxa"/>
              <w:bottom w:w="40" w:type="dxa"/>
              <w:right w:w="20" w:type="dxa"/>
            </w:tcMar>
            <w:vAlign w:val="bottom"/>
          </w:tcPr>
          <w:p w14:paraId="098A9804" w14:textId="77777777" w:rsidR="00141CDF" w:rsidRDefault="00DF45E0">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098A9805" w14:textId="77777777" w:rsidR="00141CDF" w:rsidRDefault="00DF45E0">
            <w:pPr>
              <w:jc w:val="center"/>
              <w:textAlignment w:val="bottom"/>
            </w:pPr>
            <w:r>
              <w:rPr>
                <w:rFonts w:ascii="Times New Roman" w:eastAsia="宋体" w:hAnsi="Times New Roman"/>
                <w:b/>
                <w:bCs/>
                <w:color w:val="000000"/>
                <w:sz w:val="16"/>
                <w:szCs w:val="16"/>
              </w:rPr>
              <w:t>July 31, 2022</w:t>
            </w:r>
          </w:p>
        </w:tc>
        <w:tc>
          <w:tcPr>
            <w:tcW w:w="0" w:type="auto"/>
            <w:gridSpan w:val="3"/>
            <w:shd w:val="clear" w:color="auto" w:fill="auto"/>
            <w:tcMar>
              <w:top w:w="0" w:type="dxa"/>
              <w:left w:w="20" w:type="dxa"/>
              <w:bottom w:w="0" w:type="dxa"/>
              <w:right w:w="20" w:type="dxa"/>
            </w:tcMar>
            <w:vAlign w:val="bottom"/>
          </w:tcPr>
          <w:p w14:paraId="098A9806" w14:textId="77777777" w:rsidR="00141CDF" w:rsidRDefault="00141CDF">
            <w:pPr>
              <w:rPr>
                <w:rFonts w:ascii="宋体"/>
              </w:rPr>
            </w:pPr>
          </w:p>
        </w:tc>
        <w:tc>
          <w:tcPr>
            <w:tcW w:w="0" w:type="auto"/>
            <w:gridSpan w:val="9"/>
            <w:shd w:val="clear" w:color="auto" w:fill="auto"/>
            <w:tcMar>
              <w:top w:w="40" w:type="dxa"/>
              <w:left w:w="20" w:type="dxa"/>
              <w:bottom w:w="40" w:type="dxa"/>
              <w:right w:w="20" w:type="dxa"/>
            </w:tcMar>
            <w:vAlign w:val="bottom"/>
          </w:tcPr>
          <w:p w14:paraId="098A9807" w14:textId="77777777" w:rsidR="00141CDF" w:rsidRDefault="00DF45E0">
            <w:pPr>
              <w:jc w:val="center"/>
              <w:textAlignment w:val="bottom"/>
            </w:pPr>
            <w:r>
              <w:rPr>
                <w:rFonts w:ascii="Times New Roman" w:eastAsia="宋体" w:hAnsi="Times New Roman"/>
                <w:b/>
                <w:bCs/>
                <w:color w:val="000000"/>
                <w:sz w:val="16"/>
                <w:szCs w:val="16"/>
              </w:rPr>
              <w:t>January 31, 2022</w:t>
            </w:r>
          </w:p>
        </w:tc>
        <w:tc>
          <w:tcPr>
            <w:tcW w:w="0" w:type="auto"/>
            <w:gridSpan w:val="3"/>
            <w:shd w:val="clear" w:color="auto" w:fill="auto"/>
            <w:tcMar>
              <w:top w:w="0" w:type="dxa"/>
              <w:left w:w="20" w:type="dxa"/>
              <w:bottom w:w="0" w:type="dxa"/>
              <w:right w:w="20" w:type="dxa"/>
            </w:tcMar>
            <w:vAlign w:val="bottom"/>
          </w:tcPr>
          <w:p w14:paraId="098A9808" w14:textId="77777777" w:rsidR="00141CDF" w:rsidRDefault="00141CDF">
            <w:pPr>
              <w:rPr>
                <w:rFonts w:ascii="宋体"/>
              </w:rPr>
            </w:pPr>
          </w:p>
        </w:tc>
      </w:tr>
      <w:tr w:rsidR="00141CDF" w14:paraId="098A9813" w14:textId="77777777">
        <w:tc>
          <w:tcPr>
            <w:tcW w:w="0" w:type="auto"/>
            <w:gridSpan w:val="3"/>
            <w:shd w:val="clear" w:color="auto" w:fill="auto"/>
            <w:tcMar>
              <w:top w:w="40" w:type="dxa"/>
              <w:left w:w="20" w:type="dxa"/>
              <w:bottom w:w="40" w:type="dxa"/>
              <w:right w:w="20" w:type="dxa"/>
            </w:tcMar>
            <w:vAlign w:val="bottom"/>
          </w:tcPr>
          <w:p w14:paraId="098A980A" w14:textId="77777777" w:rsidR="00141CDF" w:rsidRDefault="00DF45E0">
            <w:pPr>
              <w:textAlignment w:val="bottom"/>
            </w:pPr>
            <w:r>
              <w:rPr>
                <w:rFonts w:ascii="Times New Roman" w:eastAsia="宋体" w:hAnsi="Times New Roman"/>
                <w:i/>
                <w:iCs/>
                <w:color w:val="000000"/>
                <w:sz w:val="16"/>
                <w:szCs w:val="16"/>
              </w:rPr>
              <w:t>(Amounts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98A980B" w14:textId="77777777" w:rsidR="00141CDF" w:rsidRDefault="00DF45E0">
            <w:pPr>
              <w:jc w:val="center"/>
              <w:textAlignment w:val="bottom"/>
            </w:pPr>
            <w:r>
              <w:rPr>
                <w:rFonts w:ascii="Times New Roman" w:eastAsia="宋体" w:hAnsi="Times New Roman"/>
                <w:b/>
                <w:bCs/>
                <w:color w:val="000000"/>
                <w:sz w:val="16"/>
                <w:szCs w:val="16"/>
              </w:rPr>
              <w:t>Notional 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980C"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98A980D" w14:textId="77777777" w:rsidR="00141CDF" w:rsidRDefault="00DF45E0">
            <w:pPr>
              <w:jc w:val="center"/>
              <w:textAlignment w:val="bottom"/>
            </w:pPr>
            <w:r>
              <w:rPr>
                <w:rFonts w:ascii="Times New Roman" w:eastAsia="宋体" w:hAnsi="Times New Roman"/>
                <w:b/>
                <w:bCs/>
                <w:color w:val="000000"/>
                <w:sz w:val="16"/>
                <w:szCs w:val="16"/>
              </w:rPr>
              <w:t>Fair Value</w:t>
            </w:r>
          </w:p>
        </w:tc>
        <w:tc>
          <w:tcPr>
            <w:tcW w:w="0" w:type="auto"/>
            <w:gridSpan w:val="3"/>
            <w:shd w:val="clear" w:color="auto" w:fill="auto"/>
            <w:tcMar>
              <w:top w:w="0" w:type="dxa"/>
              <w:left w:w="20" w:type="dxa"/>
              <w:bottom w:w="0" w:type="dxa"/>
              <w:right w:w="20" w:type="dxa"/>
            </w:tcMar>
            <w:vAlign w:val="bottom"/>
          </w:tcPr>
          <w:p w14:paraId="098A980E"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98A980F" w14:textId="77777777" w:rsidR="00141CDF" w:rsidRDefault="00DF45E0">
            <w:pPr>
              <w:jc w:val="center"/>
              <w:textAlignment w:val="bottom"/>
            </w:pPr>
            <w:r>
              <w:rPr>
                <w:rFonts w:ascii="Times New Roman" w:eastAsia="宋体" w:hAnsi="Times New Roman"/>
                <w:b/>
                <w:bCs/>
                <w:color w:val="000000"/>
                <w:sz w:val="16"/>
                <w:szCs w:val="16"/>
              </w:rPr>
              <w:t>Notional 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9810"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98A9811" w14:textId="77777777" w:rsidR="00141CDF" w:rsidRDefault="00DF45E0">
            <w:pPr>
              <w:jc w:val="center"/>
              <w:textAlignment w:val="bottom"/>
            </w:pPr>
            <w:r>
              <w:rPr>
                <w:rFonts w:ascii="Times New Roman" w:eastAsia="宋体" w:hAnsi="Times New Roman"/>
                <w:b/>
                <w:bCs/>
                <w:color w:val="000000"/>
                <w:sz w:val="16"/>
                <w:szCs w:val="16"/>
              </w:rPr>
              <w:t>Fair Value</w:t>
            </w:r>
          </w:p>
        </w:tc>
        <w:tc>
          <w:tcPr>
            <w:tcW w:w="0" w:type="auto"/>
            <w:gridSpan w:val="3"/>
            <w:shd w:val="clear" w:color="auto" w:fill="auto"/>
            <w:tcMar>
              <w:top w:w="0" w:type="dxa"/>
              <w:left w:w="20" w:type="dxa"/>
              <w:bottom w:w="0" w:type="dxa"/>
              <w:right w:w="20" w:type="dxa"/>
            </w:tcMar>
            <w:vAlign w:val="bottom"/>
          </w:tcPr>
          <w:p w14:paraId="098A9812" w14:textId="77777777" w:rsidR="00141CDF" w:rsidRDefault="00141CDF">
            <w:pPr>
              <w:rPr>
                <w:rFonts w:ascii="宋体"/>
              </w:rPr>
            </w:pPr>
          </w:p>
        </w:tc>
      </w:tr>
      <w:tr w:rsidR="00141CDF" w14:paraId="098A9825" w14:textId="77777777">
        <w:tc>
          <w:tcPr>
            <w:tcW w:w="0" w:type="auto"/>
            <w:gridSpan w:val="3"/>
            <w:shd w:val="clear" w:color="auto" w:fill="CCEEFF"/>
            <w:tcMar>
              <w:top w:w="40" w:type="dxa"/>
              <w:left w:w="20" w:type="dxa"/>
              <w:bottom w:w="40" w:type="dxa"/>
              <w:right w:w="20" w:type="dxa"/>
            </w:tcMar>
            <w:vAlign w:val="center"/>
          </w:tcPr>
          <w:p w14:paraId="098A9814" w14:textId="77777777" w:rsidR="00141CDF" w:rsidRDefault="00DF45E0">
            <w:pPr>
              <w:textAlignment w:val="center"/>
            </w:pPr>
            <w:r>
              <w:rPr>
                <w:rFonts w:ascii="Times New Roman" w:eastAsia="宋体" w:hAnsi="Times New Roman"/>
                <w:color w:val="000000"/>
                <w:sz w:val="16"/>
                <w:szCs w:val="16"/>
              </w:rPr>
              <w:t xml:space="preserve">Receive fixed-rate, pay variable-rate interest rate swaps </w:t>
            </w:r>
            <w:r>
              <w:rPr>
                <w:rFonts w:ascii="Times New Roman" w:eastAsia="宋体" w:hAnsi="Times New Roman"/>
                <w:color w:val="000000"/>
                <w:sz w:val="16"/>
                <w:szCs w:val="16"/>
              </w:rPr>
              <w:t>designated as fair value hedges</w:t>
            </w:r>
          </w:p>
        </w:tc>
        <w:tc>
          <w:tcPr>
            <w:tcW w:w="0" w:type="auto"/>
            <w:tcBorders>
              <w:top w:val="single" w:sz="8" w:space="0" w:color="000000"/>
            </w:tcBorders>
            <w:shd w:val="clear" w:color="auto" w:fill="CCEEFF"/>
            <w:tcMar>
              <w:top w:w="40" w:type="dxa"/>
              <w:left w:w="20" w:type="dxa"/>
              <w:bottom w:w="40" w:type="dxa"/>
              <w:right w:w="0" w:type="dxa"/>
            </w:tcMar>
            <w:vAlign w:val="center"/>
          </w:tcPr>
          <w:p w14:paraId="098A9815"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9816" w14:textId="77777777" w:rsidR="00141CDF" w:rsidRDefault="00DF45E0">
            <w:pPr>
              <w:jc w:val="right"/>
              <w:textAlignment w:val="center"/>
            </w:pPr>
            <w:r>
              <w:rPr>
                <w:rFonts w:ascii="Times New Roman" w:eastAsia="宋体" w:hAnsi="Times New Roman"/>
                <w:color w:val="000000"/>
                <w:sz w:val="16"/>
                <w:szCs w:val="16"/>
              </w:rPr>
              <w:t>8,021 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817"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818"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9819"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981A" w14:textId="77777777" w:rsidR="00141CDF" w:rsidRDefault="00DF45E0">
            <w:pPr>
              <w:jc w:val="right"/>
              <w:textAlignment w:val="center"/>
            </w:pPr>
            <w:r>
              <w:rPr>
                <w:rFonts w:ascii="Times New Roman" w:eastAsia="宋体" w:hAnsi="Times New Roman"/>
                <w:color w:val="000000"/>
                <w:sz w:val="16"/>
                <w:szCs w:val="16"/>
              </w:rPr>
              <w:t>(453)</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81B" w14:textId="77777777" w:rsidR="00141CDF" w:rsidRDefault="00141CDF">
            <w:pPr>
              <w:jc w:val="right"/>
              <w:rPr>
                <w:rFonts w:ascii="宋体"/>
              </w:rPr>
            </w:pPr>
          </w:p>
        </w:tc>
        <w:tc>
          <w:tcPr>
            <w:tcW w:w="0" w:type="auto"/>
            <w:gridSpan w:val="3"/>
            <w:shd w:val="clear" w:color="auto" w:fill="CCEEFF"/>
            <w:tcMar>
              <w:top w:w="40" w:type="dxa"/>
              <w:left w:w="20" w:type="dxa"/>
              <w:bottom w:w="40" w:type="dxa"/>
              <w:right w:w="20" w:type="dxa"/>
            </w:tcMar>
            <w:vAlign w:val="center"/>
          </w:tcPr>
          <w:p w14:paraId="098A981C" w14:textId="77777777" w:rsidR="00141CDF" w:rsidRDefault="00DF45E0">
            <w:pPr>
              <w:textAlignment w:val="center"/>
            </w:pPr>
            <w:r>
              <w:rPr>
                <w:rFonts w:ascii="Times New Roman" w:eastAsia="宋体" w:hAnsi="Times New Roman"/>
                <w:color w:val="000000"/>
                <w:sz w:val="10"/>
                <w:szCs w:val="10"/>
              </w:rPr>
              <w:t>(1)</w:t>
            </w:r>
          </w:p>
        </w:tc>
        <w:tc>
          <w:tcPr>
            <w:tcW w:w="0" w:type="auto"/>
            <w:tcBorders>
              <w:top w:val="single" w:sz="8" w:space="0" w:color="000000"/>
            </w:tcBorders>
            <w:shd w:val="clear" w:color="auto" w:fill="CCEEFF"/>
            <w:tcMar>
              <w:top w:w="40" w:type="dxa"/>
              <w:left w:w="20" w:type="dxa"/>
              <w:bottom w:w="40" w:type="dxa"/>
              <w:right w:w="0" w:type="dxa"/>
            </w:tcMar>
            <w:vAlign w:val="center"/>
          </w:tcPr>
          <w:p w14:paraId="098A981D"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981E" w14:textId="77777777" w:rsidR="00141CDF" w:rsidRDefault="00DF45E0">
            <w:pPr>
              <w:jc w:val="right"/>
              <w:textAlignment w:val="center"/>
            </w:pPr>
            <w:r>
              <w:rPr>
                <w:rFonts w:ascii="Times New Roman" w:eastAsia="宋体" w:hAnsi="Times New Roman"/>
                <w:color w:val="000000"/>
                <w:sz w:val="16"/>
                <w:szCs w:val="16"/>
              </w:rPr>
              <w:t>8,021 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81F"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820"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9821"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9822" w14:textId="77777777" w:rsidR="00141CDF" w:rsidRDefault="00DF45E0">
            <w:pPr>
              <w:jc w:val="right"/>
              <w:textAlignment w:val="center"/>
            </w:pPr>
            <w:r>
              <w:rPr>
                <w:rFonts w:ascii="Times New Roman" w:eastAsia="宋体" w:hAnsi="Times New Roman"/>
                <w:color w:val="000000"/>
                <w:sz w:val="16"/>
                <w:szCs w:val="16"/>
              </w:rPr>
              <w:t>(47)</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823" w14:textId="77777777" w:rsidR="00141CDF" w:rsidRDefault="00141CDF">
            <w:pPr>
              <w:jc w:val="right"/>
              <w:rPr>
                <w:rFonts w:ascii="宋体"/>
              </w:rPr>
            </w:pPr>
          </w:p>
        </w:tc>
        <w:tc>
          <w:tcPr>
            <w:tcW w:w="0" w:type="auto"/>
            <w:gridSpan w:val="3"/>
            <w:shd w:val="clear" w:color="auto" w:fill="CCEEFF"/>
            <w:tcMar>
              <w:top w:w="40" w:type="dxa"/>
              <w:left w:w="20" w:type="dxa"/>
              <w:bottom w:w="40" w:type="dxa"/>
              <w:right w:w="20" w:type="dxa"/>
            </w:tcMar>
            <w:vAlign w:val="center"/>
          </w:tcPr>
          <w:p w14:paraId="098A9824" w14:textId="77777777" w:rsidR="00141CDF" w:rsidRDefault="00DF45E0">
            <w:pPr>
              <w:textAlignment w:val="center"/>
            </w:pPr>
            <w:r>
              <w:rPr>
                <w:rFonts w:ascii="Times New Roman" w:eastAsia="宋体" w:hAnsi="Times New Roman"/>
                <w:color w:val="000000"/>
                <w:sz w:val="10"/>
                <w:szCs w:val="10"/>
              </w:rPr>
              <w:t>(1)</w:t>
            </w:r>
          </w:p>
        </w:tc>
      </w:tr>
      <w:tr w:rsidR="00141CDF" w14:paraId="098A982F" w14:textId="77777777">
        <w:trPr>
          <w:hidden/>
        </w:trPr>
        <w:tc>
          <w:tcPr>
            <w:tcW w:w="0" w:type="auto"/>
            <w:gridSpan w:val="3"/>
            <w:shd w:val="clear" w:color="auto" w:fill="auto"/>
            <w:vAlign w:val="bottom"/>
          </w:tcPr>
          <w:p w14:paraId="098A9826" w14:textId="77777777" w:rsidR="00141CDF" w:rsidRDefault="00141CDF">
            <w:pPr>
              <w:rPr>
                <w:rFonts w:ascii="宋体"/>
                <w:vanish/>
              </w:rPr>
            </w:pPr>
          </w:p>
        </w:tc>
        <w:tc>
          <w:tcPr>
            <w:tcW w:w="0" w:type="auto"/>
            <w:gridSpan w:val="3"/>
            <w:shd w:val="clear" w:color="auto" w:fill="auto"/>
            <w:vAlign w:val="bottom"/>
          </w:tcPr>
          <w:p w14:paraId="098A9827" w14:textId="77777777" w:rsidR="00141CDF" w:rsidRDefault="00141CDF">
            <w:pPr>
              <w:rPr>
                <w:rFonts w:ascii="宋体"/>
                <w:vanish/>
              </w:rPr>
            </w:pPr>
          </w:p>
        </w:tc>
        <w:tc>
          <w:tcPr>
            <w:tcW w:w="0" w:type="auto"/>
            <w:gridSpan w:val="3"/>
            <w:shd w:val="clear" w:color="auto" w:fill="auto"/>
            <w:vAlign w:val="bottom"/>
          </w:tcPr>
          <w:p w14:paraId="098A9828" w14:textId="77777777" w:rsidR="00141CDF" w:rsidRDefault="00141CDF">
            <w:pPr>
              <w:rPr>
                <w:rFonts w:ascii="宋体"/>
                <w:vanish/>
              </w:rPr>
            </w:pPr>
          </w:p>
        </w:tc>
        <w:tc>
          <w:tcPr>
            <w:tcW w:w="0" w:type="auto"/>
            <w:gridSpan w:val="3"/>
            <w:shd w:val="clear" w:color="auto" w:fill="auto"/>
            <w:vAlign w:val="bottom"/>
          </w:tcPr>
          <w:p w14:paraId="098A9829" w14:textId="77777777" w:rsidR="00141CDF" w:rsidRDefault="00141CDF">
            <w:pPr>
              <w:rPr>
                <w:rFonts w:ascii="宋体"/>
                <w:vanish/>
              </w:rPr>
            </w:pPr>
          </w:p>
        </w:tc>
        <w:tc>
          <w:tcPr>
            <w:tcW w:w="0" w:type="auto"/>
            <w:gridSpan w:val="3"/>
            <w:shd w:val="clear" w:color="auto" w:fill="auto"/>
            <w:vAlign w:val="bottom"/>
          </w:tcPr>
          <w:p w14:paraId="098A982A" w14:textId="77777777" w:rsidR="00141CDF" w:rsidRDefault="00141CDF">
            <w:pPr>
              <w:rPr>
                <w:rFonts w:ascii="宋体"/>
                <w:vanish/>
              </w:rPr>
            </w:pPr>
          </w:p>
        </w:tc>
        <w:tc>
          <w:tcPr>
            <w:tcW w:w="0" w:type="auto"/>
            <w:gridSpan w:val="3"/>
            <w:shd w:val="clear" w:color="auto" w:fill="auto"/>
            <w:vAlign w:val="bottom"/>
          </w:tcPr>
          <w:p w14:paraId="098A982B" w14:textId="77777777" w:rsidR="00141CDF" w:rsidRDefault="00141CDF">
            <w:pPr>
              <w:rPr>
                <w:rFonts w:ascii="宋体"/>
                <w:vanish/>
              </w:rPr>
            </w:pPr>
          </w:p>
        </w:tc>
        <w:tc>
          <w:tcPr>
            <w:tcW w:w="0" w:type="auto"/>
            <w:gridSpan w:val="3"/>
            <w:shd w:val="clear" w:color="auto" w:fill="auto"/>
            <w:vAlign w:val="bottom"/>
          </w:tcPr>
          <w:p w14:paraId="098A982C" w14:textId="77777777" w:rsidR="00141CDF" w:rsidRDefault="00141CDF">
            <w:pPr>
              <w:rPr>
                <w:rFonts w:ascii="宋体"/>
                <w:vanish/>
              </w:rPr>
            </w:pPr>
          </w:p>
        </w:tc>
        <w:tc>
          <w:tcPr>
            <w:tcW w:w="0" w:type="auto"/>
            <w:gridSpan w:val="3"/>
            <w:shd w:val="clear" w:color="auto" w:fill="auto"/>
            <w:vAlign w:val="bottom"/>
          </w:tcPr>
          <w:p w14:paraId="098A982D" w14:textId="77777777" w:rsidR="00141CDF" w:rsidRDefault="00141CDF">
            <w:pPr>
              <w:rPr>
                <w:rFonts w:ascii="宋体"/>
                <w:vanish/>
              </w:rPr>
            </w:pPr>
          </w:p>
        </w:tc>
        <w:tc>
          <w:tcPr>
            <w:tcW w:w="0" w:type="auto"/>
            <w:gridSpan w:val="3"/>
            <w:shd w:val="clear" w:color="auto" w:fill="auto"/>
            <w:vAlign w:val="bottom"/>
          </w:tcPr>
          <w:p w14:paraId="098A982E" w14:textId="77777777" w:rsidR="00141CDF" w:rsidRDefault="00141CDF">
            <w:pPr>
              <w:rPr>
                <w:rFonts w:ascii="宋体"/>
                <w:vanish/>
              </w:rPr>
            </w:pPr>
          </w:p>
        </w:tc>
      </w:tr>
      <w:tr w:rsidR="00141CDF" w14:paraId="098A983D" w14:textId="77777777">
        <w:tc>
          <w:tcPr>
            <w:tcW w:w="0" w:type="auto"/>
            <w:gridSpan w:val="3"/>
            <w:shd w:val="clear" w:color="auto" w:fill="FFFFFF"/>
            <w:tcMar>
              <w:top w:w="40" w:type="dxa"/>
              <w:left w:w="20" w:type="dxa"/>
              <w:bottom w:w="40" w:type="dxa"/>
              <w:right w:w="20" w:type="dxa"/>
            </w:tcMar>
            <w:vAlign w:val="center"/>
          </w:tcPr>
          <w:p w14:paraId="098A9830" w14:textId="77777777" w:rsidR="00141CDF" w:rsidRDefault="00DF45E0">
            <w:pPr>
              <w:textAlignment w:val="center"/>
            </w:pPr>
            <w:r>
              <w:rPr>
                <w:rFonts w:ascii="Times New Roman" w:eastAsia="宋体" w:hAnsi="Times New Roman"/>
                <w:color w:val="000000"/>
                <w:sz w:val="16"/>
                <w:szCs w:val="16"/>
              </w:rPr>
              <w:t>Receive fixed-rate, pay fixed-rate cross-currency swaps designated as cash flow hedges</w:t>
            </w:r>
          </w:p>
        </w:tc>
        <w:tc>
          <w:tcPr>
            <w:tcW w:w="0" w:type="auto"/>
            <w:gridSpan w:val="2"/>
            <w:shd w:val="clear" w:color="auto" w:fill="FFFFFF"/>
            <w:tcMar>
              <w:top w:w="40" w:type="dxa"/>
              <w:left w:w="20" w:type="dxa"/>
              <w:bottom w:w="40" w:type="dxa"/>
              <w:right w:w="0" w:type="dxa"/>
            </w:tcMar>
            <w:vAlign w:val="center"/>
          </w:tcPr>
          <w:p w14:paraId="098A9831" w14:textId="77777777" w:rsidR="00141CDF" w:rsidRDefault="00DF45E0">
            <w:pPr>
              <w:jc w:val="right"/>
              <w:textAlignment w:val="center"/>
            </w:pPr>
            <w:r>
              <w:rPr>
                <w:rFonts w:ascii="Times New Roman" w:eastAsia="宋体" w:hAnsi="Times New Roman"/>
                <w:color w:val="000000"/>
                <w:sz w:val="16"/>
                <w:szCs w:val="16"/>
              </w:rPr>
              <w:t>5,682 </w:t>
            </w:r>
          </w:p>
        </w:tc>
        <w:tc>
          <w:tcPr>
            <w:tcW w:w="0" w:type="auto"/>
            <w:shd w:val="clear" w:color="auto" w:fill="FFFFFF"/>
            <w:tcMar>
              <w:top w:w="40" w:type="dxa"/>
              <w:left w:w="0" w:type="dxa"/>
              <w:bottom w:w="40" w:type="dxa"/>
              <w:right w:w="20" w:type="dxa"/>
            </w:tcMar>
            <w:vAlign w:val="center"/>
          </w:tcPr>
          <w:p w14:paraId="098A9832"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833"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834" w14:textId="77777777" w:rsidR="00141CDF" w:rsidRDefault="00DF45E0">
            <w:pPr>
              <w:jc w:val="right"/>
              <w:textAlignment w:val="center"/>
            </w:pPr>
            <w:r>
              <w:rPr>
                <w:rFonts w:ascii="Times New Roman" w:eastAsia="宋体" w:hAnsi="Times New Roman"/>
                <w:color w:val="000000"/>
                <w:sz w:val="16"/>
                <w:szCs w:val="16"/>
              </w:rPr>
              <w:t>(1,446)</w:t>
            </w:r>
          </w:p>
        </w:tc>
        <w:tc>
          <w:tcPr>
            <w:tcW w:w="0" w:type="auto"/>
            <w:shd w:val="clear" w:color="auto" w:fill="FFFFFF"/>
            <w:tcMar>
              <w:top w:w="40" w:type="dxa"/>
              <w:left w:w="0" w:type="dxa"/>
              <w:bottom w:w="40" w:type="dxa"/>
              <w:right w:w="20" w:type="dxa"/>
            </w:tcMar>
            <w:vAlign w:val="center"/>
          </w:tcPr>
          <w:p w14:paraId="098A9835" w14:textId="77777777" w:rsidR="00141CDF" w:rsidRDefault="00141CDF">
            <w:pPr>
              <w:jc w:val="right"/>
              <w:rPr>
                <w:rFonts w:ascii="宋体"/>
              </w:rPr>
            </w:pPr>
          </w:p>
        </w:tc>
        <w:tc>
          <w:tcPr>
            <w:tcW w:w="0" w:type="auto"/>
            <w:gridSpan w:val="3"/>
            <w:shd w:val="clear" w:color="auto" w:fill="FFFFFF"/>
            <w:tcMar>
              <w:top w:w="40" w:type="dxa"/>
              <w:left w:w="20" w:type="dxa"/>
              <w:bottom w:w="40" w:type="dxa"/>
              <w:right w:w="20" w:type="dxa"/>
            </w:tcMar>
            <w:vAlign w:val="center"/>
          </w:tcPr>
          <w:p w14:paraId="098A9836" w14:textId="77777777" w:rsidR="00141CDF" w:rsidRDefault="00DF45E0">
            <w:pPr>
              <w:textAlignment w:val="center"/>
            </w:pPr>
            <w:r>
              <w:rPr>
                <w:rFonts w:ascii="Times New Roman" w:eastAsia="宋体" w:hAnsi="Times New Roman"/>
                <w:color w:val="000000"/>
                <w:sz w:val="10"/>
                <w:szCs w:val="10"/>
              </w:rPr>
              <w:t>(1)</w:t>
            </w:r>
          </w:p>
        </w:tc>
        <w:tc>
          <w:tcPr>
            <w:tcW w:w="0" w:type="auto"/>
            <w:gridSpan w:val="2"/>
            <w:shd w:val="clear" w:color="auto" w:fill="FFFFFF"/>
            <w:tcMar>
              <w:top w:w="40" w:type="dxa"/>
              <w:left w:w="20" w:type="dxa"/>
              <w:bottom w:w="40" w:type="dxa"/>
              <w:right w:w="0" w:type="dxa"/>
            </w:tcMar>
            <w:vAlign w:val="center"/>
          </w:tcPr>
          <w:p w14:paraId="098A9837" w14:textId="77777777" w:rsidR="00141CDF" w:rsidRDefault="00DF45E0">
            <w:pPr>
              <w:jc w:val="right"/>
              <w:textAlignment w:val="center"/>
            </w:pPr>
            <w:r>
              <w:rPr>
                <w:rFonts w:ascii="Times New Roman" w:eastAsia="宋体" w:hAnsi="Times New Roman"/>
                <w:color w:val="000000"/>
                <w:sz w:val="16"/>
                <w:szCs w:val="16"/>
              </w:rPr>
              <w:t>7,855 </w:t>
            </w:r>
          </w:p>
        </w:tc>
        <w:tc>
          <w:tcPr>
            <w:tcW w:w="0" w:type="auto"/>
            <w:shd w:val="clear" w:color="auto" w:fill="FFFFFF"/>
            <w:tcMar>
              <w:top w:w="40" w:type="dxa"/>
              <w:left w:w="0" w:type="dxa"/>
              <w:bottom w:w="40" w:type="dxa"/>
              <w:right w:w="20" w:type="dxa"/>
            </w:tcMar>
            <w:vAlign w:val="center"/>
          </w:tcPr>
          <w:p w14:paraId="098A9838"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839"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83A" w14:textId="77777777" w:rsidR="00141CDF" w:rsidRDefault="00DF45E0">
            <w:pPr>
              <w:jc w:val="right"/>
              <w:textAlignment w:val="center"/>
            </w:pPr>
            <w:r>
              <w:rPr>
                <w:rFonts w:ascii="Times New Roman" w:eastAsia="宋体" w:hAnsi="Times New Roman"/>
                <w:color w:val="000000"/>
                <w:sz w:val="16"/>
                <w:szCs w:val="16"/>
              </w:rPr>
              <w:t>(1,048)</w:t>
            </w:r>
          </w:p>
        </w:tc>
        <w:tc>
          <w:tcPr>
            <w:tcW w:w="0" w:type="auto"/>
            <w:shd w:val="clear" w:color="auto" w:fill="FFFFFF"/>
            <w:tcMar>
              <w:top w:w="40" w:type="dxa"/>
              <w:left w:w="0" w:type="dxa"/>
              <w:bottom w:w="40" w:type="dxa"/>
              <w:right w:w="20" w:type="dxa"/>
            </w:tcMar>
            <w:vAlign w:val="center"/>
          </w:tcPr>
          <w:p w14:paraId="098A983B" w14:textId="77777777" w:rsidR="00141CDF" w:rsidRDefault="00141CDF">
            <w:pPr>
              <w:jc w:val="right"/>
              <w:rPr>
                <w:rFonts w:ascii="宋体"/>
              </w:rPr>
            </w:pPr>
          </w:p>
        </w:tc>
        <w:tc>
          <w:tcPr>
            <w:tcW w:w="0" w:type="auto"/>
            <w:gridSpan w:val="3"/>
            <w:shd w:val="clear" w:color="auto" w:fill="FFFFFF"/>
            <w:tcMar>
              <w:top w:w="40" w:type="dxa"/>
              <w:left w:w="20" w:type="dxa"/>
              <w:bottom w:w="40" w:type="dxa"/>
              <w:right w:w="20" w:type="dxa"/>
            </w:tcMar>
            <w:vAlign w:val="center"/>
          </w:tcPr>
          <w:p w14:paraId="098A983C" w14:textId="77777777" w:rsidR="00141CDF" w:rsidRDefault="00DF45E0">
            <w:pPr>
              <w:textAlignment w:val="center"/>
            </w:pPr>
            <w:r>
              <w:rPr>
                <w:rFonts w:ascii="Times New Roman" w:eastAsia="宋体" w:hAnsi="Times New Roman"/>
                <w:color w:val="000000"/>
                <w:sz w:val="10"/>
                <w:szCs w:val="10"/>
              </w:rPr>
              <w:t>(1)</w:t>
            </w:r>
          </w:p>
        </w:tc>
      </w:tr>
      <w:tr w:rsidR="00141CDF" w14:paraId="098A9847" w14:textId="77777777">
        <w:trPr>
          <w:hidden/>
        </w:trPr>
        <w:tc>
          <w:tcPr>
            <w:tcW w:w="0" w:type="auto"/>
            <w:gridSpan w:val="3"/>
            <w:shd w:val="clear" w:color="auto" w:fill="auto"/>
            <w:vAlign w:val="bottom"/>
          </w:tcPr>
          <w:p w14:paraId="098A983E" w14:textId="77777777" w:rsidR="00141CDF" w:rsidRDefault="00141CDF">
            <w:pPr>
              <w:rPr>
                <w:rFonts w:ascii="宋体"/>
                <w:vanish/>
              </w:rPr>
            </w:pPr>
          </w:p>
        </w:tc>
        <w:tc>
          <w:tcPr>
            <w:tcW w:w="0" w:type="auto"/>
            <w:gridSpan w:val="3"/>
            <w:shd w:val="clear" w:color="auto" w:fill="auto"/>
            <w:vAlign w:val="bottom"/>
          </w:tcPr>
          <w:p w14:paraId="098A983F" w14:textId="77777777" w:rsidR="00141CDF" w:rsidRDefault="00141CDF">
            <w:pPr>
              <w:rPr>
                <w:rFonts w:ascii="宋体"/>
                <w:vanish/>
              </w:rPr>
            </w:pPr>
          </w:p>
        </w:tc>
        <w:tc>
          <w:tcPr>
            <w:tcW w:w="0" w:type="auto"/>
            <w:gridSpan w:val="3"/>
            <w:shd w:val="clear" w:color="auto" w:fill="auto"/>
            <w:vAlign w:val="bottom"/>
          </w:tcPr>
          <w:p w14:paraId="098A9840" w14:textId="77777777" w:rsidR="00141CDF" w:rsidRDefault="00141CDF">
            <w:pPr>
              <w:rPr>
                <w:rFonts w:ascii="宋体"/>
                <w:vanish/>
              </w:rPr>
            </w:pPr>
          </w:p>
        </w:tc>
        <w:tc>
          <w:tcPr>
            <w:tcW w:w="0" w:type="auto"/>
            <w:gridSpan w:val="3"/>
            <w:shd w:val="clear" w:color="auto" w:fill="auto"/>
            <w:vAlign w:val="bottom"/>
          </w:tcPr>
          <w:p w14:paraId="098A9841" w14:textId="77777777" w:rsidR="00141CDF" w:rsidRDefault="00141CDF">
            <w:pPr>
              <w:rPr>
                <w:rFonts w:ascii="宋体"/>
                <w:vanish/>
              </w:rPr>
            </w:pPr>
          </w:p>
        </w:tc>
        <w:tc>
          <w:tcPr>
            <w:tcW w:w="0" w:type="auto"/>
            <w:gridSpan w:val="3"/>
            <w:shd w:val="clear" w:color="auto" w:fill="auto"/>
            <w:vAlign w:val="bottom"/>
          </w:tcPr>
          <w:p w14:paraId="098A9842" w14:textId="77777777" w:rsidR="00141CDF" w:rsidRDefault="00141CDF">
            <w:pPr>
              <w:rPr>
                <w:rFonts w:ascii="宋体"/>
                <w:vanish/>
              </w:rPr>
            </w:pPr>
          </w:p>
        </w:tc>
        <w:tc>
          <w:tcPr>
            <w:tcW w:w="0" w:type="auto"/>
            <w:gridSpan w:val="3"/>
            <w:shd w:val="clear" w:color="auto" w:fill="auto"/>
            <w:vAlign w:val="bottom"/>
          </w:tcPr>
          <w:p w14:paraId="098A9843" w14:textId="77777777" w:rsidR="00141CDF" w:rsidRDefault="00141CDF">
            <w:pPr>
              <w:rPr>
                <w:rFonts w:ascii="宋体"/>
                <w:vanish/>
              </w:rPr>
            </w:pPr>
          </w:p>
        </w:tc>
        <w:tc>
          <w:tcPr>
            <w:tcW w:w="0" w:type="auto"/>
            <w:gridSpan w:val="3"/>
            <w:shd w:val="clear" w:color="auto" w:fill="auto"/>
            <w:vAlign w:val="bottom"/>
          </w:tcPr>
          <w:p w14:paraId="098A9844" w14:textId="77777777" w:rsidR="00141CDF" w:rsidRDefault="00141CDF">
            <w:pPr>
              <w:rPr>
                <w:rFonts w:ascii="宋体"/>
                <w:vanish/>
              </w:rPr>
            </w:pPr>
          </w:p>
        </w:tc>
        <w:tc>
          <w:tcPr>
            <w:tcW w:w="0" w:type="auto"/>
            <w:gridSpan w:val="3"/>
            <w:shd w:val="clear" w:color="auto" w:fill="auto"/>
            <w:vAlign w:val="bottom"/>
          </w:tcPr>
          <w:p w14:paraId="098A9845" w14:textId="77777777" w:rsidR="00141CDF" w:rsidRDefault="00141CDF">
            <w:pPr>
              <w:rPr>
                <w:rFonts w:ascii="宋体"/>
                <w:vanish/>
              </w:rPr>
            </w:pPr>
          </w:p>
        </w:tc>
        <w:tc>
          <w:tcPr>
            <w:tcW w:w="0" w:type="auto"/>
            <w:gridSpan w:val="3"/>
            <w:shd w:val="clear" w:color="auto" w:fill="auto"/>
            <w:vAlign w:val="bottom"/>
          </w:tcPr>
          <w:p w14:paraId="098A9846" w14:textId="77777777" w:rsidR="00141CDF" w:rsidRDefault="00141CDF">
            <w:pPr>
              <w:rPr>
                <w:rFonts w:ascii="宋体"/>
                <w:vanish/>
              </w:rPr>
            </w:pPr>
          </w:p>
        </w:tc>
      </w:tr>
      <w:tr w:rsidR="00141CDF" w14:paraId="098A9859" w14:textId="77777777">
        <w:tc>
          <w:tcPr>
            <w:tcW w:w="0" w:type="auto"/>
            <w:gridSpan w:val="3"/>
            <w:shd w:val="clear" w:color="auto" w:fill="CCEEFF"/>
            <w:tcMar>
              <w:top w:w="40" w:type="dxa"/>
              <w:left w:w="20" w:type="dxa"/>
              <w:bottom w:w="40" w:type="dxa"/>
              <w:right w:w="20" w:type="dxa"/>
            </w:tcMar>
            <w:vAlign w:val="center"/>
          </w:tcPr>
          <w:p w14:paraId="098A9848" w14:textId="77777777" w:rsidR="00141CDF" w:rsidRDefault="00DF45E0">
            <w:pPr>
              <w:textAlignment w:val="center"/>
            </w:pPr>
            <w:r>
              <w:rPr>
                <w:rFonts w:ascii="Times New Roman" w:eastAsia="宋体" w:hAnsi="Times New Roman"/>
                <w:b/>
                <w:bCs/>
                <w:color w:val="000000"/>
                <w:sz w:val="16"/>
                <w:szCs w:val="16"/>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98A9849"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98A984A" w14:textId="77777777" w:rsidR="00141CDF" w:rsidRDefault="00DF45E0">
            <w:pPr>
              <w:jc w:val="right"/>
              <w:textAlignment w:val="center"/>
            </w:pPr>
            <w:r>
              <w:rPr>
                <w:rFonts w:ascii="Times New Roman" w:eastAsia="宋体" w:hAnsi="Times New Roman"/>
                <w:color w:val="000000"/>
                <w:sz w:val="16"/>
                <w:szCs w:val="16"/>
              </w:rPr>
              <w:t>13,703 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98A984B"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84C" w14:textId="77777777" w:rsidR="00141CDF" w:rsidRDefault="00141CD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98A984D"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98A984E" w14:textId="77777777" w:rsidR="00141CDF" w:rsidRDefault="00DF45E0">
            <w:pPr>
              <w:jc w:val="right"/>
              <w:textAlignment w:val="center"/>
            </w:pPr>
            <w:r>
              <w:rPr>
                <w:rFonts w:ascii="Times New Roman" w:eastAsia="宋体" w:hAnsi="Times New Roman"/>
                <w:color w:val="000000"/>
                <w:sz w:val="16"/>
                <w:szCs w:val="16"/>
              </w:rPr>
              <w:t>(1,899)</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98A984F"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850" w14:textId="77777777" w:rsidR="00141CDF" w:rsidRDefault="00141CD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98A9851"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98A9852" w14:textId="77777777" w:rsidR="00141CDF" w:rsidRDefault="00DF45E0">
            <w:pPr>
              <w:jc w:val="right"/>
              <w:textAlignment w:val="center"/>
            </w:pPr>
            <w:r>
              <w:rPr>
                <w:rFonts w:ascii="Times New Roman" w:eastAsia="宋体" w:hAnsi="Times New Roman"/>
                <w:color w:val="000000"/>
                <w:sz w:val="16"/>
                <w:szCs w:val="16"/>
              </w:rPr>
              <w:t>15,876 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98A9853"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854" w14:textId="77777777" w:rsidR="00141CDF" w:rsidRDefault="00141CD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98A9855"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98A9856" w14:textId="77777777" w:rsidR="00141CDF" w:rsidRDefault="00DF45E0">
            <w:pPr>
              <w:jc w:val="right"/>
              <w:textAlignment w:val="center"/>
            </w:pPr>
            <w:r>
              <w:rPr>
                <w:rFonts w:ascii="Times New Roman" w:eastAsia="宋体" w:hAnsi="Times New Roman"/>
                <w:color w:val="000000"/>
                <w:sz w:val="16"/>
                <w:szCs w:val="16"/>
              </w:rPr>
              <w:t>(1,095)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98A9857"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858" w14:textId="77777777" w:rsidR="00141CDF" w:rsidRDefault="00141CDF">
            <w:pPr>
              <w:rPr>
                <w:rFonts w:ascii="宋体"/>
              </w:rPr>
            </w:pPr>
          </w:p>
        </w:tc>
      </w:tr>
    </w:tbl>
    <w:p w14:paraId="098A985A" w14:textId="77777777" w:rsidR="00141CDF" w:rsidRDefault="00DF45E0">
      <w:pPr>
        <w:ind w:hanging="270"/>
      </w:pPr>
      <w:r>
        <w:rPr>
          <w:rFonts w:ascii="Times New Roman" w:eastAsia="宋体" w:hAnsi="Times New Roman"/>
          <w:color w:val="000000"/>
          <w:sz w:val="10"/>
          <w:szCs w:val="10"/>
        </w:rPr>
        <w:t>(1)</w:t>
      </w:r>
      <w:r>
        <w:rPr>
          <w:rFonts w:ascii="Times New Roman" w:eastAsia="宋体" w:hAnsi="Times New Roman"/>
          <w:color w:val="000000"/>
          <w:sz w:val="16"/>
          <w:szCs w:val="16"/>
        </w:rPr>
        <w:t>Classified primarily in deferred income taxes and other within the Com</w:t>
      </w:r>
      <w:r>
        <w:rPr>
          <w:rFonts w:ascii="Times New Roman" w:eastAsia="宋体" w:hAnsi="Times New Roman"/>
          <w:color w:val="000000"/>
          <w:sz w:val="16"/>
          <w:szCs w:val="16"/>
        </w:rPr>
        <w:t>pany's Condensed Consolidated Balance Sheets.</w:t>
      </w:r>
    </w:p>
    <w:p w14:paraId="098A985B" w14:textId="77777777" w:rsidR="00141CDF" w:rsidRDefault="00DF45E0">
      <w:pPr>
        <w:spacing w:before="180"/>
      </w:pPr>
      <w:r>
        <w:rPr>
          <w:rFonts w:ascii="Times New Roman" w:eastAsia="宋体" w:hAnsi="Times New Roman"/>
          <w:i/>
          <w:iCs/>
          <w:color w:val="000000"/>
          <w:sz w:val="20"/>
          <w:szCs w:val="20"/>
        </w:rPr>
        <w:t>Nonrecurring Fair Value Measurements</w:t>
      </w:r>
    </w:p>
    <w:p w14:paraId="098A985C" w14:textId="77777777" w:rsidR="00141CDF" w:rsidRDefault="00DF45E0">
      <w:pPr>
        <w:spacing w:before="100"/>
      </w:pPr>
      <w:r>
        <w:rPr>
          <w:rFonts w:ascii="Times New Roman" w:eastAsia="宋体" w:hAnsi="Times New Roman"/>
          <w:color w:val="000000"/>
          <w:sz w:val="20"/>
          <w:szCs w:val="20"/>
        </w:rPr>
        <w:t>In addition to assets and liabilities recorded at fair value on a recurring basis, the Company's assets and liabilities are also subject to nonrecurring fair value measureme</w:t>
      </w:r>
      <w:r>
        <w:rPr>
          <w:rFonts w:ascii="Times New Roman" w:eastAsia="宋体" w:hAnsi="Times New Roman"/>
          <w:color w:val="000000"/>
          <w:sz w:val="20"/>
          <w:szCs w:val="20"/>
        </w:rPr>
        <w:t xml:space="preserve">nts. Generally, assets are recorded at fair value on a nonrecurring basis as a result of impairment charges. The Company did not have any material assets or liabilities resulting in nonrecurring fair value measurements as of July 31, 2022. </w:t>
      </w:r>
    </w:p>
    <w:p w14:paraId="098A985D" w14:textId="77777777" w:rsidR="00141CDF" w:rsidRDefault="00DF45E0">
      <w:pPr>
        <w:spacing w:before="100"/>
      </w:pPr>
      <w:r>
        <w:rPr>
          <w:rFonts w:ascii="Times New Roman" w:eastAsia="宋体" w:hAnsi="Times New Roman"/>
          <w:i/>
          <w:iCs/>
          <w:color w:val="000000"/>
          <w:sz w:val="20"/>
          <w:szCs w:val="20"/>
        </w:rPr>
        <w:t>Other Fair Valu</w:t>
      </w:r>
      <w:r>
        <w:rPr>
          <w:rFonts w:ascii="Times New Roman" w:eastAsia="宋体" w:hAnsi="Times New Roman"/>
          <w:i/>
          <w:iCs/>
          <w:color w:val="000000"/>
          <w:sz w:val="20"/>
          <w:szCs w:val="20"/>
        </w:rPr>
        <w:t>e Disclosures</w:t>
      </w:r>
    </w:p>
    <w:p w14:paraId="098A985E" w14:textId="77777777" w:rsidR="00141CDF" w:rsidRDefault="00DF45E0">
      <w:pPr>
        <w:spacing w:before="100"/>
      </w:pPr>
      <w:r>
        <w:rPr>
          <w:rFonts w:ascii="Times New Roman" w:eastAsia="宋体" w:hAnsi="Times New Roman"/>
          <w:color w:val="000000"/>
          <w:sz w:val="20"/>
          <w:szCs w:val="20"/>
        </w:rPr>
        <w:t xml:space="preserve">The Company records cash and cash equivalents, restricted cash, and short-term borrowings at cost. The carrying values of these instruments approximate their fair value due to their short-term maturities. </w:t>
      </w:r>
    </w:p>
    <w:p w14:paraId="098A985F" w14:textId="77777777" w:rsidR="00141CDF" w:rsidRDefault="00DF45E0">
      <w:pPr>
        <w:jc w:val="center"/>
      </w:pPr>
      <w:r>
        <w:rPr>
          <w:rFonts w:ascii="Times New Roman" w:eastAsia="宋体" w:hAnsi="Times New Roman"/>
          <w:color w:val="000000"/>
          <w:sz w:val="20"/>
          <w:szCs w:val="20"/>
        </w:rPr>
        <w:t>10</w:t>
      </w:r>
    </w:p>
    <w:p w14:paraId="098A9860" w14:textId="77777777" w:rsidR="00141CDF" w:rsidRDefault="00DF45E0">
      <w:r>
        <w:pict w14:anchorId="098AA658">
          <v:rect id="_x0000_i1034" style="width:415.3pt;height:1.5pt" o:hralign="center" o:hrstd="t" o:hr="t" fillcolor="#a0a0a0" stroked="f"/>
        </w:pict>
      </w:r>
    </w:p>
    <w:p w14:paraId="098A9861" w14:textId="77777777" w:rsidR="00141CDF" w:rsidRDefault="00DF45E0">
      <w:hyperlink r:id="rId57" w:anchor="i24a2f296795646fa8b5ba32fd1359591_7" w:history="1">
        <w:r>
          <w:rPr>
            <w:rStyle w:val="a5"/>
            <w:rFonts w:ascii="Times New Roman" w:eastAsia="宋体" w:hAnsi="Times New Roman"/>
            <w:sz w:val="20"/>
            <w:szCs w:val="20"/>
          </w:rPr>
          <w:t xml:space="preserve">Table of </w:t>
        </w:r>
      </w:hyperlink>
      <w:hyperlink r:id="rId58" w:anchor="i24a2f296795646fa8b5ba32fd1359591_7" w:history="1">
        <w:r>
          <w:rPr>
            <w:rStyle w:val="a5"/>
            <w:rFonts w:ascii="Times New Roman" w:eastAsia="宋体" w:hAnsi="Times New Roman"/>
            <w:sz w:val="20"/>
            <w:szCs w:val="20"/>
          </w:rPr>
          <w:t>Contents</w:t>
        </w:r>
      </w:hyperlink>
    </w:p>
    <w:p w14:paraId="098A9862" w14:textId="77777777" w:rsidR="00141CDF" w:rsidRDefault="00DF45E0">
      <w:pPr>
        <w:spacing w:before="100"/>
      </w:pPr>
      <w:r>
        <w:rPr>
          <w:rFonts w:ascii="Times New Roman" w:eastAsia="宋体" w:hAnsi="Times New Roman"/>
          <w:color w:val="000000"/>
          <w:sz w:val="20"/>
          <w:szCs w:val="20"/>
        </w:rPr>
        <w:t xml:space="preserve">The Company's long-term debt is also recorded at cost. The fair value is estimated using Level 2 inputs based on the Company's current incremental borrowing rate for similar types of borrowing arrangements. The </w:t>
      </w:r>
      <w:r>
        <w:rPr>
          <w:rFonts w:ascii="Times New Roman" w:eastAsia="宋体" w:hAnsi="Times New Roman"/>
          <w:color w:val="000000"/>
          <w:sz w:val="20"/>
          <w:szCs w:val="20"/>
        </w:rPr>
        <w:t>carrying value and fair value of the Company's long-term debt as of July 31, 2022 and January 31, 2022, are as follows: </w:t>
      </w:r>
    </w:p>
    <w:tbl>
      <w:tblPr>
        <w:tblW w:w="4993" w:type="pct"/>
        <w:tblCellMar>
          <w:top w:w="15" w:type="dxa"/>
          <w:left w:w="15" w:type="dxa"/>
          <w:bottom w:w="15" w:type="dxa"/>
          <w:right w:w="15" w:type="dxa"/>
        </w:tblCellMar>
        <w:tblLook w:val="04A0" w:firstRow="1" w:lastRow="0" w:firstColumn="1" w:lastColumn="0" w:noHBand="0" w:noVBand="1"/>
      </w:tblPr>
      <w:tblGrid>
        <w:gridCol w:w="38"/>
        <w:gridCol w:w="3853"/>
        <w:gridCol w:w="37"/>
        <w:gridCol w:w="36"/>
        <w:gridCol w:w="36"/>
        <w:gridCol w:w="36"/>
        <w:gridCol w:w="101"/>
        <w:gridCol w:w="1007"/>
        <w:gridCol w:w="36"/>
        <w:gridCol w:w="36"/>
        <w:gridCol w:w="36"/>
        <w:gridCol w:w="36"/>
        <w:gridCol w:w="101"/>
        <w:gridCol w:w="701"/>
        <w:gridCol w:w="36"/>
        <w:gridCol w:w="36"/>
        <w:gridCol w:w="36"/>
        <w:gridCol w:w="36"/>
        <w:gridCol w:w="101"/>
        <w:gridCol w:w="1007"/>
        <w:gridCol w:w="36"/>
        <w:gridCol w:w="36"/>
        <w:gridCol w:w="36"/>
        <w:gridCol w:w="36"/>
        <w:gridCol w:w="101"/>
        <w:gridCol w:w="701"/>
        <w:gridCol w:w="36"/>
      </w:tblGrid>
      <w:tr w:rsidR="00141CDF" w14:paraId="098A987E" w14:textId="77777777">
        <w:tc>
          <w:tcPr>
            <w:tcW w:w="50" w:type="pct"/>
            <w:shd w:val="clear" w:color="auto" w:fill="auto"/>
            <w:vAlign w:val="bottom"/>
          </w:tcPr>
          <w:p w14:paraId="098A9863" w14:textId="77777777" w:rsidR="00141CDF" w:rsidRDefault="00141CDF">
            <w:pPr>
              <w:rPr>
                <w:rFonts w:ascii="宋体"/>
              </w:rPr>
            </w:pPr>
          </w:p>
        </w:tc>
        <w:tc>
          <w:tcPr>
            <w:tcW w:w="2455" w:type="pct"/>
            <w:shd w:val="clear" w:color="auto" w:fill="auto"/>
            <w:vAlign w:val="bottom"/>
          </w:tcPr>
          <w:p w14:paraId="098A9864" w14:textId="77777777" w:rsidR="00141CDF" w:rsidRDefault="00141CDF">
            <w:pPr>
              <w:rPr>
                <w:rFonts w:ascii="宋体"/>
              </w:rPr>
            </w:pPr>
          </w:p>
        </w:tc>
        <w:tc>
          <w:tcPr>
            <w:tcW w:w="5" w:type="pct"/>
            <w:shd w:val="clear" w:color="auto" w:fill="auto"/>
            <w:vAlign w:val="bottom"/>
          </w:tcPr>
          <w:p w14:paraId="098A9865" w14:textId="77777777" w:rsidR="00141CDF" w:rsidRDefault="00141CDF">
            <w:pPr>
              <w:rPr>
                <w:rFonts w:ascii="宋体"/>
              </w:rPr>
            </w:pPr>
          </w:p>
        </w:tc>
        <w:tc>
          <w:tcPr>
            <w:tcW w:w="5" w:type="pct"/>
            <w:shd w:val="clear" w:color="auto" w:fill="auto"/>
            <w:vAlign w:val="bottom"/>
          </w:tcPr>
          <w:p w14:paraId="098A9866" w14:textId="77777777" w:rsidR="00141CDF" w:rsidRDefault="00141CDF">
            <w:pPr>
              <w:rPr>
                <w:rFonts w:ascii="宋体"/>
              </w:rPr>
            </w:pPr>
          </w:p>
        </w:tc>
        <w:tc>
          <w:tcPr>
            <w:tcW w:w="26" w:type="pct"/>
            <w:shd w:val="clear" w:color="auto" w:fill="auto"/>
            <w:vAlign w:val="bottom"/>
          </w:tcPr>
          <w:p w14:paraId="098A9867" w14:textId="77777777" w:rsidR="00141CDF" w:rsidRDefault="00141CDF">
            <w:pPr>
              <w:rPr>
                <w:rFonts w:ascii="宋体"/>
              </w:rPr>
            </w:pPr>
          </w:p>
        </w:tc>
        <w:tc>
          <w:tcPr>
            <w:tcW w:w="5" w:type="pct"/>
            <w:shd w:val="clear" w:color="auto" w:fill="auto"/>
            <w:vAlign w:val="bottom"/>
          </w:tcPr>
          <w:p w14:paraId="098A9868" w14:textId="77777777" w:rsidR="00141CDF" w:rsidRDefault="00141CDF">
            <w:pPr>
              <w:rPr>
                <w:rFonts w:ascii="宋体"/>
              </w:rPr>
            </w:pPr>
          </w:p>
        </w:tc>
        <w:tc>
          <w:tcPr>
            <w:tcW w:w="50" w:type="pct"/>
            <w:shd w:val="clear" w:color="auto" w:fill="auto"/>
            <w:vAlign w:val="bottom"/>
          </w:tcPr>
          <w:p w14:paraId="098A9869" w14:textId="77777777" w:rsidR="00141CDF" w:rsidRDefault="00141CDF">
            <w:pPr>
              <w:rPr>
                <w:rFonts w:ascii="宋体"/>
              </w:rPr>
            </w:pPr>
          </w:p>
        </w:tc>
        <w:tc>
          <w:tcPr>
            <w:tcW w:w="530" w:type="pct"/>
            <w:shd w:val="clear" w:color="auto" w:fill="auto"/>
            <w:vAlign w:val="bottom"/>
          </w:tcPr>
          <w:p w14:paraId="098A986A" w14:textId="77777777" w:rsidR="00141CDF" w:rsidRDefault="00141CDF">
            <w:pPr>
              <w:rPr>
                <w:rFonts w:ascii="宋体"/>
              </w:rPr>
            </w:pPr>
          </w:p>
        </w:tc>
        <w:tc>
          <w:tcPr>
            <w:tcW w:w="5" w:type="pct"/>
            <w:shd w:val="clear" w:color="auto" w:fill="auto"/>
            <w:vAlign w:val="bottom"/>
          </w:tcPr>
          <w:p w14:paraId="098A986B" w14:textId="77777777" w:rsidR="00141CDF" w:rsidRDefault="00141CDF">
            <w:pPr>
              <w:rPr>
                <w:rFonts w:ascii="宋体"/>
              </w:rPr>
            </w:pPr>
          </w:p>
        </w:tc>
        <w:tc>
          <w:tcPr>
            <w:tcW w:w="5" w:type="pct"/>
            <w:shd w:val="clear" w:color="auto" w:fill="auto"/>
            <w:vAlign w:val="bottom"/>
          </w:tcPr>
          <w:p w14:paraId="098A986C" w14:textId="77777777" w:rsidR="00141CDF" w:rsidRDefault="00141CDF">
            <w:pPr>
              <w:rPr>
                <w:rFonts w:ascii="宋体"/>
              </w:rPr>
            </w:pPr>
          </w:p>
        </w:tc>
        <w:tc>
          <w:tcPr>
            <w:tcW w:w="26" w:type="pct"/>
            <w:shd w:val="clear" w:color="auto" w:fill="auto"/>
            <w:vAlign w:val="bottom"/>
          </w:tcPr>
          <w:p w14:paraId="098A986D" w14:textId="77777777" w:rsidR="00141CDF" w:rsidRDefault="00141CDF">
            <w:pPr>
              <w:rPr>
                <w:rFonts w:ascii="宋体"/>
              </w:rPr>
            </w:pPr>
          </w:p>
        </w:tc>
        <w:tc>
          <w:tcPr>
            <w:tcW w:w="5" w:type="pct"/>
            <w:shd w:val="clear" w:color="auto" w:fill="auto"/>
            <w:vAlign w:val="bottom"/>
          </w:tcPr>
          <w:p w14:paraId="098A986E" w14:textId="77777777" w:rsidR="00141CDF" w:rsidRDefault="00141CDF">
            <w:pPr>
              <w:rPr>
                <w:rFonts w:ascii="宋体"/>
              </w:rPr>
            </w:pPr>
          </w:p>
        </w:tc>
        <w:tc>
          <w:tcPr>
            <w:tcW w:w="50" w:type="pct"/>
            <w:shd w:val="clear" w:color="auto" w:fill="auto"/>
            <w:vAlign w:val="bottom"/>
          </w:tcPr>
          <w:p w14:paraId="098A986F" w14:textId="77777777" w:rsidR="00141CDF" w:rsidRDefault="00141CDF">
            <w:pPr>
              <w:rPr>
                <w:rFonts w:ascii="宋体"/>
              </w:rPr>
            </w:pPr>
          </w:p>
        </w:tc>
        <w:tc>
          <w:tcPr>
            <w:tcW w:w="530" w:type="pct"/>
            <w:shd w:val="clear" w:color="auto" w:fill="auto"/>
            <w:vAlign w:val="bottom"/>
          </w:tcPr>
          <w:p w14:paraId="098A9870" w14:textId="77777777" w:rsidR="00141CDF" w:rsidRDefault="00141CDF">
            <w:pPr>
              <w:rPr>
                <w:rFonts w:ascii="宋体"/>
              </w:rPr>
            </w:pPr>
          </w:p>
        </w:tc>
        <w:tc>
          <w:tcPr>
            <w:tcW w:w="5" w:type="pct"/>
            <w:shd w:val="clear" w:color="auto" w:fill="auto"/>
            <w:vAlign w:val="bottom"/>
          </w:tcPr>
          <w:p w14:paraId="098A9871" w14:textId="77777777" w:rsidR="00141CDF" w:rsidRDefault="00141CDF">
            <w:pPr>
              <w:rPr>
                <w:rFonts w:ascii="宋体"/>
              </w:rPr>
            </w:pPr>
          </w:p>
        </w:tc>
        <w:tc>
          <w:tcPr>
            <w:tcW w:w="5" w:type="pct"/>
            <w:shd w:val="clear" w:color="auto" w:fill="auto"/>
            <w:vAlign w:val="bottom"/>
          </w:tcPr>
          <w:p w14:paraId="098A9872" w14:textId="77777777" w:rsidR="00141CDF" w:rsidRDefault="00141CDF">
            <w:pPr>
              <w:rPr>
                <w:rFonts w:ascii="宋体"/>
              </w:rPr>
            </w:pPr>
          </w:p>
        </w:tc>
        <w:tc>
          <w:tcPr>
            <w:tcW w:w="26" w:type="pct"/>
            <w:shd w:val="clear" w:color="auto" w:fill="auto"/>
            <w:vAlign w:val="bottom"/>
          </w:tcPr>
          <w:p w14:paraId="098A9873" w14:textId="77777777" w:rsidR="00141CDF" w:rsidRDefault="00141CDF">
            <w:pPr>
              <w:rPr>
                <w:rFonts w:ascii="宋体"/>
              </w:rPr>
            </w:pPr>
          </w:p>
        </w:tc>
        <w:tc>
          <w:tcPr>
            <w:tcW w:w="5" w:type="pct"/>
            <w:shd w:val="clear" w:color="auto" w:fill="auto"/>
            <w:vAlign w:val="bottom"/>
          </w:tcPr>
          <w:p w14:paraId="098A9874" w14:textId="77777777" w:rsidR="00141CDF" w:rsidRDefault="00141CDF">
            <w:pPr>
              <w:rPr>
                <w:rFonts w:ascii="宋体"/>
              </w:rPr>
            </w:pPr>
          </w:p>
        </w:tc>
        <w:tc>
          <w:tcPr>
            <w:tcW w:w="50" w:type="pct"/>
            <w:shd w:val="clear" w:color="auto" w:fill="auto"/>
            <w:vAlign w:val="bottom"/>
          </w:tcPr>
          <w:p w14:paraId="098A9875" w14:textId="77777777" w:rsidR="00141CDF" w:rsidRDefault="00141CDF">
            <w:pPr>
              <w:rPr>
                <w:rFonts w:ascii="宋体"/>
              </w:rPr>
            </w:pPr>
          </w:p>
        </w:tc>
        <w:tc>
          <w:tcPr>
            <w:tcW w:w="530" w:type="pct"/>
            <w:shd w:val="clear" w:color="auto" w:fill="auto"/>
            <w:vAlign w:val="bottom"/>
          </w:tcPr>
          <w:p w14:paraId="098A9876" w14:textId="77777777" w:rsidR="00141CDF" w:rsidRDefault="00141CDF">
            <w:pPr>
              <w:rPr>
                <w:rFonts w:ascii="宋体"/>
              </w:rPr>
            </w:pPr>
          </w:p>
        </w:tc>
        <w:tc>
          <w:tcPr>
            <w:tcW w:w="5" w:type="pct"/>
            <w:shd w:val="clear" w:color="auto" w:fill="auto"/>
            <w:vAlign w:val="bottom"/>
          </w:tcPr>
          <w:p w14:paraId="098A9877" w14:textId="77777777" w:rsidR="00141CDF" w:rsidRDefault="00141CDF">
            <w:pPr>
              <w:rPr>
                <w:rFonts w:ascii="宋体"/>
              </w:rPr>
            </w:pPr>
          </w:p>
        </w:tc>
        <w:tc>
          <w:tcPr>
            <w:tcW w:w="5" w:type="pct"/>
            <w:shd w:val="clear" w:color="auto" w:fill="auto"/>
            <w:vAlign w:val="bottom"/>
          </w:tcPr>
          <w:p w14:paraId="098A9878" w14:textId="77777777" w:rsidR="00141CDF" w:rsidRDefault="00141CDF">
            <w:pPr>
              <w:rPr>
                <w:rFonts w:ascii="宋体"/>
              </w:rPr>
            </w:pPr>
          </w:p>
        </w:tc>
        <w:tc>
          <w:tcPr>
            <w:tcW w:w="26" w:type="pct"/>
            <w:shd w:val="clear" w:color="auto" w:fill="auto"/>
            <w:vAlign w:val="bottom"/>
          </w:tcPr>
          <w:p w14:paraId="098A9879" w14:textId="77777777" w:rsidR="00141CDF" w:rsidRDefault="00141CDF">
            <w:pPr>
              <w:rPr>
                <w:rFonts w:ascii="宋体"/>
              </w:rPr>
            </w:pPr>
          </w:p>
        </w:tc>
        <w:tc>
          <w:tcPr>
            <w:tcW w:w="5" w:type="pct"/>
            <w:shd w:val="clear" w:color="auto" w:fill="auto"/>
            <w:vAlign w:val="bottom"/>
          </w:tcPr>
          <w:p w14:paraId="098A987A" w14:textId="77777777" w:rsidR="00141CDF" w:rsidRDefault="00141CDF">
            <w:pPr>
              <w:rPr>
                <w:rFonts w:ascii="宋体"/>
              </w:rPr>
            </w:pPr>
          </w:p>
        </w:tc>
        <w:tc>
          <w:tcPr>
            <w:tcW w:w="50" w:type="pct"/>
            <w:shd w:val="clear" w:color="auto" w:fill="auto"/>
            <w:vAlign w:val="bottom"/>
          </w:tcPr>
          <w:p w14:paraId="098A987B" w14:textId="77777777" w:rsidR="00141CDF" w:rsidRDefault="00141CDF">
            <w:pPr>
              <w:rPr>
                <w:rFonts w:ascii="宋体"/>
              </w:rPr>
            </w:pPr>
          </w:p>
        </w:tc>
        <w:tc>
          <w:tcPr>
            <w:tcW w:w="530" w:type="pct"/>
            <w:shd w:val="clear" w:color="auto" w:fill="auto"/>
            <w:vAlign w:val="bottom"/>
          </w:tcPr>
          <w:p w14:paraId="098A987C" w14:textId="77777777" w:rsidR="00141CDF" w:rsidRDefault="00141CDF">
            <w:pPr>
              <w:rPr>
                <w:rFonts w:ascii="宋体"/>
              </w:rPr>
            </w:pPr>
          </w:p>
        </w:tc>
        <w:tc>
          <w:tcPr>
            <w:tcW w:w="5" w:type="pct"/>
            <w:shd w:val="clear" w:color="auto" w:fill="auto"/>
            <w:vAlign w:val="bottom"/>
          </w:tcPr>
          <w:p w14:paraId="098A987D" w14:textId="77777777" w:rsidR="00141CDF" w:rsidRDefault="00141CDF">
            <w:pPr>
              <w:rPr>
                <w:rFonts w:ascii="宋体"/>
              </w:rPr>
            </w:pPr>
          </w:p>
        </w:tc>
      </w:tr>
      <w:tr w:rsidR="00141CDF" w14:paraId="098A9884" w14:textId="77777777">
        <w:tc>
          <w:tcPr>
            <w:tcW w:w="0" w:type="auto"/>
            <w:gridSpan w:val="3"/>
            <w:shd w:val="clear" w:color="auto" w:fill="auto"/>
            <w:tcMar>
              <w:top w:w="40" w:type="dxa"/>
              <w:left w:w="20" w:type="dxa"/>
              <w:bottom w:w="40" w:type="dxa"/>
              <w:right w:w="20" w:type="dxa"/>
            </w:tcMar>
            <w:vAlign w:val="bottom"/>
          </w:tcPr>
          <w:p w14:paraId="098A987F" w14:textId="77777777" w:rsidR="00141CDF" w:rsidRDefault="00DF45E0">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098A9880" w14:textId="77777777" w:rsidR="00141CDF" w:rsidRDefault="00141CDF">
            <w:pPr>
              <w:rPr>
                <w:rFonts w:ascii="宋体"/>
              </w:rPr>
            </w:pPr>
          </w:p>
        </w:tc>
        <w:tc>
          <w:tcPr>
            <w:tcW w:w="0" w:type="auto"/>
            <w:gridSpan w:val="9"/>
            <w:shd w:val="clear" w:color="auto" w:fill="auto"/>
            <w:tcMar>
              <w:top w:w="40" w:type="dxa"/>
              <w:left w:w="20" w:type="dxa"/>
              <w:bottom w:w="40" w:type="dxa"/>
              <w:right w:w="20" w:type="dxa"/>
            </w:tcMar>
            <w:vAlign w:val="bottom"/>
          </w:tcPr>
          <w:p w14:paraId="098A9881" w14:textId="77777777" w:rsidR="00141CDF" w:rsidRDefault="00DF45E0">
            <w:pPr>
              <w:jc w:val="center"/>
              <w:textAlignment w:val="bottom"/>
            </w:pPr>
            <w:r>
              <w:rPr>
                <w:rFonts w:ascii="Times New Roman" w:eastAsia="宋体" w:hAnsi="Times New Roman"/>
                <w:b/>
                <w:bCs/>
                <w:color w:val="000000"/>
                <w:sz w:val="16"/>
                <w:szCs w:val="16"/>
              </w:rPr>
              <w:t>July 31, 2022</w:t>
            </w:r>
          </w:p>
        </w:tc>
        <w:tc>
          <w:tcPr>
            <w:tcW w:w="0" w:type="auto"/>
            <w:gridSpan w:val="3"/>
            <w:shd w:val="clear" w:color="auto" w:fill="auto"/>
            <w:tcMar>
              <w:top w:w="0" w:type="dxa"/>
              <w:left w:w="20" w:type="dxa"/>
              <w:bottom w:w="0" w:type="dxa"/>
              <w:right w:w="20" w:type="dxa"/>
            </w:tcMar>
            <w:vAlign w:val="bottom"/>
          </w:tcPr>
          <w:p w14:paraId="098A9882" w14:textId="77777777" w:rsidR="00141CDF" w:rsidRDefault="00141CDF">
            <w:pPr>
              <w:rPr>
                <w:rFonts w:ascii="宋体"/>
              </w:rPr>
            </w:pPr>
          </w:p>
        </w:tc>
        <w:tc>
          <w:tcPr>
            <w:tcW w:w="0" w:type="auto"/>
            <w:gridSpan w:val="9"/>
            <w:shd w:val="clear" w:color="auto" w:fill="auto"/>
            <w:tcMar>
              <w:top w:w="40" w:type="dxa"/>
              <w:left w:w="20" w:type="dxa"/>
              <w:bottom w:w="40" w:type="dxa"/>
              <w:right w:w="20" w:type="dxa"/>
            </w:tcMar>
            <w:vAlign w:val="bottom"/>
          </w:tcPr>
          <w:p w14:paraId="098A9883" w14:textId="77777777" w:rsidR="00141CDF" w:rsidRDefault="00DF45E0">
            <w:pPr>
              <w:jc w:val="center"/>
              <w:textAlignment w:val="bottom"/>
            </w:pPr>
            <w:r>
              <w:rPr>
                <w:rFonts w:ascii="Times New Roman" w:eastAsia="宋体" w:hAnsi="Times New Roman"/>
                <w:b/>
                <w:bCs/>
                <w:color w:val="000000"/>
                <w:sz w:val="16"/>
                <w:szCs w:val="16"/>
              </w:rPr>
              <w:t>January 31, 2022</w:t>
            </w:r>
          </w:p>
        </w:tc>
      </w:tr>
      <w:tr w:rsidR="00141CDF" w14:paraId="098A988E" w14:textId="77777777">
        <w:tc>
          <w:tcPr>
            <w:tcW w:w="0" w:type="auto"/>
            <w:gridSpan w:val="3"/>
            <w:shd w:val="clear" w:color="auto" w:fill="auto"/>
            <w:tcMar>
              <w:top w:w="40" w:type="dxa"/>
              <w:left w:w="20" w:type="dxa"/>
              <w:bottom w:w="40" w:type="dxa"/>
              <w:right w:w="20" w:type="dxa"/>
            </w:tcMar>
            <w:vAlign w:val="bottom"/>
          </w:tcPr>
          <w:p w14:paraId="098A9885" w14:textId="77777777" w:rsidR="00141CDF" w:rsidRDefault="00DF45E0">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098A9886"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98A9887" w14:textId="77777777" w:rsidR="00141CDF" w:rsidRDefault="00DF45E0">
            <w:pPr>
              <w:jc w:val="center"/>
              <w:textAlignment w:val="bottom"/>
            </w:pPr>
            <w:r>
              <w:rPr>
                <w:rFonts w:ascii="Times New Roman" w:eastAsia="宋体" w:hAnsi="Times New Roman"/>
                <w:b/>
                <w:bCs/>
                <w:color w:val="000000"/>
                <w:sz w:val="16"/>
                <w:szCs w:val="16"/>
              </w:rPr>
              <w:t>Carrying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9888"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98A9889" w14:textId="77777777" w:rsidR="00141CDF" w:rsidRDefault="00DF45E0">
            <w:pPr>
              <w:jc w:val="center"/>
              <w:textAlignment w:val="bottom"/>
            </w:pPr>
            <w:r>
              <w:rPr>
                <w:rFonts w:ascii="Times New Roman" w:eastAsia="宋体" w:hAnsi="Times New Roman"/>
                <w:b/>
                <w:bCs/>
                <w:color w:val="000000"/>
                <w:sz w:val="16"/>
                <w:szCs w:val="16"/>
              </w:rPr>
              <w:t>Fair Value</w:t>
            </w:r>
          </w:p>
        </w:tc>
        <w:tc>
          <w:tcPr>
            <w:tcW w:w="0" w:type="auto"/>
            <w:gridSpan w:val="3"/>
            <w:shd w:val="clear" w:color="auto" w:fill="auto"/>
            <w:tcMar>
              <w:top w:w="0" w:type="dxa"/>
              <w:left w:w="20" w:type="dxa"/>
              <w:bottom w:w="0" w:type="dxa"/>
              <w:right w:w="20" w:type="dxa"/>
            </w:tcMar>
            <w:vAlign w:val="bottom"/>
          </w:tcPr>
          <w:p w14:paraId="098A988A"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98A988B" w14:textId="77777777" w:rsidR="00141CDF" w:rsidRDefault="00DF45E0">
            <w:pPr>
              <w:jc w:val="center"/>
              <w:textAlignment w:val="bottom"/>
            </w:pPr>
            <w:r>
              <w:rPr>
                <w:rFonts w:ascii="Times New Roman" w:eastAsia="宋体" w:hAnsi="Times New Roman"/>
                <w:b/>
                <w:bCs/>
                <w:color w:val="000000"/>
                <w:sz w:val="16"/>
                <w:szCs w:val="16"/>
              </w:rPr>
              <w:t>Carrying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988C"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98A988D" w14:textId="77777777" w:rsidR="00141CDF" w:rsidRDefault="00DF45E0">
            <w:pPr>
              <w:jc w:val="center"/>
              <w:textAlignment w:val="bottom"/>
            </w:pPr>
            <w:r>
              <w:rPr>
                <w:rFonts w:ascii="Times New Roman" w:eastAsia="宋体" w:hAnsi="Times New Roman"/>
                <w:b/>
                <w:bCs/>
                <w:color w:val="000000"/>
                <w:sz w:val="16"/>
                <w:szCs w:val="16"/>
              </w:rPr>
              <w:t>Fair Value</w:t>
            </w:r>
          </w:p>
        </w:tc>
      </w:tr>
      <w:tr w:rsidR="00141CDF" w14:paraId="098A98A0" w14:textId="77777777">
        <w:tc>
          <w:tcPr>
            <w:tcW w:w="0" w:type="auto"/>
            <w:gridSpan w:val="3"/>
            <w:shd w:val="clear" w:color="auto" w:fill="CCEEFF"/>
            <w:tcMar>
              <w:top w:w="40" w:type="dxa"/>
              <w:left w:w="20" w:type="dxa"/>
              <w:bottom w:w="40" w:type="dxa"/>
              <w:right w:w="20" w:type="dxa"/>
            </w:tcMar>
            <w:vAlign w:val="center"/>
          </w:tcPr>
          <w:p w14:paraId="098A988F" w14:textId="77777777" w:rsidR="00141CDF" w:rsidRDefault="00DF45E0">
            <w:pPr>
              <w:textAlignment w:val="center"/>
            </w:pPr>
            <w:r>
              <w:rPr>
                <w:rFonts w:ascii="Times New Roman" w:eastAsia="宋体" w:hAnsi="Times New Roman"/>
                <w:color w:val="000000"/>
                <w:sz w:val="16"/>
                <w:szCs w:val="16"/>
              </w:rPr>
              <w:t>Long-term debt, including amounts due within one year</w:t>
            </w:r>
          </w:p>
        </w:tc>
        <w:tc>
          <w:tcPr>
            <w:tcW w:w="0" w:type="auto"/>
            <w:gridSpan w:val="3"/>
            <w:shd w:val="clear" w:color="auto" w:fill="CCEEFF"/>
            <w:tcMar>
              <w:top w:w="0" w:type="dxa"/>
              <w:left w:w="20" w:type="dxa"/>
              <w:bottom w:w="0" w:type="dxa"/>
              <w:right w:w="20" w:type="dxa"/>
            </w:tcMar>
            <w:vAlign w:val="bottom"/>
          </w:tcPr>
          <w:p w14:paraId="098A9890"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9891"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9892" w14:textId="77777777" w:rsidR="00141CDF" w:rsidRDefault="00DF45E0">
            <w:pPr>
              <w:jc w:val="right"/>
              <w:textAlignment w:val="center"/>
            </w:pPr>
            <w:r>
              <w:rPr>
                <w:rFonts w:ascii="Times New Roman" w:eastAsia="宋体" w:hAnsi="Times New Roman"/>
                <w:color w:val="000000"/>
                <w:sz w:val="16"/>
                <w:szCs w:val="16"/>
              </w:rPr>
              <w:t>35,117 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893"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894"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9895"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9896" w14:textId="77777777" w:rsidR="00141CDF" w:rsidRDefault="00DF45E0">
            <w:pPr>
              <w:jc w:val="right"/>
              <w:textAlignment w:val="center"/>
            </w:pPr>
            <w:r>
              <w:rPr>
                <w:rFonts w:ascii="Times New Roman" w:eastAsia="宋体" w:hAnsi="Times New Roman"/>
                <w:color w:val="000000"/>
                <w:sz w:val="16"/>
                <w:szCs w:val="16"/>
              </w:rPr>
              <w:t>36,367 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897"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898"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9899"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989A" w14:textId="77777777" w:rsidR="00141CDF" w:rsidRDefault="00DF45E0">
            <w:pPr>
              <w:jc w:val="right"/>
              <w:textAlignment w:val="center"/>
            </w:pPr>
            <w:r>
              <w:rPr>
                <w:rFonts w:ascii="Times New Roman" w:eastAsia="宋体" w:hAnsi="Times New Roman"/>
                <w:color w:val="000000"/>
                <w:sz w:val="16"/>
                <w:szCs w:val="16"/>
              </w:rPr>
              <w:t>37,667 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89B"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89C"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989D"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989E" w14:textId="77777777" w:rsidR="00141CDF" w:rsidRDefault="00DF45E0">
            <w:pPr>
              <w:jc w:val="right"/>
              <w:textAlignment w:val="center"/>
            </w:pPr>
            <w:r>
              <w:rPr>
                <w:rFonts w:ascii="Times New Roman" w:eastAsia="宋体" w:hAnsi="Times New Roman"/>
                <w:color w:val="000000"/>
                <w:sz w:val="16"/>
                <w:szCs w:val="16"/>
              </w:rPr>
              <w:t>42,381 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89F" w14:textId="77777777" w:rsidR="00141CDF" w:rsidRDefault="00141CDF">
            <w:pPr>
              <w:jc w:val="right"/>
              <w:rPr>
                <w:rFonts w:ascii="宋体"/>
              </w:rPr>
            </w:pPr>
          </w:p>
        </w:tc>
      </w:tr>
    </w:tbl>
    <w:p w14:paraId="098A98A1" w14:textId="77777777" w:rsidR="00141CDF" w:rsidRDefault="00DF45E0">
      <w:pPr>
        <w:spacing w:before="240"/>
      </w:pPr>
      <w:r>
        <w:rPr>
          <w:rFonts w:ascii="Times New Roman" w:eastAsia="宋体" w:hAnsi="Times New Roman"/>
          <w:b/>
          <w:bCs/>
          <w:color w:val="000000"/>
          <w:sz w:val="20"/>
          <w:szCs w:val="20"/>
        </w:rPr>
        <w:t>Note 6. Contingencies</w:t>
      </w:r>
    </w:p>
    <w:p w14:paraId="098A98A2" w14:textId="77777777" w:rsidR="00141CDF" w:rsidRDefault="00DF45E0">
      <w:pPr>
        <w:spacing w:before="180"/>
      </w:pPr>
      <w:r>
        <w:rPr>
          <w:rFonts w:ascii="Times New Roman" w:eastAsia="宋体" w:hAnsi="Times New Roman"/>
          <w:b/>
          <w:bCs/>
          <w:i/>
          <w:iCs/>
          <w:color w:val="000000"/>
          <w:sz w:val="20"/>
          <w:szCs w:val="20"/>
        </w:rPr>
        <w:t>Legal Proceedings</w:t>
      </w:r>
    </w:p>
    <w:p w14:paraId="098A98A3" w14:textId="77777777" w:rsidR="00141CDF" w:rsidRDefault="00DF45E0">
      <w:pPr>
        <w:spacing w:before="100"/>
      </w:pPr>
      <w:r>
        <w:rPr>
          <w:rFonts w:ascii="Times New Roman" w:eastAsia="宋体" w:hAnsi="Times New Roman"/>
          <w:color w:val="000000"/>
          <w:sz w:val="20"/>
          <w:szCs w:val="20"/>
        </w:rPr>
        <w:t xml:space="preserve">The Company is involved in a </w:t>
      </w:r>
      <w:r>
        <w:rPr>
          <w:rFonts w:ascii="Times New Roman" w:eastAsia="宋体" w:hAnsi="Times New Roman"/>
          <w:color w:val="000000"/>
          <w:sz w:val="20"/>
          <w:szCs w:val="20"/>
        </w:rPr>
        <w:t>number of legal proceedings and certain regulatory matters. The Company has made accruals with respect to these matters, where appropriate, which are reflected in the Company's Condensed Consolidated Financial Statements. For some matters, a liability is n</w:t>
      </w:r>
      <w:r>
        <w:rPr>
          <w:rFonts w:ascii="Times New Roman" w:eastAsia="宋体" w:hAnsi="Times New Roman"/>
          <w:color w:val="000000"/>
          <w:sz w:val="20"/>
          <w:szCs w:val="20"/>
        </w:rPr>
        <w:t>ot probable or the amount cannot be reasonably estimated and therefore an accrual has not been recorded. However, where a liability is reasonably possible and may be material, such matters have been disclosed. The Company may enter into discussions regardi</w:t>
      </w:r>
      <w:r>
        <w:rPr>
          <w:rFonts w:ascii="Times New Roman" w:eastAsia="宋体" w:hAnsi="Times New Roman"/>
          <w:color w:val="000000"/>
          <w:sz w:val="20"/>
          <w:szCs w:val="20"/>
        </w:rPr>
        <w:t>ng settlement of these matters, and may enter into settlement agreements, if it believes settlement is in the best interest of the Company and its shareholders.</w:t>
      </w:r>
    </w:p>
    <w:p w14:paraId="098A98A4" w14:textId="77777777" w:rsidR="00141CDF" w:rsidRDefault="00DF45E0">
      <w:pPr>
        <w:spacing w:before="100"/>
      </w:pPr>
      <w:r>
        <w:rPr>
          <w:rFonts w:ascii="Times New Roman" w:eastAsia="宋体" w:hAnsi="Times New Roman"/>
          <w:color w:val="000000"/>
          <w:sz w:val="20"/>
          <w:szCs w:val="20"/>
        </w:rPr>
        <w:t>Unless stated otherwise, the matters discussed below, if decided adversely to or settled by the</w:t>
      </w:r>
      <w:r>
        <w:rPr>
          <w:rFonts w:ascii="Times New Roman" w:eastAsia="宋体" w:hAnsi="Times New Roman"/>
          <w:color w:val="000000"/>
          <w:sz w:val="20"/>
          <w:szCs w:val="20"/>
        </w:rPr>
        <w:t xml:space="preserve"> Company, individually or in the aggregate, may result in a liability material to the Company's financial position, results of operations or cash flows.</w:t>
      </w:r>
    </w:p>
    <w:p w14:paraId="098A98A5" w14:textId="77777777" w:rsidR="00141CDF" w:rsidRDefault="00DF45E0">
      <w:pPr>
        <w:spacing w:before="180"/>
      </w:pPr>
      <w:r>
        <w:rPr>
          <w:rFonts w:ascii="Times New Roman" w:eastAsia="宋体" w:hAnsi="Times New Roman"/>
          <w:i/>
          <w:iCs/>
          <w:color w:val="000000"/>
          <w:sz w:val="20"/>
          <w:szCs w:val="20"/>
        </w:rPr>
        <w:t xml:space="preserve">Opioids Litigation </w:t>
      </w:r>
    </w:p>
    <w:p w14:paraId="098A98A6" w14:textId="77777777" w:rsidR="00141CDF" w:rsidRDefault="00DF45E0">
      <w:pPr>
        <w:spacing w:before="100"/>
      </w:pPr>
      <w:r>
        <w:rPr>
          <w:rFonts w:ascii="Times New Roman" w:eastAsia="宋体" w:hAnsi="Times New Roman"/>
          <w:color w:val="000000"/>
          <w:sz w:val="20"/>
          <w:szCs w:val="20"/>
        </w:rPr>
        <w:t>In December 2017, the United States Judicial Panel on Multidistrict Litigation consolidated numerous lawsuits filed against a wide array of defendants by various plaintiffs, including counties, cities, healthcare providers, Native American tribes, individu</w:t>
      </w:r>
      <w:r>
        <w:rPr>
          <w:rFonts w:ascii="Times New Roman" w:eastAsia="宋体" w:hAnsi="Times New Roman"/>
          <w:color w:val="000000"/>
          <w:sz w:val="20"/>
          <w:szCs w:val="20"/>
        </w:rPr>
        <w:t xml:space="preserve">als, and third-party payers, asserting claims generally concerning the impacts of widespread opioid abuse. The consolidated multidistrict litigation is entitled </w:t>
      </w:r>
      <w:r>
        <w:rPr>
          <w:rFonts w:ascii="Times New Roman" w:eastAsia="宋体" w:hAnsi="Times New Roman"/>
          <w:i/>
          <w:iCs/>
          <w:color w:val="000000"/>
          <w:sz w:val="20"/>
          <w:szCs w:val="20"/>
        </w:rPr>
        <w:t>In re National Prescription Opiate Litigation</w:t>
      </w:r>
      <w:r>
        <w:rPr>
          <w:rFonts w:ascii="Times New Roman" w:eastAsia="宋体" w:hAnsi="Times New Roman"/>
          <w:color w:val="000000"/>
          <w:sz w:val="20"/>
          <w:szCs w:val="20"/>
        </w:rPr>
        <w:t xml:space="preserve"> (MDL No. 2804) (the "MDL") and is pending in the </w:t>
      </w:r>
      <w:r>
        <w:rPr>
          <w:rFonts w:ascii="Times New Roman" w:eastAsia="宋体" w:hAnsi="Times New Roman"/>
          <w:color w:val="000000"/>
          <w:sz w:val="20"/>
          <w:szCs w:val="20"/>
        </w:rPr>
        <w:t>U.S. District Court for the Northern District of Ohio. The Company is named as a defendant in some of the cases included in this multidistrict litigation. The liability phase of a single, two-county trial in one of the MDL cases began on October 4, 2021 ag</w:t>
      </w:r>
      <w:r>
        <w:rPr>
          <w:rFonts w:ascii="Times New Roman" w:eastAsia="宋体" w:hAnsi="Times New Roman"/>
          <w:color w:val="000000"/>
          <w:sz w:val="20"/>
          <w:szCs w:val="20"/>
        </w:rPr>
        <w:t>ainst a number of parties, including the Company, regarding opioid dispensing claims. On November 23, 2021, the jury found in favor of the plaintiffs as to the liability of all defendants, including the Company. The abatement phase of the single, two-count</w:t>
      </w:r>
      <w:r>
        <w:rPr>
          <w:rFonts w:ascii="Times New Roman" w:eastAsia="宋体" w:hAnsi="Times New Roman"/>
          <w:color w:val="000000"/>
          <w:sz w:val="20"/>
          <w:szCs w:val="20"/>
        </w:rPr>
        <w:t>y trial to determine amounts owed by the defendants and any injunctive relief ended on May 17, 2022. On August 17, 2022, the court ordered all three defendants, including the Company, to pay approximately $651 million over fifteen years, on a joint and sev</w:t>
      </w:r>
      <w:r>
        <w:rPr>
          <w:rFonts w:ascii="Times New Roman" w:eastAsia="宋体" w:hAnsi="Times New Roman"/>
          <w:color w:val="000000"/>
          <w:sz w:val="20"/>
          <w:szCs w:val="20"/>
        </w:rPr>
        <w:t>eral liability basis. The court also ordered the defendants to pay approximately $87 million of the total abatement amount into an abatement fund on or before October 1, 2022, reflecting the first two years of abatement. However, the Company plans to appea</w:t>
      </w:r>
      <w:r>
        <w:rPr>
          <w:rFonts w:ascii="Times New Roman" w:eastAsia="宋体" w:hAnsi="Times New Roman"/>
          <w:color w:val="000000"/>
          <w:sz w:val="20"/>
          <w:szCs w:val="20"/>
        </w:rPr>
        <w:t>l both the jury verdict from the liability phase and the court's abatement order.</w:t>
      </w:r>
    </w:p>
    <w:p w14:paraId="098A98A7" w14:textId="77777777" w:rsidR="00141CDF" w:rsidRDefault="00DF45E0">
      <w:pPr>
        <w:spacing w:before="100"/>
      </w:pPr>
      <w:r>
        <w:rPr>
          <w:rFonts w:ascii="Times New Roman" w:eastAsia="宋体" w:hAnsi="Times New Roman"/>
          <w:color w:val="000000"/>
          <w:sz w:val="20"/>
          <w:szCs w:val="20"/>
        </w:rPr>
        <w:t>Similar cases that name the Company have also been filed in state courts by state, local and tribal governments, healthcare providers and other plaintiffs. Plaintiffs are see</w:t>
      </w:r>
      <w:r>
        <w:rPr>
          <w:rFonts w:ascii="Times New Roman" w:eastAsia="宋体" w:hAnsi="Times New Roman"/>
          <w:color w:val="000000"/>
          <w:sz w:val="20"/>
          <w:szCs w:val="20"/>
        </w:rPr>
        <w:t>king compensatory and punitive damages, as well as injunctive relief including abatement. The Company cannot predict the number of such claims that may be filed, but believes it has substantial factual and legal defenses to these claims, and intends to def</w:t>
      </w:r>
      <w:r>
        <w:rPr>
          <w:rFonts w:ascii="Times New Roman" w:eastAsia="宋体" w:hAnsi="Times New Roman"/>
          <w:color w:val="000000"/>
          <w:sz w:val="20"/>
          <w:szCs w:val="20"/>
        </w:rPr>
        <w:t>end the claims vigorously. The Company has also been responding to subpoenas, information requests and investigations from governmental entities related to nationwide controlled substance dispensing and distribution practices involving opioids.</w:t>
      </w:r>
    </w:p>
    <w:p w14:paraId="098A98A8" w14:textId="77777777" w:rsidR="00141CDF" w:rsidRDefault="00DF45E0">
      <w:pPr>
        <w:spacing w:before="100"/>
      </w:pPr>
      <w:r>
        <w:rPr>
          <w:rFonts w:ascii="Times New Roman" w:eastAsia="宋体" w:hAnsi="Times New Roman"/>
          <w:color w:val="000000"/>
          <w:sz w:val="20"/>
          <w:szCs w:val="20"/>
        </w:rPr>
        <w:t>On December</w:t>
      </w:r>
      <w:r>
        <w:rPr>
          <w:rFonts w:ascii="Times New Roman" w:eastAsia="宋体" w:hAnsi="Times New Roman"/>
          <w:color w:val="000000"/>
          <w:sz w:val="20"/>
          <w:szCs w:val="20"/>
        </w:rPr>
        <w:t xml:space="preserve"> 22, 2020, the U.S. Department of Justice (the "DOJ") filed a civil complaint in the U.S. District Court for the District of Delaware alleging that the Company unlawfully dispensed controlled substances from its pharmacies and unlawfully distributed contro</w:t>
      </w:r>
      <w:r>
        <w:rPr>
          <w:rFonts w:ascii="Times New Roman" w:eastAsia="宋体" w:hAnsi="Times New Roman"/>
          <w:color w:val="000000"/>
          <w:sz w:val="20"/>
          <w:szCs w:val="20"/>
        </w:rPr>
        <w:t>lled substances to those pharmacies. The complaint alleges that this conduct resulted in violations of the Controlled Substances Act (the "CSA"). The DOJ is seeking civil penalties and injunctive relief. The Company initially moved to dismiss the DOJ compl</w:t>
      </w:r>
      <w:r>
        <w:rPr>
          <w:rFonts w:ascii="Times New Roman" w:eastAsia="宋体" w:hAnsi="Times New Roman"/>
          <w:color w:val="000000"/>
          <w:sz w:val="20"/>
          <w:szCs w:val="20"/>
        </w:rPr>
        <w:t>aint on February 22, 2021. After the parties had fully briefed the Company's motion to dismiss, the District Court stayed proceedings in the case pending the decision of the United States Supreme Court in Ruan v. United States and Kahn v. United States, 14</w:t>
      </w:r>
      <w:r>
        <w:rPr>
          <w:rFonts w:ascii="Times New Roman" w:eastAsia="宋体" w:hAnsi="Times New Roman"/>
          <w:color w:val="000000"/>
          <w:sz w:val="20"/>
          <w:szCs w:val="20"/>
        </w:rPr>
        <w:t>2 S. Ct. 2370 (Jun. 27, 2022) ("Ruan") regarding matters under the CSA. Following the decision in Ruan and pursuant to an agreement of the parties, the District Court set a deadline of October 7, 2022 for the DOJ to file an amended complaint or move for le</w:t>
      </w:r>
      <w:r>
        <w:rPr>
          <w:rFonts w:ascii="Times New Roman" w:eastAsia="宋体" w:hAnsi="Times New Roman"/>
          <w:color w:val="000000"/>
          <w:sz w:val="20"/>
          <w:szCs w:val="20"/>
        </w:rPr>
        <w:t>ave to amend its complaint.</w:t>
      </w:r>
    </w:p>
    <w:p w14:paraId="098A98A9" w14:textId="77777777" w:rsidR="00141CDF" w:rsidRDefault="00DF45E0">
      <w:pPr>
        <w:spacing w:before="100"/>
      </w:pPr>
      <w:r>
        <w:rPr>
          <w:rFonts w:ascii="Times New Roman" w:eastAsia="宋体" w:hAnsi="Times New Roman"/>
          <w:color w:val="000000"/>
          <w:sz w:val="20"/>
          <w:szCs w:val="20"/>
        </w:rPr>
        <w:t>In addition, the Company is the subject of two securities class actions alleging violations of the federal securities laws regarding the Company's disclosures with respect to opioids, filed in the U.S. District Court for the Dis</w:t>
      </w:r>
      <w:r>
        <w:rPr>
          <w:rFonts w:ascii="Times New Roman" w:eastAsia="宋体" w:hAnsi="Times New Roman"/>
          <w:color w:val="000000"/>
          <w:sz w:val="20"/>
          <w:szCs w:val="20"/>
        </w:rPr>
        <w:t>trict of Delaware on January 20, 2021 and March 5, 2021 purportedly on behalf of a class of investors who acquired Walmart stock from March 30, 2016 through December 22, 2020. Those cases have been consolidated. On October 8, 2021, the defendants filed a m</w:t>
      </w:r>
      <w:r>
        <w:rPr>
          <w:rFonts w:ascii="Times New Roman" w:eastAsia="宋体" w:hAnsi="Times New Roman"/>
          <w:color w:val="000000"/>
          <w:sz w:val="20"/>
          <w:szCs w:val="20"/>
        </w:rPr>
        <w:t>otion to dismiss the consolidated securities action; the lead plaintiff responded to the motion on January 10, 2022; and the defendants filed their reply brief on February 10, 2022. A hearing on the motion is currently scheduled for September 9, 2022. Deri</w:t>
      </w:r>
      <w:r>
        <w:rPr>
          <w:rFonts w:ascii="Times New Roman" w:eastAsia="宋体" w:hAnsi="Times New Roman"/>
          <w:color w:val="000000"/>
          <w:sz w:val="20"/>
          <w:szCs w:val="20"/>
        </w:rPr>
        <w:t xml:space="preserve">vative actions were also filed by two of the Company's shareholders in the U.S. District Court for the District of Delaware on February 9, 2021 and April 16, 2021 alleging breach of fiduciary duties against certain of its current and former directors with </w:t>
      </w:r>
      <w:r>
        <w:rPr>
          <w:rFonts w:ascii="Times New Roman" w:eastAsia="宋体" w:hAnsi="Times New Roman"/>
          <w:color w:val="000000"/>
          <w:sz w:val="20"/>
          <w:szCs w:val="20"/>
        </w:rPr>
        <w:t xml:space="preserve">respect to oversight of the Company's distribution and dispensing of opioids and also alleging violations of the federal securities laws and </w:t>
      </w:r>
    </w:p>
    <w:p w14:paraId="098A98AA" w14:textId="77777777" w:rsidR="00141CDF" w:rsidRDefault="00DF45E0">
      <w:pPr>
        <w:jc w:val="center"/>
      </w:pPr>
      <w:r>
        <w:rPr>
          <w:rFonts w:ascii="Times New Roman" w:eastAsia="宋体" w:hAnsi="Times New Roman"/>
          <w:color w:val="000000"/>
          <w:sz w:val="20"/>
          <w:szCs w:val="20"/>
        </w:rPr>
        <w:t>11</w:t>
      </w:r>
    </w:p>
    <w:p w14:paraId="098A98AB" w14:textId="77777777" w:rsidR="00141CDF" w:rsidRDefault="00DF45E0">
      <w:r>
        <w:pict w14:anchorId="098AA659">
          <v:rect id="_x0000_i1035" style="width:415.3pt;height:1.5pt" o:hralign="center" o:hrstd="t" o:hr="t" fillcolor="#a0a0a0" stroked="f"/>
        </w:pict>
      </w:r>
    </w:p>
    <w:p w14:paraId="098A98AC" w14:textId="77777777" w:rsidR="00141CDF" w:rsidRDefault="00DF45E0">
      <w:hyperlink r:id="rId59" w:anchor="i24a2f296795646fa8b5ba32fd1359591_7" w:history="1">
        <w:r>
          <w:rPr>
            <w:rStyle w:val="a5"/>
            <w:rFonts w:ascii="Times New Roman" w:eastAsia="宋体" w:hAnsi="Times New Roman"/>
            <w:sz w:val="20"/>
            <w:szCs w:val="20"/>
          </w:rPr>
          <w:t xml:space="preserve">Table of </w:t>
        </w:r>
      </w:hyperlink>
      <w:hyperlink r:id="rId60" w:anchor="i24a2f296795646fa8b5ba32fd1359591_7" w:history="1">
        <w:r>
          <w:rPr>
            <w:rStyle w:val="a5"/>
            <w:rFonts w:ascii="Times New Roman" w:eastAsia="宋体" w:hAnsi="Times New Roman"/>
            <w:sz w:val="20"/>
            <w:szCs w:val="20"/>
          </w:rPr>
          <w:t>Contents</w:t>
        </w:r>
      </w:hyperlink>
    </w:p>
    <w:p w14:paraId="098A98AD" w14:textId="77777777" w:rsidR="00141CDF" w:rsidRDefault="00DF45E0">
      <w:pPr>
        <w:spacing w:before="100"/>
      </w:pPr>
      <w:r>
        <w:rPr>
          <w:rFonts w:ascii="Times New Roman" w:eastAsia="宋体" w:hAnsi="Times New Roman"/>
          <w:color w:val="000000"/>
          <w:sz w:val="20"/>
          <w:szCs w:val="20"/>
        </w:rPr>
        <w:t>other breaches of duty by current directors</w:t>
      </w:r>
      <w:r>
        <w:rPr>
          <w:rFonts w:ascii="Times New Roman" w:eastAsia="宋体" w:hAnsi="Times New Roman"/>
          <w:color w:val="000000"/>
          <w:sz w:val="20"/>
          <w:szCs w:val="20"/>
        </w:rPr>
        <w:t xml:space="preserve"> and two current officers in connection with the Company's opioids disclosures. Those cases have been stayed pending developments in other Opioids Litigation matters. On September 27, 2021, three shareholders filed a derivative action in the Delaware Court</w:t>
      </w:r>
      <w:r>
        <w:rPr>
          <w:rFonts w:ascii="Times New Roman" w:eastAsia="宋体" w:hAnsi="Times New Roman"/>
          <w:color w:val="000000"/>
          <w:sz w:val="20"/>
          <w:szCs w:val="20"/>
        </w:rPr>
        <w:t xml:space="preserve"> of Chancery alleging that certain members of the current Board and certain former officers breached their fiduciary duties in failing to adequately oversee the Company's prescription opioids business. The defendants filed the opening brief on their motion</w:t>
      </w:r>
      <w:r>
        <w:rPr>
          <w:rFonts w:ascii="Times New Roman" w:eastAsia="宋体" w:hAnsi="Times New Roman"/>
          <w:color w:val="000000"/>
          <w:sz w:val="20"/>
          <w:szCs w:val="20"/>
        </w:rPr>
        <w:t xml:space="preserve"> to dismiss that case on December 21, 2021, and the plaintiffs responded by filing an amended complaint on February 22, 2022. On April 27, 2022, the defendants filed their opening brief in support of their motion to dismiss the amended complaint. The plain</w:t>
      </w:r>
      <w:r>
        <w:rPr>
          <w:rFonts w:ascii="Times New Roman" w:eastAsia="宋体" w:hAnsi="Times New Roman"/>
          <w:color w:val="000000"/>
          <w:sz w:val="20"/>
          <w:szCs w:val="20"/>
        </w:rPr>
        <w:t>tiffs filed an opposition to the motion on June 1, 2022; the defendants filed their reply brief on June 24, 2022; and the motion has been scheduled for a hearing on September 26, 2022.</w:t>
      </w:r>
    </w:p>
    <w:p w14:paraId="098A98AE" w14:textId="77777777" w:rsidR="00141CDF" w:rsidRDefault="00DF45E0">
      <w:pPr>
        <w:spacing w:before="100"/>
      </w:pPr>
      <w:r>
        <w:rPr>
          <w:rFonts w:ascii="Times New Roman" w:eastAsia="宋体" w:hAnsi="Times New Roman"/>
          <w:color w:val="000000"/>
          <w:sz w:val="20"/>
          <w:szCs w:val="20"/>
        </w:rPr>
        <w:t xml:space="preserve">While the Company believes that it is reasonably possible that it will </w:t>
      </w:r>
      <w:r>
        <w:rPr>
          <w:rFonts w:ascii="Times New Roman" w:eastAsia="宋体" w:hAnsi="Times New Roman"/>
          <w:color w:val="000000"/>
          <w:sz w:val="20"/>
          <w:szCs w:val="20"/>
        </w:rPr>
        <w:t>incur a loss from certain of the various Opioid litigation matters, the Company cannot reasonably estimate any loss or range of loss that may arise from these matters and intends to vigorously defend these litigation matters. Accordingly, the Company can p</w:t>
      </w:r>
      <w:r>
        <w:rPr>
          <w:rFonts w:ascii="Times New Roman" w:eastAsia="宋体" w:hAnsi="Times New Roman"/>
          <w:color w:val="000000"/>
          <w:sz w:val="20"/>
          <w:szCs w:val="20"/>
        </w:rPr>
        <w:t>rovide no assurance as to the scope and outcome of these matters and no assurance as to whether its business, financial position, results of operations or cash flows will not be materially adversely affected.</w:t>
      </w:r>
    </w:p>
    <w:p w14:paraId="098A98AF" w14:textId="77777777" w:rsidR="00141CDF" w:rsidRDefault="00DF45E0">
      <w:pPr>
        <w:spacing w:before="100"/>
      </w:pPr>
      <w:r>
        <w:rPr>
          <w:rFonts w:ascii="Times New Roman" w:eastAsia="宋体" w:hAnsi="Times New Roman"/>
          <w:i/>
          <w:iCs/>
          <w:color w:val="000000"/>
          <w:sz w:val="20"/>
          <w:szCs w:val="20"/>
        </w:rPr>
        <w:t>Asda Equal Value Claims</w:t>
      </w:r>
    </w:p>
    <w:p w14:paraId="098A98B0" w14:textId="77777777" w:rsidR="00141CDF" w:rsidRDefault="00DF45E0">
      <w:pPr>
        <w:spacing w:before="100"/>
      </w:pPr>
      <w:r>
        <w:rPr>
          <w:rFonts w:ascii="Times New Roman" w:eastAsia="宋体" w:hAnsi="Times New Roman"/>
          <w:color w:val="000000"/>
          <w:sz w:val="20"/>
          <w:szCs w:val="20"/>
        </w:rPr>
        <w:t>Asda, formerly a subsid</w:t>
      </w:r>
      <w:r>
        <w:rPr>
          <w:rFonts w:ascii="Times New Roman" w:eastAsia="宋体" w:hAnsi="Times New Roman"/>
          <w:color w:val="000000"/>
          <w:sz w:val="20"/>
          <w:szCs w:val="20"/>
        </w:rPr>
        <w:t>iary of the Company, was and still is a defendant in certain equal value claims that began in 2008 and are proceeding before an Employment Tribunal in Manchester in the United Kingdom on behalf of current and former Asda store employees (the "Asda Equal Va</w:t>
      </w:r>
      <w:r>
        <w:rPr>
          <w:rFonts w:ascii="Times New Roman" w:eastAsia="宋体" w:hAnsi="Times New Roman"/>
          <w:color w:val="000000"/>
          <w:sz w:val="20"/>
          <w:szCs w:val="20"/>
        </w:rPr>
        <w:t>lue Claims"), and further claims may be asserted in the future. Subsequent to the divestiture of Asda in February 2021, the Company will continue to oversee the conduct of the defense of these claims. While potential liability for these claims remains with</w:t>
      </w:r>
      <w:r>
        <w:rPr>
          <w:rFonts w:ascii="Times New Roman" w:eastAsia="宋体" w:hAnsi="Times New Roman"/>
          <w:color w:val="000000"/>
          <w:sz w:val="20"/>
          <w:szCs w:val="20"/>
        </w:rPr>
        <w:t xml:space="preserve"> Asda, the Company has agreed to provide indemnification with respect to these claims up to a contractually determined amount. The Company cannot predict the number of such claims that may be filed, and cannot reasonably estimate any loss or range of loss </w:t>
      </w:r>
      <w:r>
        <w:rPr>
          <w:rFonts w:ascii="Times New Roman" w:eastAsia="宋体" w:hAnsi="Times New Roman"/>
          <w:color w:val="000000"/>
          <w:sz w:val="20"/>
          <w:szCs w:val="20"/>
        </w:rPr>
        <w:t xml:space="preserve">that may arise related to these proceedings. Accordingly, the Company can provide no assurance as to the scope and outcome of these matters. </w:t>
      </w:r>
    </w:p>
    <w:p w14:paraId="098A98B1" w14:textId="77777777" w:rsidR="00141CDF" w:rsidRDefault="00DF45E0">
      <w:pPr>
        <w:spacing w:before="100"/>
      </w:pPr>
      <w:r>
        <w:rPr>
          <w:rFonts w:ascii="Times New Roman" w:eastAsia="宋体" w:hAnsi="Times New Roman"/>
          <w:i/>
          <w:iCs/>
          <w:color w:val="000000"/>
          <w:sz w:val="20"/>
          <w:szCs w:val="20"/>
        </w:rPr>
        <w:t>Money Transfer Agent Services Matters</w:t>
      </w:r>
    </w:p>
    <w:p w14:paraId="098A98B2" w14:textId="77777777" w:rsidR="00141CDF" w:rsidRDefault="00DF45E0">
      <w:pPr>
        <w:spacing w:before="100"/>
      </w:pPr>
      <w:r>
        <w:rPr>
          <w:rFonts w:ascii="Times New Roman" w:eastAsia="宋体" w:hAnsi="Times New Roman"/>
          <w:color w:val="000000"/>
          <w:sz w:val="20"/>
          <w:szCs w:val="20"/>
        </w:rPr>
        <w:t>The Company has responded to grand jury subpoenas issued by the United State</w:t>
      </w:r>
      <w:r>
        <w:rPr>
          <w:rFonts w:ascii="Times New Roman" w:eastAsia="宋体" w:hAnsi="Times New Roman"/>
          <w:color w:val="000000"/>
          <w:sz w:val="20"/>
          <w:szCs w:val="20"/>
        </w:rPr>
        <w:t>s Attorney's Office for the Middle District of Pennsylvania on behalf of the U.S. Department of Justice (the "DOJ") seeking documents regarding the Company's consumer fraud prevention program and anti-money laundering compliance related to the Company's mo</w:t>
      </w:r>
      <w:r>
        <w:rPr>
          <w:rFonts w:ascii="Times New Roman" w:eastAsia="宋体" w:hAnsi="Times New Roman"/>
          <w:color w:val="000000"/>
          <w:sz w:val="20"/>
          <w:szCs w:val="20"/>
        </w:rPr>
        <w:t xml:space="preserve">ney transfer services, where Walmart is an agent. The most recent subpoena was issued in August 2020. The Company continues to provide information in response to requests from the DOJ. The Company has also responded to civil investigative demands from the </w:t>
      </w:r>
      <w:r>
        <w:rPr>
          <w:rFonts w:ascii="Times New Roman" w:eastAsia="宋体" w:hAnsi="Times New Roman"/>
          <w:color w:val="000000"/>
          <w:sz w:val="20"/>
          <w:szCs w:val="20"/>
        </w:rPr>
        <w:t>United States Federal Trade Commission (the "FTC") in connection with the FTC's investigation related to money transfers and the Company's anti-fraud program in its capacity as an agent. On June 28, 2022, the FTC filed a complaint against the Company in th</w:t>
      </w:r>
      <w:r>
        <w:rPr>
          <w:rFonts w:ascii="Times New Roman" w:eastAsia="宋体" w:hAnsi="Times New Roman"/>
          <w:color w:val="000000"/>
          <w:sz w:val="20"/>
          <w:szCs w:val="20"/>
        </w:rPr>
        <w:t>e U.S. District Court for the Northern District of Illinois alleging that Walmart violated the Federal Trade Commission Act and the Telemarketing Sales Rule regarding its money transfer agent services and is requesting non-monetary relief and civil penalti</w:t>
      </w:r>
      <w:r>
        <w:rPr>
          <w:rFonts w:ascii="Times New Roman" w:eastAsia="宋体" w:hAnsi="Times New Roman"/>
          <w:color w:val="000000"/>
          <w:sz w:val="20"/>
          <w:szCs w:val="20"/>
        </w:rPr>
        <w:t>es. On August 29, 2022, the Company filed a motion to dismiss the complaint, and the court has entered an order staying discovery pending briefing and a decision on the Company's motion to dismiss. The Company intends to vigorously defend these matters. Ho</w:t>
      </w:r>
      <w:r>
        <w:rPr>
          <w:rFonts w:ascii="Times New Roman" w:eastAsia="宋体" w:hAnsi="Times New Roman"/>
          <w:color w:val="000000"/>
          <w:sz w:val="20"/>
          <w:szCs w:val="20"/>
        </w:rPr>
        <w:t>wever, the Company can provide no assurance as to the scope and outcome of these matters and cannot reasonably estimate any loss or range of loss that may arise. Accordingly, the Company can provide no assurance as to whether its business, financial positi</w:t>
      </w:r>
      <w:r>
        <w:rPr>
          <w:rFonts w:ascii="Times New Roman" w:eastAsia="宋体" w:hAnsi="Times New Roman"/>
          <w:color w:val="000000"/>
          <w:sz w:val="20"/>
          <w:szCs w:val="20"/>
        </w:rPr>
        <w:t>on, results of operations or cash flows will not be materially adversely affected.</w:t>
      </w:r>
    </w:p>
    <w:p w14:paraId="098A98B3" w14:textId="77777777" w:rsidR="00141CDF" w:rsidRDefault="00DF45E0">
      <w:pPr>
        <w:spacing w:before="240"/>
      </w:pPr>
      <w:r>
        <w:rPr>
          <w:rFonts w:ascii="Times New Roman" w:eastAsia="宋体" w:hAnsi="Times New Roman"/>
          <w:b/>
          <w:bCs/>
          <w:color w:val="000000"/>
          <w:sz w:val="20"/>
          <w:szCs w:val="20"/>
        </w:rPr>
        <w:t>Note 7. Segments and Disaggregated Revenue</w:t>
      </w:r>
    </w:p>
    <w:p w14:paraId="098A98B4" w14:textId="77777777" w:rsidR="00141CDF" w:rsidRDefault="00DF45E0">
      <w:pPr>
        <w:spacing w:before="180"/>
      </w:pPr>
      <w:r>
        <w:rPr>
          <w:rFonts w:ascii="Times New Roman" w:eastAsia="宋体" w:hAnsi="Times New Roman"/>
          <w:i/>
          <w:iCs/>
          <w:color w:val="000000"/>
          <w:sz w:val="20"/>
          <w:szCs w:val="20"/>
        </w:rPr>
        <w:t>Segments</w:t>
      </w:r>
    </w:p>
    <w:p w14:paraId="098A98B5" w14:textId="77777777" w:rsidR="00141CDF" w:rsidRDefault="00DF45E0">
      <w:pPr>
        <w:spacing w:before="100"/>
      </w:pPr>
      <w:r>
        <w:rPr>
          <w:rFonts w:ascii="Times New Roman" w:eastAsia="宋体" w:hAnsi="Times New Roman"/>
          <w:color w:val="000000"/>
          <w:sz w:val="20"/>
          <w:szCs w:val="20"/>
        </w:rPr>
        <w:t xml:space="preserve">The Company is engaged in the operation of retail and wholesale stores and clubs, as well as eCommerce websites, </w:t>
      </w:r>
      <w:r>
        <w:rPr>
          <w:rFonts w:ascii="Times New Roman" w:eastAsia="宋体" w:hAnsi="Times New Roman"/>
          <w:color w:val="000000"/>
          <w:sz w:val="20"/>
          <w:szCs w:val="20"/>
        </w:rPr>
        <w:t>located throughout the U.S., Africa, Canada, Central America, Chile, China, India and Mexico. The Company's operations are conducted in three reportable segments: Walmart U.S., Walmart International and Sam's Club. The Company defines its segments as those</w:t>
      </w:r>
      <w:r>
        <w:rPr>
          <w:rFonts w:ascii="Times New Roman" w:eastAsia="宋体" w:hAnsi="Times New Roman"/>
          <w:color w:val="000000"/>
          <w:sz w:val="20"/>
          <w:szCs w:val="20"/>
        </w:rPr>
        <w:t xml:space="preserve"> operations whose results the chief operating decision maker ("CODM") regularly reviews to analyze performance and allocate resources. The Company sells similar individual products and services in each of its segments. It is impractical to segregate and id</w:t>
      </w:r>
      <w:r>
        <w:rPr>
          <w:rFonts w:ascii="Times New Roman" w:eastAsia="宋体" w:hAnsi="Times New Roman"/>
          <w:color w:val="000000"/>
          <w:sz w:val="20"/>
          <w:szCs w:val="20"/>
        </w:rPr>
        <w:t>entify revenues for each of these individual products and services.</w:t>
      </w:r>
    </w:p>
    <w:p w14:paraId="098A98B6" w14:textId="77777777" w:rsidR="00141CDF" w:rsidRDefault="00DF45E0">
      <w:pPr>
        <w:spacing w:before="100"/>
      </w:pPr>
      <w:r>
        <w:rPr>
          <w:rFonts w:ascii="Times New Roman" w:eastAsia="宋体" w:hAnsi="Times New Roman"/>
          <w:color w:val="000000"/>
          <w:sz w:val="20"/>
          <w:szCs w:val="20"/>
        </w:rPr>
        <w:t>The Walmart U.S. segment includes the Company's mass merchandising concept in the U.S., as well as eCommerce, which includes omni-channel initiatives and certain other business offerings s</w:t>
      </w:r>
      <w:r>
        <w:rPr>
          <w:rFonts w:ascii="Times New Roman" w:eastAsia="宋体" w:hAnsi="Times New Roman"/>
          <w:color w:val="000000"/>
          <w:sz w:val="20"/>
          <w:szCs w:val="20"/>
        </w:rPr>
        <w:t>uch as advertising services through Walmart Connect. The Walmart International segment consists of the Company's operations outside of the U.S., as well as eCommerce and omni-channel initiatives. The Sam's Club segment includes the warehouse membership clu</w:t>
      </w:r>
      <w:r>
        <w:rPr>
          <w:rFonts w:ascii="Times New Roman" w:eastAsia="宋体" w:hAnsi="Times New Roman"/>
          <w:color w:val="000000"/>
          <w:sz w:val="20"/>
          <w:szCs w:val="20"/>
        </w:rPr>
        <w:t>bs in the U.S., as well as samsclub.com and omni-channel initiatives. Corporate and support consists of corporate overhead and other items not allocated to any of the Company's segments.</w:t>
      </w:r>
    </w:p>
    <w:p w14:paraId="098A98B7" w14:textId="77777777" w:rsidR="00141CDF" w:rsidRDefault="00DF45E0">
      <w:pPr>
        <w:jc w:val="center"/>
      </w:pPr>
      <w:r>
        <w:rPr>
          <w:rFonts w:ascii="Times New Roman" w:eastAsia="宋体" w:hAnsi="Times New Roman"/>
          <w:color w:val="000000"/>
          <w:sz w:val="20"/>
          <w:szCs w:val="20"/>
        </w:rPr>
        <w:t>12</w:t>
      </w:r>
    </w:p>
    <w:p w14:paraId="098A98B8" w14:textId="77777777" w:rsidR="00141CDF" w:rsidRDefault="00DF45E0">
      <w:r>
        <w:pict w14:anchorId="098AA65A">
          <v:rect id="_x0000_i1036" style="width:415.3pt;height:1.5pt" o:hralign="center" o:hrstd="t" o:hr="t" fillcolor="#a0a0a0" stroked="f"/>
        </w:pict>
      </w:r>
    </w:p>
    <w:p w14:paraId="098A98B9" w14:textId="77777777" w:rsidR="00141CDF" w:rsidRDefault="00DF45E0">
      <w:hyperlink r:id="rId61" w:anchor="i24a2f296795646fa8b5ba32fd1359591_7" w:history="1">
        <w:r>
          <w:rPr>
            <w:rStyle w:val="a5"/>
            <w:rFonts w:ascii="Times New Roman" w:eastAsia="宋体" w:hAnsi="Times New Roman"/>
            <w:sz w:val="20"/>
            <w:szCs w:val="20"/>
          </w:rPr>
          <w:t xml:space="preserve">Table of </w:t>
        </w:r>
      </w:hyperlink>
      <w:hyperlink r:id="rId62" w:anchor="i24a2f296795646fa8b5ba32fd1359591_7" w:history="1">
        <w:r>
          <w:rPr>
            <w:rStyle w:val="a5"/>
            <w:rFonts w:ascii="Times New Roman" w:eastAsia="宋体" w:hAnsi="Times New Roman"/>
            <w:sz w:val="20"/>
            <w:szCs w:val="20"/>
          </w:rPr>
          <w:t>Contents</w:t>
        </w:r>
      </w:hyperlink>
    </w:p>
    <w:p w14:paraId="098A98BA" w14:textId="77777777" w:rsidR="00141CDF" w:rsidRDefault="00DF45E0">
      <w:pPr>
        <w:spacing w:before="100"/>
      </w:pPr>
      <w:r>
        <w:rPr>
          <w:rFonts w:ascii="Times New Roman" w:eastAsia="宋体" w:hAnsi="Times New Roman"/>
          <w:color w:val="000000"/>
          <w:sz w:val="20"/>
          <w:szCs w:val="20"/>
        </w:rPr>
        <w:t>The Company measures the results of its segments using, among other measures, each segment's net sales and operating income, which includes certain corporate overhead allocations. From time to time, the Company revises the measurement of each segment's o</w:t>
      </w:r>
      <w:r>
        <w:rPr>
          <w:rFonts w:ascii="Times New Roman" w:eastAsia="宋体" w:hAnsi="Times New Roman"/>
          <w:color w:val="000000"/>
          <w:sz w:val="20"/>
          <w:szCs w:val="20"/>
        </w:rPr>
        <w:t>perating income and other measures, including any corporate overhead allocations, as determined by the information regularly reviewed by its CODM. When the measurement of a segment significantly changes, previous period amounts and balances are reclassifie</w:t>
      </w:r>
      <w:r>
        <w:rPr>
          <w:rFonts w:ascii="Times New Roman" w:eastAsia="宋体" w:hAnsi="Times New Roman"/>
          <w:color w:val="000000"/>
          <w:sz w:val="20"/>
          <w:szCs w:val="20"/>
        </w:rPr>
        <w:t xml:space="preserve">d to be comparable to the current period's presentation. </w:t>
      </w:r>
    </w:p>
    <w:p w14:paraId="098A98BB" w14:textId="77777777" w:rsidR="00141CDF" w:rsidRDefault="00DF45E0">
      <w:pPr>
        <w:spacing w:before="100"/>
      </w:pPr>
      <w:r>
        <w:rPr>
          <w:rFonts w:ascii="Times New Roman" w:eastAsia="宋体" w:hAnsi="Times New Roman"/>
          <w:color w:val="000000"/>
          <w:sz w:val="20"/>
          <w:szCs w:val="20"/>
        </w:rPr>
        <w:t>Net sales by segment are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4108"/>
        <w:gridCol w:w="38"/>
        <w:gridCol w:w="36"/>
        <w:gridCol w:w="36"/>
        <w:gridCol w:w="36"/>
        <w:gridCol w:w="100"/>
        <w:gridCol w:w="793"/>
        <w:gridCol w:w="36"/>
        <w:gridCol w:w="36"/>
        <w:gridCol w:w="36"/>
        <w:gridCol w:w="36"/>
        <w:gridCol w:w="100"/>
        <w:gridCol w:w="793"/>
        <w:gridCol w:w="36"/>
        <w:gridCol w:w="36"/>
        <w:gridCol w:w="36"/>
        <w:gridCol w:w="36"/>
        <w:gridCol w:w="100"/>
        <w:gridCol w:w="793"/>
        <w:gridCol w:w="36"/>
        <w:gridCol w:w="36"/>
        <w:gridCol w:w="36"/>
        <w:gridCol w:w="36"/>
        <w:gridCol w:w="100"/>
        <w:gridCol w:w="795"/>
        <w:gridCol w:w="36"/>
      </w:tblGrid>
      <w:tr w:rsidR="00141CDF" w14:paraId="098A98D7" w14:textId="77777777">
        <w:tc>
          <w:tcPr>
            <w:tcW w:w="50" w:type="pct"/>
            <w:shd w:val="clear" w:color="auto" w:fill="auto"/>
            <w:vAlign w:val="bottom"/>
          </w:tcPr>
          <w:p w14:paraId="098A98BC" w14:textId="77777777" w:rsidR="00141CDF" w:rsidRDefault="00141CDF">
            <w:pPr>
              <w:rPr>
                <w:rFonts w:ascii="宋体"/>
              </w:rPr>
            </w:pPr>
          </w:p>
        </w:tc>
        <w:tc>
          <w:tcPr>
            <w:tcW w:w="2488" w:type="pct"/>
            <w:shd w:val="clear" w:color="auto" w:fill="auto"/>
            <w:vAlign w:val="bottom"/>
          </w:tcPr>
          <w:p w14:paraId="098A98BD" w14:textId="77777777" w:rsidR="00141CDF" w:rsidRDefault="00141CDF">
            <w:pPr>
              <w:rPr>
                <w:rFonts w:ascii="宋体"/>
              </w:rPr>
            </w:pPr>
          </w:p>
        </w:tc>
        <w:tc>
          <w:tcPr>
            <w:tcW w:w="5" w:type="pct"/>
            <w:shd w:val="clear" w:color="auto" w:fill="auto"/>
            <w:vAlign w:val="bottom"/>
          </w:tcPr>
          <w:p w14:paraId="098A98BE" w14:textId="77777777" w:rsidR="00141CDF" w:rsidRDefault="00141CDF">
            <w:pPr>
              <w:rPr>
                <w:rFonts w:ascii="宋体"/>
              </w:rPr>
            </w:pPr>
          </w:p>
        </w:tc>
        <w:tc>
          <w:tcPr>
            <w:tcW w:w="5" w:type="pct"/>
            <w:shd w:val="clear" w:color="auto" w:fill="auto"/>
            <w:vAlign w:val="bottom"/>
          </w:tcPr>
          <w:p w14:paraId="098A98BF" w14:textId="77777777" w:rsidR="00141CDF" w:rsidRDefault="00141CDF">
            <w:pPr>
              <w:rPr>
                <w:rFonts w:ascii="宋体"/>
              </w:rPr>
            </w:pPr>
          </w:p>
        </w:tc>
        <w:tc>
          <w:tcPr>
            <w:tcW w:w="26" w:type="pct"/>
            <w:shd w:val="clear" w:color="auto" w:fill="auto"/>
            <w:vAlign w:val="bottom"/>
          </w:tcPr>
          <w:p w14:paraId="098A98C0" w14:textId="77777777" w:rsidR="00141CDF" w:rsidRDefault="00141CDF">
            <w:pPr>
              <w:rPr>
                <w:rFonts w:ascii="宋体"/>
              </w:rPr>
            </w:pPr>
          </w:p>
        </w:tc>
        <w:tc>
          <w:tcPr>
            <w:tcW w:w="5" w:type="pct"/>
            <w:shd w:val="clear" w:color="auto" w:fill="auto"/>
            <w:vAlign w:val="bottom"/>
          </w:tcPr>
          <w:p w14:paraId="098A98C1" w14:textId="77777777" w:rsidR="00141CDF" w:rsidRDefault="00141CDF">
            <w:pPr>
              <w:rPr>
                <w:rFonts w:ascii="宋体"/>
              </w:rPr>
            </w:pPr>
          </w:p>
        </w:tc>
        <w:tc>
          <w:tcPr>
            <w:tcW w:w="50" w:type="pct"/>
            <w:shd w:val="clear" w:color="auto" w:fill="auto"/>
            <w:vAlign w:val="bottom"/>
          </w:tcPr>
          <w:p w14:paraId="098A98C2" w14:textId="77777777" w:rsidR="00141CDF" w:rsidRDefault="00141CDF">
            <w:pPr>
              <w:rPr>
                <w:rFonts w:ascii="宋体"/>
              </w:rPr>
            </w:pPr>
          </w:p>
        </w:tc>
        <w:tc>
          <w:tcPr>
            <w:tcW w:w="522" w:type="pct"/>
            <w:shd w:val="clear" w:color="auto" w:fill="auto"/>
            <w:vAlign w:val="bottom"/>
          </w:tcPr>
          <w:p w14:paraId="098A98C3" w14:textId="77777777" w:rsidR="00141CDF" w:rsidRDefault="00141CDF">
            <w:pPr>
              <w:rPr>
                <w:rFonts w:ascii="宋体"/>
              </w:rPr>
            </w:pPr>
          </w:p>
        </w:tc>
        <w:tc>
          <w:tcPr>
            <w:tcW w:w="5" w:type="pct"/>
            <w:shd w:val="clear" w:color="auto" w:fill="auto"/>
            <w:vAlign w:val="bottom"/>
          </w:tcPr>
          <w:p w14:paraId="098A98C4" w14:textId="77777777" w:rsidR="00141CDF" w:rsidRDefault="00141CDF">
            <w:pPr>
              <w:rPr>
                <w:rFonts w:ascii="宋体"/>
              </w:rPr>
            </w:pPr>
          </w:p>
        </w:tc>
        <w:tc>
          <w:tcPr>
            <w:tcW w:w="5" w:type="pct"/>
            <w:shd w:val="clear" w:color="auto" w:fill="auto"/>
            <w:vAlign w:val="bottom"/>
          </w:tcPr>
          <w:p w14:paraId="098A98C5" w14:textId="77777777" w:rsidR="00141CDF" w:rsidRDefault="00141CDF">
            <w:pPr>
              <w:rPr>
                <w:rFonts w:ascii="宋体"/>
              </w:rPr>
            </w:pPr>
          </w:p>
        </w:tc>
        <w:tc>
          <w:tcPr>
            <w:tcW w:w="26" w:type="pct"/>
            <w:shd w:val="clear" w:color="auto" w:fill="auto"/>
            <w:vAlign w:val="bottom"/>
          </w:tcPr>
          <w:p w14:paraId="098A98C6" w14:textId="77777777" w:rsidR="00141CDF" w:rsidRDefault="00141CDF">
            <w:pPr>
              <w:rPr>
                <w:rFonts w:ascii="宋体"/>
              </w:rPr>
            </w:pPr>
          </w:p>
        </w:tc>
        <w:tc>
          <w:tcPr>
            <w:tcW w:w="5" w:type="pct"/>
            <w:shd w:val="clear" w:color="auto" w:fill="auto"/>
            <w:vAlign w:val="bottom"/>
          </w:tcPr>
          <w:p w14:paraId="098A98C7" w14:textId="77777777" w:rsidR="00141CDF" w:rsidRDefault="00141CDF">
            <w:pPr>
              <w:rPr>
                <w:rFonts w:ascii="宋体"/>
              </w:rPr>
            </w:pPr>
          </w:p>
        </w:tc>
        <w:tc>
          <w:tcPr>
            <w:tcW w:w="50" w:type="pct"/>
            <w:shd w:val="clear" w:color="auto" w:fill="auto"/>
            <w:vAlign w:val="bottom"/>
          </w:tcPr>
          <w:p w14:paraId="098A98C8" w14:textId="77777777" w:rsidR="00141CDF" w:rsidRDefault="00141CDF">
            <w:pPr>
              <w:rPr>
                <w:rFonts w:ascii="宋体"/>
              </w:rPr>
            </w:pPr>
          </w:p>
        </w:tc>
        <w:tc>
          <w:tcPr>
            <w:tcW w:w="522" w:type="pct"/>
            <w:shd w:val="clear" w:color="auto" w:fill="auto"/>
            <w:vAlign w:val="bottom"/>
          </w:tcPr>
          <w:p w14:paraId="098A98C9" w14:textId="77777777" w:rsidR="00141CDF" w:rsidRDefault="00141CDF">
            <w:pPr>
              <w:rPr>
                <w:rFonts w:ascii="宋体"/>
              </w:rPr>
            </w:pPr>
          </w:p>
        </w:tc>
        <w:tc>
          <w:tcPr>
            <w:tcW w:w="5" w:type="pct"/>
            <w:shd w:val="clear" w:color="auto" w:fill="auto"/>
            <w:vAlign w:val="bottom"/>
          </w:tcPr>
          <w:p w14:paraId="098A98CA" w14:textId="77777777" w:rsidR="00141CDF" w:rsidRDefault="00141CDF">
            <w:pPr>
              <w:rPr>
                <w:rFonts w:ascii="宋体"/>
              </w:rPr>
            </w:pPr>
          </w:p>
        </w:tc>
        <w:tc>
          <w:tcPr>
            <w:tcW w:w="5" w:type="pct"/>
            <w:shd w:val="clear" w:color="auto" w:fill="auto"/>
            <w:vAlign w:val="bottom"/>
          </w:tcPr>
          <w:p w14:paraId="098A98CB" w14:textId="77777777" w:rsidR="00141CDF" w:rsidRDefault="00141CDF">
            <w:pPr>
              <w:rPr>
                <w:rFonts w:ascii="宋体"/>
              </w:rPr>
            </w:pPr>
          </w:p>
        </w:tc>
        <w:tc>
          <w:tcPr>
            <w:tcW w:w="26" w:type="pct"/>
            <w:shd w:val="clear" w:color="auto" w:fill="auto"/>
            <w:vAlign w:val="bottom"/>
          </w:tcPr>
          <w:p w14:paraId="098A98CC" w14:textId="77777777" w:rsidR="00141CDF" w:rsidRDefault="00141CDF">
            <w:pPr>
              <w:rPr>
                <w:rFonts w:ascii="宋体"/>
              </w:rPr>
            </w:pPr>
          </w:p>
        </w:tc>
        <w:tc>
          <w:tcPr>
            <w:tcW w:w="5" w:type="pct"/>
            <w:shd w:val="clear" w:color="auto" w:fill="auto"/>
            <w:vAlign w:val="bottom"/>
          </w:tcPr>
          <w:p w14:paraId="098A98CD" w14:textId="77777777" w:rsidR="00141CDF" w:rsidRDefault="00141CDF">
            <w:pPr>
              <w:rPr>
                <w:rFonts w:ascii="宋体"/>
              </w:rPr>
            </w:pPr>
          </w:p>
        </w:tc>
        <w:tc>
          <w:tcPr>
            <w:tcW w:w="50" w:type="pct"/>
            <w:shd w:val="clear" w:color="auto" w:fill="auto"/>
            <w:vAlign w:val="bottom"/>
          </w:tcPr>
          <w:p w14:paraId="098A98CE" w14:textId="77777777" w:rsidR="00141CDF" w:rsidRDefault="00141CDF">
            <w:pPr>
              <w:rPr>
                <w:rFonts w:ascii="宋体"/>
              </w:rPr>
            </w:pPr>
          </w:p>
        </w:tc>
        <w:tc>
          <w:tcPr>
            <w:tcW w:w="522" w:type="pct"/>
            <w:shd w:val="clear" w:color="auto" w:fill="auto"/>
            <w:vAlign w:val="bottom"/>
          </w:tcPr>
          <w:p w14:paraId="098A98CF" w14:textId="77777777" w:rsidR="00141CDF" w:rsidRDefault="00141CDF">
            <w:pPr>
              <w:rPr>
                <w:rFonts w:ascii="宋体"/>
              </w:rPr>
            </w:pPr>
          </w:p>
        </w:tc>
        <w:tc>
          <w:tcPr>
            <w:tcW w:w="5" w:type="pct"/>
            <w:shd w:val="clear" w:color="auto" w:fill="auto"/>
            <w:vAlign w:val="bottom"/>
          </w:tcPr>
          <w:p w14:paraId="098A98D0" w14:textId="77777777" w:rsidR="00141CDF" w:rsidRDefault="00141CDF">
            <w:pPr>
              <w:rPr>
                <w:rFonts w:ascii="宋体"/>
              </w:rPr>
            </w:pPr>
          </w:p>
        </w:tc>
        <w:tc>
          <w:tcPr>
            <w:tcW w:w="5" w:type="pct"/>
            <w:shd w:val="clear" w:color="auto" w:fill="auto"/>
            <w:vAlign w:val="bottom"/>
          </w:tcPr>
          <w:p w14:paraId="098A98D1" w14:textId="77777777" w:rsidR="00141CDF" w:rsidRDefault="00141CDF">
            <w:pPr>
              <w:rPr>
                <w:rFonts w:ascii="宋体"/>
              </w:rPr>
            </w:pPr>
          </w:p>
        </w:tc>
        <w:tc>
          <w:tcPr>
            <w:tcW w:w="26" w:type="pct"/>
            <w:shd w:val="clear" w:color="auto" w:fill="auto"/>
            <w:vAlign w:val="bottom"/>
          </w:tcPr>
          <w:p w14:paraId="098A98D2" w14:textId="77777777" w:rsidR="00141CDF" w:rsidRDefault="00141CDF">
            <w:pPr>
              <w:rPr>
                <w:rFonts w:ascii="宋体"/>
              </w:rPr>
            </w:pPr>
          </w:p>
        </w:tc>
        <w:tc>
          <w:tcPr>
            <w:tcW w:w="5" w:type="pct"/>
            <w:shd w:val="clear" w:color="auto" w:fill="auto"/>
            <w:vAlign w:val="bottom"/>
          </w:tcPr>
          <w:p w14:paraId="098A98D3" w14:textId="77777777" w:rsidR="00141CDF" w:rsidRDefault="00141CDF">
            <w:pPr>
              <w:rPr>
                <w:rFonts w:ascii="宋体"/>
              </w:rPr>
            </w:pPr>
          </w:p>
        </w:tc>
        <w:tc>
          <w:tcPr>
            <w:tcW w:w="50" w:type="pct"/>
            <w:shd w:val="clear" w:color="auto" w:fill="auto"/>
            <w:vAlign w:val="bottom"/>
          </w:tcPr>
          <w:p w14:paraId="098A98D4" w14:textId="77777777" w:rsidR="00141CDF" w:rsidRDefault="00141CDF">
            <w:pPr>
              <w:rPr>
                <w:rFonts w:ascii="宋体"/>
              </w:rPr>
            </w:pPr>
          </w:p>
        </w:tc>
        <w:tc>
          <w:tcPr>
            <w:tcW w:w="522" w:type="pct"/>
            <w:shd w:val="clear" w:color="auto" w:fill="auto"/>
            <w:vAlign w:val="bottom"/>
          </w:tcPr>
          <w:p w14:paraId="098A98D5" w14:textId="77777777" w:rsidR="00141CDF" w:rsidRDefault="00141CDF">
            <w:pPr>
              <w:rPr>
                <w:rFonts w:ascii="宋体"/>
              </w:rPr>
            </w:pPr>
          </w:p>
        </w:tc>
        <w:tc>
          <w:tcPr>
            <w:tcW w:w="5" w:type="pct"/>
            <w:shd w:val="clear" w:color="auto" w:fill="auto"/>
            <w:vAlign w:val="bottom"/>
          </w:tcPr>
          <w:p w14:paraId="098A98D6" w14:textId="77777777" w:rsidR="00141CDF" w:rsidRDefault="00141CDF">
            <w:pPr>
              <w:rPr>
                <w:rFonts w:ascii="宋体"/>
              </w:rPr>
            </w:pPr>
          </w:p>
        </w:tc>
      </w:tr>
      <w:tr w:rsidR="00141CDF" w14:paraId="098A98DD" w14:textId="77777777">
        <w:tc>
          <w:tcPr>
            <w:tcW w:w="0" w:type="auto"/>
            <w:gridSpan w:val="3"/>
            <w:shd w:val="clear" w:color="auto" w:fill="auto"/>
            <w:tcMar>
              <w:top w:w="40" w:type="dxa"/>
              <w:left w:w="20" w:type="dxa"/>
              <w:bottom w:w="40" w:type="dxa"/>
              <w:right w:w="20" w:type="dxa"/>
            </w:tcMar>
            <w:vAlign w:val="bottom"/>
          </w:tcPr>
          <w:p w14:paraId="098A98D8" w14:textId="77777777" w:rsidR="00141CDF" w:rsidRDefault="00DF45E0">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098A98D9" w14:textId="77777777" w:rsidR="00141CDF" w:rsidRDefault="00141CDF">
            <w:pPr>
              <w:rPr>
                <w:rFonts w:ascii="宋体"/>
              </w:rPr>
            </w:pPr>
          </w:p>
        </w:tc>
        <w:tc>
          <w:tcPr>
            <w:tcW w:w="0" w:type="auto"/>
            <w:gridSpan w:val="9"/>
            <w:shd w:val="clear" w:color="auto" w:fill="auto"/>
            <w:tcMar>
              <w:top w:w="40" w:type="dxa"/>
              <w:left w:w="20" w:type="dxa"/>
              <w:bottom w:w="40" w:type="dxa"/>
              <w:right w:w="20" w:type="dxa"/>
            </w:tcMar>
            <w:vAlign w:val="bottom"/>
          </w:tcPr>
          <w:p w14:paraId="098A98DA" w14:textId="77777777" w:rsidR="00141CDF" w:rsidRDefault="00DF45E0">
            <w:pPr>
              <w:jc w:val="center"/>
              <w:textAlignment w:val="bottom"/>
            </w:pPr>
            <w:r>
              <w:rPr>
                <w:rFonts w:ascii="Times New Roman" w:eastAsia="宋体" w:hAnsi="Times New Roman"/>
                <w:b/>
                <w:bCs/>
                <w:color w:val="000000"/>
                <w:sz w:val="16"/>
                <w:szCs w:val="16"/>
              </w:rPr>
              <w:t>Three Months Ended July 31,</w:t>
            </w:r>
          </w:p>
        </w:tc>
        <w:tc>
          <w:tcPr>
            <w:tcW w:w="0" w:type="auto"/>
            <w:gridSpan w:val="3"/>
            <w:shd w:val="clear" w:color="auto" w:fill="auto"/>
            <w:tcMar>
              <w:top w:w="0" w:type="dxa"/>
              <w:left w:w="20" w:type="dxa"/>
              <w:bottom w:w="0" w:type="dxa"/>
              <w:right w:w="20" w:type="dxa"/>
            </w:tcMar>
            <w:vAlign w:val="bottom"/>
          </w:tcPr>
          <w:p w14:paraId="098A98DB" w14:textId="77777777" w:rsidR="00141CDF" w:rsidRDefault="00141CDF">
            <w:pPr>
              <w:rPr>
                <w:rFonts w:ascii="宋体"/>
              </w:rPr>
            </w:pPr>
          </w:p>
        </w:tc>
        <w:tc>
          <w:tcPr>
            <w:tcW w:w="0" w:type="auto"/>
            <w:gridSpan w:val="9"/>
            <w:shd w:val="clear" w:color="auto" w:fill="auto"/>
            <w:tcMar>
              <w:top w:w="40" w:type="dxa"/>
              <w:left w:w="20" w:type="dxa"/>
              <w:bottom w:w="40" w:type="dxa"/>
              <w:right w:w="20" w:type="dxa"/>
            </w:tcMar>
            <w:vAlign w:val="bottom"/>
          </w:tcPr>
          <w:p w14:paraId="098A98DC" w14:textId="77777777" w:rsidR="00141CDF" w:rsidRDefault="00DF45E0">
            <w:pPr>
              <w:jc w:val="center"/>
              <w:textAlignment w:val="bottom"/>
            </w:pPr>
            <w:r>
              <w:rPr>
                <w:rFonts w:ascii="Times New Roman" w:eastAsia="宋体" w:hAnsi="Times New Roman"/>
                <w:b/>
                <w:bCs/>
                <w:color w:val="000000"/>
                <w:sz w:val="16"/>
                <w:szCs w:val="16"/>
              </w:rPr>
              <w:t>Six Months Ended July 31,</w:t>
            </w:r>
          </w:p>
        </w:tc>
      </w:tr>
      <w:tr w:rsidR="00141CDF" w14:paraId="098A98E7" w14:textId="77777777">
        <w:tc>
          <w:tcPr>
            <w:tcW w:w="0" w:type="auto"/>
            <w:gridSpan w:val="3"/>
            <w:shd w:val="clear" w:color="auto" w:fill="auto"/>
            <w:tcMar>
              <w:top w:w="40" w:type="dxa"/>
              <w:left w:w="20" w:type="dxa"/>
              <w:bottom w:w="40" w:type="dxa"/>
              <w:right w:w="20" w:type="dxa"/>
            </w:tcMar>
            <w:vAlign w:val="bottom"/>
          </w:tcPr>
          <w:p w14:paraId="098A98DE" w14:textId="77777777" w:rsidR="00141CDF" w:rsidRDefault="00DF45E0">
            <w:pPr>
              <w:spacing w:before="180"/>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098A98DF"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98E0" w14:textId="77777777" w:rsidR="00141CDF" w:rsidRDefault="00DF45E0">
            <w:pPr>
              <w:jc w:val="center"/>
              <w:textAlignment w:val="bottom"/>
            </w:pPr>
            <w:r>
              <w:rPr>
                <w:rFonts w:ascii="Times New Roman" w:eastAsia="宋体" w:hAnsi="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14:paraId="098A98E1"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98E2" w14:textId="77777777" w:rsidR="00141CDF" w:rsidRDefault="00DF45E0">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098A98E3"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98E4" w14:textId="77777777" w:rsidR="00141CDF" w:rsidRDefault="00DF45E0">
            <w:pPr>
              <w:jc w:val="center"/>
              <w:textAlignment w:val="bottom"/>
            </w:pPr>
            <w:r>
              <w:rPr>
                <w:rFonts w:ascii="Times New Roman" w:eastAsia="宋体" w:hAnsi="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14:paraId="098A98E5"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98E6" w14:textId="77777777" w:rsidR="00141CDF" w:rsidRDefault="00DF45E0">
            <w:pPr>
              <w:jc w:val="center"/>
              <w:textAlignment w:val="bottom"/>
            </w:pPr>
            <w:r>
              <w:rPr>
                <w:rFonts w:ascii="Times New Roman" w:eastAsia="宋体" w:hAnsi="Times New Roman"/>
                <w:b/>
                <w:bCs/>
                <w:color w:val="000000"/>
                <w:sz w:val="16"/>
                <w:szCs w:val="16"/>
              </w:rPr>
              <w:t>2021</w:t>
            </w:r>
          </w:p>
        </w:tc>
      </w:tr>
      <w:tr w:rsidR="00141CDF" w14:paraId="098A98F1" w14:textId="77777777">
        <w:tc>
          <w:tcPr>
            <w:tcW w:w="0" w:type="auto"/>
            <w:gridSpan w:val="3"/>
            <w:shd w:val="clear" w:color="auto" w:fill="auto"/>
            <w:tcMar>
              <w:top w:w="40" w:type="dxa"/>
              <w:left w:w="20" w:type="dxa"/>
              <w:bottom w:w="40" w:type="dxa"/>
              <w:right w:w="20" w:type="dxa"/>
            </w:tcMar>
            <w:vAlign w:val="center"/>
          </w:tcPr>
          <w:p w14:paraId="098A98E8" w14:textId="77777777" w:rsidR="00141CDF" w:rsidRDefault="00DF45E0">
            <w:pPr>
              <w:textAlignment w:val="center"/>
            </w:pPr>
            <w:r>
              <w:rPr>
                <w:rFonts w:ascii="Times New Roman" w:eastAsia="宋体" w:hAnsi="Times New Roman"/>
                <w:color w:val="000000"/>
                <w:sz w:val="16"/>
                <w:szCs w:val="16"/>
              </w:rPr>
              <w:t>Net sales:</w:t>
            </w:r>
          </w:p>
        </w:tc>
        <w:tc>
          <w:tcPr>
            <w:tcW w:w="0" w:type="auto"/>
            <w:gridSpan w:val="3"/>
            <w:shd w:val="clear" w:color="auto" w:fill="auto"/>
            <w:tcMar>
              <w:top w:w="0" w:type="dxa"/>
              <w:left w:w="20" w:type="dxa"/>
              <w:bottom w:w="0" w:type="dxa"/>
              <w:right w:w="20" w:type="dxa"/>
            </w:tcMar>
            <w:vAlign w:val="bottom"/>
          </w:tcPr>
          <w:p w14:paraId="098A98E9" w14:textId="77777777" w:rsidR="00141CDF" w:rsidRDefault="00141CD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98EA"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98EB" w14:textId="77777777" w:rsidR="00141CDF" w:rsidRDefault="00141CD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98EC"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98ED" w14:textId="77777777" w:rsidR="00141CDF" w:rsidRDefault="00141CD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98EE"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98EF" w14:textId="77777777" w:rsidR="00141CDF" w:rsidRDefault="00141CD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98F0" w14:textId="77777777" w:rsidR="00141CDF" w:rsidRDefault="00141CDF">
            <w:pPr>
              <w:rPr>
                <w:rFonts w:ascii="宋体"/>
              </w:rPr>
            </w:pPr>
          </w:p>
        </w:tc>
      </w:tr>
      <w:tr w:rsidR="00141CDF" w14:paraId="098A9903" w14:textId="77777777">
        <w:tc>
          <w:tcPr>
            <w:tcW w:w="0" w:type="auto"/>
            <w:gridSpan w:val="3"/>
            <w:shd w:val="clear" w:color="auto" w:fill="CCEEFF"/>
            <w:tcMar>
              <w:top w:w="40" w:type="dxa"/>
              <w:left w:w="380" w:type="dxa"/>
              <w:bottom w:w="40" w:type="dxa"/>
              <w:right w:w="20" w:type="dxa"/>
            </w:tcMar>
            <w:vAlign w:val="center"/>
          </w:tcPr>
          <w:p w14:paraId="098A98F2" w14:textId="77777777" w:rsidR="00141CDF" w:rsidRDefault="00DF45E0">
            <w:pPr>
              <w:textAlignment w:val="center"/>
            </w:pPr>
            <w:r>
              <w:rPr>
                <w:rFonts w:ascii="Times New Roman" w:eastAsia="宋体" w:hAnsi="Times New Roman"/>
                <w:color w:val="000000"/>
                <w:sz w:val="16"/>
                <w:szCs w:val="16"/>
              </w:rPr>
              <w:t>Walmart U.S.</w:t>
            </w:r>
          </w:p>
        </w:tc>
        <w:tc>
          <w:tcPr>
            <w:tcW w:w="0" w:type="auto"/>
            <w:gridSpan w:val="3"/>
            <w:shd w:val="clear" w:color="auto" w:fill="CCEEFF"/>
            <w:tcMar>
              <w:top w:w="0" w:type="dxa"/>
              <w:left w:w="20" w:type="dxa"/>
              <w:bottom w:w="0" w:type="dxa"/>
              <w:right w:w="20" w:type="dxa"/>
            </w:tcMar>
            <w:vAlign w:val="bottom"/>
          </w:tcPr>
          <w:p w14:paraId="098A98F3"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98F4"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98F5" w14:textId="77777777" w:rsidR="00141CDF" w:rsidRDefault="00DF45E0">
            <w:pPr>
              <w:jc w:val="right"/>
              <w:textAlignment w:val="center"/>
            </w:pPr>
            <w:r>
              <w:rPr>
                <w:rFonts w:ascii="Times New Roman" w:eastAsia="宋体" w:hAnsi="Times New Roman"/>
                <w:color w:val="000000"/>
                <w:sz w:val="16"/>
                <w:szCs w:val="16"/>
              </w:rPr>
              <w:t>105,130 </w:t>
            </w:r>
          </w:p>
        </w:tc>
        <w:tc>
          <w:tcPr>
            <w:tcW w:w="0" w:type="auto"/>
            <w:shd w:val="clear" w:color="auto" w:fill="CCEEFF"/>
            <w:tcMar>
              <w:top w:w="40" w:type="dxa"/>
              <w:left w:w="0" w:type="dxa"/>
              <w:bottom w:w="40" w:type="dxa"/>
              <w:right w:w="20" w:type="dxa"/>
            </w:tcMar>
            <w:vAlign w:val="center"/>
          </w:tcPr>
          <w:p w14:paraId="098A98F6"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8F7"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98F8"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98F9" w14:textId="77777777" w:rsidR="00141CDF" w:rsidRDefault="00DF45E0">
            <w:pPr>
              <w:jc w:val="right"/>
              <w:textAlignment w:val="center"/>
            </w:pPr>
            <w:r>
              <w:rPr>
                <w:rFonts w:ascii="Times New Roman" w:eastAsia="宋体" w:hAnsi="Times New Roman"/>
                <w:color w:val="000000"/>
                <w:sz w:val="16"/>
                <w:szCs w:val="16"/>
              </w:rPr>
              <w:t>98,192 </w:t>
            </w:r>
          </w:p>
        </w:tc>
        <w:tc>
          <w:tcPr>
            <w:tcW w:w="0" w:type="auto"/>
            <w:shd w:val="clear" w:color="auto" w:fill="CCEEFF"/>
            <w:tcMar>
              <w:top w:w="40" w:type="dxa"/>
              <w:left w:w="0" w:type="dxa"/>
              <w:bottom w:w="40" w:type="dxa"/>
              <w:right w:w="20" w:type="dxa"/>
            </w:tcMar>
            <w:vAlign w:val="center"/>
          </w:tcPr>
          <w:p w14:paraId="098A98FA"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8FB"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98FC"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98FD" w14:textId="77777777" w:rsidR="00141CDF" w:rsidRDefault="00DF45E0">
            <w:pPr>
              <w:jc w:val="right"/>
              <w:textAlignment w:val="center"/>
            </w:pPr>
            <w:r>
              <w:rPr>
                <w:rFonts w:ascii="Times New Roman" w:eastAsia="宋体" w:hAnsi="Times New Roman"/>
                <w:color w:val="000000"/>
                <w:sz w:val="16"/>
                <w:szCs w:val="16"/>
              </w:rPr>
              <w:t>202,034 </w:t>
            </w:r>
          </w:p>
        </w:tc>
        <w:tc>
          <w:tcPr>
            <w:tcW w:w="0" w:type="auto"/>
            <w:shd w:val="clear" w:color="auto" w:fill="CCEEFF"/>
            <w:tcMar>
              <w:top w:w="40" w:type="dxa"/>
              <w:left w:w="0" w:type="dxa"/>
              <w:bottom w:w="40" w:type="dxa"/>
              <w:right w:w="20" w:type="dxa"/>
            </w:tcMar>
            <w:vAlign w:val="center"/>
          </w:tcPr>
          <w:p w14:paraId="098A98FE"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8FF"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9900"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9901" w14:textId="77777777" w:rsidR="00141CDF" w:rsidRDefault="00DF45E0">
            <w:pPr>
              <w:jc w:val="right"/>
              <w:textAlignment w:val="center"/>
            </w:pPr>
            <w:r>
              <w:rPr>
                <w:rFonts w:ascii="Times New Roman" w:eastAsia="宋体" w:hAnsi="Times New Roman"/>
                <w:color w:val="000000"/>
                <w:sz w:val="16"/>
                <w:szCs w:val="16"/>
              </w:rPr>
              <w:t>191,359 </w:t>
            </w:r>
          </w:p>
        </w:tc>
        <w:tc>
          <w:tcPr>
            <w:tcW w:w="0" w:type="auto"/>
            <w:shd w:val="clear" w:color="auto" w:fill="CCEEFF"/>
            <w:tcMar>
              <w:top w:w="40" w:type="dxa"/>
              <w:left w:w="0" w:type="dxa"/>
              <w:bottom w:w="40" w:type="dxa"/>
              <w:right w:w="20" w:type="dxa"/>
            </w:tcMar>
            <w:vAlign w:val="center"/>
          </w:tcPr>
          <w:p w14:paraId="098A9902" w14:textId="77777777" w:rsidR="00141CDF" w:rsidRDefault="00141CDF">
            <w:pPr>
              <w:jc w:val="right"/>
              <w:rPr>
                <w:rFonts w:ascii="宋体"/>
              </w:rPr>
            </w:pPr>
          </w:p>
        </w:tc>
      </w:tr>
      <w:tr w:rsidR="00141CDF" w14:paraId="098A9911" w14:textId="77777777">
        <w:tc>
          <w:tcPr>
            <w:tcW w:w="0" w:type="auto"/>
            <w:gridSpan w:val="3"/>
            <w:shd w:val="clear" w:color="auto" w:fill="FFFFFF"/>
            <w:tcMar>
              <w:top w:w="40" w:type="dxa"/>
              <w:left w:w="380" w:type="dxa"/>
              <w:bottom w:w="40" w:type="dxa"/>
              <w:right w:w="20" w:type="dxa"/>
            </w:tcMar>
            <w:vAlign w:val="center"/>
          </w:tcPr>
          <w:p w14:paraId="098A9904" w14:textId="77777777" w:rsidR="00141CDF" w:rsidRDefault="00DF45E0">
            <w:pPr>
              <w:textAlignment w:val="center"/>
            </w:pPr>
            <w:r>
              <w:rPr>
                <w:rFonts w:ascii="Times New Roman" w:eastAsia="宋体" w:hAnsi="Times New Roman"/>
                <w:color w:val="000000"/>
                <w:sz w:val="16"/>
                <w:szCs w:val="16"/>
              </w:rPr>
              <w:t>Walmart International</w:t>
            </w:r>
          </w:p>
        </w:tc>
        <w:tc>
          <w:tcPr>
            <w:tcW w:w="0" w:type="auto"/>
            <w:gridSpan w:val="3"/>
            <w:shd w:val="clear" w:color="auto" w:fill="FFFFFF"/>
            <w:tcMar>
              <w:top w:w="0" w:type="dxa"/>
              <w:left w:w="20" w:type="dxa"/>
              <w:bottom w:w="0" w:type="dxa"/>
              <w:right w:w="20" w:type="dxa"/>
            </w:tcMar>
            <w:vAlign w:val="bottom"/>
          </w:tcPr>
          <w:p w14:paraId="098A9905"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906" w14:textId="77777777" w:rsidR="00141CDF" w:rsidRDefault="00DF45E0">
            <w:pPr>
              <w:jc w:val="right"/>
              <w:textAlignment w:val="center"/>
            </w:pPr>
            <w:r>
              <w:rPr>
                <w:rFonts w:ascii="Times New Roman" w:eastAsia="宋体" w:hAnsi="Times New Roman"/>
                <w:color w:val="000000"/>
                <w:sz w:val="16"/>
                <w:szCs w:val="16"/>
              </w:rPr>
              <w:t>24,350 </w:t>
            </w:r>
          </w:p>
        </w:tc>
        <w:tc>
          <w:tcPr>
            <w:tcW w:w="0" w:type="auto"/>
            <w:shd w:val="clear" w:color="auto" w:fill="FFFFFF"/>
            <w:tcMar>
              <w:top w:w="40" w:type="dxa"/>
              <w:left w:w="0" w:type="dxa"/>
              <w:bottom w:w="40" w:type="dxa"/>
              <w:right w:w="20" w:type="dxa"/>
            </w:tcMar>
            <w:vAlign w:val="center"/>
          </w:tcPr>
          <w:p w14:paraId="098A9907"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908"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909" w14:textId="77777777" w:rsidR="00141CDF" w:rsidRDefault="00DF45E0">
            <w:pPr>
              <w:jc w:val="right"/>
              <w:textAlignment w:val="center"/>
            </w:pPr>
            <w:r>
              <w:rPr>
                <w:rFonts w:ascii="Times New Roman" w:eastAsia="宋体" w:hAnsi="Times New Roman"/>
                <w:color w:val="000000"/>
                <w:sz w:val="16"/>
                <w:szCs w:val="16"/>
              </w:rPr>
              <w:t>23,035 </w:t>
            </w:r>
          </w:p>
        </w:tc>
        <w:tc>
          <w:tcPr>
            <w:tcW w:w="0" w:type="auto"/>
            <w:shd w:val="clear" w:color="auto" w:fill="FFFFFF"/>
            <w:tcMar>
              <w:top w:w="40" w:type="dxa"/>
              <w:left w:w="0" w:type="dxa"/>
              <w:bottom w:w="40" w:type="dxa"/>
              <w:right w:w="20" w:type="dxa"/>
            </w:tcMar>
            <w:vAlign w:val="center"/>
          </w:tcPr>
          <w:p w14:paraId="098A990A"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90B"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90C" w14:textId="77777777" w:rsidR="00141CDF" w:rsidRDefault="00DF45E0">
            <w:pPr>
              <w:jc w:val="right"/>
              <w:textAlignment w:val="center"/>
            </w:pPr>
            <w:r>
              <w:rPr>
                <w:rFonts w:ascii="Times New Roman" w:eastAsia="宋体" w:hAnsi="Times New Roman"/>
                <w:color w:val="000000"/>
                <w:sz w:val="16"/>
                <w:szCs w:val="16"/>
              </w:rPr>
              <w:t>48,113 </w:t>
            </w:r>
          </w:p>
        </w:tc>
        <w:tc>
          <w:tcPr>
            <w:tcW w:w="0" w:type="auto"/>
            <w:shd w:val="clear" w:color="auto" w:fill="FFFFFF"/>
            <w:tcMar>
              <w:top w:w="40" w:type="dxa"/>
              <w:left w:w="0" w:type="dxa"/>
              <w:bottom w:w="40" w:type="dxa"/>
              <w:right w:w="20" w:type="dxa"/>
            </w:tcMar>
            <w:vAlign w:val="center"/>
          </w:tcPr>
          <w:p w14:paraId="098A990D"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90E"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90F" w14:textId="77777777" w:rsidR="00141CDF" w:rsidRDefault="00DF45E0">
            <w:pPr>
              <w:jc w:val="right"/>
              <w:textAlignment w:val="center"/>
            </w:pPr>
            <w:r>
              <w:rPr>
                <w:rFonts w:ascii="Times New Roman" w:eastAsia="宋体" w:hAnsi="Times New Roman"/>
                <w:color w:val="000000"/>
                <w:sz w:val="16"/>
                <w:szCs w:val="16"/>
              </w:rPr>
              <w:t>50,335 </w:t>
            </w:r>
          </w:p>
        </w:tc>
        <w:tc>
          <w:tcPr>
            <w:tcW w:w="0" w:type="auto"/>
            <w:shd w:val="clear" w:color="auto" w:fill="FFFFFF"/>
            <w:tcMar>
              <w:top w:w="40" w:type="dxa"/>
              <w:left w:w="0" w:type="dxa"/>
              <w:bottom w:w="40" w:type="dxa"/>
              <w:right w:w="20" w:type="dxa"/>
            </w:tcMar>
            <w:vAlign w:val="center"/>
          </w:tcPr>
          <w:p w14:paraId="098A9910" w14:textId="77777777" w:rsidR="00141CDF" w:rsidRDefault="00141CDF">
            <w:pPr>
              <w:jc w:val="right"/>
              <w:rPr>
                <w:rFonts w:ascii="宋体"/>
              </w:rPr>
            </w:pPr>
          </w:p>
        </w:tc>
      </w:tr>
      <w:tr w:rsidR="00141CDF" w14:paraId="098A991F" w14:textId="77777777">
        <w:tc>
          <w:tcPr>
            <w:tcW w:w="0" w:type="auto"/>
            <w:gridSpan w:val="3"/>
            <w:shd w:val="clear" w:color="auto" w:fill="CCEEFF"/>
            <w:tcMar>
              <w:top w:w="40" w:type="dxa"/>
              <w:left w:w="380" w:type="dxa"/>
              <w:bottom w:w="40" w:type="dxa"/>
              <w:right w:w="20" w:type="dxa"/>
            </w:tcMar>
            <w:vAlign w:val="center"/>
          </w:tcPr>
          <w:p w14:paraId="098A9912" w14:textId="77777777" w:rsidR="00141CDF" w:rsidRDefault="00DF45E0">
            <w:pPr>
              <w:textAlignment w:val="center"/>
            </w:pPr>
            <w:r>
              <w:rPr>
                <w:rFonts w:ascii="Times New Roman" w:eastAsia="宋体" w:hAnsi="Times New Roman"/>
                <w:color w:val="000000"/>
                <w:sz w:val="16"/>
                <w:szCs w:val="16"/>
              </w:rPr>
              <w:t>Sam's Club</w:t>
            </w:r>
          </w:p>
        </w:tc>
        <w:tc>
          <w:tcPr>
            <w:tcW w:w="0" w:type="auto"/>
            <w:gridSpan w:val="3"/>
            <w:shd w:val="clear" w:color="auto" w:fill="CCEEFF"/>
            <w:tcMar>
              <w:top w:w="0" w:type="dxa"/>
              <w:left w:w="20" w:type="dxa"/>
              <w:bottom w:w="0" w:type="dxa"/>
              <w:right w:w="20" w:type="dxa"/>
            </w:tcMar>
            <w:vAlign w:val="bottom"/>
          </w:tcPr>
          <w:p w14:paraId="098A9913"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914" w14:textId="77777777" w:rsidR="00141CDF" w:rsidRDefault="00DF45E0">
            <w:pPr>
              <w:jc w:val="right"/>
              <w:textAlignment w:val="center"/>
            </w:pPr>
            <w:r>
              <w:rPr>
                <w:rFonts w:ascii="Times New Roman" w:eastAsia="宋体" w:hAnsi="Times New Roman"/>
                <w:color w:val="000000"/>
                <w:sz w:val="16"/>
                <w:szCs w:val="16"/>
              </w:rPr>
              <w:t>21,901 </w:t>
            </w:r>
          </w:p>
        </w:tc>
        <w:tc>
          <w:tcPr>
            <w:tcW w:w="0" w:type="auto"/>
            <w:shd w:val="clear" w:color="auto" w:fill="CCEEFF"/>
            <w:tcMar>
              <w:top w:w="40" w:type="dxa"/>
              <w:left w:w="0" w:type="dxa"/>
              <w:bottom w:w="40" w:type="dxa"/>
              <w:right w:w="20" w:type="dxa"/>
            </w:tcMar>
            <w:vAlign w:val="center"/>
          </w:tcPr>
          <w:p w14:paraId="098A9915"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916"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917" w14:textId="77777777" w:rsidR="00141CDF" w:rsidRDefault="00DF45E0">
            <w:pPr>
              <w:jc w:val="right"/>
              <w:textAlignment w:val="center"/>
            </w:pPr>
            <w:r>
              <w:rPr>
                <w:rFonts w:ascii="Times New Roman" w:eastAsia="宋体" w:hAnsi="Times New Roman"/>
                <w:color w:val="000000"/>
                <w:sz w:val="16"/>
                <w:szCs w:val="16"/>
              </w:rPr>
              <w:t>18,644 </w:t>
            </w:r>
          </w:p>
        </w:tc>
        <w:tc>
          <w:tcPr>
            <w:tcW w:w="0" w:type="auto"/>
            <w:shd w:val="clear" w:color="auto" w:fill="CCEEFF"/>
            <w:tcMar>
              <w:top w:w="40" w:type="dxa"/>
              <w:left w:w="0" w:type="dxa"/>
              <w:bottom w:w="40" w:type="dxa"/>
              <w:right w:w="20" w:type="dxa"/>
            </w:tcMar>
            <w:vAlign w:val="center"/>
          </w:tcPr>
          <w:p w14:paraId="098A9918"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919"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91A" w14:textId="77777777" w:rsidR="00141CDF" w:rsidRDefault="00DF45E0">
            <w:pPr>
              <w:jc w:val="right"/>
              <w:textAlignment w:val="center"/>
            </w:pPr>
            <w:r>
              <w:rPr>
                <w:rFonts w:ascii="Times New Roman" w:eastAsia="宋体" w:hAnsi="Times New Roman"/>
                <w:color w:val="000000"/>
                <w:sz w:val="16"/>
                <w:szCs w:val="16"/>
              </w:rPr>
              <w:t>41,522 </w:t>
            </w:r>
          </w:p>
        </w:tc>
        <w:tc>
          <w:tcPr>
            <w:tcW w:w="0" w:type="auto"/>
            <w:shd w:val="clear" w:color="auto" w:fill="CCEEFF"/>
            <w:tcMar>
              <w:top w:w="40" w:type="dxa"/>
              <w:left w:w="0" w:type="dxa"/>
              <w:bottom w:w="40" w:type="dxa"/>
              <w:right w:w="20" w:type="dxa"/>
            </w:tcMar>
            <w:vAlign w:val="center"/>
          </w:tcPr>
          <w:p w14:paraId="098A991B"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91C"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91D" w14:textId="77777777" w:rsidR="00141CDF" w:rsidRDefault="00DF45E0">
            <w:pPr>
              <w:jc w:val="right"/>
              <w:textAlignment w:val="center"/>
            </w:pPr>
            <w:r>
              <w:rPr>
                <w:rFonts w:ascii="Times New Roman" w:eastAsia="宋体" w:hAnsi="Times New Roman"/>
                <w:color w:val="000000"/>
                <w:sz w:val="16"/>
                <w:szCs w:val="16"/>
              </w:rPr>
              <w:t>35,336 </w:t>
            </w:r>
          </w:p>
        </w:tc>
        <w:tc>
          <w:tcPr>
            <w:tcW w:w="0" w:type="auto"/>
            <w:shd w:val="clear" w:color="auto" w:fill="CCEEFF"/>
            <w:tcMar>
              <w:top w:w="40" w:type="dxa"/>
              <w:left w:w="0" w:type="dxa"/>
              <w:bottom w:w="40" w:type="dxa"/>
              <w:right w:w="20" w:type="dxa"/>
            </w:tcMar>
            <w:vAlign w:val="center"/>
          </w:tcPr>
          <w:p w14:paraId="098A991E" w14:textId="77777777" w:rsidR="00141CDF" w:rsidRDefault="00141CDF">
            <w:pPr>
              <w:jc w:val="right"/>
              <w:rPr>
                <w:rFonts w:ascii="宋体"/>
              </w:rPr>
            </w:pPr>
          </w:p>
        </w:tc>
      </w:tr>
      <w:tr w:rsidR="00141CDF" w14:paraId="098A9931" w14:textId="77777777">
        <w:tc>
          <w:tcPr>
            <w:tcW w:w="0" w:type="auto"/>
            <w:gridSpan w:val="3"/>
            <w:shd w:val="clear" w:color="auto" w:fill="FFFFFF"/>
            <w:tcMar>
              <w:top w:w="40" w:type="dxa"/>
              <w:left w:w="20" w:type="dxa"/>
              <w:bottom w:w="40" w:type="dxa"/>
              <w:right w:w="20" w:type="dxa"/>
            </w:tcMar>
            <w:vAlign w:val="center"/>
          </w:tcPr>
          <w:p w14:paraId="098A9920" w14:textId="77777777" w:rsidR="00141CDF" w:rsidRDefault="00DF45E0">
            <w:pPr>
              <w:textAlignment w:val="center"/>
            </w:pPr>
            <w:r>
              <w:rPr>
                <w:rFonts w:ascii="Times New Roman" w:eastAsia="宋体" w:hAnsi="Times New Roman"/>
                <w:b/>
                <w:bCs/>
                <w:color w:val="000000"/>
                <w:sz w:val="16"/>
                <w:szCs w:val="16"/>
              </w:rPr>
              <w:t>Net sales</w:t>
            </w:r>
          </w:p>
        </w:tc>
        <w:tc>
          <w:tcPr>
            <w:tcW w:w="0" w:type="auto"/>
            <w:gridSpan w:val="3"/>
            <w:shd w:val="clear" w:color="auto" w:fill="FFFFFF"/>
            <w:tcMar>
              <w:top w:w="0" w:type="dxa"/>
              <w:left w:w="20" w:type="dxa"/>
              <w:bottom w:w="0" w:type="dxa"/>
              <w:right w:w="20" w:type="dxa"/>
            </w:tcMar>
            <w:vAlign w:val="bottom"/>
          </w:tcPr>
          <w:p w14:paraId="098A9921" w14:textId="77777777" w:rsidR="00141CDF" w:rsidRDefault="00141C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98A9922"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98A9923" w14:textId="77777777" w:rsidR="00141CDF" w:rsidRDefault="00DF45E0">
            <w:pPr>
              <w:jc w:val="right"/>
              <w:textAlignment w:val="center"/>
            </w:pPr>
            <w:r>
              <w:rPr>
                <w:rFonts w:ascii="Times New Roman" w:eastAsia="宋体" w:hAnsi="Times New Roman"/>
                <w:color w:val="000000"/>
                <w:sz w:val="16"/>
                <w:szCs w:val="16"/>
              </w:rPr>
              <w:t>151,381 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98A9924"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925" w14:textId="77777777" w:rsidR="00141CDF" w:rsidRDefault="00141C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98A9926"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98A9927" w14:textId="77777777" w:rsidR="00141CDF" w:rsidRDefault="00DF45E0">
            <w:pPr>
              <w:jc w:val="right"/>
              <w:textAlignment w:val="center"/>
            </w:pPr>
            <w:r>
              <w:rPr>
                <w:rFonts w:ascii="Times New Roman" w:eastAsia="宋体" w:hAnsi="Times New Roman"/>
                <w:color w:val="000000"/>
                <w:sz w:val="16"/>
                <w:szCs w:val="16"/>
              </w:rPr>
              <w:t>139,871 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98A9928"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929" w14:textId="77777777" w:rsidR="00141CDF" w:rsidRDefault="00141C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98A992A"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98A992B" w14:textId="77777777" w:rsidR="00141CDF" w:rsidRDefault="00DF45E0">
            <w:pPr>
              <w:jc w:val="right"/>
              <w:textAlignment w:val="center"/>
            </w:pPr>
            <w:r>
              <w:rPr>
                <w:rFonts w:ascii="Times New Roman" w:eastAsia="宋体" w:hAnsi="Times New Roman"/>
                <w:color w:val="000000"/>
                <w:sz w:val="16"/>
                <w:szCs w:val="16"/>
              </w:rPr>
              <w:t>291,669 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98A992C"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92D" w14:textId="77777777" w:rsidR="00141CDF" w:rsidRDefault="00141C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98A992E"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98A992F" w14:textId="77777777" w:rsidR="00141CDF" w:rsidRDefault="00DF45E0">
            <w:pPr>
              <w:jc w:val="right"/>
              <w:textAlignment w:val="center"/>
            </w:pPr>
            <w:r>
              <w:rPr>
                <w:rFonts w:ascii="Times New Roman" w:eastAsia="宋体" w:hAnsi="Times New Roman"/>
                <w:color w:val="000000"/>
                <w:sz w:val="16"/>
                <w:szCs w:val="16"/>
              </w:rPr>
              <w:t>277,030 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98A9930" w14:textId="77777777" w:rsidR="00141CDF" w:rsidRDefault="00141CDF">
            <w:pPr>
              <w:jc w:val="right"/>
              <w:rPr>
                <w:rFonts w:ascii="宋体"/>
              </w:rPr>
            </w:pPr>
          </w:p>
        </w:tc>
      </w:tr>
    </w:tbl>
    <w:p w14:paraId="098A9932" w14:textId="77777777" w:rsidR="00141CDF" w:rsidRDefault="00DF45E0">
      <w:pPr>
        <w:spacing w:before="100"/>
      </w:pPr>
      <w:r>
        <w:rPr>
          <w:rFonts w:ascii="Times New Roman" w:eastAsia="宋体" w:hAnsi="Times New Roman"/>
          <w:color w:val="000000"/>
          <w:sz w:val="20"/>
          <w:szCs w:val="20"/>
        </w:rPr>
        <w:t>Operating income by segment, as well as unallocated operating expenses</w:t>
      </w:r>
      <w:r>
        <w:rPr>
          <w:rFonts w:ascii="Times New Roman" w:eastAsia="宋体" w:hAnsi="Times New Roman"/>
          <w:color w:val="000000"/>
          <w:sz w:val="20"/>
          <w:szCs w:val="20"/>
        </w:rPr>
        <w:t xml:space="preserve"> for corporate and support, interest, net, and other gains and losses are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4009"/>
        <w:gridCol w:w="38"/>
        <w:gridCol w:w="36"/>
        <w:gridCol w:w="36"/>
        <w:gridCol w:w="36"/>
        <w:gridCol w:w="100"/>
        <w:gridCol w:w="758"/>
        <w:gridCol w:w="36"/>
        <w:gridCol w:w="36"/>
        <w:gridCol w:w="36"/>
        <w:gridCol w:w="36"/>
        <w:gridCol w:w="100"/>
        <w:gridCol w:w="735"/>
        <w:gridCol w:w="36"/>
        <w:gridCol w:w="36"/>
        <w:gridCol w:w="36"/>
        <w:gridCol w:w="36"/>
        <w:gridCol w:w="100"/>
        <w:gridCol w:w="735"/>
        <w:gridCol w:w="36"/>
        <w:gridCol w:w="36"/>
        <w:gridCol w:w="36"/>
        <w:gridCol w:w="36"/>
        <w:gridCol w:w="100"/>
        <w:gridCol w:w="758"/>
        <w:gridCol w:w="36"/>
        <w:gridCol w:w="36"/>
        <w:gridCol w:w="36"/>
        <w:gridCol w:w="36"/>
        <w:gridCol w:w="36"/>
        <w:gridCol w:w="36"/>
        <w:gridCol w:w="36"/>
        <w:gridCol w:w="36"/>
        <w:gridCol w:w="36"/>
      </w:tblGrid>
      <w:tr w:rsidR="00141CDF" w14:paraId="098A9952" w14:textId="77777777">
        <w:tc>
          <w:tcPr>
            <w:tcW w:w="50" w:type="pct"/>
            <w:shd w:val="clear" w:color="auto" w:fill="auto"/>
            <w:vAlign w:val="bottom"/>
          </w:tcPr>
          <w:p w14:paraId="098A9933" w14:textId="77777777" w:rsidR="00141CDF" w:rsidRDefault="00141CDF">
            <w:pPr>
              <w:rPr>
                <w:rFonts w:ascii="宋体"/>
              </w:rPr>
            </w:pPr>
          </w:p>
        </w:tc>
        <w:tc>
          <w:tcPr>
            <w:tcW w:w="2518" w:type="pct"/>
            <w:shd w:val="clear" w:color="auto" w:fill="auto"/>
            <w:vAlign w:val="bottom"/>
          </w:tcPr>
          <w:p w14:paraId="098A9934" w14:textId="77777777" w:rsidR="00141CDF" w:rsidRDefault="00141CDF">
            <w:pPr>
              <w:rPr>
                <w:rFonts w:ascii="宋体"/>
              </w:rPr>
            </w:pPr>
          </w:p>
        </w:tc>
        <w:tc>
          <w:tcPr>
            <w:tcW w:w="5" w:type="pct"/>
            <w:shd w:val="clear" w:color="auto" w:fill="auto"/>
            <w:vAlign w:val="bottom"/>
          </w:tcPr>
          <w:p w14:paraId="098A9935" w14:textId="77777777" w:rsidR="00141CDF" w:rsidRDefault="00141CDF">
            <w:pPr>
              <w:rPr>
                <w:rFonts w:ascii="宋体"/>
              </w:rPr>
            </w:pPr>
          </w:p>
        </w:tc>
        <w:tc>
          <w:tcPr>
            <w:tcW w:w="5" w:type="pct"/>
            <w:shd w:val="clear" w:color="auto" w:fill="auto"/>
            <w:vAlign w:val="bottom"/>
          </w:tcPr>
          <w:p w14:paraId="098A9936" w14:textId="77777777" w:rsidR="00141CDF" w:rsidRDefault="00141CDF">
            <w:pPr>
              <w:rPr>
                <w:rFonts w:ascii="宋体"/>
              </w:rPr>
            </w:pPr>
          </w:p>
        </w:tc>
        <w:tc>
          <w:tcPr>
            <w:tcW w:w="26" w:type="pct"/>
            <w:shd w:val="clear" w:color="auto" w:fill="auto"/>
            <w:vAlign w:val="bottom"/>
          </w:tcPr>
          <w:p w14:paraId="098A9937" w14:textId="77777777" w:rsidR="00141CDF" w:rsidRDefault="00141CDF">
            <w:pPr>
              <w:rPr>
                <w:rFonts w:ascii="宋体"/>
              </w:rPr>
            </w:pPr>
          </w:p>
        </w:tc>
        <w:tc>
          <w:tcPr>
            <w:tcW w:w="5" w:type="pct"/>
            <w:shd w:val="clear" w:color="auto" w:fill="auto"/>
            <w:vAlign w:val="bottom"/>
          </w:tcPr>
          <w:p w14:paraId="098A9938" w14:textId="77777777" w:rsidR="00141CDF" w:rsidRDefault="00141CDF">
            <w:pPr>
              <w:rPr>
                <w:rFonts w:ascii="宋体"/>
              </w:rPr>
            </w:pPr>
          </w:p>
        </w:tc>
        <w:tc>
          <w:tcPr>
            <w:tcW w:w="50" w:type="pct"/>
            <w:shd w:val="clear" w:color="auto" w:fill="auto"/>
            <w:vAlign w:val="bottom"/>
          </w:tcPr>
          <w:p w14:paraId="098A9939" w14:textId="77777777" w:rsidR="00141CDF" w:rsidRDefault="00141CDF">
            <w:pPr>
              <w:rPr>
                <w:rFonts w:ascii="宋体"/>
              </w:rPr>
            </w:pPr>
          </w:p>
        </w:tc>
        <w:tc>
          <w:tcPr>
            <w:tcW w:w="522" w:type="pct"/>
            <w:shd w:val="clear" w:color="auto" w:fill="auto"/>
            <w:vAlign w:val="bottom"/>
          </w:tcPr>
          <w:p w14:paraId="098A993A" w14:textId="77777777" w:rsidR="00141CDF" w:rsidRDefault="00141CDF">
            <w:pPr>
              <w:rPr>
                <w:rFonts w:ascii="宋体"/>
              </w:rPr>
            </w:pPr>
          </w:p>
        </w:tc>
        <w:tc>
          <w:tcPr>
            <w:tcW w:w="5" w:type="pct"/>
            <w:shd w:val="clear" w:color="auto" w:fill="auto"/>
            <w:vAlign w:val="bottom"/>
          </w:tcPr>
          <w:p w14:paraId="098A993B" w14:textId="77777777" w:rsidR="00141CDF" w:rsidRDefault="00141CDF">
            <w:pPr>
              <w:rPr>
                <w:rFonts w:ascii="宋体"/>
              </w:rPr>
            </w:pPr>
          </w:p>
        </w:tc>
        <w:tc>
          <w:tcPr>
            <w:tcW w:w="5" w:type="pct"/>
            <w:shd w:val="clear" w:color="auto" w:fill="auto"/>
            <w:vAlign w:val="bottom"/>
          </w:tcPr>
          <w:p w14:paraId="098A993C" w14:textId="77777777" w:rsidR="00141CDF" w:rsidRDefault="00141CDF">
            <w:pPr>
              <w:rPr>
                <w:rFonts w:ascii="宋体"/>
              </w:rPr>
            </w:pPr>
          </w:p>
        </w:tc>
        <w:tc>
          <w:tcPr>
            <w:tcW w:w="26" w:type="pct"/>
            <w:shd w:val="clear" w:color="auto" w:fill="auto"/>
            <w:vAlign w:val="bottom"/>
          </w:tcPr>
          <w:p w14:paraId="098A993D" w14:textId="77777777" w:rsidR="00141CDF" w:rsidRDefault="00141CDF">
            <w:pPr>
              <w:rPr>
                <w:rFonts w:ascii="宋体"/>
              </w:rPr>
            </w:pPr>
          </w:p>
        </w:tc>
        <w:tc>
          <w:tcPr>
            <w:tcW w:w="5" w:type="pct"/>
            <w:shd w:val="clear" w:color="auto" w:fill="auto"/>
            <w:vAlign w:val="bottom"/>
          </w:tcPr>
          <w:p w14:paraId="098A993E" w14:textId="77777777" w:rsidR="00141CDF" w:rsidRDefault="00141CDF">
            <w:pPr>
              <w:rPr>
                <w:rFonts w:ascii="宋体"/>
              </w:rPr>
            </w:pPr>
          </w:p>
        </w:tc>
        <w:tc>
          <w:tcPr>
            <w:tcW w:w="50" w:type="pct"/>
            <w:shd w:val="clear" w:color="auto" w:fill="auto"/>
            <w:vAlign w:val="bottom"/>
          </w:tcPr>
          <w:p w14:paraId="098A993F" w14:textId="77777777" w:rsidR="00141CDF" w:rsidRDefault="00141CDF">
            <w:pPr>
              <w:rPr>
                <w:rFonts w:ascii="宋体"/>
              </w:rPr>
            </w:pPr>
          </w:p>
        </w:tc>
        <w:tc>
          <w:tcPr>
            <w:tcW w:w="507" w:type="pct"/>
            <w:shd w:val="clear" w:color="auto" w:fill="auto"/>
            <w:vAlign w:val="bottom"/>
          </w:tcPr>
          <w:p w14:paraId="098A9940" w14:textId="77777777" w:rsidR="00141CDF" w:rsidRDefault="00141CDF">
            <w:pPr>
              <w:rPr>
                <w:rFonts w:ascii="宋体"/>
              </w:rPr>
            </w:pPr>
          </w:p>
        </w:tc>
        <w:tc>
          <w:tcPr>
            <w:tcW w:w="5" w:type="pct"/>
            <w:shd w:val="clear" w:color="auto" w:fill="auto"/>
            <w:vAlign w:val="bottom"/>
          </w:tcPr>
          <w:p w14:paraId="098A9941" w14:textId="77777777" w:rsidR="00141CDF" w:rsidRDefault="00141CDF">
            <w:pPr>
              <w:rPr>
                <w:rFonts w:ascii="宋体"/>
              </w:rPr>
            </w:pPr>
          </w:p>
        </w:tc>
        <w:tc>
          <w:tcPr>
            <w:tcW w:w="5" w:type="pct"/>
            <w:shd w:val="clear" w:color="auto" w:fill="auto"/>
            <w:vAlign w:val="bottom"/>
          </w:tcPr>
          <w:p w14:paraId="098A9942" w14:textId="77777777" w:rsidR="00141CDF" w:rsidRDefault="00141CDF">
            <w:pPr>
              <w:rPr>
                <w:rFonts w:ascii="宋体"/>
              </w:rPr>
            </w:pPr>
          </w:p>
        </w:tc>
        <w:tc>
          <w:tcPr>
            <w:tcW w:w="26" w:type="pct"/>
            <w:shd w:val="clear" w:color="auto" w:fill="auto"/>
            <w:vAlign w:val="bottom"/>
          </w:tcPr>
          <w:p w14:paraId="098A9943" w14:textId="77777777" w:rsidR="00141CDF" w:rsidRDefault="00141CDF">
            <w:pPr>
              <w:rPr>
                <w:rFonts w:ascii="宋体"/>
              </w:rPr>
            </w:pPr>
          </w:p>
        </w:tc>
        <w:tc>
          <w:tcPr>
            <w:tcW w:w="5" w:type="pct"/>
            <w:shd w:val="clear" w:color="auto" w:fill="auto"/>
            <w:vAlign w:val="bottom"/>
          </w:tcPr>
          <w:p w14:paraId="098A9944" w14:textId="77777777" w:rsidR="00141CDF" w:rsidRDefault="00141CDF">
            <w:pPr>
              <w:rPr>
                <w:rFonts w:ascii="宋体"/>
              </w:rPr>
            </w:pPr>
          </w:p>
        </w:tc>
        <w:tc>
          <w:tcPr>
            <w:tcW w:w="50" w:type="pct"/>
            <w:shd w:val="clear" w:color="auto" w:fill="auto"/>
            <w:vAlign w:val="bottom"/>
          </w:tcPr>
          <w:p w14:paraId="098A9945" w14:textId="77777777" w:rsidR="00141CDF" w:rsidRDefault="00141CDF">
            <w:pPr>
              <w:rPr>
                <w:rFonts w:ascii="宋体"/>
              </w:rPr>
            </w:pPr>
          </w:p>
        </w:tc>
        <w:tc>
          <w:tcPr>
            <w:tcW w:w="507" w:type="pct"/>
            <w:shd w:val="clear" w:color="auto" w:fill="auto"/>
            <w:vAlign w:val="bottom"/>
          </w:tcPr>
          <w:p w14:paraId="098A9946" w14:textId="77777777" w:rsidR="00141CDF" w:rsidRDefault="00141CDF">
            <w:pPr>
              <w:rPr>
                <w:rFonts w:ascii="宋体"/>
              </w:rPr>
            </w:pPr>
          </w:p>
        </w:tc>
        <w:tc>
          <w:tcPr>
            <w:tcW w:w="5" w:type="pct"/>
            <w:shd w:val="clear" w:color="auto" w:fill="auto"/>
            <w:vAlign w:val="bottom"/>
          </w:tcPr>
          <w:p w14:paraId="098A9947" w14:textId="77777777" w:rsidR="00141CDF" w:rsidRDefault="00141CDF">
            <w:pPr>
              <w:rPr>
                <w:rFonts w:ascii="宋体"/>
              </w:rPr>
            </w:pPr>
          </w:p>
        </w:tc>
        <w:tc>
          <w:tcPr>
            <w:tcW w:w="5" w:type="pct"/>
            <w:shd w:val="clear" w:color="auto" w:fill="auto"/>
            <w:vAlign w:val="bottom"/>
          </w:tcPr>
          <w:p w14:paraId="098A9948" w14:textId="77777777" w:rsidR="00141CDF" w:rsidRDefault="00141CDF">
            <w:pPr>
              <w:rPr>
                <w:rFonts w:ascii="宋体"/>
              </w:rPr>
            </w:pPr>
          </w:p>
        </w:tc>
        <w:tc>
          <w:tcPr>
            <w:tcW w:w="26" w:type="pct"/>
            <w:shd w:val="clear" w:color="auto" w:fill="auto"/>
            <w:vAlign w:val="bottom"/>
          </w:tcPr>
          <w:p w14:paraId="098A9949" w14:textId="77777777" w:rsidR="00141CDF" w:rsidRDefault="00141CDF">
            <w:pPr>
              <w:rPr>
                <w:rFonts w:ascii="宋体"/>
              </w:rPr>
            </w:pPr>
          </w:p>
        </w:tc>
        <w:tc>
          <w:tcPr>
            <w:tcW w:w="5" w:type="pct"/>
            <w:shd w:val="clear" w:color="auto" w:fill="auto"/>
            <w:vAlign w:val="bottom"/>
          </w:tcPr>
          <w:p w14:paraId="098A994A" w14:textId="77777777" w:rsidR="00141CDF" w:rsidRDefault="00141CDF">
            <w:pPr>
              <w:rPr>
                <w:rFonts w:ascii="宋体"/>
              </w:rPr>
            </w:pPr>
          </w:p>
        </w:tc>
        <w:tc>
          <w:tcPr>
            <w:tcW w:w="50" w:type="pct"/>
            <w:shd w:val="clear" w:color="auto" w:fill="auto"/>
            <w:vAlign w:val="bottom"/>
          </w:tcPr>
          <w:p w14:paraId="098A994B" w14:textId="77777777" w:rsidR="00141CDF" w:rsidRDefault="00141CDF">
            <w:pPr>
              <w:rPr>
                <w:rFonts w:ascii="宋体"/>
              </w:rPr>
            </w:pPr>
          </w:p>
        </w:tc>
        <w:tc>
          <w:tcPr>
            <w:tcW w:w="522" w:type="pct"/>
            <w:shd w:val="clear" w:color="auto" w:fill="auto"/>
            <w:vAlign w:val="bottom"/>
          </w:tcPr>
          <w:p w14:paraId="098A994C" w14:textId="77777777" w:rsidR="00141CDF" w:rsidRDefault="00141CDF">
            <w:pPr>
              <w:rPr>
                <w:rFonts w:ascii="宋体"/>
              </w:rPr>
            </w:pPr>
          </w:p>
        </w:tc>
        <w:tc>
          <w:tcPr>
            <w:tcW w:w="5" w:type="pct"/>
            <w:shd w:val="clear" w:color="auto" w:fill="auto"/>
            <w:vAlign w:val="bottom"/>
          </w:tcPr>
          <w:p w14:paraId="098A994D" w14:textId="77777777" w:rsidR="00141CDF" w:rsidRDefault="00141CDF">
            <w:pPr>
              <w:rPr>
                <w:rFonts w:ascii="宋体"/>
              </w:rPr>
            </w:pPr>
          </w:p>
        </w:tc>
        <w:tc>
          <w:tcPr>
            <w:tcW w:w="0" w:type="auto"/>
            <w:shd w:val="clear" w:color="auto" w:fill="auto"/>
            <w:vAlign w:val="bottom"/>
          </w:tcPr>
          <w:p w14:paraId="098A994E" w14:textId="77777777" w:rsidR="00141CDF" w:rsidRDefault="00141CDF">
            <w:pPr>
              <w:rPr>
                <w:rFonts w:ascii="宋体"/>
                <w:vanish/>
              </w:rPr>
            </w:pPr>
          </w:p>
        </w:tc>
        <w:tc>
          <w:tcPr>
            <w:tcW w:w="0" w:type="auto"/>
            <w:shd w:val="clear" w:color="auto" w:fill="auto"/>
            <w:vAlign w:val="bottom"/>
          </w:tcPr>
          <w:p w14:paraId="098A994F" w14:textId="77777777" w:rsidR="00141CDF" w:rsidRDefault="00141CDF">
            <w:pPr>
              <w:rPr>
                <w:rFonts w:ascii="宋体"/>
                <w:vanish/>
              </w:rPr>
            </w:pPr>
          </w:p>
        </w:tc>
        <w:tc>
          <w:tcPr>
            <w:tcW w:w="0" w:type="auto"/>
            <w:gridSpan w:val="3"/>
            <w:shd w:val="clear" w:color="auto" w:fill="auto"/>
            <w:vAlign w:val="bottom"/>
          </w:tcPr>
          <w:p w14:paraId="098A9950" w14:textId="77777777" w:rsidR="00141CDF" w:rsidRDefault="00141CDF">
            <w:pPr>
              <w:rPr>
                <w:rFonts w:ascii="宋体"/>
                <w:vanish/>
              </w:rPr>
            </w:pPr>
          </w:p>
        </w:tc>
        <w:tc>
          <w:tcPr>
            <w:tcW w:w="0" w:type="auto"/>
            <w:gridSpan w:val="3"/>
            <w:shd w:val="clear" w:color="auto" w:fill="auto"/>
            <w:vAlign w:val="bottom"/>
          </w:tcPr>
          <w:p w14:paraId="098A9951" w14:textId="77777777" w:rsidR="00141CDF" w:rsidRDefault="00141CDF">
            <w:pPr>
              <w:rPr>
                <w:rFonts w:ascii="宋体"/>
                <w:vanish/>
              </w:rPr>
            </w:pPr>
          </w:p>
        </w:tc>
      </w:tr>
      <w:tr w:rsidR="00141CDF" w14:paraId="098A9960" w14:textId="77777777">
        <w:tc>
          <w:tcPr>
            <w:tcW w:w="0" w:type="auto"/>
            <w:gridSpan w:val="3"/>
            <w:shd w:val="clear" w:color="auto" w:fill="auto"/>
            <w:tcMar>
              <w:top w:w="40" w:type="dxa"/>
              <w:left w:w="20" w:type="dxa"/>
              <w:bottom w:w="40" w:type="dxa"/>
              <w:right w:w="20" w:type="dxa"/>
            </w:tcMar>
            <w:vAlign w:val="bottom"/>
          </w:tcPr>
          <w:p w14:paraId="098A9953" w14:textId="77777777" w:rsidR="00141CDF" w:rsidRDefault="00DF45E0">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098A9954" w14:textId="77777777" w:rsidR="00141CDF" w:rsidRDefault="00141CDF">
            <w:pPr>
              <w:rPr>
                <w:rFonts w:ascii="宋体"/>
              </w:rPr>
            </w:pPr>
          </w:p>
        </w:tc>
        <w:tc>
          <w:tcPr>
            <w:tcW w:w="0" w:type="auto"/>
            <w:gridSpan w:val="9"/>
            <w:shd w:val="clear" w:color="auto" w:fill="auto"/>
            <w:tcMar>
              <w:top w:w="40" w:type="dxa"/>
              <w:left w:w="20" w:type="dxa"/>
              <w:bottom w:w="40" w:type="dxa"/>
              <w:right w:w="20" w:type="dxa"/>
            </w:tcMar>
            <w:vAlign w:val="bottom"/>
          </w:tcPr>
          <w:p w14:paraId="098A9955" w14:textId="77777777" w:rsidR="00141CDF" w:rsidRDefault="00DF45E0">
            <w:pPr>
              <w:jc w:val="center"/>
              <w:textAlignment w:val="bottom"/>
            </w:pPr>
            <w:r>
              <w:rPr>
                <w:rFonts w:ascii="Times New Roman" w:eastAsia="宋体" w:hAnsi="Times New Roman"/>
                <w:b/>
                <w:bCs/>
                <w:color w:val="000000"/>
                <w:sz w:val="16"/>
                <w:szCs w:val="16"/>
              </w:rPr>
              <w:t>Three Months Ended July 31,</w:t>
            </w:r>
          </w:p>
        </w:tc>
        <w:tc>
          <w:tcPr>
            <w:tcW w:w="0" w:type="auto"/>
            <w:gridSpan w:val="3"/>
            <w:shd w:val="clear" w:color="auto" w:fill="auto"/>
            <w:tcMar>
              <w:top w:w="0" w:type="dxa"/>
              <w:left w:w="20" w:type="dxa"/>
              <w:bottom w:w="0" w:type="dxa"/>
              <w:right w:w="20" w:type="dxa"/>
            </w:tcMar>
            <w:vAlign w:val="bottom"/>
          </w:tcPr>
          <w:p w14:paraId="098A9956" w14:textId="77777777" w:rsidR="00141CDF" w:rsidRDefault="00141CDF">
            <w:pPr>
              <w:rPr>
                <w:rFonts w:ascii="宋体"/>
              </w:rPr>
            </w:pPr>
          </w:p>
        </w:tc>
        <w:tc>
          <w:tcPr>
            <w:tcW w:w="0" w:type="auto"/>
            <w:gridSpan w:val="9"/>
            <w:shd w:val="clear" w:color="auto" w:fill="auto"/>
            <w:tcMar>
              <w:top w:w="40" w:type="dxa"/>
              <w:left w:w="20" w:type="dxa"/>
              <w:bottom w:w="40" w:type="dxa"/>
              <w:right w:w="20" w:type="dxa"/>
            </w:tcMar>
            <w:vAlign w:val="bottom"/>
          </w:tcPr>
          <w:p w14:paraId="098A9957" w14:textId="77777777" w:rsidR="00141CDF" w:rsidRDefault="00DF45E0">
            <w:pPr>
              <w:jc w:val="center"/>
              <w:textAlignment w:val="bottom"/>
            </w:pPr>
            <w:r>
              <w:rPr>
                <w:rFonts w:ascii="Times New Roman" w:eastAsia="宋体" w:hAnsi="Times New Roman"/>
                <w:b/>
                <w:bCs/>
                <w:color w:val="000000"/>
                <w:sz w:val="16"/>
                <w:szCs w:val="16"/>
              </w:rPr>
              <w:t>Six Months Ended July 31,</w:t>
            </w:r>
          </w:p>
        </w:tc>
        <w:tc>
          <w:tcPr>
            <w:tcW w:w="0" w:type="auto"/>
            <w:shd w:val="clear" w:color="auto" w:fill="auto"/>
            <w:vAlign w:val="bottom"/>
          </w:tcPr>
          <w:p w14:paraId="098A9958" w14:textId="77777777" w:rsidR="00141CDF" w:rsidRDefault="00141CDF">
            <w:pPr>
              <w:rPr>
                <w:rFonts w:ascii="宋体"/>
                <w:vanish/>
              </w:rPr>
            </w:pPr>
          </w:p>
        </w:tc>
        <w:tc>
          <w:tcPr>
            <w:tcW w:w="0" w:type="auto"/>
            <w:shd w:val="clear" w:color="auto" w:fill="auto"/>
            <w:vAlign w:val="bottom"/>
          </w:tcPr>
          <w:p w14:paraId="098A9959" w14:textId="77777777" w:rsidR="00141CDF" w:rsidRDefault="00141CDF">
            <w:pPr>
              <w:rPr>
                <w:rFonts w:ascii="宋体"/>
                <w:vanish/>
              </w:rPr>
            </w:pPr>
          </w:p>
        </w:tc>
        <w:tc>
          <w:tcPr>
            <w:tcW w:w="0" w:type="auto"/>
            <w:shd w:val="clear" w:color="auto" w:fill="auto"/>
            <w:vAlign w:val="bottom"/>
          </w:tcPr>
          <w:p w14:paraId="098A995A" w14:textId="77777777" w:rsidR="00141CDF" w:rsidRDefault="00141CDF">
            <w:pPr>
              <w:rPr>
                <w:rFonts w:ascii="宋体"/>
              </w:rPr>
            </w:pPr>
          </w:p>
        </w:tc>
        <w:tc>
          <w:tcPr>
            <w:tcW w:w="0" w:type="auto"/>
            <w:shd w:val="clear" w:color="auto" w:fill="auto"/>
            <w:vAlign w:val="bottom"/>
          </w:tcPr>
          <w:p w14:paraId="098A995B" w14:textId="77777777" w:rsidR="00141CDF" w:rsidRDefault="00141CDF">
            <w:pPr>
              <w:rPr>
                <w:rFonts w:ascii="宋体"/>
              </w:rPr>
            </w:pPr>
          </w:p>
        </w:tc>
        <w:tc>
          <w:tcPr>
            <w:tcW w:w="0" w:type="auto"/>
            <w:shd w:val="clear" w:color="auto" w:fill="auto"/>
            <w:vAlign w:val="bottom"/>
          </w:tcPr>
          <w:p w14:paraId="098A995C" w14:textId="77777777" w:rsidR="00141CDF" w:rsidRDefault="00141CDF">
            <w:pPr>
              <w:rPr>
                <w:rFonts w:ascii="宋体"/>
              </w:rPr>
            </w:pPr>
          </w:p>
        </w:tc>
        <w:tc>
          <w:tcPr>
            <w:tcW w:w="0" w:type="auto"/>
            <w:shd w:val="clear" w:color="auto" w:fill="auto"/>
            <w:vAlign w:val="bottom"/>
          </w:tcPr>
          <w:p w14:paraId="098A995D" w14:textId="77777777" w:rsidR="00141CDF" w:rsidRDefault="00141CDF">
            <w:pPr>
              <w:rPr>
                <w:rFonts w:ascii="宋体"/>
              </w:rPr>
            </w:pPr>
          </w:p>
        </w:tc>
        <w:tc>
          <w:tcPr>
            <w:tcW w:w="0" w:type="auto"/>
            <w:shd w:val="clear" w:color="auto" w:fill="auto"/>
            <w:vAlign w:val="bottom"/>
          </w:tcPr>
          <w:p w14:paraId="098A995E" w14:textId="77777777" w:rsidR="00141CDF" w:rsidRDefault="00141CDF">
            <w:pPr>
              <w:rPr>
                <w:rFonts w:ascii="宋体"/>
              </w:rPr>
            </w:pPr>
          </w:p>
        </w:tc>
        <w:tc>
          <w:tcPr>
            <w:tcW w:w="0" w:type="auto"/>
            <w:shd w:val="clear" w:color="auto" w:fill="auto"/>
            <w:vAlign w:val="bottom"/>
          </w:tcPr>
          <w:p w14:paraId="098A995F" w14:textId="77777777" w:rsidR="00141CDF" w:rsidRDefault="00141CDF">
            <w:pPr>
              <w:rPr>
                <w:rFonts w:ascii="宋体"/>
              </w:rPr>
            </w:pPr>
          </w:p>
        </w:tc>
      </w:tr>
      <w:tr w:rsidR="00141CDF" w14:paraId="098A996E" w14:textId="77777777">
        <w:tc>
          <w:tcPr>
            <w:tcW w:w="0" w:type="auto"/>
            <w:gridSpan w:val="3"/>
            <w:shd w:val="clear" w:color="auto" w:fill="auto"/>
            <w:tcMar>
              <w:top w:w="40" w:type="dxa"/>
              <w:left w:w="20" w:type="dxa"/>
              <w:bottom w:w="40" w:type="dxa"/>
              <w:right w:w="20" w:type="dxa"/>
            </w:tcMar>
            <w:vAlign w:val="bottom"/>
          </w:tcPr>
          <w:p w14:paraId="098A9961" w14:textId="77777777" w:rsidR="00141CDF" w:rsidRDefault="00DF45E0">
            <w:pPr>
              <w:spacing w:before="180"/>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098A9962"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9963" w14:textId="77777777" w:rsidR="00141CDF" w:rsidRDefault="00DF45E0">
            <w:pPr>
              <w:jc w:val="center"/>
              <w:textAlignment w:val="bottom"/>
            </w:pPr>
            <w:r>
              <w:rPr>
                <w:rFonts w:ascii="Times New Roman" w:eastAsia="宋体" w:hAnsi="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14:paraId="098A9964"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9965" w14:textId="77777777" w:rsidR="00141CDF" w:rsidRDefault="00DF45E0">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098A9966"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9967" w14:textId="77777777" w:rsidR="00141CDF" w:rsidRDefault="00DF45E0">
            <w:pPr>
              <w:jc w:val="center"/>
              <w:textAlignment w:val="bottom"/>
            </w:pPr>
            <w:r>
              <w:rPr>
                <w:rFonts w:ascii="Times New Roman" w:eastAsia="宋体" w:hAnsi="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14:paraId="098A9968"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9969" w14:textId="77777777" w:rsidR="00141CDF" w:rsidRDefault="00DF45E0">
            <w:pPr>
              <w:jc w:val="center"/>
              <w:textAlignment w:val="bottom"/>
            </w:pPr>
            <w:r>
              <w:rPr>
                <w:rFonts w:ascii="Times New Roman" w:eastAsia="宋体" w:hAnsi="Times New Roman"/>
                <w:b/>
                <w:bCs/>
                <w:color w:val="000000"/>
                <w:sz w:val="16"/>
                <w:szCs w:val="16"/>
              </w:rPr>
              <w:t>2021</w:t>
            </w:r>
          </w:p>
        </w:tc>
        <w:tc>
          <w:tcPr>
            <w:tcW w:w="0" w:type="auto"/>
            <w:shd w:val="clear" w:color="auto" w:fill="auto"/>
            <w:vAlign w:val="bottom"/>
          </w:tcPr>
          <w:p w14:paraId="098A996A" w14:textId="77777777" w:rsidR="00141CDF" w:rsidRDefault="00141CDF">
            <w:pPr>
              <w:rPr>
                <w:rFonts w:ascii="宋体"/>
                <w:vanish/>
              </w:rPr>
            </w:pPr>
          </w:p>
        </w:tc>
        <w:tc>
          <w:tcPr>
            <w:tcW w:w="0" w:type="auto"/>
            <w:shd w:val="clear" w:color="auto" w:fill="auto"/>
            <w:vAlign w:val="bottom"/>
          </w:tcPr>
          <w:p w14:paraId="098A996B" w14:textId="77777777" w:rsidR="00141CDF" w:rsidRDefault="00141CDF">
            <w:pPr>
              <w:rPr>
                <w:rFonts w:ascii="宋体"/>
                <w:vanish/>
              </w:rPr>
            </w:pPr>
          </w:p>
        </w:tc>
        <w:tc>
          <w:tcPr>
            <w:tcW w:w="0" w:type="auto"/>
            <w:gridSpan w:val="3"/>
            <w:shd w:val="clear" w:color="auto" w:fill="auto"/>
            <w:vAlign w:val="bottom"/>
          </w:tcPr>
          <w:p w14:paraId="098A996C" w14:textId="77777777" w:rsidR="00141CDF" w:rsidRDefault="00141CDF">
            <w:pPr>
              <w:rPr>
                <w:rFonts w:ascii="宋体"/>
                <w:vanish/>
              </w:rPr>
            </w:pPr>
          </w:p>
        </w:tc>
        <w:tc>
          <w:tcPr>
            <w:tcW w:w="0" w:type="auto"/>
            <w:gridSpan w:val="3"/>
            <w:shd w:val="clear" w:color="auto" w:fill="auto"/>
            <w:vAlign w:val="bottom"/>
          </w:tcPr>
          <w:p w14:paraId="098A996D" w14:textId="77777777" w:rsidR="00141CDF" w:rsidRDefault="00141CDF">
            <w:pPr>
              <w:rPr>
                <w:rFonts w:ascii="宋体"/>
                <w:vanish/>
              </w:rPr>
            </w:pPr>
          </w:p>
        </w:tc>
      </w:tr>
      <w:tr w:rsidR="00141CDF" w14:paraId="098A997C" w14:textId="77777777">
        <w:tc>
          <w:tcPr>
            <w:tcW w:w="0" w:type="auto"/>
            <w:gridSpan w:val="3"/>
            <w:shd w:val="clear" w:color="auto" w:fill="auto"/>
            <w:tcMar>
              <w:top w:w="40" w:type="dxa"/>
              <w:left w:w="20" w:type="dxa"/>
              <w:bottom w:w="40" w:type="dxa"/>
              <w:right w:w="20" w:type="dxa"/>
            </w:tcMar>
            <w:vAlign w:val="center"/>
          </w:tcPr>
          <w:p w14:paraId="098A996F" w14:textId="77777777" w:rsidR="00141CDF" w:rsidRDefault="00DF45E0">
            <w:pPr>
              <w:textAlignment w:val="center"/>
            </w:pPr>
            <w:r>
              <w:rPr>
                <w:rFonts w:ascii="Times New Roman" w:eastAsia="宋体" w:hAnsi="Times New Roman"/>
                <w:color w:val="000000"/>
                <w:sz w:val="16"/>
                <w:szCs w:val="16"/>
              </w:rPr>
              <w:t>Operating income (loss):</w:t>
            </w:r>
          </w:p>
        </w:tc>
        <w:tc>
          <w:tcPr>
            <w:tcW w:w="0" w:type="auto"/>
            <w:gridSpan w:val="3"/>
            <w:shd w:val="clear" w:color="auto" w:fill="auto"/>
            <w:tcMar>
              <w:top w:w="0" w:type="dxa"/>
              <w:left w:w="20" w:type="dxa"/>
              <w:bottom w:w="0" w:type="dxa"/>
              <w:right w:w="20" w:type="dxa"/>
            </w:tcMar>
            <w:vAlign w:val="bottom"/>
          </w:tcPr>
          <w:p w14:paraId="098A9970" w14:textId="77777777" w:rsidR="00141CDF" w:rsidRDefault="00141CD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9971"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9972" w14:textId="77777777" w:rsidR="00141CDF" w:rsidRDefault="00141CD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9973"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9974" w14:textId="77777777" w:rsidR="00141CDF" w:rsidRDefault="00141CD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9975"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9976" w14:textId="77777777" w:rsidR="00141CDF" w:rsidRDefault="00141CD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9977" w14:textId="77777777" w:rsidR="00141CDF" w:rsidRDefault="00141CDF">
            <w:pPr>
              <w:rPr>
                <w:rFonts w:ascii="宋体"/>
              </w:rPr>
            </w:pPr>
          </w:p>
        </w:tc>
        <w:tc>
          <w:tcPr>
            <w:tcW w:w="0" w:type="auto"/>
            <w:shd w:val="clear" w:color="auto" w:fill="auto"/>
            <w:vAlign w:val="bottom"/>
          </w:tcPr>
          <w:p w14:paraId="098A9978" w14:textId="77777777" w:rsidR="00141CDF" w:rsidRDefault="00141CDF">
            <w:pPr>
              <w:rPr>
                <w:rFonts w:ascii="宋体"/>
                <w:vanish/>
              </w:rPr>
            </w:pPr>
          </w:p>
        </w:tc>
        <w:tc>
          <w:tcPr>
            <w:tcW w:w="0" w:type="auto"/>
            <w:shd w:val="clear" w:color="auto" w:fill="auto"/>
            <w:vAlign w:val="bottom"/>
          </w:tcPr>
          <w:p w14:paraId="098A9979" w14:textId="77777777" w:rsidR="00141CDF" w:rsidRDefault="00141CDF">
            <w:pPr>
              <w:rPr>
                <w:rFonts w:ascii="宋体"/>
                <w:vanish/>
              </w:rPr>
            </w:pPr>
          </w:p>
        </w:tc>
        <w:tc>
          <w:tcPr>
            <w:tcW w:w="0" w:type="auto"/>
            <w:gridSpan w:val="3"/>
            <w:shd w:val="clear" w:color="auto" w:fill="auto"/>
            <w:vAlign w:val="bottom"/>
          </w:tcPr>
          <w:p w14:paraId="098A997A" w14:textId="77777777" w:rsidR="00141CDF" w:rsidRDefault="00141CDF">
            <w:pPr>
              <w:rPr>
                <w:rFonts w:ascii="宋体"/>
                <w:vanish/>
              </w:rPr>
            </w:pPr>
          </w:p>
        </w:tc>
        <w:tc>
          <w:tcPr>
            <w:tcW w:w="0" w:type="auto"/>
            <w:gridSpan w:val="3"/>
            <w:shd w:val="clear" w:color="auto" w:fill="auto"/>
            <w:vAlign w:val="bottom"/>
          </w:tcPr>
          <w:p w14:paraId="098A997B" w14:textId="77777777" w:rsidR="00141CDF" w:rsidRDefault="00141CDF">
            <w:pPr>
              <w:rPr>
                <w:rFonts w:ascii="宋体"/>
                <w:vanish/>
              </w:rPr>
            </w:pPr>
          </w:p>
        </w:tc>
      </w:tr>
      <w:tr w:rsidR="00141CDF" w14:paraId="098A9992" w14:textId="77777777">
        <w:tc>
          <w:tcPr>
            <w:tcW w:w="0" w:type="auto"/>
            <w:gridSpan w:val="3"/>
            <w:shd w:val="clear" w:color="auto" w:fill="CCEEFF"/>
            <w:tcMar>
              <w:top w:w="40" w:type="dxa"/>
              <w:left w:w="380" w:type="dxa"/>
              <w:bottom w:w="40" w:type="dxa"/>
              <w:right w:w="20" w:type="dxa"/>
            </w:tcMar>
            <w:vAlign w:val="center"/>
          </w:tcPr>
          <w:p w14:paraId="098A997D" w14:textId="77777777" w:rsidR="00141CDF" w:rsidRDefault="00DF45E0">
            <w:pPr>
              <w:textAlignment w:val="center"/>
            </w:pPr>
            <w:r>
              <w:rPr>
                <w:rFonts w:ascii="Times New Roman" w:eastAsia="宋体" w:hAnsi="Times New Roman"/>
                <w:color w:val="000000"/>
                <w:sz w:val="16"/>
                <w:szCs w:val="16"/>
              </w:rPr>
              <w:t>Walmart U.S.</w:t>
            </w:r>
          </w:p>
        </w:tc>
        <w:tc>
          <w:tcPr>
            <w:tcW w:w="0" w:type="auto"/>
            <w:gridSpan w:val="3"/>
            <w:shd w:val="clear" w:color="auto" w:fill="CCEEFF"/>
            <w:tcMar>
              <w:top w:w="0" w:type="dxa"/>
              <w:left w:w="20" w:type="dxa"/>
              <w:bottom w:w="0" w:type="dxa"/>
              <w:right w:w="20" w:type="dxa"/>
            </w:tcMar>
            <w:vAlign w:val="bottom"/>
          </w:tcPr>
          <w:p w14:paraId="098A997E"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997F"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9980" w14:textId="77777777" w:rsidR="00141CDF" w:rsidRDefault="00DF45E0">
            <w:pPr>
              <w:jc w:val="right"/>
              <w:textAlignment w:val="center"/>
            </w:pPr>
            <w:r>
              <w:rPr>
                <w:rFonts w:ascii="Times New Roman" w:eastAsia="宋体" w:hAnsi="Times New Roman"/>
                <w:color w:val="000000"/>
                <w:sz w:val="16"/>
                <w:szCs w:val="16"/>
              </w:rPr>
              <w:t>5,683 </w:t>
            </w:r>
          </w:p>
        </w:tc>
        <w:tc>
          <w:tcPr>
            <w:tcW w:w="0" w:type="auto"/>
            <w:shd w:val="clear" w:color="auto" w:fill="CCEEFF"/>
            <w:tcMar>
              <w:top w:w="40" w:type="dxa"/>
              <w:left w:w="0" w:type="dxa"/>
              <w:bottom w:w="40" w:type="dxa"/>
              <w:right w:w="20" w:type="dxa"/>
            </w:tcMar>
            <w:vAlign w:val="center"/>
          </w:tcPr>
          <w:p w14:paraId="098A9981"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982"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9983"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9984" w14:textId="77777777" w:rsidR="00141CDF" w:rsidRDefault="00DF45E0">
            <w:pPr>
              <w:jc w:val="right"/>
              <w:textAlignment w:val="center"/>
            </w:pPr>
            <w:r>
              <w:rPr>
                <w:rFonts w:ascii="Times New Roman" w:eastAsia="宋体" w:hAnsi="Times New Roman"/>
                <w:color w:val="000000"/>
                <w:sz w:val="16"/>
                <w:szCs w:val="16"/>
              </w:rPr>
              <w:t>6,089 </w:t>
            </w:r>
          </w:p>
        </w:tc>
        <w:tc>
          <w:tcPr>
            <w:tcW w:w="0" w:type="auto"/>
            <w:shd w:val="clear" w:color="auto" w:fill="CCEEFF"/>
            <w:tcMar>
              <w:top w:w="40" w:type="dxa"/>
              <w:left w:w="0" w:type="dxa"/>
              <w:bottom w:w="40" w:type="dxa"/>
              <w:right w:w="20" w:type="dxa"/>
            </w:tcMar>
            <w:vAlign w:val="center"/>
          </w:tcPr>
          <w:p w14:paraId="098A9985"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986"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9987"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9988" w14:textId="77777777" w:rsidR="00141CDF" w:rsidRDefault="00DF45E0">
            <w:pPr>
              <w:jc w:val="right"/>
              <w:textAlignment w:val="center"/>
            </w:pPr>
            <w:r>
              <w:rPr>
                <w:rFonts w:ascii="Times New Roman" w:eastAsia="宋体" w:hAnsi="Times New Roman"/>
                <w:color w:val="000000"/>
                <w:sz w:val="16"/>
                <w:szCs w:val="16"/>
              </w:rPr>
              <w:t>10,145 </w:t>
            </w:r>
          </w:p>
        </w:tc>
        <w:tc>
          <w:tcPr>
            <w:tcW w:w="0" w:type="auto"/>
            <w:shd w:val="clear" w:color="auto" w:fill="CCEEFF"/>
            <w:tcMar>
              <w:top w:w="40" w:type="dxa"/>
              <w:left w:w="0" w:type="dxa"/>
              <w:bottom w:w="40" w:type="dxa"/>
              <w:right w:w="20" w:type="dxa"/>
            </w:tcMar>
            <w:vAlign w:val="center"/>
          </w:tcPr>
          <w:p w14:paraId="098A9989"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98A"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998B"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998C" w14:textId="77777777" w:rsidR="00141CDF" w:rsidRDefault="00DF45E0">
            <w:pPr>
              <w:jc w:val="right"/>
              <w:textAlignment w:val="center"/>
            </w:pPr>
            <w:r>
              <w:rPr>
                <w:rFonts w:ascii="Times New Roman" w:eastAsia="宋体" w:hAnsi="Times New Roman"/>
                <w:color w:val="000000"/>
                <w:sz w:val="16"/>
                <w:szCs w:val="16"/>
              </w:rPr>
              <w:t>11,544 </w:t>
            </w:r>
          </w:p>
        </w:tc>
        <w:tc>
          <w:tcPr>
            <w:tcW w:w="0" w:type="auto"/>
            <w:shd w:val="clear" w:color="auto" w:fill="CCEEFF"/>
            <w:tcMar>
              <w:top w:w="40" w:type="dxa"/>
              <w:left w:w="0" w:type="dxa"/>
              <w:bottom w:w="40" w:type="dxa"/>
              <w:right w:w="20" w:type="dxa"/>
            </w:tcMar>
            <w:vAlign w:val="center"/>
          </w:tcPr>
          <w:p w14:paraId="098A998D" w14:textId="77777777" w:rsidR="00141CDF" w:rsidRDefault="00141CDF">
            <w:pPr>
              <w:jc w:val="right"/>
              <w:rPr>
                <w:rFonts w:ascii="宋体"/>
              </w:rPr>
            </w:pPr>
          </w:p>
        </w:tc>
        <w:tc>
          <w:tcPr>
            <w:tcW w:w="0" w:type="auto"/>
            <w:shd w:val="clear" w:color="auto" w:fill="auto"/>
            <w:vAlign w:val="bottom"/>
          </w:tcPr>
          <w:p w14:paraId="098A998E" w14:textId="77777777" w:rsidR="00141CDF" w:rsidRDefault="00141CDF">
            <w:pPr>
              <w:rPr>
                <w:rFonts w:ascii="宋体"/>
                <w:vanish/>
              </w:rPr>
            </w:pPr>
          </w:p>
        </w:tc>
        <w:tc>
          <w:tcPr>
            <w:tcW w:w="0" w:type="auto"/>
            <w:shd w:val="clear" w:color="auto" w:fill="auto"/>
            <w:vAlign w:val="bottom"/>
          </w:tcPr>
          <w:p w14:paraId="098A998F" w14:textId="77777777" w:rsidR="00141CDF" w:rsidRDefault="00141CDF">
            <w:pPr>
              <w:rPr>
                <w:rFonts w:ascii="宋体"/>
                <w:vanish/>
              </w:rPr>
            </w:pPr>
          </w:p>
        </w:tc>
        <w:tc>
          <w:tcPr>
            <w:tcW w:w="0" w:type="auto"/>
            <w:gridSpan w:val="3"/>
            <w:shd w:val="clear" w:color="auto" w:fill="auto"/>
            <w:vAlign w:val="bottom"/>
          </w:tcPr>
          <w:p w14:paraId="098A9990" w14:textId="77777777" w:rsidR="00141CDF" w:rsidRDefault="00141CDF">
            <w:pPr>
              <w:rPr>
                <w:rFonts w:ascii="宋体"/>
                <w:vanish/>
              </w:rPr>
            </w:pPr>
          </w:p>
        </w:tc>
        <w:tc>
          <w:tcPr>
            <w:tcW w:w="0" w:type="auto"/>
            <w:gridSpan w:val="3"/>
            <w:shd w:val="clear" w:color="auto" w:fill="auto"/>
            <w:vAlign w:val="bottom"/>
          </w:tcPr>
          <w:p w14:paraId="098A9991" w14:textId="77777777" w:rsidR="00141CDF" w:rsidRDefault="00141CDF">
            <w:pPr>
              <w:rPr>
                <w:rFonts w:ascii="宋体"/>
                <w:vanish/>
              </w:rPr>
            </w:pPr>
          </w:p>
        </w:tc>
      </w:tr>
      <w:tr w:rsidR="00141CDF" w14:paraId="098A99A4" w14:textId="77777777">
        <w:tc>
          <w:tcPr>
            <w:tcW w:w="0" w:type="auto"/>
            <w:gridSpan w:val="3"/>
            <w:shd w:val="clear" w:color="auto" w:fill="FFFFFF"/>
            <w:tcMar>
              <w:top w:w="40" w:type="dxa"/>
              <w:left w:w="380" w:type="dxa"/>
              <w:bottom w:w="40" w:type="dxa"/>
              <w:right w:w="20" w:type="dxa"/>
            </w:tcMar>
            <w:vAlign w:val="center"/>
          </w:tcPr>
          <w:p w14:paraId="098A9993" w14:textId="77777777" w:rsidR="00141CDF" w:rsidRDefault="00DF45E0">
            <w:pPr>
              <w:textAlignment w:val="center"/>
            </w:pPr>
            <w:r>
              <w:rPr>
                <w:rFonts w:ascii="Times New Roman" w:eastAsia="宋体" w:hAnsi="Times New Roman"/>
                <w:color w:val="000000"/>
                <w:sz w:val="16"/>
                <w:szCs w:val="16"/>
              </w:rPr>
              <w:t>Walmart International</w:t>
            </w:r>
          </w:p>
        </w:tc>
        <w:tc>
          <w:tcPr>
            <w:tcW w:w="0" w:type="auto"/>
            <w:gridSpan w:val="3"/>
            <w:shd w:val="clear" w:color="auto" w:fill="FFFFFF"/>
            <w:tcMar>
              <w:top w:w="0" w:type="dxa"/>
              <w:left w:w="20" w:type="dxa"/>
              <w:bottom w:w="0" w:type="dxa"/>
              <w:right w:w="20" w:type="dxa"/>
            </w:tcMar>
            <w:vAlign w:val="bottom"/>
          </w:tcPr>
          <w:p w14:paraId="098A9994"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995" w14:textId="77777777" w:rsidR="00141CDF" w:rsidRDefault="00DF45E0">
            <w:pPr>
              <w:jc w:val="right"/>
              <w:textAlignment w:val="center"/>
            </w:pPr>
            <w:r>
              <w:rPr>
                <w:rFonts w:ascii="Times New Roman" w:eastAsia="宋体" w:hAnsi="Times New Roman"/>
                <w:color w:val="000000"/>
                <w:sz w:val="16"/>
                <w:szCs w:val="16"/>
              </w:rPr>
              <w:t>1,043 </w:t>
            </w:r>
          </w:p>
        </w:tc>
        <w:tc>
          <w:tcPr>
            <w:tcW w:w="0" w:type="auto"/>
            <w:shd w:val="clear" w:color="auto" w:fill="FFFFFF"/>
            <w:tcMar>
              <w:top w:w="40" w:type="dxa"/>
              <w:left w:w="0" w:type="dxa"/>
              <w:bottom w:w="40" w:type="dxa"/>
              <w:right w:w="20" w:type="dxa"/>
            </w:tcMar>
            <w:vAlign w:val="center"/>
          </w:tcPr>
          <w:p w14:paraId="098A9996"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997"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998" w14:textId="77777777" w:rsidR="00141CDF" w:rsidRDefault="00DF45E0">
            <w:pPr>
              <w:jc w:val="right"/>
              <w:textAlignment w:val="center"/>
            </w:pPr>
            <w:r>
              <w:rPr>
                <w:rFonts w:ascii="Times New Roman" w:eastAsia="宋体" w:hAnsi="Times New Roman"/>
                <w:color w:val="000000"/>
                <w:sz w:val="16"/>
                <w:szCs w:val="16"/>
              </w:rPr>
              <w:t>861 </w:t>
            </w:r>
          </w:p>
        </w:tc>
        <w:tc>
          <w:tcPr>
            <w:tcW w:w="0" w:type="auto"/>
            <w:shd w:val="clear" w:color="auto" w:fill="FFFFFF"/>
            <w:tcMar>
              <w:top w:w="40" w:type="dxa"/>
              <w:left w:w="0" w:type="dxa"/>
              <w:bottom w:w="40" w:type="dxa"/>
              <w:right w:w="20" w:type="dxa"/>
            </w:tcMar>
            <w:vAlign w:val="center"/>
          </w:tcPr>
          <w:p w14:paraId="098A9999"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99A"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99B" w14:textId="77777777" w:rsidR="00141CDF" w:rsidRDefault="00DF45E0">
            <w:pPr>
              <w:jc w:val="right"/>
              <w:textAlignment w:val="center"/>
            </w:pPr>
            <w:r>
              <w:rPr>
                <w:rFonts w:ascii="Times New Roman" w:eastAsia="宋体" w:hAnsi="Times New Roman"/>
                <w:color w:val="000000"/>
                <w:sz w:val="16"/>
                <w:szCs w:val="16"/>
              </w:rPr>
              <w:t>1,815 </w:t>
            </w:r>
          </w:p>
        </w:tc>
        <w:tc>
          <w:tcPr>
            <w:tcW w:w="0" w:type="auto"/>
            <w:shd w:val="clear" w:color="auto" w:fill="FFFFFF"/>
            <w:tcMar>
              <w:top w:w="40" w:type="dxa"/>
              <w:left w:w="0" w:type="dxa"/>
              <w:bottom w:w="40" w:type="dxa"/>
              <w:right w:w="20" w:type="dxa"/>
            </w:tcMar>
            <w:vAlign w:val="center"/>
          </w:tcPr>
          <w:p w14:paraId="098A999C"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99D"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99E" w14:textId="77777777" w:rsidR="00141CDF" w:rsidRDefault="00DF45E0">
            <w:pPr>
              <w:jc w:val="right"/>
              <w:textAlignment w:val="center"/>
            </w:pPr>
            <w:r>
              <w:rPr>
                <w:rFonts w:ascii="Times New Roman" w:eastAsia="宋体" w:hAnsi="Times New Roman"/>
                <w:color w:val="000000"/>
                <w:sz w:val="16"/>
                <w:szCs w:val="16"/>
              </w:rPr>
              <w:t>2,055 </w:t>
            </w:r>
          </w:p>
        </w:tc>
        <w:tc>
          <w:tcPr>
            <w:tcW w:w="0" w:type="auto"/>
            <w:shd w:val="clear" w:color="auto" w:fill="FFFFFF"/>
            <w:tcMar>
              <w:top w:w="40" w:type="dxa"/>
              <w:left w:w="0" w:type="dxa"/>
              <w:bottom w:w="40" w:type="dxa"/>
              <w:right w:w="20" w:type="dxa"/>
            </w:tcMar>
            <w:vAlign w:val="center"/>
          </w:tcPr>
          <w:p w14:paraId="098A999F" w14:textId="77777777" w:rsidR="00141CDF" w:rsidRDefault="00141CDF">
            <w:pPr>
              <w:jc w:val="right"/>
              <w:rPr>
                <w:rFonts w:ascii="宋体"/>
              </w:rPr>
            </w:pPr>
          </w:p>
        </w:tc>
        <w:tc>
          <w:tcPr>
            <w:tcW w:w="0" w:type="auto"/>
            <w:shd w:val="clear" w:color="auto" w:fill="auto"/>
            <w:vAlign w:val="bottom"/>
          </w:tcPr>
          <w:p w14:paraId="098A99A0" w14:textId="77777777" w:rsidR="00141CDF" w:rsidRDefault="00141CDF">
            <w:pPr>
              <w:rPr>
                <w:rFonts w:ascii="宋体"/>
                <w:vanish/>
              </w:rPr>
            </w:pPr>
          </w:p>
        </w:tc>
        <w:tc>
          <w:tcPr>
            <w:tcW w:w="0" w:type="auto"/>
            <w:shd w:val="clear" w:color="auto" w:fill="auto"/>
            <w:vAlign w:val="bottom"/>
          </w:tcPr>
          <w:p w14:paraId="098A99A1" w14:textId="77777777" w:rsidR="00141CDF" w:rsidRDefault="00141CDF">
            <w:pPr>
              <w:rPr>
                <w:rFonts w:ascii="宋体"/>
                <w:vanish/>
              </w:rPr>
            </w:pPr>
          </w:p>
        </w:tc>
        <w:tc>
          <w:tcPr>
            <w:tcW w:w="0" w:type="auto"/>
            <w:gridSpan w:val="3"/>
            <w:shd w:val="clear" w:color="auto" w:fill="auto"/>
            <w:vAlign w:val="bottom"/>
          </w:tcPr>
          <w:p w14:paraId="098A99A2" w14:textId="77777777" w:rsidR="00141CDF" w:rsidRDefault="00141CDF">
            <w:pPr>
              <w:rPr>
                <w:rFonts w:ascii="宋体"/>
                <w:vanish/>
              </w:rPr>
            </w:pPr>
          </w:p>
        </w:tc>
        <w:tc>
          <w:tcPr>
            <w:tcW w:w="0" w:type="auto"/>
            <w:gridSpan w:val="3"/>
            <w:shd w:val="clear" w:color="auto" w:fill="auto"/>
            <w:vAlign w:val="bottom"/>
          </w:tcPr>
          <w:p w14:paraId="098A99A3" w14:textId="77777777" w:rsidR="00141CDF" w:rsidRDefault="00141CDF">
            <w:pPr>
              <w:rPr>
                <w:rFonts w:ascii="宋体"/>
                <w:vanish/>
              </w:rPr>
            </w:pPr>
          </w:p>
        </w:tc>
      </w:tr>
      <w:tr w:rsidR="00141CDF" w14:paraId="098A99B6" w14:textId="77777777">
        <w:tc>
          <w:tcPr>
            <w:tcW w:w="0" w:type="auto"/>
            <w:gridSpan w:val="3"/>
            <w:shd w:val="clear" w:color="auto" w:fill="CCEEFF"/>
            <w:tcMar>
              <w:top w:w="40" w:type="dxa"/>
              <w:left w:w="380" w:type="dxa"/>
              <w:bottom w:w="40" w:type="dxa"/>
              <w:right w:w="20" w:type="dxa"/>
            </w:tcMar>
            <w:vAlign w:val="center"/>
          </w:tcPr>
          <w:p w14:paraId="098A99A5" w14:textId="77777777" w:rsidR="00141CDF" w:rsidRDefault="00DF45E0">
            <w:pPr>
              <w:textAlignment w:val="center"/>
            </w:pPr>
            <w:r>
              <w:rPr>
                <w:rFonts w:ascii="Times New Roman" w:eastAsia="宋体" w:hAnsi="Times New Roman"/>
                <w:color w:val="000000"/>
                <w:sz w:val="16"/>
                <w:szCs w:val="16"/>
              </w:rPr>
              <w:t>Sam's Club</w:t>
            </w:r>
          </w:p>
        </w:tc>
        <w:tc>
          <w:tcPr>
            <w:tcW w:w="0" w:type="auto"/>
            <w:gridSpan w:val="3"/>
            <w:shd w:val="clear" w:color="auto" w:fill="CCEEFF"/>
            <w:tcMar>
              <w:top w:w="0" w:type="dxa"/>
              <w:left w:w="20" w:type="dxa"/>
              <w:bottom w:w="0" w:type="dxa"/>
              <w:right w:w="20" w:type="dxa"/>
            </w:tcMar>
            <w:vAlign w:val="bottom"/>
          </w:tcPr>
          <w:p w14:paraId="098A99A6"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9A7" w14:textId="77777777" w:rsidR="00141CDF" w:rsidRDefault="00DF45E0">
            <w:pPr>
              <w:jc w:val="right"/>
              <w:textAlignment w:val="center"/>
            </w:pPr>
            <w:r>
              <w:rPr>
                <w:rFonts w:ascii="Times New Roman" w:eastAsia="宋体" w:hAnsi="Times New Roman"/>
                <w:color w:val="000000"/>
                <w:sz w:val="16"/>
                <w:szCs w:val="16"/>
              </w:rPr>
              <w:t>427 </w:t>
            </w:r>
          </w:p>
        </w:tc>
        <w:tc>
          <w:tcPr>
            <w:tcW w:w="0" w:type="auto"/>
            <w:shd w:val="clear" w:color="auto" w:fill="CCEEFF"/>
            <w:tcMar>
              <w:top w:w="40" w:type="dxa"/>
              <w:left w:w="0" w:type="dxa"/>
              <w:bottom w:w="40" w:type="dxa"/>
              <w:right w:w="20" w:type="dxa"/>
            </w:tcMar>
            <w:vAlign w:val="center"/>
          </w:tcPr>
          <w:p w14:paraId="098A99A8"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9A9"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9AA" w14:textId="77777777" w:rsidR="00141CDF" w:rsidRDefault="00DF45E0">
            <w:pPr>
              <w:jc w:val="right"/>
              <w:textAlignment w:val="center"/>
            </w:pPr>
            <w:r>
              <w:rPr>
                <w:rFonts w:ascii="Times New Roman" w:eastAsia="宋体" w:hAnsi="Times New Roman"/>
                <w:color w:val="000000"/>
                <w:sz w:val="16"/>
                <w:szCs w:val="16"/>
              </w:rPr>
              <w:t>660 </w:t>
            </w:r>
          </w:p>
        </w:tc>
        <w:tc>
          <w:tcPr>
            <w:tcW w:w="0" w:type="auto"/>
            <w:shd w:val="clear" w:color="auto" w:fill="CCEEFF"/>
            <w:tcMar>
              <w:top w:w="40" w:type="dxa"/>
              <w:left w:w="0" w:type="dxa"/>
              <w:bottom w:w="40" w:type="dxa"/>
              <w:right w:w="20" w:type="dxa"/>
            </w:tcMar>
            <w:vAlign w:val="center"/>
          </w:tcPr>
          <w:p w14:paraId="098A99AB"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9AC"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9AD" w14:textId="77777777" w:rsidR="00141CDF" w:rsidRDefault="00DF45E0">
            <w:pPr>
              <w:jc w:val="right"/>
              <w:textAlignment w:val="center"/>
            </w:pPr>
            <w:r>
              <w:rPr>
                <w:rFonts w:ascii="Times New Roman" w:eastAsia="宋体" w:hAnsi="Times New Roman"/>
                <w:color w:val="000000"/>
                <w:sz w:val="16"/>
                <w:szCs w:val="16"/>
              </w:rPr>
              <w:t>887 </w:t>
            </w:r>
          </w:p>
        </w:tc>
        <w:tc>
          <w:tcPr>
            <w:tcW w:w="0" w:type="auto"/>
            <w:shd w:val="clear" w:color="auto" w:fill="CCEEFF"/>
            <w:tcMar>
              <w:top w:w="40" w:type="dxa"/>
              <w:left w:w="0" w:type="dxa"/>
              <w:bottom w:w="40" w:type="dxa"/>
              <w:right w:w="20" w:type="dxa"/>
            </w:tcMar>
            <w:vAlign w:val="center"/>
          </w:tcPr>
          <w:p w14:paraId="098A99AE"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9AF"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9B0" w14:textId="77777777" w:rsidR="00141CDF" w:rsidRDefault="00DF45E0">
            <w:pPr>
              <w:jc w:val="right"/>
              <w:textAlignment w:val="center"/>
            </w:pPr>
            <w:r>
              <w:rPr>
                <w:rFonts w:ascii="Times New Roman" w:eastAsia="宋体" w:hAnsi="Times New Roman"/>
                <w:color w:val="000000"/>
                <w:sz w:val="16"/>
                <w:szCs w:val="16"/>
              </w:rPr>
              <w:t>1,235 </w:t>
            </w:r>
          </w:p>
        </w:tc>
        <w:tc>
          <w:tcPr>
            <w:tcW w:w="0" w:type="auto"/>
            <w:shd w:val="clear" w:color="auto" w:fill="CCEEFF"/>
            <w:tcMar>
              <w:top w:w="40" w:type="dxa"/>
              <w:left w:w="0" w:type="dxa"/>
              <w:bottom w:w="40" w:type="dxa"/>
              <w:right w:w="20" w:type="dxa"/>
            </w:tcMar>
            <w:vAlign w:val="center"/>
          </w:tcPr>
          <w:p w14:paraId="098A99B1" w14:textId="77777777" w:rsidR="00141CDF" w:rsidRDefault="00141CDF">
            <w:pPr>
              <w:jc w:val="right"/>
              <w:rPr>
                <w:rFonts w:ascii="宋体"/>
              </w:rPr>
            </w:pPr>
          </w:p>
        </w:tc>
        <w:tc>
          <w:tcPr>
            <w:tcW w:w="0" w:type="auto"/>
            <w:shd w:val="clear" w:color="auto" w:fill="auto"/>
            <w:vAlign w:val="bottom"/>
          </w:tcPr>
          <w:p w14:paraId="098A99B2" w14:textId="77777777" w:rsidR="00141CDF" w:rsidRDefault="00141CDF">
            <w:pPr>
              <w:rPr>
                <w:rFonts w:ascii="宋体"/>
                <w:vanish/>
              </w:rPr>
            </w:pPr>
          </w:p>
        </w:tc>
        <w:tc>
          <w:tcPr>
            <w:tcW w:w="0" w:type="auto"/>
            <w:shd w:val="clear" w:color="auto" w:fill="auto"/>
            <w:vAlign w:val="bottom"/>
          </w:tcPr>
          <w:p w14:paraId="098A99B3" w14:textId="77777777" w:rsidR="00141CDF" w:rsidRDefault="00141CDF">
            <w:pPr>
              <w:rPr>
                <w:rFonts w:ascii="宋体"/>
                <w:vanish/>
              </w:rPr>
            </w:pPr>
          </w:p>
        </w:tc>
        <w:tc>
          <w:tcPr>
            <w:tcW w:w="0" w:type="auto"/>
            <w:gridSpan w:val="3"/>
            <w:shd w:val="clear" w:color="auto" w:fill="auto"/>
            <w:vAlign w:val="bottom"/>
          </w:tcPr>
          <w:p w14:paraId="098A99B4" w14:textId="77777777" w:rsidR="00141CDF" w:rsidRDefault="00141CDF">
            <w:pPr>
              <w:rPr>
                <w:rFonts w:ascii="宋体"/>
                <w:vanish/>
              </w:rPr>
            </w:pPr>
          </w:p>
        </w:tc>
        <w:tc>
          <w:tcPr>
            <w:tcW w:w="0" w:type="auto"/>
            <w:gridSpan w:val="3"/>
            <w:shd w:val="clear" w:color="auto" w:fill="auto"/>
            <w:vAlign w:val="bottom"/>
          </w:tcPr>
          <w:p w14:paraId="098A99B5" w14:textId="77777777" w:rsidR="00141CDF" w:rsidRDefault="00141CDF">
            <w:pPr>
              <w:rPr>
                <w:rFonts w:ascii="宋体"/>
                <w:vanish/>
              </w:rPr>
            </w:pPr>
          </w:p>
        </w:tc>
      </w:tr>
      <w:tr w:rsidR="00141CDF" w14:paraId="098A99C8" w14:textId="77777777">
        <w:tc>
          <w:tcPr>
            <w:tcW w:w="0" w:type="auto"/>
            <w:gridSpan w:val="3"/>
            <w:shd w:val="clear" w:color="auto" w:fill="FFFFFF"/>
            <w:tcMar>
              <w:top w:w="40" w:type="dxa"/>
              <w:left w:w="380" w:type="dxa"/>
              <w:bottom w:w="40" w:type="dxa"/>
              <w:right w:w="20" w:type="dxa"/>
            </w:tcMar>
            <w:vAlign w:val="center"/>
          </w:tcPr>
          <w:p w14:paraId="098A99B7" w14:textId="77777777" w:rsidR="00141CDF" w:rsidRDefault="00DF45E0">
            <w:pPr>
              <w:textAlignment w:val="center"/>
            </w:pPr>
            <w:r>
              <w:rPr>
                <w:rFonts w:ascii="Times New Roman" w:eastAsia="宋体" w:hAnsi="Times New Roman"/>
                <w:color w:val="000000"/>
                <w:sz w:val="16"/>
                <w:szCs w:val="16"/>
              </w:rPr>
              <w:t>Corporate and support</w:t>
            </w:r>
          </w:p>
        </w:tc>
        <w:tc>
          <w:tcPr>
            <w:tcW w:w="0" w:type="auto"/>
            <w:gridSpan w:val="3"/>
            <w:shd w:val="clear" w:color="auto" w:fill="FFFFFF"/>
            <w:tcMar>
              <w:top w:w="0" w:type="dxa"/>
              <w:left w:w="20" w:type="dxa"/>
              <w:bottom w:w="0" w:type="dxa"/>
              <w:right w:w="20" w:type="dxa"/>
            </w:tcMar>
            <w:vAlign w:val="bottom"/>
          </w:tcPr>
          <w:p w14:paraId="098A99B8"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9B9" w14:textId="77777777" w:rsidR="00141CDF" w:rsidRDefault="00DF45E0">
            <w:pPr>
              <w:jc w:val="right"/>
              <w:textAlignment w:val="center"/>
            </w:pPr>
            <w:r>
              <w:rPr>
                <w:rFonts w:ascii="Times New Roman" w:eastAsia="宋体" w:hAnsi="Times New Roman"/>
                <w:color w:val="000000"/>
                <w:sz w:val="16"/>
                <w:szCs w:val="16"/>
              </w:rPr>
              <w:t>(299)</w:t>
            </w:r>
          </w:p>
        </w:tc>
        <w:tc>
          <w:tcPr>
            <w:tcW w:w="0" w:type="auto"/>
            <w:shd w:val="clear" w:color="auto" w:fill="FFFFFF"/>
            <w:tcMar>
              <w:top w:w="40" w:type="dxa"/>
              <w:left w:w="0" w:type="dxa"/>
              <w:bottom w:w="40" w:type="dxa"/>
              <w:right w:w="20" w:type="dxa"/>
            </w:tcMar>
            <w:vAlign w:val="center"/>
          </w:tcPr>
          <w:p w14:paraId="098A99BA"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9BB"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9BC" w14:textId="77777777" w:rsidR="00141CDF" w:rsidRDefault="00DF45E0">
            <w:pPr>
              <w:jc w:val="right"/>
              <w:textAlignment w:val="center"/>
            </w:pPr>
            <w:r>
              <w:rPr>
                <w:rFonts w:ascii="Times New Roman" w:eastAsia="宋体" w:hAnsi="Times New Roman"/>
                <w:color w:val="000000"/>
                <w:sz w:val="16"/>
                <w:szCs w:val="16"/>
              </w:rPr>
              <w:t>(256)</w:t>
            </w:r>
          </w:p>
        </w:tc>
        <w:tc>
          <w:tcPr>
            <w:tcW w:w="0" w:type="auto"/>
            <w:shd w:val="clear" w:color="auto" w:fill="FFFFFF"/>
            <w:tcMar>
              <w:top w:w="40" w:type="dxa"/>
              <w:left w:w="0" w:type="dxa"/>
              <w:bottom w:w="40" w:type="dxa"/>
              <w:right w:w="20" w:type="dxa"/>
            </w:tcMar>
            <w:vAlign w:val="center"/>
          </w:tcPr>
          <w:p w14:paraId="098A99BD"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9BE"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9BF" w14:textId="77777777" w:rsidR="00141CDF" w:rsidRDefault="00DF45E0">
            <w:pPr>
              <w:jc w:val="right"/>
              <w:textAlignment w:val="center"/>
            </w:pPr>
            <w:r>
              <w:rPr>
                <w:rFonts w:ascii="Times New Roman" w:eastAsia="宋体" w:hAnsi="Times New Roman"/>
                <w:color w:val="000000"/>
                <w:sz w:val="16"/>
                <w:szCs w:val="16"/>
              </w:rPr>
              <w:t>(675)</w:t>
            </w:r>
          </w:p>
        </w:tc>
        <w:tc>
          <w:tcPr>
            <w:tcW w:w="0" w:type="auto"/>
            <w:shd w:val="clear" w:color="auto" w:fill="FFFFFF"/>
            <w:tcMar>
              <w:top w:w="40" w:type="dxa"/>
              <w:left w:w="0" w:type="dxa"/>
              <w:bottom w:w="40" w:type="dxa"/>
              <w:right w:w="20" w:type="dxa"/>
            </w:tcMar>
            <w:vAlign w:val="center"/>
          </w:tcPr>
          <w:p w14:paraId="098A99C0"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9C1"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9C2" w14:textId="77777777" w:rsidR="00141CDF" w:rsidRDefault="00DF45E0">
            <w:pPr>
              <w:jc w:val="right"/>
              <w:textAlignment w:val="center"/>
            </w:pPr>
            <w:r>
              <w:rPr>
                <w:rFonts w:ascii="Times New Roman" w:eastAsia="宋体" w:hAnsi="Times New Roman"/>
                <w:color w:val="000000"/>
                <w:sz w:val="16"/>
                <w:szCs w:val="16"/>
              </w:rPr>
              <w:t>(571)</w:t>
            </w:r>
          </w:p>
        </w:tc>
        <w:tc>
          <w:tcPr>
            <w:tcW w:w="0" w:type="auto"/>
            <w:shd w:val="clear" w:color="auto" w:fill="FFFFFF"/>
            <w:tcMar>
              <w:top w:w="40" w:type="dxa"/>
              <w:left w:w="0" w:type="dxa"/>
              <w:bottom w:w="40" w:type="dxa"/>
              <w:right w:w="20" w:type="dxa"/>
            </w:tcMar>
            <w:vAlign w:val="center"/>
          </w:tcPr>
          <w:p w14:paraId="098A99C3" w14:textId="77777777" w:rsidR="00141CDF" w:rsidRDefault="00141CDF">
            <w:pPr>
              <w:jc w:val="right"/>
              <w:rPr>
                <w:rFonts w:ascii="宋体"/>
              </w:rPr>
            </w:pPr>
          </w:p>
        </w:tc>
        <w:tc>
          <w:tcPr>
            <w:tcW w:w="0" w:type="auto"/>
            <w:shd w:val="clear" w:color="auto" w:fill="auto"/>
            <w:vAlign w:val="bottom"/>
          </w:tcPr>
          <w:p w14:paraId="098A99C4" w14:textId="77777777" w:rsidR="00141CDF" w:rsidRDefault="00141CDF">
            <w:pPr>
              <w:rPr>
                <w:rFonts w:ascii="宋体"/>
                <w:vanish/>
              </w:rPr>
            </w:pPr>
          </w:p>
        </w:tc>
        <w:tc>
          <w:tcPr>
            <w:tcW w:w="0" w:type="auto"/>
            <w:shd w:val="clear" w:color="auto" w:fill="auto"/>
            <w:vAlign w:val="bottom"/>
          </w:tcPr>
          <w:p w14:paraId="098A99C5" w14:textId="77777777" w:rsidR="00141CDF" w:rsidRDefault="00141CDF">
            <w:pPr>
              <w:rPr>
                <w:rFonts w:ascii="宋体"/>
                <w:vanish/>
              </w:rPr>
            </w:pPr>
          </w:p>
        </w:tc>
        <w:tc>
          <w:tcPr>
            <w:tcW w:w="0" w:type="auto"/>
            <w:gridSpan w:val="3"/>
            <w:shd w:val="clear" w:color="auto" w:fill="auto"/>
            <w:vAlign w:val="bottom"/>
          </w:tcPr>
          <w:p w14:paraId="098A99C6" w14:textId="77777777" w:rsidR="00141CDF" w:rsidRDefault="00141CDF">
            <w:pPr>
              <w:rPr>
                <w:rFonts w:ascii="宋体"/>
                <w:vanish/>
              </w:rPr>
            </w:pPr>
          </w:p>
        </w:tc>
        <w:tc>
          <w:tcPr>
            <w:tcW w:w="0" w:type="auto"/>
            <w:gridSpan w:val="3"/>
            <w:shd w:val="clear" w:color="auto" w:fill="auto"/>
            <w:vAlign w:val="bottom"/>
          </w:tcPr>
          <w:p w14:paraId="098A99C7" w14:textId="77777777" w:rsidR="00141CDF" w:rsidRDefault="00141CDF">
            <w:pPr>
              <w:rPr>
                <w:rFonts w:ascii="宋体"/>
                <w:vanish/>
              </w:rPr>
            </w:pPr>
          </w:p>
        </w:tc>
      </w:tr>
      <w:tr w:rsidR="00141CDF" w14:paraId="098A99DA" w14:textId="77777777">
        <w:tc>
          <w:tcPr>
            <w:tcW w:w="0" w:type="auto"/>
            <w:gridSpan w:val="3"/>
            <w:shd w:val="clear" w:color="auto" w:fill="CCEEFF"/>
            <w:tcMar>
              <w:top w:w="40" w:type="dxa"/>
              <w:left w:w="20" w:type="dxa"/>
              <w:bottom w:w="40" w:type="dxa"/>
              <w:right w:w="20" w:type="dxa"/>
            </w:tcMar>
            <w:vAlign w:val="center"/>
          </w:tcPr>
          <w:p w14:paraId="098A99C9" w14:textId="77777777" w:rsidR="00141CDF" w:rsidRDefault="00DF45E0">
            <w:pPr>
              <w:textAlignment w:val="center"/>
            </w:pPr>
            <w:r>
              <w:rPr>
                <w:rFonts w:ascii="Times New Roman" w:eastAsia="宋体" w:hAnsi="Times New Roman"/>
                <w:b/>
                <w:bCs/>
                <w:color w:val="000000"/>
                <w:sz w:val="16"/>
                <w:szCs w:val="16"/>
              </w:rPr>
              <w:t>Operating income</w:t>
            </w:r>
          </w:p>
        </w:tc>
        <w:tc>
          <w:tcPr>
            <w:tcW w:w="0" w:type="auto"/>
            <w:gridSpan w:val="3"/>
            <w:shd w:val="clear" w:color="auto" w:fill="CCEEFF"/>
            <w:tcMar>
              <w:top w:w="0" w:type="dxa"/>
              <w:left w:w="20" w:type="dxa"/>
              <w:bottom w:w="0" w:type="dxa"/>
              <w:right w:w="20" w:type="dxa"/>
            </w:tcMar>
            <w:vAlign w:val="bottom"/>
          </w:tcPr>
          <w:p w14:paraId="098A99CA" w14:textId="77777777" w:rsidR="00141CDF" w:rsidRDefault="00141CD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98A99CB" w14:textId="77777777" w:rsidR="00141CDF" w:rsidRDefault="00DF45E0">
            <w:pPr>
              <w:jc w:val="right"/>
              <w:textAlignment w:val="center"/>
            </w:pPr>
            <w:r>
              <w:rPr>
                <w:rFonts w:ascii="Times New Roman" w:eastAsia="宋体" w:hAnsi="Times New Roman"/>
                <w:color w:val="000000"/>
                <w:sz w:val="16"/>
                <w:szCs w:val="16"/>
              </w:rPr>
              <w:t>6,854 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9CC"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9CD" w14:textId="77777777" w:rsidR="00141CDF" w:rsidRDefault="00141CD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98A99CE" w14:textId="77777777" w:rsidR="00141CDF" w:rsidRDefault="00DF45E0">
            <w:pPr>
              <w:jc w:val="right"/>
              <w:textAlignment w:val="center"/>
            </w:pPr>
            <w:r>
              <w:rPr>
                <w:rFonts w:ascii="Times New Roman" w:eastAsia="宋体" w:hAnsi="Times New Roman"/>
                <w:color w:val="000000"/>
                <w:sz w:val="16"/>
                <w:szCs w:val="16"/>
              </w:rPr>
              <w:t>7,354 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9CF"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9D0" w14:textId="77777777" w:rsidR="00141CDF" w:rsidRDefault="00141CD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98A99D1" w14:textId="77777777" w:rsidR="00141CDF" w:rsidRDefault="00DF45E0">
            <w:pPr>
              <w:jc w:val="right"/>
              <w:textAlignment w:val="center"/>
            </w:pPr>
            <w:r>
              <w:rPr>
                <w:rFonts w:ascii="Times New Roman" w:eastAsia="宋体" w:hAnsi="Times New Roman"/>
                <w:color w:val="000000"/>
                <w:sz w:val="16"/>
                <w:szCs w:val="16"/>
              </w:rPr>
              <w:t>12,172 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9D2"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9D3" w14:textId="77777777" w:rsidR="00141CDF" w:rsidRDefault="00141CD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98A99D4" w14:textId="77777777" w:rsidR="00141CDF" w:rsidRDefault="00DF45E0">
            <w:pPr>
              <w:jc w:val="right"/>
              <w:textAlignment w:val="center"/>
            </w:pPr>
            <w:r>
              <w:rPr>
                <w:rFonts w:ascii="Times New Roman" w:eastAsia="宋体" w:hAnsi="Times New Roman"/>
                <w:color w:val="000000"/>
                <w:sz w:val="16"/>
                <w:szCs w:val="16"/>
              </w:rPr>
              <w:t>14,263 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9D5" w14:textId="77777777" w:rsidR="00141CDF" w:rsidRDefault="00141CDF">
            <w:pPr>
              <w:jc w:val="right"/>
              <w:rPr>
                <w:rFonts w:ascii="宋体"/>
              </w:rPr>
            </w:pPr>
          </w:p>
        </w:tc>
        <w:tc>
          <w:tcPr>
            <w:tcW w:w="0" w:type="auto"/>
            <w:shd w:val="clear" w:color="auto" w:fill="auto"/>
            <w:vAlign w:val="bottom"/>
          </w:tcPr>
          <w:p w14:paraId="098A99D6" w14:textId="77777777" w:rsidR="00141CDF" w:rsidRDefault="00141CDF">
            <w:pPr>
              <w:rPr>
                <w:rFonts w:ascii="宋体"/>
                <w:vanish/>
              </w:rPr>
            </w:pPr>
          </w:p>
        </w:tc>
        <w:tc>
          <w:tcPr>
            <w:tcW w:w="0" w:type="auto"/>
            <w:shd w:val="clear" w:color="auto" w:fill="auto"/>
            <w:vAlign w:val="bottom"/>
          </w:tcPr>
          <w:p w14:paraId="098A99D7" w14:textId="77777777" w:rsidR="00141CDF" w:rsidRDefault="00141CDF">
            <w:pPr>
              <w:rPr>
                <w:rFonts w:ascii="宋体"/>
                <w:vanish/>
              </w:rPr>
            </w:pPr>
          </w:p>
        </w:tc>
        <w:tc>
          <w:tcPr>
            <w:tcW w:w="0" w:type="auto"/>
            <w:gridSpan w:val="3"/>
            <w:shd w:val="clear" w:color="auto" w:fill="auto"/>
            <w:vAlign w:val="bottom"/>
          </w:tcPr>
          <w:p w14:paraId="098A99D8" w14:textId="77777777" w:rsidR="00141CDF" w:rsidRDefault="00141CDF">
            <w:pPr>
              <w:rPr>
                <w:rFonts w:ascii="宋体"/>
                <w:vanish/>
              </w:rPr>
            </w:pPr>
          </w:p>
        </w:tc>
        <w:tc>
          <w:tcPr>
            <w:tcW w:w="0" w:type="auto"/>
            <w:gridSpan w:val="3"/>
            <w:shd w:val="clear" w:color="auto" w:fill="auto"/>
            <w:vAlign w:val="bottom"/>
          </w:tcPr>
          <w:p w14:paraId="098A99D9" w14:textId="77777777" w:rsidR="00141CDF" w:rsidRDefault="00141CDF">
            <w:pPr>
              <w:rPr>
                <w:rFonts w:ascii="宋体"/>
                <w:vanish/>
              </w:rPr>
            </w:pPr>
          </w:p>
        </w:tc>
      </w:tr>
      <w:tr w:rsidR="00141CDF" w14:paraId="098A99EC" w14:textId="77777777">
        <w:tc>
          <w:tcPr>
            <w:tcW w:w="0" w:type="auto"/>
            <w:gridSpan w:val="3"/>
            <w:shd w:val="clear" w:color="auto" w:fill="FFFFFF"/>
            <w:tcMar>
              <w:top w:w="40" w:type="dxa"/>
              <w:left w:w="380" w:type="dxa"/>
              <w:bottom w:w="40" w:type="dxa"/>
              <w:right w:w="20" w:type="dxa"/>
            </w:tcMar>
            <w:vAlign w:val="center"/>
          </w:tcPr>
          <w:p w14:paraId="098A99DB" w14:textId="77777777" w:rsidR="00141CDF" w:rsidRDefault="00DF45E0">
            <w:pPr>
              <w:textAlignment w:val="center"/>
            </w:pPr>
            <w:r>
              <w:rPr>
                <w:rFonts w:ascii="Times New Roman" w:eastAsia="宋体" w:hAnsi="Times New Roman"/>
                <w:color w:val="000000"/>
                <w:sz w:val="16"/>
                <w:szCs w:val="16"/>
              </w:rPr>
              <w:t>Interest, net</w:t>
            </w:r>
          </w:p>
        </w:tc>
        <w:tc>
          <w:tcPr>
            <w:tcW w:w="0" w:type="auto"/>
            <w:gridSpan w:val="3"/>
            <w:shd w:val="clear" w:color="auto" w:fill="FFFFFF"/>
            <w:tcMar>
              <w:top w:w="0" w:type="dxa"/>
              <w:left w:w="20" w:type="dxa"/>
              <w:bottom w:w="0" w:type="dxa"/>
              <w:right w:w="20" w:type="dxa"/>
            </w:tcMar>
            <w:vAlign w:val="bottom"/>
          </w:tcPr>
          <w:p w14:paraId="098A99DC"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9DD" w14:textId="77777777" w:rsidR="00141CDF" w:rsidRDefault="00DF45E0">
            <w:pPr>
              <w:jc w:val="right"/>
              <w:textAlignment w:val="center"/>
            </w:pPr>
            <w:r>
              <w:rPr>
                <w:rFonts w:ascii="Times New Roman" w:eastAsia="宋体" w:hAnsi="Times New Roman"/>
                <w:color w:val="000000"/>
                <w:sz w:val="16"/>
                <w:szCs w:val="16"/>
              </w:rPr>
              <w:t>448 </w:t>
            </w:r>
          </w:p>
        </w:tc>
        <w:tc>
          <w:tcPr>
            <w:tcW w:w="0" w:type="auto"/>
            <w:shd w:val="clear" w:color="auto" w:fill="FFFFFF"/>
            <w:tcMar>
              <w:top w:w="40" w:type="dxa"/>
              <w:left w:w="0" w:type="dxa"/>
              <w:bottom w:w="40" w:type="dxa"/>
              <w:right w:w="20" w:type="dxa"/>
            </w:tcMar>
            <w:vAlign w:val="center"/>
          </w:tcPr>
          <w:p w14:paraId="098A99DE"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9DF"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9E0" w14:textId="77777777" w:rsidR="00141CDF" w:rsidRDefault="00DF45E0">
            <w:pPr>
              <w:jc w:val="right"/>
              <w:textAlignment w:val="center"/>
            </w:pPr>
            <w:r>
              <w:rPr>
                <w:rFonts w:ascii="Times New Roman" w:eastAsia="宋体" w:hAnsi="Times New Roman"/>
                <w:color w:val="000000"/>
                <w:sz w:val="16"/>
                <w:szCs w:val="16"/>
              </w:rPr>
              <w:t>478 </w:t>
            </w:r>
          </w:p>
        </w:tc>
        <w:tc>
          <w:tcPr>
            <w:tcW w:w="0" w:type="auto"/>
            <w:shd w:val="clear" w:color="auto" w:fill="FFFFFF"/>
            <w:tcMar>
              <w:top w:w="40" w:type="dxa"/>
              <w:left w:w="0" w:type="dxa"/>
              <w:bottom w:w="40" w:type="dxa"/>
              <w:right w:w="20" w:type="dxa"/>
            </w:tcMar>
            <w:vAlign w:val="center"/>
          </w:tcPr>
          <w:p w14:paraId="098A99E1"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9E2"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9E3" w14:textId="77777777" w:rsidR="00141CDF" w:rsidRDefault="00DF45E0">
            <w:pPr>
              <w:jc w:val="right"/>
              <w:textAlignment w:val="center"/>
            </w:pPr>
            <w:r>
              <w:rPr>
                <w:rFonts w:ascii="Times New Roman" w:eastAsia="宋体" w:hAnsi="Times New Roman"/>
                <w:color w:val="000000"/>
                <w:sz w:val="16"/>
                <w:szCs w:val="16"/>
              </w:rPr>
              <w:t>867 </w:t>
            </w:r>
          </w:p>
        </w:tc>
        <w:tc>
          <w:tcPr>
            <w:tcW w:w="0" w:type="auto"/>
            <w:shd w:val="clear" w:color="auto" w:fill="FFFFFF"/>
            <w:tcMar>
              <w:top w:w="40" w:type="dxa"/>
              <w:left w:w="0" w:type="dxa"/>
              <w:bottom w:w="40" w:type="dxa"/>
              <w:right w:w="20" w:type="dxa"/>
            </w:tcMar>
            <w:vAlign w:val="center"/>
          </w:tcPr>
          <w:p w14:paraId="098A99E4"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9E5"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9E6" w14:textId="77777777" w:rsidR="00141CDF" w:rsidRDefault="00DF45E0">
            <w:pPr>
              <w:jc w:val="right"/>
              <w:textAlignment w:val="center"/>
            </w:pPr>
            <w:r>
              <w:rPr>
                <w:rFonts w:ascii="Times New Roman" w:eastAsia="宋体" w:hAnsi="Times New Roman"/>
                <w:color w:val="000000"/>
                <w:sz w:val="16"/>
                <w:szCs w:val="16"/>
              </w:rPr>
              <w:t>1,014 </w:t>
            </w:r>
          </w:p>
        </w:tc>
        <w:tc>
          <w:tcPr>
            <w:tcW w:w="0" w:type="auto"/>
            <w:shd w:val="clear" w:color="auto" w:fill="FFFFFF"/>
            <w:tcMar>
              <w:top w:w="40" w:type="dxa"/>
              <w:left w:w="0" w:type="dxa"/>
              <w:bottom w:w="40" w:type="dxa"/>
              <w:right w:w="20" w:type="dxa"/>
            </w:tcMar>
            <w:vAlign w:val="center"/>
          </w:tcPr>
          <w:p w14:paraId="098A99E7" w14:textId="77777777" w:rsidR="00141CDF" w:rsidRDefault="00141CDF">
            <w:pPr>
              <w:jc w:val="right"/>
              <w:rPr>
                <w:rFonts w:ascii="宋体"/>
              </w:rPr>
            </w:pPr>
          </w:p>
        </w:tc>
        <w:tc>
          <w:tcPr>
            <w:tcW w:w="0" w:type="auto"/>
            <w:shd w:val="clear" w:color="auto" w:fill="auto"/>
            <w:vAlign w:val="bottom"/>
          </w:tcPr>
          <w:p w14:paraId="098A99E8" w14:textId="77777777" w:rsidR="00141CDF" w:rsidRDefault="00141CDF">
            <w:pPr>
              <w:rPr>
                <w:rFonts w:ascii="宋体"/>
                <w:vanish/>
              </w:rPr>
            </w:pPr>
          </w:p>
        </w:tc>
        <w:tc>
          <w:tcPr>
            <w:tcW w:w="0" w:type="auto"/>
            <w:shd w:val="clear" w:color="auto" w:fill="auto"/>
            <w:vAlign w:val="bottom"/>
          </w:tcPr>
          <w:p w14:paraId="098A99E9" w14:textId="77777777" w:rsidR="00141CDF" w:rsidRDefault="00141CDF">
            <w:pPr>
              <w:rPr>
                <w:rFonts w:ascii="宋体"/>
                <w:vanish/>
              </w:rPr>
            </w:pPr>
          </w:p>
        </w:tc>
        <w:tc>
          <w:tcPr>
            <w:tcW w:w="0" w:type="auto"/>
            <w:gridSpan w:val="3"/>
            <w:shd w:val="clear" w:color="auto" w:fill="auto"/>
            <w:vAlign w:val="bottom"/>
          </w:tcPr>
          <w:p w14:paraId="098A99EA" w14:textId="77777777" w:rsidR="00141CDF" w:rsidRDefault="00141CDF">
            <w:pPr>
              <w:rPr>
                <w:rFonts w:ascii="宋体"/>
                <w:vanish/>
              </w:rPr>
            </w:pPr>
          </w:p>
        </w:tc>
        <w:tc>
          <w:tcPr>
            <w:tcW w:w="0" w:type="auto"/>
            <w:gridSpan w:val="3"/>
            <w:shd w:val="clear" w:color="auto" w:fill="auto"/>
            <w:vAlign w:val="bottom"/>
          </w:tcPr>
          <w:p w14:paraId="098A99EB" w14:textId="77777777" w:rsidR="00141CDF" w:rsidRDefault="00141CDF">
            <w:pPr>
              <w:rPr>
                <w:rFonts w:ascii="宋体"/>
                <w:vanish/>
              </w:rPr>
            </w:pPr>
          </w:p>
        </w:tc>
      </w:tr>
      <w:tr w:rsidR="00141CDF" w14:paraId="098A99FA" w14:textId="77777777">
        <w:trPr>
          <w:hidden/>
        </w:trPr>
        <w:tc>
          <w:tcPr>
            <w:tcW w:w="0" w:type="auto"/>
            <w:gridSpan w:val="3"/>
            <w:shd w:val="clear" w:color="auto" w:fill="auto"/>
            <w:vAlign w:val="bottom"/>
          </w:tcPr>
          <w:p w14:paraId="098A99ED" w14:textId="77777777" w:rsidR="00141CDF" w:rsidRDefault="00141CDF">
            <w:pPr>
              <w:rPr>
                <w:rFonts w:ascii="宋体"/>
                <w:vanish/>
              </w:rPr>
            </w:pPr>
          </w:p>
        </w:tc>
        <w:tc>
          <w:tcPr>
            <w:tcW w:w="0" w:type="auto"/>
            <w:gridSpan w:val="3"/>
            <w:shd w:val="clear" w:color="auto" w:fill="auto"/>
            <w:vAlign w:val="bottom"/>
          </w:tcPr>
          <w:p w14:paraId="098A99EE" w14:textId="77777777" w:rsidR="00141CDF" w:rsidRDefault="00141CDF">
            <w:pPr>
              <w:rPr>
                <w:rFonts w:ascii="宋体"/>
                <w:vanish/>
              </w:rPr>
            </w:pPr>
          </w:p>
        </w:tc>
        <w:tc>
          <w:tcPr>
            <w:tcW w:w="0" w:type="auto"/>
            <w:gridSpan w:val="3"/>
            <w:shd w:val="clear" w:color="auto" w:fill="auto"/>
            <w:vAlign w:val="bottom"/>
          </w:tcPr>
          <w:p w14:paraId="098A99EF" w14:textId="77777777" w:rsidR="00141CDF" w:rsidRDefault="00141CDF">
            <w:pPr>
              <w:rPr>
                <w:rFonts w:ascii="宋体"/>
                <w:vanish/>
              </w:rPr>
            </w:pPr>
          </w:p>
        </w:tc>
        <w:tc>
          <w:tcPr>
            <w:tcW w:w="0" w:type="auto"/>
            <w:gridSpan w:val="3"/>
            <w:shd w:val="clear" w:color="auto" w:fill="auto"/>
            <w:vAlign w:val="bottom"/>
          </w:tcPr>
          <w:p w14:paraId="098A99F0" w14:textId="77777777" w:rsidR="00141CDF" w:rsidRDefault="00141CDF">
            <w:pPr>
              <w:rPr>
                <w:rFonts w:ascii="宋体"/>
                <w:vanish/>
              </w:rPr>
            </w:pPr>
          </w:p>
        </w:tc>
        <w:tc>
          <w:tcPr>
            <w:tcW w:w="0" w:type="auto"/>
            <w:gridSpan w:val="3"/>
            <w:shd w:val="clear" w:color="auto" w:fill="auto"/>
            <w:vAlign w:val="bottom"/>
          </w:tcPr>
          <w:p w14:paraId="098A99F1" w14:textId="77777777" w:rsidR="00141CDF" w:rsidRDefault="00141CDF">
            <w:pPr>
              <w:rPr>
                <w:rFonts w:ascii="宋体"/>
                <w:vanish/>
              </w:rPr>
            </w:pPr>
          </w:p>
        </w:tc>
        <w:tc>
          <w:tcPr>
            <w:tcW w:w="0" w:type="auto"/>
            <w:gridSpan w:val="3"/>
            <w:shd w:val="clear" w:color="auto" w:fill="auto"/>
            <w:vAlign w:val="bottom"/>
          </w:tcPr>
          <w:p w14:paraId="098A99F2" w14:textId="77777777" w:rsidR="00141CDF" w:rsidRDefault="00141CDF">
            <w:pPr>
              <w:rPr>
                <w:rFonts w:ascii="宋体"/>
                <w:vanish/>
              </w:rPr>
            </w:pPr>
          </w:p>
        </w:tc>
        <w:tc>
          <w:tcPr>
            <w:tcW w:w="0" w:type="auto"/>
            <w:gridSpan w:val="3"/>
            <w:shd w:val="clear" w:color="auto" w:fill="auto"/>
            <w:vAlign w:val="bottom"/>
          </w:tcPr>
          <w:p w14:paraId="098A99F3" w14:textId="77777777" w:rsidR="00141CDF" w:rsidRDefault="00141CDF">
            <w:pPr>
              <w:rPr>
                <w:rFonts w:ascii="宋体"/>
                <w:vanish/>
              </w:rPr>
            </w:pPr>
          </w:p>
        </w:tc>
        <w:tc>
          <w:tcPr>
            <w:tcW w:w="0" w:type="auto"/>
            <w:gridSpan w:val="3"/>
            <w:shd w:val="clear" w:color="auto" w:fill="auto"/>
            <w:vAlign w:val="bottom"/>
          </w:tcPr>
          <w:p w14:paraId="098A99F4" w14:textId="77777777" w:rsidR="00141CDF" w:rsidRDefault="00141CDF">
            <w:pPr>
              <w:rPr>
                <w:rFonts w:ascii="宋体"/>
                <w:vanish/>
              </w:rPr>
            </w:pPr>
          </w:p>
        </w:tc>
        <w:tc>
          <w:tcPr>
            <w:tcW w:w="0" w:type="auto"/>
            <w:gridSpan w:val="3"/>
            <w:shd w:val="clear" w:color="auto" w:fill="auto"/>
            <w:vAlign w:val="bottom"/>
          </w:tcPr>
          <w:p w14:paraId="098A99F5" w14:textId="77777777" w:rsidR="00141CDF" w:rsidRDefault="00141CDF">
            <w:pPr>
              <w:rPr>
                <w:rFonts w:ascii="宋体"/>
                <w:vanish/>
              </w:rPr>
            </w:pPr>
          </w:p>
        </w:tc>
        <w:tc>
          <w:tcPr>
            <w:tcW w:w="0" w:type="auto"/>
            <w:shd w:val="clear" w:color="auto" w:fill="auto"/>
            <w:vAlign w:val="bottom"/>
          </w:tcPr>
          <w:p w14:paraId="098A99F6" w14:textId="77777777" w:rsidR="00141CDF" w:rsidRDefault="00141CDF">
            <w:pPr>
              <w:rPr>
                <w:rFonts w:ascii="宋体"/>
                <w:vanish/>
              </w:rPr>
            </w:pPr>
          </w:p>
        </w:tc>
        <w:tc>
          <w:tcPr>
            <w:tcW w:w="0" w:type="auto"/>
            <w:shd w:val="clear" w:color="auto" w:fill="auto"/>
            <w:vAlign w:val="bottom"/>
          </w:tcPr>
          <w:p w14:paraId="098A99F7" w14:textId="77777777" w:rsidR="00141CDF" w:rsidRDefault="00141CDF">
            <w:pPr>
              <w:rPr>
                <w:rFonts w:ascii="宋体"/>
                <w:vanish/>
              </w:rPr>
            </w:pPr>
          </w:p>
        </w:tc>
        <w:tc>
          <w:tcPr>
            <w:tcW w:w="0" w:type="auto"/>
            <w:gridSpan w:val="3"/>
            <w:shd w:val="clear" w:color="auto" w:fill="auto"/>
            <w:vAlign w:val="bottom"/>
          </w:tcPr>
          <w:p w14:paraId="098A99F8" w14:textId="77777777" w:rsidR="00141CDF" w:rsidRDefault="00141CDF">
            <w:pPr>
              <w:rPr>
                <w:rFonts w:ascii="宋体"/>
                <w:vanish/>
              </w:rPr>
            </w:pPr>
          </w:p>
        </w:tc>
        <w:tc>
          <w:tcPr>
            <w:tcW w:w="0" w:type="auto"/>
            <w:gridSpan w:val="3"/>
            <w:shd w:val="clear" w:color="auto" w:fill="auto"/>
            <w:vAlign w:val="bottom"/>
          </w:tcPr>
          <w:p w14:paraId="098A99F9" w14:textId="77777777" w:rsidR="00141CDF" w:rsidRDefault="00141CDF">
            <w:pPr>
              <w:rPr>
                <w:rFonts w:ascii="宋体"/>
                <w:vanish/>
              </w:rPr>
            </w:pPr>
          </w:p>
        </w:tc>
      </w:tr>
      <w:tr w:rsidR="00141CDF" w14:paraId="098A9A0C" w14:textId="77777777">
        <w:tc>
          <w:tcPr>
            <w:tcW w:w="0" w:type="auto"/>
            <w:gridSpan w:val="3"/>
            <w:shd w:val="clear" w:color="auto" w:fill="CCEEFF"/>
            <w:tcMar>
              <w:top w:w="40" w:type="dxa"/>
              <w:left w:w="380" w:type="dxa"/>
              <w:bottom w:w="40" w:type="dxa"/>
              <w:right w:w="20" w:type="dxa"/>
            </w:tcMar>
            <w:vAlign w:val="center"/>
          </w:tcPr>
          <w:p w14:paraId="098A99FB" w14:textId="77777777" w:rsidR="00141CDF" w:rsidRDefault="00DF45E0">
            <w:pPr>
              <w:textAlignment w:val="center"/>
            </w:pPr>
            <w:r>
              <w:rPr>
                <w:rFonts w:ascii="Times New Roman" w:eastAsia="宋体" w:hAnsi="Times New Roman"/>
                <w:color w:val="000000"/>
                <w:sz w:val="16"/>
                <w:szCs w:val="16"/>
              </w:rPr>
              <w:t>Other (gains) and losses</w:t>
            </w:r>
          </w:p>
        </w:tc>
        <w:tc>
          <w:tcPr>
            <w:tcW w:w="0" w:type="auto"/>
            <w:gridSpan w:val="3"/>
            <w:shd w:val="clear" w:color="auto" w:fill="CCEEFF"/>
            <w:tcMar>
              <w:top w:w="0" w:type="dxa"/>
              <w:left w:w="20" w:type="dxa"/>
              <w:bottom w:w="0" w:type="dxa"/>
              <w:right w:w="20" w:type="dxa"/>
            </w:tcMar>
            <w:vAlign w:val="bottom"/>
          </w:tcPr>
          <w:p w14:paraId="098A99FC"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9FD" w14:textId="77777777" w:rsidR="00141CDF" w:rsidRDefault="00DF45E0">
            <w:pPr>
              <w:jc w:val="right"/>
              <w:textAlignment w:val="center"/>
            </w:pPr>
            <w:r>
              <w:rPr>
                <w:rFonts w:ascii="Times New Roman" w:eastAsia="宋体" w:hAnsi="Times New Roman"/>
                <w:color w:val="000000"/>
                <w:sz w:val="16"/>
                <w:szCs w:val="16"/>
              </w:rPr>
              <w:t>(238)</w:t>
            </w:r>
          </w:p>
        </w:tc>
        <w:tc>
          <w:tcPr>
            <w:tcW w:w="0" w:type="auto"/>
            <w:shd w:val="clear" w:color="auto" w:fill="CCEEFF"/>
            <w:tcMar>
              <w:top w:w="40" w:type="dxa"/>
              <w:left w:w="0" w:type="dxa"/>
              <w:bottom w:w="40" w:type="dxa"/>
              <w:right w:w="20" w:type="dxa"/>
            </w:tcMar>
            <w:vAlign w:val="center"/>
          </w:tcPr>
          <w:p w14:paraId="098A99FE"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9FF"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A00" w14:textId="77777777" w:rsidR="00141CDF" w:rsidRDefault="00DF45E0">
            <w:pPr>
              <w:jc w:val="right"/>
              <w:textAlignment w:val="center"/>
            </w:pPr>
            <w:r>
              <w:rPr>
                <w:rFonts w:ascii="Times New Roman" w:eastAsia="宋体" w:hAnsi="Times New Roman"/>
                <w:color w:val="000000"/>
                <w:sz w:val="16"/>
                <w:szCs w:val="16"/>
              </w:rPr>
              <w:t>953 </w:t>
            </w:r>
          </w:p>
        </w:tc>
        <w:tc>
          <w:tcPr>
            <w:tcW w:w="0" w:type="auto"/>
            <w:shd w:val="clear" w:color="auto" w:fill="CCEEFF"/>
            <w:tcMar>
              <w:top w:w="40" w:type="dxa"/>
              <w:left w:w="0" w:type="dxa"/>
              <w:bottom w:w="40" w:type="dxa"/>
              <w:right w:w="20" w:type="dxa"/>
            </w:tcMar>
            <w:vAlign w:val="center"/>
          </w:tcPr>
          <w:p w14:paraId="098A9A01"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A02"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A03" w14:textId="77777777" w:rsidR="00141CDF" w:rsidRDefault="00DF45E0">
            <w:pPr>
              <w:jc w:val="right"/>
              <w:textAlignment w:val="center"/>
            </w:pPr>
            <w:r>
              <w:rPr>
                <w:rFonts w:ascii="Times New Roman" w:eastAsia="宋体" w:hAnsi="Times New Roman"/>
                <w:color w:val="000000"/>
                <w:sz w:val="16"/>
                <w:szCs w:val="16"/>
              </w:rPr>
              <w:t>1,760 </w:t>
            </w:r>
          </w:p>
        </w:tc>
        <w:tc>
          <w:tcPr>
            <w:tcW w:w="0" w:type="auto"/>
            <w:shd w:val="clear" w:color="auto" w:fill="CCEEFF"/>
            <w:tcMar>
              <w:top w:w="40" w:type="dxa"/>
              <w:left w:w="0" w:type="dxa"/>
              <w:bottom w:w="40" w:type="dxa"/>
              <w:right w:w="20" w:type="dxa"/>
            </w:tcMar>
            <w:vAlign w:val="center"/>
          </w:tcPr>
          <w:p w14:paraId="098A9A04"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A05"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A06" w14:textId="77777777" w:rsidR="00141CDF" w:rsidRDefault="00DF45E0">
            <w:pPr>
              <w:jc w:val="right"/>
              <w:textAlignment w:val="center"/>
            </w:pPr>
            <w:r>
              <w:rPr>
                <w:rFonts w:ascii="Times New Roman" w:eastAsia="宋体" w:hAnsi="Times New Roman"/>
                <w:color w:val="000000"/>
                <w:sz w:val="16"/>
                <w:szCs w:val="16"/>
              </w:rPr>
              <w:t>3,482 </w:t>
            </w:r>
          </w:p>
        </w:tc>
        <w:tc>
          <w:tcPr>
            <w:tcW w:w="0" w:type="auto"/>
            <w:shd w:val="clear" w:color="auto" w:fill="CCEEFF"/>
            <w:tcMar>
              <w:top w:w="40" w:type="dxa"/>
              <w:left w:w="0" w:type="dxa"/>
              <w:bottom w:w="40" w:type="dxa"/>
              <w:right w:w="20" w:type="dxa"/>
            </w:tcMar>
            <w:vAlign w:val="center"/>
          </w:tcPr>
          <w:p w14:paraId="098A9A07" w14:textId="77777777" w:rsidR="00141CDF" w:rsidRDefault="00141CDF">
            <w:pPr>
              <w:jc w:val="right"/>
              <w:rPr>
                <w:rFonts w:ascii="宋体"/>
              </w:rPr>
            </w:pPr>
          </w:p>
        </w:tc>
        <w:tc>
          <w:tcPr>
            <w:tcW w:w="0" w:type="auto"/>
            <w:shd w:val="clear" w:color="auto" w:fill="auto"/>
            <w:vAlign w:val="bottom"/>
          </w:tcPr>
          <w:p w14:paraId="098A9A08" w14:textId="77777777" w:rsidR="00141CDF" w:rsidRDefault="00141CDF">
            <w:pPr>
              <w:rPr>
                <w:rFonts w:ascii="宋体"/>
                <w:vanish/>
              </w:rPr>
            </w:pPr>
          </w:p>
        </w:tc>
        <w:tc>
          <w:tcPr>
            <w:tcW w:w="0" w:type="auto"/>
            <w:shd w:val="clear" w:color="auto" w:fill="auto"/>
            <w:vAlign w:val="bottom"/>
          </w:tcPr>
          <w:p w14:paraId="098A9A09" w14:textId="77777777" w:rsidR="00141CDF" w:rsidRDefault="00141CDF">
            <w:pPr>
              <w:rPr>
                <w:rFonts w:ascii="宋体"/>
                <w:vanish/>
              </w:rPr>
            </w:pPr>
          </w:p>
        </w:tc>
        <w:tc>
          <w:tcPr>
            <w:tcW w:w="0" w:type="auto"/>
            <w:gridSpan w:val="3"/>
            <w:shd w:val="clear" w:color="auto" w:fill="auto"/>
            <w:vAlign w:val="bottom"/>
          </w:tcPr>
          <w:p w14:paraId="098A9A0A" w14:textId="77777777" w:rsidR="00141CDF" w:rsidRDefault="00141CDF">
            <w:pPr>
              <w:rPr>
                <w:rFonts w:ascii="宋体"/>
                <w:vanish/>
              </w:rPr>
            </w:pPr>
          </w:p>
        </w:tc>
        <w:tc>
          <w:tcPr>
            <w:tcW w:w="0" w:type="auto"/>
            <w:gridSpan w:val="3"/>
            <w:shd w:val="clear" w:color="auto" w:fill="auto"/>
            <w:vAlign w:val="bottom"/>
          </w:tcPr>
          <w:p w14:paraId="098A9A0B" w14:textId="77777777" w:rsidR="00141CDF" w:rsidRDefault="00141CDF">
            <w:pPr>
              <w:rPr>
                <w:rFonts w:ascii="宋体"/>
                <w:vanish/>
              </w:rPr>
            </w:pPr>
          </w:p>
        </w:tc>
      </w:tr>
      <w:tr w:rsidR="00141CDF" w14:paraId="098A9A22" w14:textId="77777777">
        <w:tc>
          <w:tcPr>
            <w:tcW w:w="0" w:type="auto"/>
            <w:gridSpan w:val="3"/>
            <w:shd w:val="clear" w:color="auto" w:fill="FFFFFF"/>
            <w:tcMar>
              <w:top w:w="40" w:type="dxa"/>
              <w:left w:w="20" w:type="dxa"/>
              <w:bottom w:w="40" w:type="dxa"/>
              <w:right w:w="20" w:type="dxa"/>
            </w:tcMar>
            <w:vAlign w:val="center"/>
          </w:tcPr>
          <w:p w14:paraId="098A9A0D" w14:textId="77777777" w:rsidR="00141CDF" w:rsidRDefault="00DF45E0">
            <w:pPr>
              <w:textAlignment w:val="center"/>
            </w:pPr>
            <w:r>
              <w:rPr>
                <w:rFonts w:ascii="Times New Roman" w:eastAsia="宋体" w:hAnsi="Times New Roman"/>
                <w:b/>
                <w:bCs/>
                <w:color w:val="000000"/>
                <w:sz w:val="16"/>
                <w:szCs w:val="16"/>
              </w:rPr>
              <w:t>Income before income taxes</w:t>
            </w:r>
          </w:p>
        </w:tc>
        <w:tc>
          <w:tcPr>
            <w:tcW w:w="0" w:type="auto"/>
            <w:gridSpan w:val="3"/>
            <w:shd w:val="clear" w:color="auto" w:fill="FFFFFF"/>
            <w:tcMar>
              <w:top w:w="0" w:type="dxa"/>
              <w:left w:w="20" w:type="dxa"/>
              <w:bottom w:w="0" w:type="dxa"/>
              <w:right w:w="20" w:type="dxa"/>
            </w:tcMar>
            <w:vAlign w:val="bottom"/>
          </w:tcPr>
          <w:p w14:paraId="098A9A0E" w14:textId="77777777" w:rsidR="00141CDF" w:rsidRDefault="00141C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98A9A0F"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98A9A10" w14:textId="77777777" w:rsidR="00141CDF" w:rsidRDefault="00DF45E0">
            <w:pPr>
              <w:jc w:val="right"/>
              <w:textAlignment w:val="center"/>
            </w:pPr>
            <w:r>
              <w:rPr>
                <w:rFonts w:ascii="Times New Roman" w:eastAsia="宋体" w:hAnsi="Times New Roman"/>
                <w:color w:val="000000"/>
                <w:sz w:val="16"/>
                <w:szCs w:val="16"/>
              </w:rPr>
              <w:t>6,644 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98A9A11"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A12" w14:textId="77777777" w:rsidR="00141CDF" w:rsidRDefault="00141C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98A9A13"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98A9A14" w14:textId="77777777" w:rsidR="00141CDF" w:rsidRDefault="00DF45E0">
            <w:pPr>
              <w:jc w:val="right"/>
              <w:textAlignment w:val="center"/>
            </w:pPr>
            <w:r>
              <w:rPr>
                <w:rFonts w:ascii="Times New Roman" w:eastAsia="宋体" w:hAnsi="Times New Roman"/>
                <w:color w:val="000000"/>
                <w:sz w:val="16"/>
                <w:szCs w:val="16"/>
              </w:rPr>
              <w:t>5,923 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98A9A15"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A16" w14:textId="77777777" w:rsidR="00141CDF" w:rsidRDefault="00141C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98A9A17"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98A9A18" w14:textId="77777777" w:rsidR="00141CDF" w:rsidRDefault="00DF45E0">
            <w:pPr>
              <w:jc w:val="right"/>
              <w:textAlignment w:val="center"/>
            </w:pPr>
            <w:r>
              <w:rPr>
                <w:rFonts w:ascii="Times New Roman" w:eastAsia="宋体" w:hAnsi="Times New Roman"/>
                <w:color w:val="000000"/>
                <w:sz w:val="16"/>
                <w:szCs w:val="16"/>
              </w:rPr>
              <w:t>9,545 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98A9A19"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A1A" w14:textId="77777777" w:rsidR="00141CDF" w:rsidRDefault="00141C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98A9A1B"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98A9A1C" w14:textId="77777777" w:rsidR="00141CDF" w:rsidRDefault="00DF45E0">
            <w:pPr>
              <w:jc w:val="right"/>
              <w:textAlignment w:val="center"/>
            </w:pPr>
            <w:r>
              <w:rPr>
                <w:rFonts w:ascii="Times New Roman" w:eastAsia="宋体" w:hAnsi="Times New Roman"/>
                <w:color w:val="000000"/>
                <w:sz w:val="16"/>
                <w:szCs w:val="16"/>
              </w:rPr>
              <w:t>9,767 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98A9A1D" w14:textId="77777777" w:rsidR="00141CDF" w:rsidRDefault="00141CDF">
            <w:pPr>
              <w:jc w:val="right"/>
              <w:rPr>
                <w:rFonts w:ascii="宋体"/>
              </w:rPr>
            </w:pPr>
          </w:p>
        </w:tc>
        <w:tc>
          <w:tcPr>
            <w:tcW w:w="0" w:type="auto"/>
            <w:shd w:val="clear" w:color="auto" w:fill="auto"/>
            <w:vAlign w:val="bottom"/>
          </w:tcPr>
          <w:p w14:paraId="098A9A1E" w14:textId="77777777" w:rsidR="00141CDF" w:rsidRDefault="00141CDF">
            <w:pPr>
              <w:rPr>
                <w:rFonts w:ascii="宋体"/>
                <w:vanish/>
              </w:rPr>
            </w:pPr>
          </w:p>
        </w:tc>
        <w:tc>
          <w:tcPr>
            <w:tcW w:w="0" w:type="auto"/>
            <w:shd w:val="clear" w:color="auto" w:fill="auto"/>
            <w:vAlign w:val="bottom"/>
          </w:tcPr>
          <w:p w14:paraId="098A9A1F" w14:textId="77777777" w:rsidR="00141CDF" w:rsidRDefault="00141CDF">
            <w:pPr>
              <w:rPr>
                <w:rFonts w:ascii="宋体"/>
                <w:vanish/>
              </w:rPr>
            </w:pPr>
          </w:p>
        </w:tc>
        <w:tc>
          <w:tcPr>
            <w:tcW w:w="0" w:type="auto"/>
            <w:gridSpan w:val="3"/>
            <w:shd w:val="clear" w:color="auto" w:fill="auto"/>
            <w:vAlign w:val="bottom"/>
          </w:tcPr>
          <w:p w14:paraId="098A9A20" w14:textId="77777777" w:rsidR="00141CDF" w:rsidRDefault="00141CDF">
            <w:pPr>
              <w:rPr>
                <w:rFonts w:ascii="宋体"/>
                <w:vanish/>
              </w:rPr>
            </w:pPr>
          </w:p>
        </w:tc>
        <w:tc>
          <w:tcPr>
            <w:tcW w:w="0" w:type="auto"/>
            <w:gridSpan w:val="3"/>
            <w:shd w:val="clear" w:color="auto" w:fill="auto"/>
            <w:vAlign w:val="bottom"/>
          </w:tcPr>
          <w:p w14:paraId="098A9A21" w14:textId="77777777" w:rsidR="00141CDF" w:rsidRDefault="00141CDF">
            <w:pPr>
              <w:rPr>
                <w:rFonts w:ascii="宋体"/>
                <w:vanish/>
              </w:rPr>
            </w:pPr>
          </w:p>
        </w:tc>
      </w:tr>
    </w:tbl>
    <w:p w14:paraId="098A9A23" w14:textId="77777777" w:rsidR="00141CDF" w:rsidRDefault="00DF45E0">
      <w:pPr>
        <w:spacing w:before="80"/>
      </w:pPr>
      <w:r>
        <w:rPr>
          <w:rFonts w:ascii="Times New Roman" w:eastAsia="宋体" w:hAnsi="Times New Roman"/>
          <w:i/>
          <w:iCs/>
          <w:color w:val="000000"/>
          <w:sz w:val="20"/>
          <w:szCs w:val="20"/>
        </w:rPr>
        <w:t>Disaggregated Revenues</w:t>
      </w:r>
    </w:p>
    <w:p w14:paraId="098A9A24" w14:textId="77777777" w:rsidR="00141CDF" w:rsidRDefault="00DF45E0">
      <w:pPr>
        <w:spacing w:before="100"/>
      </w:pPr>
      <w:r>
        <w:rPr>
          <w:rFonts w:ascii="Times New Roman" w:eastAsia="宋体" w:hAnsi="Times New Roman"/>
          <w:color w:val="000000"/>
          <w:sz w:val="20"/>
          <w:szCs w:val="20"/>
        </w:rPr>
        <w:t xml:space="preserve">In the </w:t>
      </w:r>
      <w:r>
        <w:rPr>
          <w:rFonts w:ascii="Times New Roman" w:eastAsia="宋体" w:hAnsi="Times New Roman"/>
          <w:color w:val="000000"/>
          <w:sz w:val="20"/>
          <w:szCs w:val="20"/>
        </w:rPr>
        <w:t>following tables, segment net sales are disaggregated by either merchandise category or by market. From time to time, the Company revises the assignment of net sales of a particular item to a merchandise category. When the assignment changes, previous peri</w:t>
      </w:r>
      <w:r>
        <w:rPr>
          <w:rFonts w:ascii="Times New Roman" w:eastAsia="宋体" w:hAnsi="Times New Roman"/>
          <w:color w:val="000000"/>
          <w:sz w:val="20"/>
          <w:szCs w:val="20"/>
        </w:rPr>
        <w:t>od amounts are reclassified to be comparable to the current period's presentation.</w:t>
      </w:r>
    </w:p>
    <w:p w14:paraId="098A9A25" w14:textId="77777777" w:rsidR="00141CDF" w:rsidRDefault="00DF45E0">
      <w:pPr>
        <w:spacing w:before="100"/>
      </w:pPr>
      <w:r>
        <w:rPr>
          <w:rFonts w:ascii="Times New Roman" w:eastAsia="宋体" w:hAnsi="Times New Roman"/>
          <w:color w:val="000000"/>
          <w:sz w:val="20"/>
          <w:szCs w:val="20"/>
        </w:rPr>
        <w:t>In addition, net sales related to eCommerce are provided for each segment, which include omni-channel sales, where a customer initiates an order digitally and the order is f</w:t>
      </w:r>
      <w:r>
        <w:rPr>
          <w:rFonts w:ascii="Times New Roman" w:eastAsia="宋体" w:hAnsi="Times New Roman"/>
          <w:color w:val="000000"/>
          <w:sz w:val="20"/>
          <w:szCs w:val="20"/>
        </w:rPr>
        <w:t xml:space="preserve">ulfilled through a store or club.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108"/>
        <w:gridCol w:w="38"/>
        <w:gridCol w:w="36"/>
        <w:gridCol w:w="36"/>
        <w:gridCol w:w="36"/>
        <w:gridCol w:w="100"/>
        <w:gridCol w:w="793"/>
        <w:gridCol w:w="36"/>
        <w:gridCol w:w="36"/>
        <w:gridCol w:w="36"/>
        <w:gridCol w:w="36"/>
        <w:gridCol w:w="100"/>
        <w:gridCol w:w="793"/>
        <w:gridCol w:w="36"/>
        <w:gridCol w:w="36"/>
        <w:gridCol w:w="36"/>
        <w:gridCol w:w="36"/>
        <w:gridCol w:w="100"/>
        <w:gridCol w:w="793"/>
        <w:gridCol w:w="36"/>
        <w:gridCol w:w="36"/>
        <w:gridCol w:w="36"/>
        <w:gridCol w:w="36"/>
        <w:gridCol w:w="100"/>
        <w:gridCol w:w="795"/>
        <w:gridCol w:w="36"/>
      </w:tblGrid>
      <w:tr w:rsidR="00141CDF" w14:paraId="098A9A41" w14:textId="77777777">
        <w:trPr>
          <w:jc w:val="center"/>
        </w:trPr>
        <w:tc>
          <w:tcPr>
            <w:tcW w:w="50" w:type="pct"/>
            <w:shd w:val="clear" w:color="auto" w:fill="auto"/>
            <w:vAlign w:val="bottom"/>
          </w:tcPr>
          <w:p w14:paraId="098A9A26" w14:textId="77777777" w:rsidR="00141CDF" w:rsidRDefault="00141CDF">
            <w:pPr>
              <w:rPr>
                <w:rFonts w:ascii="宋体"/>
              </w:rPr>
            </w:pPr>
          </w:p>
        </w:tc>
        <w:tc>
          <w:tcPr>
            <w:tcW w:w="2488" w:type="pct"/>
            <w:shd w:val="clear" w:color="auto" w:fill="auto"/>
            <w:vAlign w:val="bottom"/>
          </w:tcPr>
          <w:p w14:paraId="098A9A27" w14:textId="77777777" w:rsidR="00141CDF" w:rsidRDefault="00141CDF">
            <w:pPr>
              <w:rPr>
                <w:rFonts w:ascii="宋体"/>
              </w:rPr>
            </w:pPr>
          </w:p>
        </w:tc>
        <w:tc>
          <w:tcPr>
            <w:tcW w:w="5" w:type="pct"/>
            <w:shd w:val="clear" w:color="auto" w:fill="auto"/>
            <w:vAlign w:val="bottom"/>
          </w:tcPr>
          <w:p w14:paraId="098A9A28" w14:textId="77777777" w:rsidR="00141CDF" w:rsidRDefault="00141CDF">
            <w:pPr>
              <w:rPr>
                <w:rFonts w:ascii="宋体"/>
              </w:rPr>
            </w:pPr>
          </w:p>
        </w:tc>
        <w:tc>
          <w:tcPr>
            <w:tcW w:w="5" w:type="pct"/>
            <w:shd w:val="clear" w:color="auto" w:fill="auto"/>
            <w:vAlign w:val="bottom"/>
          </w:tcPr>
          <w:p w14:paraId="098A9A29" w14:textId="77777777" w:rsidR="00141CDF" w:rsidRDefault="00141CDF">
            <w:pPr>
              <w:rPr>
                <w:rFonts w:ascii="宋体"/>
              </w:rPr>
            </w:pPr>
          </w:p>
        </w:tc>
        <w:tc>
          <w:tcPr>
            <w:tcW w:w="26" w:type="pct"/>
            <w:shd w:val="clear" w:color="auto" w:fill="auto"/>
            <w:vAlign w:val="bottom"/>
          </w:tcPr>
          <w:p w14:paraId="098A9A2A" w14:textId="77777777" w:rsidR="00141CDF" w:rsidRDefault="00141CDF">
            <w:pPr>
              <w:rPr>
                <w:rFonts w:ascii="宋体"/>
              </w:rPr>
            </w:pPr>
          </w:p>
        </w:tc>
        <w:tc>
          <w:tcPr>
            <w:tcW w:w="5" w:type="pct"/>
            <w:shd w:val="clear" w:color="auto" w:fill="auto"/>
            <w:vAlign w:val="bottom"/>
          </w:tcPr>
          <w:p w14:paraId="098A9A2B" w14:textId="77777777" w:rsidR="00141CDF" w:rsidRDefault="00141CDF">
            <w:pPr>
              <w:rPr>
                <w:rFonts w:ascii="宋体"/>
              </w:rPr>
            </w:pPr>
          </w:p>
        </w:tc>
        <w:tc>
          <w:tcPr>
            <w:tcW w:w="50" w:type="pct"/>
            <w:shd w:val="clear" w:color="auto" w:fill="auto"/>
            <w:vAlign w:val="bottom"/>
          </w:tcPr>
          <w:p w14:paraId="098A9A2C" w14:textId="77777777" w:rsidR="00141CDF" w:rsidRDefault="00141CDF">
            <w:pPr>
              <w:rPr>
                <w:rFonts w:ascii="宋体"/>
              </w:rPr>
            </w:pPr>
          </w:p>
        </w:tc>
        <w:tc>
          <w:tcPr>
            <w:tcW w:w="522" w:type="pct"/>
            <w:shd w:val="clear" w:color="auto" w:fill="auto"/>
            <w:vAlign w:val="bottom"/>
          </w:tcPr>
          <w:p w14:paraId="098A9A2D" w14:textId="77777777" w:rsidR="00141CDF" w:rsidRDefault="00141CDF">
            <w:pPr>
              <w:rPr>
                <w:rFonts w:ascii="宋体"/>
              </w:rPr>
            </w:pPr>
          </w:p>
        </w:tc>
        <w:tc>
          <w:tcPr>
            <w:tcW w:w="5" w:type="pct"/>
            <w:shd w:val="clear" w:color="auto" w:fill="auto"/>
            <w:vAlign w:val="bottom"/>
          </w:tcPr>
          <w:p w14:paraId="098A9A2E" w14:textId="77777777" w:rsidR="00141CDF" w:rsidRDefault="00141CDF">
            <w:pPr>
              <w:rPr>
                <w:rFonts w:ascii="宋体"/>
              </w:rPr>
            </w:pPr>
          </w:p>
        </w:tc>
        <w:tc>
          <w:tcPr>
            <w:tcW w:w="5" w:type="pct"/>
            <w:shd w:val="clear" w:color="auto" w:fill="auto"/>
            <w:vAlign w:val="bottom"/>
          </w:tcPr>
          <w:p w14:paraId="098A9A2F" w14:textId="77777777" w:rsidR="00141CDF" w:rsidRDefault="00141CDF">
            <w:pPr>
              <w:rPr>
                <w:rFonts w:ascii="宋体"/>
              </w:rPr>
            </w:pPr>
          </w:p>
        </w:tc>
        <w:tc>
          <w:tcPr>
            <w:tcW w:w="26" w:type="pct"/>
            <w:shd w:val="clear" w:color="auto" w:fill="auto"/>
            <w:vAlign w:val="bottom"/>
          </w:tcPr>
          <w:p w14:paraId="098A9A30" w14:textId="77777777" w:rsidR="00141CDF" w:rsidRDefault="00141CDF">
            <w:pPr>
              <w:rPr>
                <w:rFonts w:ascii="宋体"/>
              </w:rPr>
            </w:pPr>
          </w:p>
        </w:tc>
        <w:tc>
          <w:tcPr>
            <w:tcW w:w="5" w:type="pct"/>
            <w:shd w:val="clear" w:color="auto" w:fill="auto"/>
            <w:vAlign w:val="bottom"/>
          </w:tcPr>
          <w:p w14:paraId="098A9A31" w14:textId="77777777" w:rsidR="00141CDF" w:rsidRDefault="00141CDF">
            <w:pPr>
              <w:rPr>
                <w:rFonts w:ascii="宋体"/>
              </w:rPr>
            </w:pPr>
          </w:p>
        </w:tc>
        <w:tc>
          <w:tcPr>
            <w:tcW w:w="50" w:type="pct"/>
            <w:shd w:val="clear" w:color="auto" w:fill="auto"/>
            <w:vAlign w:val="bottom"/>
          </w:tcPr>
          <w:p w14:paraId="098A9A32" w14:textId="77777777" w:rsidR="00141CDF" w:rsidRDefault="00141CDF">
            <w:pPr>
              <w:rPr>
                <w:rFonts w:ascii="宋体"/>
              </w:rPr>
            </w:pPr>
          </w:p>
        </w:tc>
        <w:tc>
          <w:tcPr>
            <w:tcW w:w="522" w:type="pct"/>
            <w:shd w:val="clear" w:color="auto" w:fill="auto"/>
            <w:vAlign w:val="bottom"/>
          </w:tcPr>
          <w:p w14:paraId="098A9A33" w14:textId="77777777" w:rsidR="00141CDF" w:rsidRDefault="00141CDF">
            <w:pPr>
              <w:rPr>
                <w:rFonts w:ascii="宋体"/>
              </w:rPr>
            </w:pPr>
          </w:p>
        </w:tc>
        <w:tc>
          <w:tcPr>
            <w:tcW w:w="5" w:type="pct"/>
            <w:shd w:val="clear" w:color="auto" w:fill="auto"/>
            <w:vAlign w:val="bottom"/>
          </w:tcPr>
          <w:p w14:paraId="098A9A34" w14:textId="77777777" w:rsidR="00141CDF" w:rsidRDefault="00141CDF">
            <w:pPr>
              <w:rPr>
                <w:rFonts w:ascii="宋体"/>
              </w:rPr>
            </w:pPr>
          </w:p>
        </w:tc>
        <w:tc>
          <w:tcPr>
            <w:tcW w:w="5" w:type="pct"/>
            <w:shd w:val="clear" w:color="auto" w:fill="auto"/>
            <w:vAlign w:val="bottom"/>
          </w:tcPr>
          <w:p w14:paraId="098A9A35" w14:textId="77777777" w:rsidR="00141CDF" w:rsidRDefault="00141CDF">
            <w:pPr>
              <w:rPr>
                <w:rFonts w:ascii="宋体"/>
              </w:rPr>
            </w:pPr>
          </w:p>
        </w:tc>
        <w:tc>
          <w:tcPr>
            <w:tcW w:w="26" w:type="pct"/>
            <w:shd w:val="clear" w:color="auto" w:fill="auto"/>
            <w:vAlign w:val="bottom"/>
          </w:tcPr>
          <w:p w14:paraId="098A9A36" w14:textId="77777777" w:rsidR="00141CDF" w:rsidRDefault="00141CDF">
            <w:pPr>
              <w:rPr>
                <w:rFonts w:ascii="宋体"/>
              </w:rPr>
            </w:pPr>
          </w:p>
        </w:tc>
        <w:tc>
          <w:tcPr>
            <w:tcW w:w="5" w:type="pct"/>
            <w:shd w:val="clear" w:color="auto" w:fill="auto"/>
            <w:vAlign w:val="bottom"/>
          </w:tcPr>
          <w:p w14:paraId="098A9A37" w14:textId="77777777" w:rsidR="00141CDF" w:rsidRDefault="00141CDF">
            <w:pPr>
              <w:rPr>
                <w:rFonts w:ascii="宋体"/>
              </w:rPr>
            </w:pPr>
          </w:p>
        </w:tc>
        <w:tc>
          <w:tcPr>
            <w:tcW w:w="50" w:type="pct"/>
            <w:shd w:val="clear" w:color="auto" w:fill="auto"/>
            <w:vAlign w:val="bottom"/>
          </w:tcPr>
          <w:p w14:paraId="098A9A38" w14:textId="77777777" w:rsidR="00141CDF" w:rsidRDefault="00141CDF">
            <w:pPr>
              <w:rPr>
                <w:rFonts w:ascii="宋体"/>
              </w:rPr>
            </w:pPr>
          </w:p>
        </w:tc>
        <w:tc>
          <w:tcPr>
            <w:tcW w:w="522" w:type="pct"/>
            <w:shd w:val="clear" w:color="auto" w:fill="auto"/>
            <w:vAlign w:val="bottom"/>
          </w:tcPr>
          <w:p w14:paraId="098A9A39" w14:textId="77777777" w:rsidR="00141CDF" w:rsidRDefault="00141CDF">
            <w:pPr>
              <w:rPr>
                <w:rFonts w:ascii="宋体"/>
              </w:rPr>
            </w:pPr>
          </w:p>
        </w:tc>
        <w:tc>
          <w:tcPr>
            <w:tcW w:w="5" w:type="pct"/>
            <w:shd w:val="clear" w:color="auto" w:fill="auto"/>
            <w:vAlign w:val="bottom"/>
          </w:tcPr>
          <w:p w14:paraId="098A9A3A" w14:textId="77777777" w:rsidR="00141CDF" w:rsidRDefault="00141CDF">
            <w:pPr>
              <w:rPr>
                <w:rFonts w:ascii="宋体"/>
              </w:rPr>
            </w:pPr>
          </w:p>
        </w:tc>
        <w:tc>
          <w:tcPr>
            <w:tcW w:w="5" w:type="pct"/>
            <w:shd w:val="clear" w:color="auto" w:fill="auto"/>
            <w:vAlign w:val="bottom"/>
          </w:tcPr>
          <w:p w14:paraId="098A9A3B" w14:textId="77777777" w:rsidR="00141CDF" w:rsidRDefault="00141CDF">
            <w:pPr>
              <w:rPr>
                <w:rFonts w:ascii="宋体"/>
              </w:rPr>
            </w:pPr>
          </w:p>
        </w:tc>
        <w:tc>
          <w:tcPr>
            <w:tcW w:w="26" w:type="pct"/>
            <w:shd w:val="clear" w:color="auto" w:fill="auto"/>
            <w:vAlign w:val="bottom"/>
          </w:tcPr>
          <w:p w14:paraId="098A9A3C" w14:textId="77777777" w:rsidR="00141CDF" w:rsidRDefault="00141CDF">
            <w:pPr>
              <w:rPr>
                <w:rFonts w:ascii="宋体"/>
              </w:rPr>
            </w:pPr>
          </w:p>
        </w:tc>
        <w:tc>
          <w:tcPr>
            <w:tcW w:w="5" w:type="pct"/>
            <w:shd w:val="clear" w:color="auto" w:fill="auto"/>
            <w:vAlign w:val="bottom"/>
          </w:tcPr>
          <w:p w14:paraId="098A9A3D" w14:textId="77777777" w:rsidR="00141CDF" w:rsidRDefault="00141CDF">
            <w:pPr>
              <w:rPr>
                <w:rFonts w:ascii="宋体"/>
              </w:rPr>
            </w:pPr>
          </w:p>
        </w:tc>
        <w:tc>
          <w:tcPr>
            <w:tcW w:w="50" w:type="pct"/>
            <w:shd w:val="clear" w:color="auto" w:fill="auto"/>
            <w:vAlign w:val="bottom"/>
          </w:tcPr>
          <w:p w14:paraId="098A9A3E" w14:textId="77777777" w:rsidR="00141CDF" w:rsidRDefault="00141CDF">
            <w:pPr>
              <w:rPr>
                <w:rFonts w:ascii="宋体"/>
              </w:rPr>
            </w:pPr>
          </w:p>
        </w:tc>
        <w:tc>
          <w:tcPr>
            <w:tcW w:w="522" w:type="pct"/>
            <w:shd w:val="clear" w:color="auto" w:fill="auto"/>
            <w:vAlign w:val="bottom"/>
          </w:tcPr>
          <w:p w14:paraId="098A9A3F" w14:textId="77777777" w:rsidR="00141CDF" w:rsidRDefault="00141CDF">
            <w:pPr>
              <w:rPr>
                <w:rFonts w:ascii="宋体"/>
              </w:rPr>
            </w:pPr>
          </w:p>
        </w:tc>
        <w:tc>
          <w:tcPr>
            <w:tcW w:w="5" w:type="pct"/>
            <w:shd w:val="clear" w:color="auto" w:fill="auto"/>
            <w:vAlign w:val="bottom"/>
          </w:tcPr>
          <w:p w14:paraId="098A9A40" w14:textId="77777777" w:rsidR="00141CDF" w:rsidRDefault="00141CDF">
            <w:pPr>
              <w:rPr>
                <w:rFonts w:ascii="宋体"/>
              </w:rPr>
            </w:pPr>
          </w:p>
        </w:tc>
      </w:tr>
      <w:tr w:rsidR="00141CDF" w14:paraId="098A9A47" w14:textId="77777777">
        <w:trPr>
          <w:jc w:val="center"/>
        </w:trPr>
        <w:tc>
          <w:tcPr>
            <w:tcW w:w="0" w:type="auto"/>
            <w:gridSpan w:val="3"/>
            <w:shd w:val="clear" w:color="auto" w:fill="auto"/>
            <w:tcMar>
              <w:top w:w="40" w:type="dxa"/>
              <w:left w:w="20" w:type="dxa"/>
              <w:bottom w:w="40" w:type="dxa"/>
              <w:right w:w="20" w:type="dxa"/>
            </w:tcMar>
            <w:vAlign w:val="bottom"/>
          </w:tcPr>
          <w:p w14:paraId="098A9A42" w14:textId="77777777" w:rsidR="00141CDF" w:rsidRDefault="00DF45E0">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098A9A43" w14:textId="77777777" w:rsidR="00141CDF" w:rsidRDefault="00141CDF">
            <w:pPr>
              <w:rPr>
                <w:rFonts w:ascii="宋体"/>
              </w:rPr>
            </w:pPr>
          </w:p>
        </w:tc>
        <w:tc>
          <w:tcPr>
            <w:tcW w:w="0" w:type="auto"/>
            <w:gridSpan w:val="9"/>
            <w:shd w:val="clear" w:color="auto" w:fill="auto"/>
            <w:tcMar>
              <w:top w:w="40" w:type="dxa"/>
              <w:left w:w="20" w:type="dxa"/>
              <w:bottom w:w="40" w:type="dxa"/>
              <w:right w:w="20" w:type="dxa"/>
            </w:tcMar>
            <w:vAlign w:val="bottom"/>
          </w:tcPr>
          <w:p w14:paraId="098A9A44" w14:textId="77777777" w:rsidR="00141CDF" w:rsidRDefault="00DF45E0">
            <w:pPr>
              <w:jc w:val="center"/>
              <w:textAlignment w:val="bottom"/>
            </w:pPr>
            <w:r>
              <w:rPr>
                <w:rFonts w:ascii="Times New Roman" w:eastAsia="宋体" w:hAnsi="Times New Roman"/>
                <w:b/>
                <w:bCs/>
                <w:color w:val="000000"/>
                <w:sz w:val="16"/>
                <w:szCs w:val="16"/>
              </w:rPr>
              <w:t>Three Months Ended July 31,</w:t>
            </w:r>
          </w:p>
        </w:tc>
        <w:tc>
          <w:tcPr>
            <w:tcW w:w="0" w:type="auto"/>
            <w:gridSpan w:val="3"/>
            <w:shd w:val="clear" w:color="auto" w:fill="auto"/>
            <w:tcMar>
              <w:top w:w="0" w:type="dxa"/>
              <w:left w:w="20" w:type="dxa"/>
              <w:bottom w:w="0" w:type="dxa"/>
              <w:right w:w="20" w:type="dxa"/>
            </w:tcMar>
            <w:vAlign w:val="bottom"/>
          </w:tcPr>
          <w:p w14:paraId="098A9A45" w14:textId="77777777" w:rsidR="00141CDF" w:rsidRDefault="00141CDF">
            <w:pPr>
              <w:rPr>
                <w:rFonts w:ascii="宋体"/>
              </w:rPr>
            </w:pPr>
          </w:p>
        </w:tc>
        <w:tc>
          <w:tcPr>
            <w:tcW w:w="0" w:type="auto"/>
            <w:gridSpan w:val="9"/>
            <w:shd w:val="clear" w:color="auto" w:fill="auto"/>
            <w:tcMar>
              <w:top w:w="40" w:type="dxa"/>
              <w:left w:w="20" w:type="dxa"/>
              <w:bottom w:w="40" w:type="dxa"/>
              <w:right w:w="20" w:type="dxa"/>
            </w:tcMar>
            <w:vAlign w:val="bottom"/>
          </w:tcPr>
          <w:p w14:paraId="098A9A46" w14:textId="77777777" w:rsidR="00141CDF" w:rsidRDefault="00DF45E0">
            <w:pPr>
              <w:jc w:val="center"/>
              <w:textAlignment w:val="bottom"/>
            </w:pPr>
            <w:r>
              <w:rPr>
                <w:rFonts w:ascii="Times New Roman" w:eastAsia="宋体" w:hAnsi="Times New Roman"/>
                <w:b/>
                <w:bCs/>
                <w:color w:val="000000"/>
                <w:sz w:val="16"/>
                <w:szCs w:val="16"/>
              </w:rPr>
              <w:t>Six Months Ended July 31,</w:t>
            </w:r>
          </w:p>
        </w:tc>
      </w:tr>
      <w:tr w:rsidR="00141CDF" w14:paraId="098A9A51" w14:textId="77777777">
        <w:trPr>
          <w:jc w:val="center"/>
        </w:trPr>
        <w:tc>
          <w:tcPr>
            <w:tcW w:w="0" w:type="auto"/>
            <w:gridSpan w:val="3"/>
            <w:shd w:val="clear" w:color="auto" w:fill="auto"/>
            <w:tcMar>
              <w:top w:w="40" w:type="dxa"/>
              <w:left w:w="20" w:type="dxa"/>
              <w:bottom w:w="40" w:type="dxa"/>
              <w:right w:w="20" w:type="dxa"/>
            </w:tcMar>
            <w:vAlign w:val="bottom"/>
          </w:tcPr>
          <w:p w14:paraId="098A9A48" w14:textId="77777777" w:rsidR="00141CDF" w:rsidRDefault="00DF45E0">
            <w:pPr>
              <w:textAlignment w:val="bottom"/>
            </w:pPr>
            <w:r>
              <w:rPr>
                <w:rFonts w:ascii="Times New Roman" w:eastAsia="宋体" w:hAnsi="Times New Roman"/>
                <w:b/>
                <w:bCs/>
                <w:color w:val="000000"/>
                <w:sz w:val="16"/>
                <w:szCs w:val="16"/>
              </w:rPr>
              <w:t>Walmart U.S. net sales by merchandise category</w:t>
            </w:r>
          </w:p>
        </w:tc>
        <w:tc>
          <w:tcPr>
            <w:tcW w:w="0" w:type="auto"/>
            <w:gridSpan w:val="3"/>
            <w:shd w:val="clear" w:color="auto" w:fill="auto"/>
            <w:tcMar>
              <w:top w:w="0" w:type="dxa"/>
              <w:left w:w="20" w:type="dxa"/>
              <w:bottom w:w="0" w:type="dxa"/>
              <w:right w:w="20" w:type="dxa"/>
            </w:tcMar>
            <w:vAlign w:val="bottom"/>
          </w:tcPr>
          <w:p w14:paraId="098A9A49"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9A4A" w14:textId="77777777" w:rsidR="00141CDF" w:rsidRDefault="00DF45E0">
            <w:pPr>
              <w:jc w:val="center"/>
              <w:textAlignment w:val="bottom"/>
            </w:pPr>
            <w:r>
              <w:rPr>
                <w:rFonts w:ascii="Times New Roman" w:eastAsia="宋体" w:hAnsi="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14:paraId="098A9A4B"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9A4C" w14:textId="77777777" w:rsidR="00141CDF" w:rsidRDefault="00DF45E0">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098A9A4D"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9A4E" w14:textId="77777777" w:rsidR="00141CDF" w:rsidRDefault="00DF45E0">
            <w:pPr>
              <w:jc w:val="center"/>
              <w:textAlignment w:val="bottom"/>
            </w:pPr>
            <w:r>
              <w:rPr>
                <w:rFonts w:ascii="Times New Roman" w:eastAsia="宋体" w:hAnsi="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14:paraId="098A9A4F"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9A50" w14:textId="77777777" w:rsidR="00141CDF" w:rsidRDefault="00DF45E0">
            <w:pPr>
              <w:jc w:val="center"/>
              <w:textAlignment w:val="bottom"/>
            </w:pPr>
            <w:r>
              <w:rPr>
                <w:rFonts w:ascii="Times New Roman" w:eastAsia="宋体" w:hAnsi="Times New Roman"/>
                <w:b/>
                <w:bCs/>
                <w:color w:val="000000"/>
                <w:sz w:val="16"/>
                <w:szCs w:val="16"/>
              </w:rPr>
              <w:t>2021</w:t>
            </w:r>
          </w:p>
        </w:tc>
      </w:tr>
      <w:tr w:rsidR="00141CDF" w14:paraId="098A9A63" w14:textId="77777777">
        <w:trPr>
          <w:jc w:val="center"/>
        </w:trPr>
        <w:tc>
          <w:tcPr>
            <w:tcW w:w="0" w:type="auto"/>
            <w:gridSpan w:val="3"/>
            <w:shd w:val="clear" w:color="auto" w:fill="CCEEFF"/>
            <w:tcMar>
              <w:top w:w="40" w:type="dxa"/>
              <w:left w:w="380" w:type="dxa"/>
              <w:bottom w:w="40" w:type="dxa"/>
              <w:right w:w="20" w:type="dxa"/>
            </w:tcMar>
            <w:vAlign w:val="center"/>
          </w:tcPr>
          <w:p w14:paraId="098A9A52" w14:textId="77777777" w:rsidR="00141CDF" w:rsidRDefault="00DF45E0">
            <w:pPr>
              <w:textAlignment w:val="center"/>
            </w:pPr>
            <w:r>
              <w:rPr>
                <w:rFonts w:ascii="Times New Roman" w:eastAsia="宋体" w:hAnsi="Times New Roman"/>
                <w:color w:val="000000"/>
                <w:sz w:val="16"/>
                <w:szCs w:val="16"/>
              </w:rPr>
              <w:t>Grocery</w:t>
            </w:r>
          </w:p>
        </w:tc>
        <w:tc>
          <w:tcPr>
            <w:tcW w:w="0" w:type="auto"/>
            <w:gridSpan w:val="3"/>
            <w:shd w:val="clear" w:color="auto" w:fill="CCEEFF"/>
            <w:tcMar>
              <w:top w:w="0" w:type="dxa"/>
              <w:left w:w="20" w:type="dxa"/>
              <w:bottom w:w="0" w:type="dxa"/>
              <w:right w:w="20" w:type="dxa"/>
            </w:tcMar>
            <w:vAlign w:val="bottom"/>
          </w:tcPr>
          <w:p w14:paraId="098A9A53"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98A9A54" w14:textId="77777777" w:rsidR="00141CDF" w:rsidRDefault="00DF45E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98A9A55" w14:textId="77777777" w:rsidR="00141CDF" w:rsidRDefault="00DF45E0">
            <w:pPr>
              <w:jc w:val="right"/>
              <w:textAlignment w:val="bottom"/>
            </w:pPr>
            <w:r>
              <w:rPr>
                <w:rFonts w:ascii="Times New Roman" w:eastAsia="宋体" w:hAnsi="Times New Roman"/>
                <w:color w:val="000000"/>
                <w:sz w:val="16"/>
                <w:szCs w:val="16"/>
              </w:rPr>
              <w:t>61,469 </w:t>
            </w:r>
          </w:p>
        </w:tc>
        <w:tc>
          <w:tcPr>
            <w:tcW w:w="0" w:type="auto"/>
            <w:tcBorders>
              <w:top w:val="single" w:sz="8" w:space="0" w:color="000000"/>
            </w:tcBorders>
            <w:shd w:val="clear" w:color="auto" w:fill="CCEEFF"/>
            <w:tcMar>
              <w:top w:w="40" w:type="dxa"/>
              <w:left w:w="0" w:type="dxa"/>
              <w:bottom w:w="40" w:type="dxa"/>
              <w:right w:w="20" w:type="dxa"/>
            </w:tcMar>
            <w:vAlign w:val="bottom"/>
          </w:tcPr>
          <w:p w14:paraId="098A9A56"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A57"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98A9A58" w14:textId="77777777" w:rsidR="00141CDF" w:rsidRDefault="00DF45E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98A9A59" w14:textId="77777777" w:rsidR="00141CDF" w:rsidRDefault="00DF45E0">
            <w:pPr>
              <w:jc w:val="right"/>
              <w:textAlignment w:val="bottom"/>
            </w:pPr>
            <w:r>
              <w:rPr>
                <w:rFonts w:ascii="Times New Roman" w:eastAsia="宋体" w:hAnsi="Times New Roman"/>
                <w:color w:val="000000"/>
                <w:sz w:val="16"/>
                <w:szCs w:val="16"/>
              </w:rPr>
              <w:t>54,649 </w:t>
            </w:r>
          </w:p>
        </w:tc>
        <w:tc>
          <w:tcPr>
            <w:tcW w:w="0" w:type="auto"/>
            <w:tcBorders>
              <w:top w:val="single" w:sz="8" w:space="0" w:color="000000"/>
            </w:tcBorders>
            <w:shd w:val="clear" w:color="auto" w:fill="CCEEFF"/>
            <w:tcMar>
              <w:top w:w="40" w:type="dxa"/>
              <w:left w:w="0" w:type="dxa"/>
              <w:bottom w:w="40" w:type="dxa"/>
              <w:right w:w="20" w:type="dxa"/>
            </w:tcMar>
            <w:vAlign w:val="bottom"/>
          </w:tcPr>
          <w:p w14:paraId="098A9A5A"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A5B"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98A9A5C" w14:textId="77777777" w:rsidR="00141CDF" w:rsidRDefault="00DF45E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98A9A5D" w14:textId="77777777" w:rsidR="00141CDF" w:rsidRDefault="00DF45E0">
            <w:pPr>
              <w:jc w:val="right"/>
              <w:textAlignment w:val="bottom"/>
            </w:pPr>
            <w:r>
              <w:rPr>
                <w:rFonts w:ascii="Times New Roman" w:eastAsia="宋体" w:hAnsi="Times New Roman"/>
                <w:color w:val="000000"/>
                <w:sz w:val="16"/>
                <w:szCs w:val="16"/>
              </w:rPr>
              <w:t>118,233 </w:t>
            </w:r>
          </w:p>
        </w:tc>
        <w:tc>
          <w:tcPr>
            <w:tcW w:w="0" w:type="auto"/>
            <w:tcBorders>
              <w:top w:val="single" w:sz="8" w:space="0" w:color="000000"/>
            </w:tcBorders>
            <w:shd w:val="clear" w:color="auto" w:fill="CCEEFF"/>
            <w:tcMar>
              <w:top w:w="40" w:type="dxa"/>
              <w:left w:w="0" w:type="dxa"/>
              <w:bottom w:w="40" w:type="dxa"/>
              <w:right w:w="20" w:type="dxa"/>
            </w:tcMar>
            <w:vAlign w:val="bottom"/>
          </w:tcPr>
          <w:p w14:paraId="098A9A5E"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A5F"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98A9A60" w14:textId="77777777" w:rsidR="00141CDF" w:rsidRDefault="00DF45E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98A9A61" w14:textId="77777777" w:rsidR="00141CDF" w:rsidRDefault="00DF45E0">
            <w:pPr>
              <w:jc w:val="right"/>
              <w:textAlignment w:val="bottom"/>
            </w:pPr>
            <w:r>
              <w:rPr>
                <w:rFonts w:ascii="Times New Roman" w:eastAsia="宋体" w:hAnsi="Times New Roman"/>
                <w:color w:val="000000"/>
                <w:sz w:val="16"/>
                <w:szCs w:val="16"/>
              </w:rPr>
              <w:t>106,040 </w:t>
            </w:r>
          </w:p>
        </w:tc>
        <w:tc>
          <w:tcPr>
            <w:tcW w:w="0" w:type="auto"/>
            <w:tcBorders>
              <w:top w:val="single" w:sz="8" w:space="0" w:color="000000"/>
            </w:tcBorders>
            <w:shd w:val="clear" w:color="auto" w:fill="CCEEFF"/>
            <w:tcMar>
              <w:top w:w="40" w:type="dxa"/>
              <w:left w:w="0" w:type="dxa"/>
              <w:bottom w:w="40" w:type="dxa"/>
              <w:right w:w="20" w:type="dxa"/>
            </w:tcMar>
            <w:vAlign w:val="bottom"/>
          </w:tcPr>
          <w:p w14:paraId="098A9A62" w14:textId="77777777" w:rsidR="00141CDF" w:rsidRDefault="00141CDF">
            <w:pPr>
              <w:jc w:val="right"/>
              <w:rPr>
                <w:rFonts w:ascii="宋体"/>
              </w:rPr>
            </w:pPr>
          </w:p>
        </w:tc>
      </w:tr>
      <w:tr w:rsidR="00141CDF" w14:paraId="098A9A71" w14:textId="77777777">
        <w:trPr>
          <w:jc w:val="center"/>
        </w:trPr>
        <w:tc>
          <w:tcPr>
            <w:tcW w:w="0" w:type="auto"/>
            <w:gridSpan w:val="3"/>
            <w:shd w:val="clear" w:color="auto" w:fill="FFFFFF"/>
            <w:tcMar>
              <w:top w:w="40" w:type="dxa"/>
              <w:left w:w="380" w:type="dxa"/>
              <w:bottom w:w="40" w:type="dxa"/>
              <w:right w:w="20" w:type="dxa"/>
            </w:tcMar>
            <w:vAlign w:val="bottom"/>
          </w:tcPr>
          <w:p w14:paraId="098A9A64" w14:textId="77777777" w:rsidR="00141CDF" w:rsidRDefault="00DF45E0">
            <w:pPr>
              <w:textAlignment w:val="bottom"/>
            </w:pPr>
            <w:r>
              <w:rPr>
                <w:rFonts w:ascii="Times New Roman" w:eastAsia="宋体" w:hAnsi="Times New Roman"/>
                <w:color w:val="000000"/>
                <w:sz w:val="16"/>
                <w:szCs w:val="16"/>
              </w:rPr>
              <w:t>General merchandise</w:t>
            </w:r>
          </w:p>
        </w:tc>
        <w:tc>
          <w:tcPr>
            <w:tcW w:w="0" w:type="auto"/>
            <w:gridSpan w:val="3"/>
            <w:shd w:val="clear" w:color="auto" w:fill="FFFFFF"/>
            <w:tcMar>
              <w:top w:w="0" w:type="dxa"/>
              <w:left w:w="20" w:type="dxa"/>
              <w:bottom w:w="0" w:type="dxa"/>
              <w:right w:w="20" w:type="dxa"/>
            </w:tcMar>
            <w:vAlign w:val="bottom"/>
          </w:tcPr>
          <w:p w14:paraId="098A9A65"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bottom"/>
          </w:tcPr>
          <w:p w14:paraId="098A9A66" w14:textId="77777777" w:rsidR="00141CDF" w:rsidRDefault="00DF45E0">
            <w:pPr>
              <w:jc w:val="right"/>
              <w:textAlignment w:val="bottom"/>
            </w:pPr>
            <w:r>
              <w:rPr>
                <w:rFonts w:ascii="Times New Roman" w:eastAsia="宋体" w:hAnsi="Times New Roman"/>
                <w:color w:val="000000"/>
                <w:sz w:val="16"/>
                <w:szCs w:val="16"/>
              </w:rPr>
              <w:t>30,073 </w:t>
            </w:r>
          </w:p>
        </w:tc>
        <w:tc>
          <w:tcPr>
            <w:tcW w:w="0" w:type="auto"/>
            <w:shd w:val="clear" w:color="auto" w:fill="FFFFFF"/>
            <w:tcMar>
              <w:top w:w="40" w:type="dxa"/>
              <w:left w:w="0" w:type="dxa"/>
              <w:bottom w:w="40" w:type="dxa"/>
              <w:right w:w="20" w:type="dxa"/>
            </w:tcMar>
            <w:vAlign w:val="bottom"/>
          </w:tcPr>
          <w:p w14:paraId="098A9A67"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A68"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bottom"/>
          </w:tcPr>
          <w:p w14:paraId="098A9A69" w14:textId="77777777" w:rsidR="00141CDF" w:rsidRDefault="00DF45E0">
            <w:pPr>
              <w:jc w:val="right"/>
              <w:textAlignment w:val="bottom"/>
            </w:pPr>
            <w:r>
              <w:rPr>
                <w:rFonts w:ascii="Times New Roman" w:eastAsia="宋体" w:hAnsi="Times New Roman"/>
                <w:color w:val="000000"/>
                <w:sz w:val="16"/>
                <w:szCs w:val="16"/>
              </w:rPr>
              <w:t>31,707 </w:t>
            </w:r>
          </w:p>
        </w:tc>
        <w:tc>
          <w:tcPr>
            <w:tcW w:w="0" w:type="auto"/>
            <w:shd w:val="clear" w:color="auto" w:fill="FFFFFF"/>
            <w:tcMar>
              <w:top w:w="40" w:type="dxa"/>
              <w:left w:w="0" w:type="dxa"/>
              <w:bottom w:w="40" w:type="dxa"/>
              <w:right w:w="20" w:type="dxa"/>
            </w:tcMar>
            <w:vAlign w:val="bottom"/>
          </w:tcPr>
          <w:p w14:paraId="098A9A6A"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A6B"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bottom"/>
          </w:tcPr>
          <w:p w14:paraId="098A9A6C" w14:textId="77777777" w:rsidR="00141CDF" w:rsidRDefault="00DF45E0">
            <w:pPr>
              <w:jc w:val="right"/>
              <w:textAlignment w:val="bottom"/>
            </w:pPr>
            <w:r>
              <w:rPr>
                <w:rFonts w:ascii="Times New Roman" w:eastAsia="宋体" w:hAnsi="Times New Roman"/>
                <w:color w:val="000000"/>
                <w:sz w:val="16"/>
                <w:szCs w:val="16"/>
              </w:rPr>
              <w:t>57,452 </w:t>
            </w:r>
          </w:p>
        </w:tc>
        <w:tc>
          <w:tcPr>
            <w:tcW w:w="0" w:type="auto"/>
            <w:shd w:val="clear" w:color="auto" w:fill="FFFFFF"/>
            <w:tcMar>
              <w:top w:w="40" w:type="dxa"/>
              <w:left w:w="0" w:type="dxa"/>
              <w:bottom w:w="40" w:type="dxa"/>
              <w:right w:w="20" w:type="dxa"/>
            </w:tcMar>
            <w:vAlign w:val="bottom"/>
          </w:tcPr>
          <w:p w14:paraId="098A9A6D"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A6E"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bottom"/>
          </w:tcPr>
          <w:p w14:paraId="098A9A6F" w14:textId="77777777" w:rsidR="00141CDF" w:rsidRDefault="00DF45E0">
            <w:pPr>
              <w:jc w:val="right"/>
              <w:textAlignment w:val="bottom"/>
            </w:pPr>
            <w:r>
              <w:rPr>
                <w:rFonts w:ascii="Times New Roman" w:eastAsia="宋体" w:hAnsi="Times New Roman"/>
                <w:color w:val="000000"/>
                <w:sz w:val="16"/>
                <w:szCs w:val="16"/>
              </w:rPr>
              <w:t>62,314 </w:t>
            </w:r>
          </w:p>
        </w:tc>
        <w:tc>
          <w:tcPr>
            <w:tcW w:w="0" w:type="auto"/>
            <w:shd w:val="clear" w:color="auto" w:fill="FFFFFF"/>
            <w:tcMar>
              <w:top w:w="40" w:type="dxa"/>
              <w:left w:w="0" w:type="dxa"/>
              <w:bottom w:w="40" w:type="dxa"/>
              <w:right w:w="20" w:type="dxa"/>
            </w:tcMar>
            <w:vAlign w:val="bottom"/>
          </w:tcPr>
          <w:p w14:paraId="098A9A70" w14:textId="77777777" w:rsidR="00141CDF" w:rsidRDefault="00141CDF">
            <w:pPr>
              <w:jc w:val="right"/>
              <w:rPr>
                <w:rFonts w:ascii="宋体"/>
              </w:rPr>
            </w:pPr>
          </w:p>
        </w:tc>
      </w:tr>
      <w:tr w:rsidR="00141CDF" w14:paraId="098A9A7F" w14:textId="77777777">
        <w:trPr>
          <w:jc w:val="center"/>
        </w:trPr>
        <w:tc>
          <w:tcPr>
            <w:tcW w:w="0" w:type="auto"/>
            <w:gridSpan w:val="3"/>
            <w:shd w:val="clear" w:color="auto" w:fill="CCEEFF"/>
            <w:tcMar>
              <w:top w:w="40" w:type="dxa"/>
              <w:left w:w="380" w:type="dxa"/>
              <w:bottom w:w="40" w:type="dxa"/>
              <w:right w:w="20" w:type="dxa"/>
            </w:tcMar>
            <w:vAlign w:val="bottom"/>
          </w:tcPr>
          <w:p w14:paraId="098A9A72" w14:textId="77777777" w:rsidR="00141CDF" w:rsidRDefault="00DF45E0">
            <w:pPr>
              <w:textAlignment w:val="bottom"/>
            </w:pPr>
            <w:r>
              <w:rPr>
                <w:rFonts w:ascii="Times New Roman" w:eastAsia="宋体" w:hAnsi="Times New Roman"/>
                <w:color w:val="000000"/>
                <w:sz w:val="16"/>
                <w:szCs w:val="16"/>
              </w:rPr>
              <w:t>Health and wellness</w:t>
            </w:r>
          </w:p>
        </w:tc>
        <w:tc>
          <w:tcPr>
            <w:tcW w:w="0" w:type="auto"/>
            <w:gridSpan w:val="3"/>
            <w:shd w:val="clear" w:color="auto" w:fill="CCEEFF"/>
            <w:tcMar>
              <w:top w:w="0" w:type="dxa"/>
              <w:left w:w="20" w:type="dxa"/>
              <w:bottom w:w="0" w:type="dxa"/>
              <w:right w:w="20" w:type="dxa"/>
            </w:tcMar>
            <w:vAlign w:val="bottom"/>
          </w:tcPr>
          <w:p w14:paraId="098A9A73"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bottom"/>
          </w:tcPr>
          <w:p w14:paraId="098A9A74" w14:textId="77777777" w:rsidR="00141CDF" w:rsidRDefault="00DF45E0">
            <w:pPr>
              <w:jc w:val="right"/>
              <w:textAlignment w:val="bottom"/>
            </w:pPr>
            <w:r>
              <w:rPr>
                <w:rFonts w:ascii="Times New Roman" w:eastAsia="宋体" w:hAnsi="Times New Roman"/>
                <w:color w:val="000000"/>
                <w:sz w:val="16"/>
                <w:szCs w:val="16"/>
              </w:rPr>
              <w:t>11,331 </w:t>
            </w:r>
          </w:p>
        </w:tc>
        <w:tc>
          <w:tcPr>
            <w:tcW w:w="0" w:type="auto"/>
            <w:shd w:val="clear" w:color="auto" w:fill="CCEEFF"/>
            <w:tcMar>
              <w:top w:w="40" w:type="dxa"/>
              <w:left w:w="0" w:type="dxa"/>
              <w:bottom w:w="40" w:type="dxa"/>
              <w:right w:w="20" w:type="dxa"/>
            </w:tcMar>
            <w:vAlign w:val="bottom"/>
          </w:tcPr>
          <w:p w14:paraId="098A9A75"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A76"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bottom"/>
          </w:tcPr>
          <w:p w14:paraId="098A9A77" w14:textId="77777777" w:rsidR="00141CDF" w:rsidRDefault="00DF45E0">
            <w:pPr>
              <w:jc w:val="right"/>
              <w:textAlignment w:val="bottom"/>
            </w:pPr>
            <w:r>
              <w:rPr>
                <w:rFonts w:ascii="Times New Roman" w:eastAsia="宋体" w:hAnsi="Times New Roman"/>
                <w:color w:val="000000"/>
                <w:sz w:val="16"/>
                <w:szCs w:val="16"/>
              </w:rPr>
              <w:t>10,480 </w:t>
            </w:r>
          </w:p>
        </w:tc>
        <w:tc>
          <w:tcPr>
            <w:tcW w:w="0" w:type="auto"/>
            <w:shd w:val="clear" w:color="auto" w:fill="CCEEFF"/>
            <w:tcMar>
              <w:top w:w="40" w:type="dxa"/>
              <w:left w:w="0" w:type="dxa"/>
              <w:bottom w:w="40" w:type="dxa"/>
              <w:right w:w="20" w:type="dxa"/>
            </w:tcMar>
            <w:vAlign w:val="bottom"/>
          </w:tcPr>
          <w:p w14:paraId="098A9A78"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A79"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bottom"/>
          </w:tcPr>
          <w:p w14:paraId="098A9A7A" w14:textId="77777777" w:rsidR="00141CDF" w:rsidRDefault="00DF45E0">
            <w:pPr>
              <w:jc w:val="right"/>
              <w:textAlignment w:val="bottom"/>
            </w:pPr>
            <w:r>
              <w:rPr>
                <w:rFonts w:ascii="Times New Roman" w:eastAsia="宋体" w:hAnsi="Times New Roman"/>
                <w:color w:val="000000"/>
                <w:sz w:val="16"/>
                <w:szCs w:val="16"/>
              </w:rPr>
              <w:t>22,225 </w:t>
            </w:r>
          </w:p>
        </w:tc>
        <w:tc>
          <w:tcPr>
            <w:tcW w:w="0" w:type="auto"/>
            <w:shd w:val="clear" w:color="auto" w:fill="CCEEFF"/>
            <w:tcMar>
              <w:top w:w="40" w:type="dxa"/>
              <w:left w:w="0" w:type="dxa"/>
              <w:bottom w:w="40" w:type="dxa"/>
              <w:right w:w="20" w:type="dxa"/>
            </w:tcMar>
            <w:vAlign w:val="bottom"/>
          </w:tcPr>
          <w:p w14:paraId="098A9A7B"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A7C"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bottom"/>
          </w:tcPr>
          <w:p w14:paraId="098A9A7D" w14:textId="77777777" w:rsidR="00141CDF" w:rsidRDefault="00DF45E0">
            <w:pPr>
              <w:jc w:val="right"/>
              <w:textAlignment w:val="bottom"/>
            </w:pPr>
            <w:r>
              <w:rPr>
                <w:rFonts w:ascii="Times New Roman" w:eastAsia="宋体" w:hAnsi="Times New Roman"/>
                <w:color w:val="000000"/>
                <w:sz w:val="16"/>
                <w:szCs w:val="16"/>
              </w:rPr>
              <w:t>20,450 </w:t>
            </w:r>
          </w:p>
        </w:tc>
        <w:tc>
          <w:tcPr>
            <w:tcW w:w="0" w:type="auto"/>
            <w:shd w:val="clear" w:color="auto" w:fill="CCEEFF"/>
            <w:tcMar>
              <w:top w:w="40" w:type="dxa"/>
              <w:left w:w="0" w:type="dxa"/>
              <w:bottom w:w="40" w:type="dxa"/>
              <w:right w:w="20" w:type="dxa"/>
            </w:tcMar>
            <w:vAlign w:val="bottom"/>
          </w:tcPr>
          <w:p w14:paraId="098A9A7E" w14:textId="77777777" w:rsidR="00141CDF" w:rsidRDefault="00141CDF">
            <w:pPr>
              <w:jc w:val="right"/>
              <w:rPr>
                <w:rFonts w:ascii="宋体"/>
              </w:rPr>
            </w:pPr>
          </w:p>
        </w:tc>
      </w:tr>
      <w:tr w:rsidR="00141CDF" w14:paraId="098A9A8D" w14:textId="77777777">
        <w:trPr>
          <w:jc w:val="center"/>
        </w:trPr>
        <w:tc>
          <w:tcPr>
            <w:tcW w:w="0" w:type="auto"/>
            <w:gridSpan w:val="3"/>
            <w:shd w:val="clear" w:color="auto" w:fill="FFFFFF"/>
            <w:tcMar>
              <w:top w:w="40" w:type="dxa"/>
              <w:left w:w="380" w:type="dxa"/>
              <w:bottom w:w="40" w:type="dxa"/>
              <w:right w:w="20" w:type="dxa"/>
            </w:tcMar>
            <w:vAlign w:val="bottom"/>
          </w:tcPr>
          <w:p w14:paraId="098A9A80" w14:textId="77777777" w:rsidR="00141CDF" w:rsidRDefault="00DF45E0">
            <w:pPr>
              <w:textAlignment w:val="bottom"/>
            </w:pPr>
            <w:r>
              <w:rPr>
                <w:rFonts w:ascii="Times New Roman" w:eastAsia="宋体" w:hAnsi="Times New Roman"/>
                <w:color w:val="000000"/>
                <w:sz w:val="16"/>
                <w:szCs w:val="16"/>
              </w:rPr>
              <w:t>Other categories</w:t>
            </w:r>
          </w:p>
        </w:tc>
        <w:tc>
          <w:tcPr>
            <w:tcW w:w="0" w:type="auto"/>
            <w:gridSpan w:val="3"/>
            <w:shd w:val="clear" w:color="auto" w:fill="FFFFFF"/>
            <w:tcMar>
              <w:top w:w="0" w:type="dxa"/>
              <w:left w:w="20" w:type="dxa"/>
              <w:bottom w:w="0" w:type="dxa"/>
              <w:right w:w="20" w:type="dxa"/>
            </w:tcMar>
            <w:vAlign w:val="bottom"/>
          </w:tcPr>
          <w:p w14:paraId="098A9A81"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bottom"/>
          </w:tcPr>
          <w:p w14:paraId="098A9A82" w14:textId="77777777" w:rsidR="00141CDF" w:rsidRDefault="00DF45E0">
            <w:pPr>
              <w:jc w:val="right"/>
              <w:textAlignment w:val="bottom"/>
            </w:pPr>
            <w:r>
              <w:rPr>
                <w:rFonts w:ascii="Times New Roman" w:eastAsia="宋体" w:hAnsi="Times New Roman"/>
                <w:color w:val="000000"/>
                <w:sz w:val="16"/>
                <w:szCs w:val="16"/>
              </w:rPr>
              <w:t>2,257 </w:t>
            </w:r>
          </w:p>
        </w:tc>
        <w:tc>
          <w:tcPr>
            <w:tcW w:w="0" w:type="auto"/>
            <w:shd w:val="clear" w:color="auto" w:fill="FFFFFF"/>
            <w:tcMar>
              <w:top w:w="40" w:type="dxa"/>
              <w:left w:w="0" w:type="dxa"/>
              <w:bottom w:w="40" w:type="dxa"/>
              <w:right w:w="20" w:type="dxa"/>
            </w:tcMar>
            <w:vAlign w:val="bottom"/>
          </w:tcPr>
          <w:p w14:paraId="098A9A83"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A84"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bottom"/>
          </w:tcPr>
          <w:p w14:paraId="098A9A85" w14:textId="77777777" w:rsidR="00141CDF" w:rsidRDefault="00DF45E0">
            <w:pPr>
              <w:jc w:val="right"/>
              <w:textAlignment w:val="bottom"/>
            </w:pPr>
            <w:r>
              <w:rPr>
                <w:rFonts w:ascii="Times New Roman" w:eastAsia="宋体" w:hAnsi="Times New Roman"/>
                <w:color w:val="000000"/>
                <w:sz w:val="16"/>
                <w:szCs w:val="16"/>
              </w:rPr>
              <w:t>1,356 </w:t>
            </w:r>
          </w:p>
        </w:tc>
        <w:tc>
          <w:tcPr>
            <w:tcW w:w="0" w:type="auto"/>
            <w:shd w:val="clear" w:color="auto" w:fill="FFFFFF"/>
            <w:tcMar>
              <w:top w:w="40" w:type="dxa"/>
              <w:left w:w="0" w:type="dxa"/>
              <w:bottom w:w="40" w:type="dxa"/>
              <w:right w:w="20" w:type="dxa"/>
            </w:tcMar>
            <w:vAlign w:val="bottom"/>
          </w:tcPr>
          <w:p w14:paraId="098A9A86"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A87"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bottom"/>
          </w:tcPr>
          <w:p w14:paraId="098A9A88" w14:textId="77777777" w:rsidR="00141CDF" w:rsidRDefault="00DF45E0">
            <w:pPr>
              <w:jc w:val="right"/>
              <w:textAlignment w:val="bottom"/>
            </w:pPr>
            <w:r>
              <w:rPr>
                <w:rFonts w:ascii="Times New Roman" w:eastAsia="宋体" w:hAnsi="Times New Roman"/>
                <w:color w:val="000000"/>
                <w:sz w:val="16"/>
                <w:szCs w:val="16"/>
              </w:rPr>
              <w:t>4,124 </w:t>
            </w:r>
          </w:p>
        </w:tc>
        <w:tc>
          <w:tcPr>
            <w:tcW w:w="0" w:type="auto"/>
            <w:shd w:val="clear" w:color="auto" w:fill="FFFFFF"/>
            <w:tcMar>
              <w:top w:w="40" w:type="dxa"/>
              <w:left w:w="0" w:type="dxa"/>
              <w:bottom w:w="40" w:type="dxa"/>
              <w:right w:w="20" w:type="dxa"/>
            </w:tcMar>
            <w:vAlign w:val="bottom"/>
          </w:tcPr>
          <w:p w14:paraId="098A9A89"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A8A"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bottom"/>
          </w:tcPr>
          <w:p w14:paraId="098A9A8B" w14:textId="77777777" w:rsidR="00141CDF" w:rsidRDefault="00DF45E0">
            <w:pPr>
              <w:jc w:val="right"/>
              <w:textAlignment w:val="bottom"/>
            </w:pPr>
            <w:r>
              <w:rPr>
                <w:rFonts w:ascii="Times New Roman" w:eastAsia="宋体" w:hAnsi="Times New Roman"/>
                <w:color w:val="000000"/>
                <w:sz w:val="16"/>
                <w:szCs w:val="16"/>
              </w:rPr>
              <w:t>2,555 </w:t>
            </w:r>
          </w:p>
        </w:tc>
        <w:tc>
          <w:tcPr>
            <w:tcW w:w="0" w:type="auto"/>
            <w:shd w:val="clear" w:color="auto" w:fill="FFFFFF"/>
            <w:tcMar>
              <w:top w:w="40" w:type="dxa"/>
              <w:left w:w="0" w:type="dxa"/>
              <w:bottom w:w="40" w:type="dxa"/>
              <w:right w:w="20" w:type="dxa"/>
            </w:tcMar>
            <w:vAlign w:val="bottom"/>
          </w:tcPr>
          <w:p w14:paraId="098A9A8C" w14:textId="77777777" w:rsidR="00141CDF" w:rsidRDefault="00141CDF">
            <w:pPr>
              <w:jc w:val="right"/>
              <w:rPr>
                <w:rFonts w:ascii="宋体"/>
              </w:rPr>
            </w:pPr>
          </w:p>
        </w:tc>
      </w:tr>
      <w:tr w:rsidR="00141CDF" w14:paraId="098A9A9F" w14:textId="77777777">
        <w:trPr>
          <w:jc w:val="center"/>
        </w:trPr>
        <w:tc>
          <w:tcPr>
            <w:tcW w:w="0" w:type="auto"/>
            <w:gridSpan w:val="3"/>
            <w:shd w:val="clear" w:color="auto" w:fill="CCEEFF"/>
            <w:tcMar>
              <w:top w:w="40" w:type="dxa"/>
              <w:left w:w="20" w:type="dxa"/>
              <w:bottom w:w="40" w:type="dxa"/>
              <w:right w:w="20" w:type="dxa"/>
            </w:tcMar>
            <w:vAlign w:val="bottom"/>
          </w:tcPr>
          <w:p w14:paraId="098A9A8E" w14:textId="77777777" w:rsidR="00141CDF" w:rsidRDefault="00DF45E0">
            <w:pPr>
              <w:textAlignment w:val="bottom"/>
            </w:pPr>
            <w:r>
              <w:rPr>
                <w:rFonts w:ascii="Times New Roman" w:eastAsia="宋体" w:hAnsi="Times New Roman"/>
                <w:b/>
                <w:bCs/>
                <w:color w:val="000000"/>
                <w:sz w:val="16"/>
                <w:szCs w:val="16"/>
              </w:rPr>
              <w:t>Total</w:t>
            </w:r>
          </w:p>
        </w:tc>
        <w:tc>
          <w:tcPr>
            <w:tcW w:w="0" w:type="auto"/>
            <w:gridSpan w:val="3"/>
            <w:shd w:val="clear" w:color="auto" w:fill="CCEEFF"/>
            <w:tcMar>
              <w:top w:w="0" w:type="dxa"/>
              <w:left w:w="20" w:type="dxa"/>
              <w:bottom w:w="0" w:type="dxa"/>
              <w:right w:w="20" w:type="dxa"/>
            </w:tcMar>
            <w:vAlign w:val="bottom"/>
          </w:tcPr>
          <w:p w14:paraId="098A9A8F" w14:textId="77777777" w:rsidR="00141CDF" w:rsidRDefault="00141CD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98A9A90" w14:textId="77777777" w:rsidR="00141CDF" w:rsidRDefault="00DF45E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98A9A91" w14:textId="77777777" w:rsidR="00141CDF" w:rsidRDefault="00DF45E0">
            <w:pPr>
              <w:jc w:val="right"/>
              <w:textAlignment w:val="bottom"/>
            </w:pPr>
            <w:r>
              <w:rPr>
                <w:rFonts w:ascii="Times New Roman" w:eastAsia="宋体" w:hAnsi="Times New Roman"/>
                <w:color w:val="000000"/>
                <w:sz w:val="16"/>
                <w:szCs w:val="16"/>
              </w:rPr>
              <w:t>105,130 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98A9A92"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A93" w14:textId="77777777" w:rsidR="00141CDF" w:rsidRDefault="00141CD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98A9A94" w14:textId="77777777" w:rsidR="00141CDF" w:rsidRDefault="00DF45E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98A9A95" w14:textId="77777777" w:rsidR="00141CDF" w:rsidRDefault="00DF45E0">
            <w:pPr>
              <w:jc w:val="right"/>
              <w:textAlignment w:val="bottom"/>
            </w:pPr>
            <w:r>
              <w:rPr>
                <w:rFonts w:ascii="Times New Roman" w:eastAsia="宋体" w:hAnsi="Times New Roman"/>
                <w:color w:val="000000"/>
                <w:sz w:val="16"/>
                <w:szCs w:val="16"/>
              </w:rPr>
              <w:t>98,192 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98A9A96"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A97" w14:textId="77777777" w:rsidR="00141CDF" w:rsidRDefault="00141CD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98A9A98" w14:textId="77777777" w:rsidR="00141CDF" w:rsidRDefault="00DF45E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98A9A99" w14:textId="77777777" w:rsidR="00141CDF" w:rsidRDefault="00DF45E0">
            <w:pPr>
              <w:jc w:val="right"/>
              <w:textAlignment w:val="bottom"/>
            </w:pPr>
            <w:r>
              <w:rPr>
                <w:rFonts w:ascii="Times New Roman" w:eastAsia="宋体" w:hAnsi="Times New Roman"/>
                <w:color w:val="000000"/>
                <w:sz w:val="16"/>
                <w:szCs w:val="16"/>
              </w:rPr>
              <w:t>202,034 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98A9A9A"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A9B" w14:textId="77777777" w:rsidR="00141CDF" w:rsidRDefault="00141CD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98A9A9C" w14:textId="77777777" w:rsidR="00141CDF" w:rsidRDefault="00DF45E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98A9A9D" w14:textId="77777777" w:rsidR="00141CDF" w:rsidRDefault="00DF45E0">
            <w:pPr>
              <w:jc w:val="right"/>
              <w:textAlignment w:val="bottom"/>
            </w:pPr>
            <w:r>
              <w:rPr>
                <w:rFonts w:ascii="Times New Roman" w:eastAsia="宋体" w:hAnsi="Times New Roman"/>
                <w:color w:val="000000"/>
                <w:sz w:val="16"/>
                <w:szCs w:val="16"/>
              </w:rPr>
              <w:t>191,359 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98A9A9E" w14:textId="77777777" w:rsidR="00141CDF" w:rsidRDefault="00141CDF">
            <w:pPr>
              <w:jc w:val="right"/>
              <w:rPr>
                <w:rFonts w:ascii="宋体"/>
              </w:rPr>
            </w:pPr>
          </w:p>
        </w:tc>
      </w:tr>
    </w:tbl>
    <w:p w14:paraId="098A9AA0" w14:textId="77777777" w:rsidR="00141CDF" w:rsidRDefault="00DF45E0">
      <w:pPr>
        <w:spacing w:before="80"/>
      </w:pPr>
      <w:r>
        <w:rPr>
          <w:rFonts w:ascii="Times New Roman" w:eastAsia="宋体" w:hAnsi="Times New Roman"/>
          <w:color w:val="000000"/>
          <w:sz w:val="20"/>
          <w:szCs w:val="20"/>
        </w:rPr>
        <w:t xml:space="preserve">Of Walmart U.S.'s total net sales, approximately $12.5 billion and $11.2 billion related to </w:t>
      </w:r>
      <w:r>
        <w:rPr>
          <w:rFonts w:ascii="Times New Roman" w:eastAsia="宋体" w:hAnsi="Times New Roman"/>
          <w:color w:val="000000"/>
          <w:sz w:val="20"/>
          <w:szCs w:val="20"/>
        </w:rPr>
        <w:t>eCommerce for the three months ended July 31, 2022 and 2021, respectively, and approximately $23.9 billion and $22.5 billion related to eCommerce for the six months ended July 31, 2022 and 2021, respectively.</w:t>
      </w:r>
    </w:p>
    <w:tbl>
      <w:tblPr>
        <w:tblW w:w="5000" w:type="pct"/>
        <w:tblCellMar>
          <w:top w:w="15" w:type="dxa"/>
          <w:left w:w="15" w:type="dxa"/>
          <w:bottom w:w="15" w:type="dxa"/>
          <w:right w:w="15" w:type="dxa"/>
        </w:tblCellMar>
        <w:tblLook w:val="04A0" w:firstRow="1" w:lastRow="0" w:firstColumn="1" w:lastColumn="0" w:noHBand="0" w:noVBand="1"/>
      </w:tblPr>
      <w:tblGrid>
        <w:gridCol w:w="40"/>
        <w:gridCol w:w="4108"/>
        <w:gridCol w:w="38"/>
        <w:gridCol w:w="36"/>
        <w:gridCol w:w="36"/>
        <w:gridCol w:w="36"/>
        <w:gridCol w:w="100"/>
        <w:gridCol w:w="793"/>
        <w:gridCol w:w="36"/>
        <w:gridCol w:w="36"/>
        <w:gridCol w:w="36"/>
        <w:gridCol w:w="36"/>
        <w:gridCol w:w="100"/>
        <w:gridCol w:w="793"/>
        <w:gridCol w:w="36"/>
        <w:gridCol w:w="36"/>
        <w:gridCol w:w="36"/>
        <w:gridCol w:w="36"/>
        <w:gridCol w:w="100"/>
        <w:gridCol w:w="793"/>
        <w:gridCol w:w="36"/>
        <w:gridCol w:w="36"/>
        <w:gridCol w:w="36"/>
        <w:gridCol w:w="36"/>
        <w:gridCol w:w="100"/>
        <w:gridCol w:w="795"/>
        <w:gridCol w:w="36"/>
      </w:tblGrid>
      <w:tr w:rsidR="00141CDF" w14:paraId="098A9ABC" w14:textId="77777777">
        <w:tc>
          <w:tcPr>
            <w:tcW w:w="50" w:type="pct"/>
            <w:shd w:val="clear" w:color="auto" w:fill="auto"/>
            <w:vAlign w:val="bottom"/>
          </w:tcPr>
          <w:p w14:paraId="098A9AA1" w14:textId="77777777" w:rsidR="00141CDF" w:rsidRDefault="00141CDF">
            <w:pPr>
              <w:rPr>
                <w:rFonts w:ascii="宋体"/>
              </w:rPr>
            </w:pPr>
          </w:p>
        </w:tc>
        <w:tc>
          <w:tcPr>
            <w:tcW w:w="2488" w:type="pct"/>
            <w:shd w:val="clear" w:color="auto" w:fill="auto"/>
            <w:vAlign w:val="bottom"/>
          </w:tcPr>
          <w:p w14:paraId="098A9AA2" w14:textId="77777777" w:rsidR="00141CDF" w:rsidRDefault="00141CDF">
            <w:pPr>
              <w:rPr>
                <w:rFonts w:ascii="宋体"/>
              </w:rPr>
            </w:pPr>
          </w:p>
        </w:tc>
        <w:tc>
          <w:tcPr>
            <w:tcW w:w="5" w:type="pct"/>
            <w:shd w:val="clear" w:color="auto" w:fill="auto"/>
            <w:vAlign w:val="bottom"/>
          </w:tcPr>
          <w:p w14:paraId="098A9AA3" w14:textId="77777777" w:rsidR="00141CDF" w:rsidRDefault="00141CDF">
            <w:pPr>
              <w:rPr>
                <w:rFonts w:ascii="宋体"/>
              </w:rPr>
            </w:pPr>
          </w:p>
        </w:tc>
        <w:tc>
          <w:tcPr>
            <w:tcW w:w="5" w:type="pct"/>
            <w:shd w:val="clear" w:color="auto" w:fill="auto"/>
            <w:vAlign w:val="bottom"/>
          </w:tcPr>
          <w:p w14:paraId="098A9AA4" w14:textId="77777777" w:rsidR="00141CDF" w:rsidRDefault="00141CDF">
            <w:pPr>
              <w:rPr>
                <w:rFonts w:ascii="宋体"/>
              </w:rPr>
            </w:pPr>
          </w:p>
        </w:tc>
        <w:tc>
          <w:tcPr>
            <w:tcW w:w="26" w:type="pct"/>
            <w:shd w:val="clear" w:color="auto" w:fill="auto"/>
            <w:vAlign w:val="bottom"/>
          </w:tcPr>
          <w:p w14:paraId="098A9AA5" w14:textId="77777777" w:rsidR="00141CDF" w:rsidRDefault="00141CDF">
            <w:pPr>
              <w:rPr>
                <w:rFonts w:ascii="宋体"/>
              </w:rPr>
            </w:pPr>
          </w:p>
        </w:tc>
        <w:tc>
          <w:tcPr>
            <w:tcW w:w="5" w:type="pct"/>
            <w:shd w:val="clear" w:color="auto" w:fill="auto"/>
            <w:vAlign w:val="bottom"/>
          </w:tcPr>
          <w:p w14:paraId="098A9AA6" w14:textId="77777777" w:rsidR="00141CDF" w:rsidRDefault="00141CDF">
            <w:pPr>
              <w:rPr>
                <w:rFonts w:ascii="宋体"/>
              </w:rPr>
            </w:pPr>
          </w:p>
        </w:tc>
        <w:tc>
          <w:tcPr>
            <w:tcW w:w="50" w:type="pct"/>
            <w:shd w:val="clear" w:color="auto" w:fill="auto"/>
            <w:vAlign w:val="bottom"/>
          </w:tcPr>
          <w:p w14:paraId="098A9AA7" w14:textId="77777777" w:rsidR="00141CDF" w:rsidRDefault="00141CDF">
            <w:pPr>
              <w:rPr>
                <w:rFonts w:ascii="宋体"/>
              </w:rPr>
            </w:pPr>
          </w:p>
        </w:tc>
        <w:tc>
          <w:tcPr>
            <w:tcW w:w="522" w:type="pct"/>
            <w:shd w:val="clear" w:color="auto" w:fill="auto"/>
            <w:vAlign w:val="bottom"/>
          </w:tcPr>
          <w:p w14:paraId="098A9AA8" w14:textId="77777777" w:rsidR="00141CDF" w:rsidRDefault="00141CDF">
            <w:pPr>
              <w:rPr>
                <w:rFonts w:ascii="宋体"/>
              </w:rPr>
            </w:pPr>
          </w:p>
        </w:tc>
        <w:tc>
          <w:tcPr>
            <w:tcW w:w="5" w:type="pct"/>
            <w:shd w:val="clear" w:color="auto" w:fill="auto"/>
            <w:vAlign w:val="bottom"/>
          </w:tcPr>
          <w:p w14:paraId="098A9AA9" w14:textId="77777777" w:rsidR="00141CDF" w:rsidRDefault="00141CDF">
            <w:pPr>
              <w:rPr>
                <w:rFonts w:ascii="宋体"/>
              </w:rPr>
            </w:pPr>
          </w:p>
        </w:tc>
        <w:tc>
          <w:tcPr>
            <w:tcW w:w="5" w:type="pct"/>
            <w:shd w:val="clear" w:color="auto" w:fill="auto"/>
            <w:vAlign w:val="bottom"/>
          </w:tcPr>
          <w:p w14:paraId="098A9AAA" w14:textId="77777777" w:rsidR="00141CDF" w:rsidRDefault="00141CDF">
            <w:pPr>
              <w:rPr>
                <w:rFonts w:ascii="宋体"/>
              </w:rPr>
            </w:pPr>
          </w:p>
        </w:tc>
        <w:tc>
          <w:tcPr>
            <w:tcW w:w="26" w:type="pct"/>
            <w:shd w:val="clear" w:color="auto" w:fill="auto"/>
            <w:vAlign w:val="bottom"/>
          </w:tcPr>
          <w:p w14:paraId="098A9AAB" w14:textId="77777777" w:rsidR="00141CDF" w:rsidRDefault="00141CDF">
            <w:pPr>
              <w:rPr>
                <w:rFonts w:ascii="宋体"/>
              </w:rPr>
            </w:pPr>
          </w:p>
        </w:tc>
        <w:tc>
          <w:tcPr>
            <w:tcW w:w="5" w:type="pct"/>
            <w:shd w:val="clear" w:color="auto" w:fill="auto"/>
            <w:vAlign w:val="bottom"/>
          </w:tcPr>
          <w:p w14:paraId="098A9AAC" w14:textId="77777777" w:rsidR="00141CDF" w:rsidRDefault="00141CDF">
            <w:pPr>
              <w:rPr>
                <w:rFonts w:ascii="宋体"/>
              </w:rPr>
            </w:pPr>
          </w:p>
        </w:tc>
        <w:tc>
          <w:tcPr>
            <w:tcW w:w="50" w:type="pct"/>
            <w:shd w:val="clear" w:color="auto" w:fill="auto"/>
            <w:vAlign w:val="bottom"/>
          </w:tcPr>
          <w:p w14:paraId="098A9AAD" w14:textId="77777777" w:rsidR="00141CDF" w:rsidRDefault="00141CDF">
            <w:pPr>
              <w:rPr>
                <w:rFonts w:ascii="宋体"/>
              </w:rPr>
            </w:pPr>
          </w:p>
        </w:tc>
        <w:tc>
          <w:tcPr>
            <w:tcW w:w="522" w:type="pct"/>
            <w:shd w:val="clear" w:color="auto" w:fill="auto"/>
            <w:vAlign w:val="bottom"/>
          </w:tcPr>
          <w:p w14:paraId="098A9AAE" w14:textId="77777777" w:rsidR="00141CDF" w:rsidRDefault="00141CDF">
            <w:pPr>
              <w:rPr>
                <w:rFonts w:ascii="宋体"/>
              </w:rPr>
            </w:pPr>
          </w:p>
        </w:tc>
        <w:tc>
          <w:tcPr>
            <w:tcW w:w="5" w:type="pct"/>
            <w:shd w:val="clear" w:color="auto" w:fill="auto"/>
            <w:vAlign w:val="bottom"/>
          </w:tcPr>
          <w:p w14:paraId="098A9AAF" w14:textId="77777777" w:rsidR="00141CDF" w:rsidRDefault="00141CDF">
            <w:pPr>
              <w:rPr>
                <w:rFonts w:ascii="宋体"/>
              </w:rPr>
            </w:pPr>
          </w:p>
        </w:tc>
        <w:tc>
          <w:tcPr>
            <w:tcW w:w="5" w:type="pct"/>
            <w:shd w:val="clear" w:color="auto" w:fill="auto"/>
            <w:vAlign w:val="bottom"/>
          </w:tcPr>
          <w:p w14:paraId="098A9AB0" w14:textId="77777777" w:rsidR="00141CDF" w:rsidRDefault="00141CDF">
            <w:pPr>
              <w:rPr>
                <w:rFonts w:ascii="宋体"/>
              </w:rPr>
            </w:pPr>
          </w:p>
        </w:tc>
        <w:tc>
          <w:tcPr>
            <w:tcW w:w="26" w:type="pct"/>
            <w:shd w:val="clear" w:color="auto" w:fill="auto"/>
            <w:vAlign w:val="bottom"/>
          </w:tcPr>
          <w:p w14:paraId="098A9AB1" w14:textId="77777777" w:rsidR="00141CDF" w:rsidRDefault="00141CDF">
            <w:pPr>
              <w:rPr>
                <w:rFonts w:ascii="宋体"/>
              </w:rPr>
            </w:pPr>
          </w:p>
        </w:tc>
        <w:tc>
          <w:tcPr>
            <w:tcW w:w="5" w:type="pct"/>
            <w:shd w:val="clear" w:color="auto" w:fill="auto"/>
            <w:vAlign w:val="bottom"/>
          </w:tcPr>
          <w:p w14:paraId="098A9AB2" w14:textId="77777777" w:rsidR="00141CDF" w:rsidRDefault="00141CDF">
            <w:pPr>
              <w:rPr>
                <w:rFonts w:ascii="宋体"/>
              </w:rPr>
            </w:pPr>
          </w:p>
        </w:tc>
        <w:tc>
          <w:tcPr>
            <w:tcW w:w="50" w:type="pct"/>
            <w:shd w:val="clear" w:color="auto" w:fill="auto"/>
            <w:vAlign w:val="bottom"/>
          </w:tcPr>
          <w:p w14:paraId="098A9AB3" w14:textId="77777777" w:rsidR="00141CDF" w:rsidRDefault="00141CDF">
            <w:pPr>
              <w:rPr>
                <w:rFonts w:ascii="宋体"/>
              </w:rPr>
            </w:pPr>
          </w:p>
        </w:tc>
        <w:tc>
          <w:tcPr>
            <w:tcW w:w="522" w:type="pct"/>
            <w:shd w:val="clear" w:color="auto" w:fill="auto"/>
            <w:vAlign w:val="bottom"/>
          </w:tcPr>
          <w:p w14:paraId="098A9AB4" w14:textId="77777777" w:rsidR="00141CDF" w:rsidRDefault="00141CDF">
            <w:pPr>
              <w:rPr>
                <w:rFonts w:ascii="宋体"/>
              </w:rPr>
            </w:pPr>
          </w:p>
        </w:tc>
        <w:tc>
          <w:tcPr>
            <w:tcW w:w="5" w:type="pct"/>
            <w:shd w:val="clear" w:color="auto" w:fill="auto"/>
            <w:vAlign w:val="bottom"/>
          </w:tcPr>
          <w:p w14:paraId="098A9AB5" w14:textId="77777777" w:rsidR="00141CDF" w:rsidRDefault="00141CDF">
            <w:pPr>
              <w:rPr>
                <w:rFonts w:ascii="宋体"/>
              </w:rPr>
            </w:pPr>
          </w:p>
        </w:tc>
        <w:tc>
          <w:tcPr>
            <w:tcW w:w="5" w:type="pct"/>
            <w:shd w:val="clear" w:color="auto" w:fill="auto"/>
            <w:vAlign w:val="bottom"/>
          </w:tcPr>
          <w:p w14:paraId="098A9AB6" w14:textId="77777777" w:rsidR="00141CDF" w:rsidRDefault="00141CDF">
            <w:pPr>
              <w:rPr>
                <w:rFonts w:ascii="宋体"/>
              </w:rPr>
            </w:pPr>
          </w:p>
        </w:tc>
        <w:tc>
          <w:tcPr>
            <w:tcW w:w="26" w:type="pct"/>
            <w:shd w:val="clear" w:color="auto" w:fill="auto"/>
            <w:vAlign w:val="bottom"/>
          </w:tcPr>
          <w:p w14:paraId="098A9AB7" w14:textId="77777777" w:rsidR="00141CDF" w:rsidRDefault="00141CDF">
            <w:pPr>
              <w:rPr>
                <w:rFonts w:ascii="宋体"/>
              </w:rPr>
            </w:pPr>
          </w:p>
        </w:tc>
        <w:tc>
          <w:tcPr>
            <w:tcW w:w="5" w:type="pct"/>
            <w:shd w:val="clear" w:color="auto" w:fill="auto"/>
            <w:vAlign w:val="bottom"/>
          </w:tcPr>
          <w:p w14:paraId="098A9AB8" w14:textId="77777777" w:rsidR="00141CDF" w:rsidRDefault="00141CDF">
            <w:pPr>
              <w:rPr>
                <w:rFonts w:ascii="宋体"/>
              </w:rPr>
            </w:pPr>
          </w:p>
        </w:tc>
        <w:tc>
          <w:tcPr>
            <w:tcW w:w="50" w:type="pct"/>
            <w:shd w:val="clear" w:color="auto" w:fill="auto"/>
            <w:vAlign w:val="bottom"/>
          </w:tcPr>
          <w:p w14:paraId="098A9AB9" w14:textId="77777777" w:rsidR="00141CDF" w:rsidRDefault="00141CDF">
            <w:pPr>
              <w:rPr>
                <w:rFonts w:ascii="宋体"/>
              </w:rPr>
            </w:pPr>
          </w:p>
        </w:tc>
        <w:tc>
          <w:tcPr>
            <w:tcW w:w="522" w:type="pct"/>
            <w:shd w:val="clear" w:color="auto" w:fill="auto"/>
            <w:vAlign w:val="bottom"/>
          </w:tcPr>
          <w:p w14:paraId="098A9ABA" w14:textId="77777777" w:rsidR="00141CDF" w:rsidRDefault="00141CDF">
            <w:pPr>
              <w:rPr>
                <w:rFonts w:ascii="宋体"/>
              </w:rPr>
            </w:pPr>
          </w:p>
        </w:tc>
        <w:tc>
          <w:tcPr>
            <w:tcW w:w="5" w:type="pct"/>
            <w:shd w:val="clear" w:color="auto" w:fill="auto"/>
            <w:vAlign w:val="bottom"/>
          </w:tcPr>
          <w:p w14:paraId="098A9ABB" w14:textId="77777777" w:rsidR="00141CDF" w:rsidRDefault="00141CDF">
            <w:pPr>
              <w:rPr>
                <w:rFonts w:ascii="宋体"/>
              </w:rPr>
            </w:pPr>
          </w:p>
        </w:tc>
      </w:tr>
      <w:tr w:rsidR="00141CDF" w14:paraId="098A9AC2" w14:textId="77777777">
        <w:tc>
          <w:tcPr>
            <w:tcW w:w="0" w:type="auto"/>
            <w:gridSpan w:val="3"/>
            <w:shd w:val="clear" w:color="auto" w:fill="auto"/>
            <w:tcMar>
              <w:top w:w="40" w:type="dxa"/>
              <w:left w:w="20" w:type="dxa"/>
              <w:bottom w:w="40" w:type="dxa"/>
              <w:right w:w="20" w:type="dxa"/>
            </w:tcMar>
            <w:vAlign w:val="bottom"/>
          </w:tcPr>
          <w:p w14:paraId="098A9ABD" w14:textId="77777777" w:rsidR="00141CDF" w:rsidRDefault="00DF45E0">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098A9ABE" w14:textId="77777777" w:rsidR="00141CDF" w:rsidRDefault="00141CDF">
            <w:pPr>
              <w:rPr>
                <w:rFonts w:ascii="宋体"/>
              </w:rPr>
            </w:pPr>
          </w:p>
        </w:tc>
        <w:tc>
          <w:tcPr>
            <w:tcW w:w="0" w:type="auto"/>
            <w:gridSpan w:val="9"/>
            <w:shd w:val="clear" w:color="auto" w:fill="auto"/>
            <w:tcMar>
              <w:top w:w="40" w:type="dxa"/>
              <w:left w:w="20" w:type="dxa"/>
              <w:bottom w:w="40" w:type="dxa"/>
              <w:right w:w="20" w:type="dxa"/>
            </w:tcMar>
            <w:vAlign w:val="bottom"/>
          </w:tcPr>
          <w:p w14:paraId="098A9ABF" w14:textId="77777777" w:rsidR="00141CDF" w:rsidRDefault="00DF45E0">
            <w:pPr>
              <w:jc w:val="center"/>
              <w:textAlignment w:val="bottom"/>
            </w:pPr>
            <w:r>
              <w:rPr>
                <w:rFonts w:ascii="Times New Roman" w:eastAsia="宋体" w:hAnsi="Times New Roman"/>
                <w:b/>
                <w:bCs/>
                <w:color w:val="000000"/>
                <w:sz w:val="16"/>
                <w:szCs w:val="16"/>
              </w:rPr>
              <w:t>Three Months Ended July 31,</w:t>
            </w:r>
          </w:p>
        </w:tc>
        <w:tc>
          <w:tcPr>
            <w:tcW w:w="0" w:type="auto"/>
            <w:gridSpan w:val="3"/>
            <w:shd w:val="clear" w:color="auto" w:fill="auto"/>
            <w:tcMar>
              <w:top w:w="0" w:type="dxa"/>
              <w:left w:w="20" w:type="dxa"/>
              <w:bottom w:w="0" w:type="dxa"/>
              <w:right w:w="20" w:type="dxa"/>
            </w:tcMar>
            <w:vAlign w:val="bottom"/>
          </w:tcPr>
          <w:p w14:paraId="098A9AC0" w14:textId="77777777" w:rsidR="00141CDF" w:rsidRDefault="00141CDF">
            <w:pPr>
              <w:rPr>
                <w:rFonts w:ascii="宋体"/>
              </w:rPr>
            </w:pPr>
          </w:p>
        </w:tc>
        <w:tc>
          <w:tcPr>
            <w:tcW w:w="0" w:type="auto"/>
            <w:gridSpan w:val="9"/>
            <w:shd w:val="clear" w:color="auto" w:fill="auto"/>
            <w:tcMar>
              <w:top w:w="40" w:type="dxa"/>
              <w:left w:w="20" w:type="dxa"/>
              <w:bottom w:w="40" w:type="dxa"/>
              <w:right w:w="20" w:type="dxa"/>
            </w:tcMar>
            <w:vAlign w:val="bottom"/>
          </w:tcPr>
          <w:p w14:paraId="098A9AC1" w14:textId="77777777" w:rsidR="00141CDF" w:rsidRDefault="00DF45E0">
            <w:pPr>
              <w:jc w:val="center"/>
              <w:textAlignment w:val="bottom"/>
            </w:pPr>
            <w:r>
              <w:rPr>
                <w:rFonts w:ascii="Times New Roman" w:eastAsia="宋体" w:hAnsi="Times New Roman"/>
                <w:b/>
                <w:bCs/>
                <w:color w:val="000000"/>
                <w:sz w:val="16"/>
                <w:szCs w:val="16"/>
              </w:rPr>
              <w:t>Six Months Ended July 31,</w:t>
            </w:r>
          </w:p>
        </w:tc>
      </w:tr>
      <w:tr w:rsidR="00141CDF" w14:paraId="098A9ACC" w14:textId="77777777">
        <w:tc>
          <w:tcPr>
            <w:tcW w:w="0" w:type="auto"/>
            <w:gridSpan w:val="3"/>
            <w:shd w:val="clear" w:color="auto" w:fill="auto"/>
            <w:tcMar>
              <w:top w:w="40" w:type="dxa"/>
              <w:left w:w="20" w:type="dxa"/>
              <w:bottom w:w="40" w:type="dxa"/>
              <w:right w:w="20" w:type="dxa"/>
            </w:tcMar>
            <w:vAlign w:val="bottom"/>
          </w:tcPr>
          <w:p w14:paraId="098A9AC3" w14:textId="77777777" w:rsidR="00141CDF" w:rsidRDefault="00DF45E0">
            <w:pPr>
              <w:textAlignment w:val="bottom"/>
            </w:pPr>
            <w:r>
              <w:rPr>
                <w:rFonts w:ascii="Times New Roman" w:eastAsia="宋体" w:hAnsi="Times New Roman"/>
                <w:b/>
                <w:bCs/>
                <w:color w:val="000000"/>
                <w:sz w:val="16"/>
                <w:szCs w:val="16"/>
              </w:rPr>
              <w:t>Walmart International net sales by market</w:t>
            </w:r>
          </w:p>
        </w:tc>
        <w:tc>
          <w:tcPr>
            <w:tcW w:w="0" w:type="auto"/>
            <w:gridSpan w:val="3"/>
            <w:shd w:val="clear" w:color="auto" w:fill="auto"/>
            <w:tcMar>
              <w:top w:w="0" w:type="dxa"/>
              <w:left w:w="20" w:type="dxa"/>
              <w:bottom w:w="0" w:type="dxa"/>
              <w:right w:w="20" w:type="dxa"/>
            </w:tcMar>
            <w:vAlign w:val="bottom"/>
          </w:tcPr>
          <w:p w14:paraId="098A9AC4"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9AC5" w14:textId="77777777" w:rsidR="00141CDF" w:rsidRDefault="00DF45E0">
            <w:pPr>
              <w:jc w:val="center"/>
              <w:textAlignment w:val="bottom"/>
            </w:pPr>
            <w:r>
              <w:rPr>
                <w:rFonts w:ascii="Times New Roman" w:eastAsia="宋体" w:hAnsi="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14:paraId="098A9AC6"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9AC7" w14:textId="77777777" w:rsidR="00141CDF" w:rsidRDefault="00DF45E0">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098A9AC8"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9AC9" w14:textId="77777777" w:rsidR="00141CDF" w:rsidRDefault="00DF45E0">
            <w:pPr>
              <w:jc w:val="center"/>
              <w:textAlignment w:val="bottom"/>
            </w:pPr>
            <w:r>
              <w:rPr>
                <w:rFonts w:ascii="Times New Roman" w:eastAsia="宋体" w:hAnsi="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14:paraId="098A9ACA"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9ACB" w14:textId="77777777" w:rsidR="00141CDF" w:rsidRDefault="00DF45E0">
            <w:pPr>
              <w:jc w:val="center"/>
              <w:textAlignment w:val="bottom"/>
            </w:pPr>
            <w:r>
              <w:rPr>
                <w:rFonts w:ascii="Times New Roman" w:eastAsia="宋体" w:hAnsi="Times New Roman"/>
                <w:b/>
                <w:bCs/>
                <w:color w:val="000000"/>
                <w:sz w:val="16"/>
                <w:szCs w:val="16"/>
              </w:rPr>
              <w:t>2021</w:t>
            </w:r>
          </w:p>
        </w:tc>
      </w:tr>
      <w:tr w:rsidR="00141CDF" w14:paraId="098A9ADE" w14:textId="77777777">
        <w:tc>
          <w:tcPr>
            <w:tcW w:w="0" w:type="auto"/>
            <w:gridSpan w:val="3"/>
            <w:shd w:val="clear" w:color="auto" w:fill="CCEEFF"/>
            <w:tcMar>
              <w:top w:w="40" w:type="dxa"/>
              <w:left w:w="380" w:type="dxa"/>
              <w:bottom w:w="40" w:type="dxa"/>
              <w:right w:w="20" w:type="dxa"/>
            </w:tcMar>
            <w:vAlign w:val="bottom"/>
          </w:tcPr>
          <w:p w14:paraId="098A9ACD" w14:textId="77777777" w:rsidR="00141CDF" w:rsidRDefault="00DF45E0">
            <w:pPr>
              <w:textAlignment w:val="bottom"/>
            </w:pPr>
            <w:r>
              <w:rPr>
                <w:rFonts w:ascii="Times New Roman" w:eastAsia="宋体" w:hAnsi="Times New Roman"/>
                <w:color w:val="000000"/>
                <w:sz w:val="16"/>
                <w:szCs w:val="16"/>
              </w:rPr>
              <w:t>Mexico and Central America</w:t>
            </w:r>
          </w:p>
        </w:tc>
        <w:tc>
          <w:tcPr>
            <w:tcW w:w="0" w:type="auto"/>
            <w:gridSpan w:val="3"/>
            <w:shd w:val="clear" w:color="auto" w:fill="CCEEFF"/>
            <w:tcMar>
              <w:top w:w="0" w:type="dxa"/>
              <w:left w:w="20" w:type="dxa"/>
              <w:bottom w:w="0" w:type="dxa"/>
              <w:right w:w="20" w:type="dxa"/>
            </w:tcMar>
            <w:vAlign w:val="bottom"/>
          </w:tcPr>
          <w:p w14:paraId="098A9ACE"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98A9ACF" w14:textId="77777777" w:rsidR="00141CDF" w:rsidRDefault="00DF45E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98A9AD0" w14:textId="77777777" w:rsidR="00141CDF" w:rsidRDefault="00DF45E0">
            <w:pPr>
              <w:jc w:val="right"/>
              <w:textAlignment w:val="bottom"/>
            </w:pPr>
            <w:r>
              <w:rPr>
                <w:rFonts w:ascii="Times New Roman" w:eastAsia="宋体" w:hAnsi="Times New Roman"/>
                <w:color w:val="000000"/>
                <w:sz w:val="16"/>
                <w:szCs w:val="16"/>
              </w:rPr>
              <w:t>9,690 </w:t>
            </w:r>
          </w:p>
        </w:tc>
        <w:tc>
          <w:tcPr>
            <w:tcW w:w="0" w:type="auto"/>
            <w:tcBorders>
              <w:top w:val="single" w:sz="8" w:space="0" w:color="000000"/>
            </w:tcBorders>
            <w:shd w:val="clear" w:color="auto" w:fill="CCEEFF"/>
            <w:tcMar>
              <w:top w:w="40" w:type="dxa"/>
              <w:left w:w="0" w:type="dxa"/>
              <w:bottom w:w="40" w:type="dxa"/>
              <w:right w:w="20" w:type="dxa"/>
            </w:tcMar>
            <w:vAlign w:val="bottom"/>
          </w:tcPr>
          <w:p w14:paraId="098A9AD1"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AD2"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98A9AD3" w14:textId="77777777" w:rsidR="00141CDF" w:rsidRDefault="00DF45E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98A9AD4" w14:textId="77777777" w:rsidR="00141CDF" w:rsidRDefault="00DF45E0">
            <w:pPr>
              <w:jc w:val="right"/>
              <w:textAlignment w:val="bottom"/>
            </w:pPr>
            <w:r>
              <w:rPr>
                <w:rFonts w:ascii="Times New Roman" w:eastAsia="宋体" w:hAnsi="Times New Roman"/>
                <w:color w:val="000000"/>
                <w:sz w:val="16"/>
                <w:szCs w:val="16"/>
              </w:rPr>
              <w:t>8,658 </w:t>
            </w:r>
          </w:p>
        </w:tc>
        <w:tc>
          <w:tcPr>
            <w:tcW w:w="0" w:type="auto"/>
            <w:tcBorders>
              <w:top w:val="single" w:sz="8" w:space="0" w:color="000000"/>
            </w:tcBorders>
            <w:shd w:val="clear" w:color="auto" w:fill="CCEEFF"/>
            <w:tcMar>
              <w:top w:w="40" w:type="dxa"/>
              <w:left w:w="0" w:type="dxa"/>
              <w:bottom w:w="40" w:type="dxa"/>
              <w:right w:w="20" w:type="dxa"/>
            </w:tcMar>
            <w:vAlign w:val="bottom"/>
          </w:tcPr>
          <w:p w14:paraId="098A9AD5"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AD6"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98A9AD7" w14:textId="77777777" w:rsidR="00141CDF" w:rsidRDefault="00DF45E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98A9AD8" w14:textId="77777777" w:rsidR="00141CDF" w:rsidRDefault="00DF45E0">
            <w:pPr>
              <w:jc w:val="right"/>
              <w:textAlignment w:val="bottom"/>
            </w:pPr>
            <w:r>
              <w:rPr>
                <w:rFonts w:ascii="Times New Roman" w:eastAsia="宋体" w:hAnsi="Times New Roman"/>
                <w:color w:val="000000"/>
                <w:sz w:val="16"/>
                <w:szCs w:val="16"/>
              </w:rPr>
              <w:t>18,778 </w:t>
            </w:r>
          </w:p>
        </w:tc>
        <w:tc>
          <w:tcPr>
            <w:tcW w:w="0" w:type="auto"/>
            <w:tcBorders>
              <w:top w:val="single" w:sz="8" w:space="0" w:color="000000"/>
            </w:tcBorders>
            <w:shd w:val="clear" w:color="auto" w:fill="CCEEFF"/>
            <w:tcMar>
              <w:top w:w="40" w:type="dxa"/>
              <w:left w:w="0" w:type="dxa"/>
              <w:bottom w:w="40" w:type="dxa"/>
              <w:right w:w="20" w:type="dxa"/>
            </w:tcMar>
            <w:vAlign w:val="bottom"/>
          </w:tcPr>
          <w:p w14:paraId="098A9AD9"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ADA"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98A9ADB" w14:textId="77777777" w:rsidR="00141CDF" w:rsidRDefault="00DF45E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98A9ADC" w14:textId="77777777" w:rsidR="00141CDF" w:rsidRDefault="00DF45E0">
            <w:pPr>
              <w:jc w:val="right"/>
              <w:textAlignment w:val="bottom"/>
            </w:pPr>
            <w:r>
              <w:rPr>
                <w:rFonts w:ascii="Times New Roman" w:eastAsia="宋体" w:hAnsi="Times New Roman"/>
                <w:color w:val="000000"/>
                <w:sz w:val="16"/>
                <w:szCs w:val="16"/>
              </w:rPr>
              <w:t>16,988 </w:t>
            </w:r>
          </w:p>
        </w:tc>
        <w:tc>
          <w:tcPr>
            <w:tcW w:w="0" w:type="auto"/>
            <w:tcBorders>
              <w:top w:val="single" w:sz="8" w:space="0" w:color="000000"/>
            </w:tcBorders>
            <w:shd w:val="clear" w:color="auto" w:fill="CCEEFF"/>
            <w:tcMar>
              <w:top w:w="40" w:type="dxa"/>
              <w:left w:w="0" w:type="dxa"/>
              <w:bottom w:w="40" w:type="dxa"/>
              <w:right w:w="20" w:type="dxa"/>
            </w:tcMar>
            <w:vAlign w:val="bottom"/>
          </w:tcPr>
          <w:p w14:paraId="098A9ADD" w14:textId="77777777" w:rsidR="00141CDF" w:rsidRDefault="00141CDF">
            <w:pPr>
              <w:jc w:val="right"/>
              <w:rPr>
                <w:rFonts w:ascii="宋体"/>
              </w:rPr>
            </w:pPr>
          </w:p>
        </w:tc>
      </w:tr>
      <w:tr w:rsidR="00141CDF" w14:paraId="098A9AEC" w14:textId="77777777">
        <w:tc>
          <w:tcPr>
            <w:tcW w:w="0" w:type="auto"/>
            <w:gridSpan w:val="3"/>
            <w:shd w:val="clear" w:color="auto" w:fill="FFFFFF"/>
            <w:tcMar>
              <w:top w:w="40" w:type="dxa"/>
              <w:left w:w="380" w:type="dxa"/>
              <w:bottom w:w="40" w:type="dxa"/>
              <w:right w:w="20" w:type="dxa"/>
            </w:tcMar>
            <w:vAlign w:val="bottom"/>
          </w:tcPr>
          <w:p w14:paraId="098A9ADF" w14:textId="77777777" w:rsidR="00141CDF" w:rsidRDefault="00DF45E0">
            <w:pPr>
              <w:textAlignment w:val="bottom"/>
            </w:pPr>
            <w:r>
              <w:rPr>
                <w:rFonts w:ascii="Times New Roman" w:eastAsia="宋体" w:hAnsi="Times New Roman"/>
                <w:color w:val="000000"/>
                <w:sz w:val="16"/>
                <w:szCs w:val="16"/>
              </w:rPr>
              <w:t>Canada</w:t>
            </w:r>
          </w:p>
        </w:tc>
        <w:tc>
          <w:tcPr>
            <w:tcW w:w="0" w:type="auto"/>
            <w:gridSpan w:val="3"/>
            <w:shd w:val="clear" w:color="auto" w:fill="FFFFFF"/>
            <w:tcMar>
              <w:top w:w="0" w:type="dxa"/>
              <w:left w:w="20" w:type="dxa"/>
              <w:bottom w:w="0" w:type="dxa"/>
              <w:right w:w="20" w:type="dxa"/>
            </w:tcMar>
            <w:vAlign w:val="bottom"/>
          </w:tcPr>
          <w:p w14:paraId="098A9AE0"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bottom"/>
          </w:tcPr>
          <w:p w14:paraId="098A9AE1" w14:textId="77777777" w:rsidR="00141CDF" w:rsidRDefault="00DF45E0">
            <w:pPr>
              <w:jc w:val="right"/>
              <w:textAlignment w:val="bottom"/>
            </w:pPr>
            <w:r>
              <w:rPr>
                <w:rFonts w:ascii="Times New Roman" w:eastAsia="宋体" w:hAnsi="Times New Roman"/>
                <w:color w:val="000000"/>
                <w:sz w:val="16"/>
                <w:szCs w:val="16"/>
              </w:rPr>
              <w:t>5,767 </w:t>
            </w:r>
          </w:p>
        </w:tc>
        <w:tc>
          <w:tcPr>
            <w:tcW w:w="0" w:type="auto"/>
            <w:shd w:val="clear" w:color="auto" w:fill="FFFFFF"/>
            <w:tcMar>
              <w:top w:w="40" w:type="dxa"/>
              <w:left w:w="0" w:type="dxa"/>
              <w:bottom w:w="40" w:type="dxa"/>
              <w:right w:w="20" w:type="dxa"/>
            </w:tcMar>
            <w:vAlign w:val="bottom"/>
          </w:tcPr>
          <w:p w14:paraId="098A9AE2"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AE3"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bottom"/>
          </w:tcPr>
          <w:p w14:paraId="098A9AE4" w14:textId="77777777" w:rsidR="00141CDF" w:rsidRDefault="00DF45E0">
            <w:pPr>
              <w:jc w:val="right"/>
              <w:textAlignment w:val="bottom"/>
            </w:pPr>
            <w:r>
              <w:rPr>
                <w:rFonts w:ascii="Times New Roman" w:eastAsia="宋体" w:hAnsi="Times New Roman"/>
                <w:color w:val="000000"/>
                <w:sz w:val="16"/>
                <w:szCs w:val="16"/>
              </w:rPr>
              <w:t>5,492 </w:t>
            </w:r>
          </w:p>
        </w:tc>
        <w:tc>
          <w:tcPr>
            <w:tcW w:w="0" w:type="auto"/>
            <w:shd w:val="clear" w:color="auto" w:fill="FFFFFF"/>
            <w:tcMar>
              <w:top w:w="40" w:type="dxa"/>
              <w:left w:w="0" w:type="dxa"/>
              <w:bottom w:w="40" w:type="dxa"/>
              <w:right w:w="20" w:type="dxa"/>
            </w:tcMar>
            <w:vAlign w:val="bottom"/>
          </w:tcPr>
          <w:p w14:paraId="098A9AE5"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AE6"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bottom"/>
          </w:tcPr>
          <w:p w14:paraId="098A9AE7" w14:textId="77777777" w:rsidR="00141CDF" w:rsidRDefault="00DF45E0">
            <w:pPr>
              <w:jc w:val="right"/>
              <w:textAlignment w:val="bottom"/>
            </w:pPr>
            <w:r>
              <w:rPr>
                <w:rFonts w:ascii="Times New Roman" w:eastAsia="宋体" w:hAnsi="Times New Roman"/>
                <w:color w:val="000000"/>
                <w:sz w:val="16"/>
                <w:szCs w:val="16"/>
              </w:rPr>
              <w:t>10,917 </w:t>
            </w:r>
          </w:p>
        </w:tc>
        <w:tc>
          <w:tcPr>
            <w:tcW w:w="0" w:type="auto"/>
            <w:shd w:val="clear" w:color="auto" w:fill="FFFFFF"/>
            <w:tcMar>
              <w:top w:w="40" w:type="dxa"/>
              <w:left w:w="0" w:type="dxa"/>
              <w:bottom w:w="40" w:type="dxa"/>
              <w:right w:w="20" w:type="dxa"/>
            </w:tcMar>
            <w:vAlign w:val="bottom"/>
          </w:tcPr>
          <w:p w14:paraId="098A9AE8"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AE9"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bottom"/>
          </w:tcPr>
          <w:p w14:paraId="098A9AEA" w14:textId="77777777" w:rsidR="00141CDF" w:rsidRDefault="00DF45E0">
            <w:pPr>
              <w:jc w:val="right"/>
              <w:textAlignment w:val="bottom"/>
            </w:pPr>
            <w:r>
              <w:rPr>
                <w:rFonts w:ascii="Times New Roman" w:eastAsia="宋体" w:hAnsi="Times New Roman"/>
                <w:color w:val="000000"/>
                <w:sz w:val="16"/>
                <w:szCs w:val="16"/>
              </w:rPr>
              <w:t>10,340 </w:t>
            </w:r>
          </w:p>
        </w:tc>
        <w:tc>
          <w:tcPr>
            <w:tcW w:w="0" w:type="auto"/>
            <w:shd w:val="clear" w:color="auto" w:fill="FFFFFF"/>
            <w:tcMar>
              <w:top w:w="40" w:type="dxa"/>
              <w:left w:w="0" w:type="dxa"/>
              <w:bottom w:w="40" w:type="dxa"/>
              <w:right w:w="20" w:type="dxa"/>
            </w:tcMar>
            <w:vAlign w:val="bottom"/>
          </w:tcPr>
          <w:p w14:paraId="098A9AEB" w14:textId="77777777" w:rsidR="00141CDF" w:rsidRDefault="00141CDF">
            <w:pPr>
              <w:jc w:val="right"/>
              <w:rPr>
                <w:rFonts w:ascii="宋体"/>
              </w:rPr>
            </w:pPr>
          </w:p>
        </w:tc>
      </w:tr>
      <w:tr w:rsidR="00141CDF" w14:paraId="098A9AFA" w14:textId="77777777">
        <w:tc>
          <w:tcPr>
            <w:tcW w:w="0" w:type="auto"/>
            <w:gridSpan w:val="3"/>
            <w:shd w:val="clear" w:color="auto" w:fill="CCEEFF"/>
            <w:tcMar>
              <w:top w:w="40" w:type="dxa"/>
              <w:left w:w="380" w:type="dxa"/>
              <w:bottom w:w="40" w:type="dxa"/>
              <w:right w:w="20" w:type="dxa"/>
            </w:tcMar>
            <w:vAlign w:val="bottom"/>
          </w:tcPr>
          <w:p w14:paraId="098A9AED" w14:textId="77777777" w:rsidR="00141CDF" w:rsidRDefault="00DF45E0">
            <w:pPr>
              <w:textAlignment w:val="bottom"/>
            </w:pPr>
            <w:r>
              <w:rPr>
                <w:rFonts w:ascii="Times New Roman" w:eastAsia="宋体" w:hAnsi="Times New Roman"/>
                <w:color w:val="000000"/>
                <w:sz w:val="16"/>
                <w:szCs w:val="16"/>
              </w:rPr>
              <w:t>China</w:t>
            </w:r>
          </w:p>
        </w:tc>
        <w:tc>
          <w:tcPr>
            <w:tcW w:w="0" w:type="auto"/>
            <w:gridSpan w:val="3"/>
            <w:shd w:val="clear" w:color="auto" w:fill="CCEEFF"/>
            <w:tcMar>
              <w:top w:w="0" w:type="dxa"/>
              <w:left w:w="20" w:type="dxa"/>
              <w:bottom w:w="0" w:type="dxa"/>
              <w:right w:w="20" w:type="dxa"/>
            </w:tcMar>
            <w:vAlign w:val="bottom"/>
          </w:tcPr>
          <w:p w14:paraId="098A9AEE"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bottom"/>
          </w:tcPr>
          <w:p w14:paraId="098A9AEF" w14:textId="77777777" w:rsidR="00141CDF" w:rsidRDefault="00DF45E0">
            <w:pPr>
              <w:jc w:val="right"/>
              <w:textAlignment w:val="bottom"/>
            </w:pPr>
            <w:r>
              <w:rPr>
                <w:rFonts w:ascii="Times New Roman" w:eastAsia="宋体" w:hAnsi="Times New Roman"/>
                <w:color w:val="000000"/>
                <w:sz w:val="16"/>
                <w:szCs w:val="16"/>
              </w:rPr>
              <w:t>3,397 </w:t>
            </w:r>
          </w:p>
        </w:tc>
        <w:tc>
          <w:tcPr>
            <w:tcW w:w="0" w:type="auto"/>
            <w:shd w:val="clear" w:color="auto" w:fill="CCEEFF"/>
            <w:tcMar>
              <w:top w:w="40" w:type="dxa"/>
              <w:left w:w="0" w:type="dxa"/>
              <w:bottom w:w="40" w:type="dxa"/>
              <w:right w:w="20" w:type="dxa"/>
            </w:tcMar>
            <w:vAlign w:val="bottom"/>
          </w:tcPr>
          <w:p w14:paraId="098A9AF0"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AF1"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bottom"/>
          </w:tcPr>
          <w:p w14:paraId="098A9AF2" w14:textId="77777777" w:rsidR="00141CDF" w:rsidRDefault="00DF45E0">
            <w:pPr>
              <w:jc w:val="right"/>
              <w:textAlignment w:val="bottom"/>
            </w:pPr>
            <w:r>
              <w:rPr>
                <w:rFonts w:ascii="Times New Roman" w:eastAsia="宋体" w:hAnsi="Times New Roman"/>
                <w:color w:val="000000"/>
                <w:sz w:val="16"/>
                <w:szCs w:val="16"/>
              </w:rPr>
              <w:t>3,001 </w:t>
            </w:r>
          </w:p>
        </w:tc>
        <w:tc>
          <w:tcPr>
            <w:tcW w:w="0" w:type="auto"/>
            <w:shd w:val="clear" w:color="auto" w:fill="CCEEFF"/>
            <w:tcMar>
              <w:top w:w="40" w:type="dxa"/>
              <w:left w:w="0" w:type="dxa"/>
              <w:bottom w:w="40" w:type="dxa"/>
              <w:right w:w="20" w:type="dxa"/>
            </w:tcMar>
            <w:vAlign w:val="bottom"/>
          </w:tcPr>
          <w:p w14:paraId="098A9AF3"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AF4"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bottom"/>
          </w:tcPr>
          <w:p w14:paraId="098A9AF5" w14:textId="77777777" w:rsidR="00141CDF" w:rsidRDefault="00DF45E0">
            <w:pPr>
              <w:jc w:val="right"/>
              <w:textAlignment w:val="bottom"/>
            </w:pPr>
            <w:r>
              <w:rPr>
                <w:rFonts w:ascii="Times New Roman" w:eastAsia="宋体" w:hAnsi="Times New Roman"/>
                <w:color w:val="000000"/>
                <w:sz w:val="16"/>
                <w:szCs w:val="16"/>
              </w:rPr>
              <w:t>7,524 </w:t>
            </w:r>
          </w:p>
        </w:tc>
        <w:tc>
          <w:tcPr>
            <w:tcW w:w="0" w:type="auto"/>
            <w:shd w:val="clear" w:color="auto" w:fill="CCEEFF"/>
            <w:tcMar>
              <w:top w:w="40" w:type="dxa"/>
              <w:left w:w="0" w:type="dxa"/>
              <w:bottom w:w="40" w:type="dxa"/>
              <w:right w:w="20" w:type="dxa"/>
            </w:tcMar>
            <w:vAlign w:val="bottom"/>
          </w:tcPr>
          <w:p w14:paraId="098A9AF6"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AF7"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bottom"/>
          </w:tcPr>
          <w:p w14:paraId="098A9AF8" w14:textId="77777777" w:rsidR="00141CDF" w:rsidRDefault="00DF45E0">
            <w:pPr>
              <w:jc w:val="right"/>
              <w:textAlignment w:val="bottom"/>
            </w:pPr>
            <w:r>
              <w:rPr>
                <w:rFonts w:ascii="Times New Roman" w:eastAsia="宋体" w:hAnsi="Times New Roman"/>
                <w:color w:val="000000"/>
                <w:sz w:val="16"/>
                <w:szCs w:val="16"/>
              </w:rPr>
              <w:t>6,774 </w:t>
            </w:r>
          </w:p>
        </w:tc>
        <w:tc>
          <w:tcPr>
            <w:tcW w:w="0" w:type="auto"/>
            <w:shd w:val="clear" w:color="auto" w:fill="CCEEFF"/>
            <w:tcMar>
              <w:top w:w="40" w:type="dxa"/>
              <w:left w:w="0" w:type="dxa"/>
              <w:bottom w:w="40" w:type="dxa"/>
              <w:right w:w="20" w:type="dxa"/>
            </w:tcMar>
            <w:vAlign w:val="bottom"/>
          </w:tcPr>
          <w:p w14:paraId="098A9AF9" w14:textId="77777777" w:rsidR="00141CDF" w:rsidRDefault="00141CDF">
            <w:pPr>
              <w:jc w:val="right"/>
              <w:rPr>
                <w:rFonts w:ascii="宋体"/>
              </w:rPr>
            </w:pPr>
          </w:p>
        </w:tc>
      </w:tr>
      <w:tr w:rsidR="00141CDF" w14:paraId="098A9B08" w14:textId="77777777">
        <w:tc>
          <w:tcPr>
            <w:tcW w:w="0" w:type="auto"/>
            <w:gridSpan w:val="3"/>
            <w:shd w:val="clear" w:color="auto" w:fill="FFFFFF"/>
            <w:tcMar>
              <w:top w:w="40" w:type="dxa"/>
              <w:left w:w="380" w:type="dxa"/>
              <w:bottom w:w="40" w:type="dxa"/>
              <w:right w:w="20" w:type="dxa"/>
            </w:tcMar>
            <w:vAlign w:val="bottom"/>
          </w:tcPr>
          <w:p w14:paraId="098A9AFB" w14:textId="77777777" w:rsidR="00141CDF" w:rsidRDefault="00DF45E0">
            <w:pPr>
              <w:textAlignment w:val="bottom"/>
            </w:pPr>
            <w:r>
              <w:rPr>
                <w:rFonts w:ascii="Times New Roman" w:eastAsia="宋体" w:hAnsi="Times New Roman"/>
                <w:color w:val="000000"/>
                <w:sz w:val="16"/>
                <w:szCs w:val="16"/>
              </w:rPr>
              <w:t>United Kingdom</w:t>
            </w:r>
          </w:p>
        </w:tc>
        <w:tc>
          <w:tcPr>
            <w:tcW w:w="0" w:type="auto"/>
            <w:gridSpan w:val="3"/>
            <w:shd w:val="clear" w:color="auto" w:fill="FFFFFF"/>
            <w:tcMar>
              <w:top w:w="0" w:type="dxa"/>
              <w:left w:w="20" w:type="dxa"/>
              <w:bottom w:w="0" w:type="dxa"/>
              <w:right w:w="20" w:type="dxa"/>
            </w:tcMar>
            <w:vAlign w:val="bottom"/>
          </w:tcPr>
          <w:p w14:paraId="098A9AFC"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bottom"/>
          </w:tcPr>
          <w:p w14:paraId="098A9AFD" w14:textId="77777777" w:rsidR="00141CDF" w:rsidRDefault="00DF45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98A9AFE"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AFF"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bottom"/>
          </w:tcPr>
          <w:p w14:paraId="098A9B00" w14:textId="77777777" w:rsidR="00141CDF" w:rsidRDefault="00DF45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98A9B01"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B02"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bottom"/>
          </w:tcPr>
          <w:p w14:paraId="098A9B03" w14:textId="77777777" w:rsidR="00141CDF" w:rsidRDefault="00DF45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98A9B04"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B05"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bottom"/>
          </w:tcPr>
          <w:p w14:paraId="098A9B06" w14:textId="77777777" w:rsidR="00141CDF" w:rsidRDefault="00DF45E0">
            <w:pPr>
              <w:jc w:val="right"/>
              <w:textAlignment w:val="bottom"/>
            </w:pPr>
            <w:r>
              <w:rPr>
                <w:rFonts w:ascii="Times New Roman" w:eastAsia="宋体" w:hAnsi="Times New Roman"/>
                <w:color w:val="000000"/>
                <w:sz w:val="16"/>
                <w:szCs w:val="16"/>
              </w:rPr>
              <w:t>3,811 </w:t>
            </w:r>
          </w:p>
        </w:tc>
        <w:tc>
          <w:tcPr>
            <w:tcW w:w="0" w:type="auto"/>
            <w:shd w:val="clear" w:color="auto" w:fill="FFFFFF"/>
            <w:tcMar>
              <w:top w:w="40" w:type="dxa"/>
              <w:left w:w="0" w:type="dxa"/>
              <w:bottom w:w="40" w:type="dxa"/>
              <w:right w:w="20" w:type="dxa"/>
            </w:tcMar>
            <w:vAlign w:val="bottom"/>
          </w:tcPr>
          <w:p w14:paraId="098A9B07" w14:textId="77777777" w:rsidR="00141CDF" w:rsidRDefault="00141CDF">
            <w:pPr>
              <w:jc w:val="right"/>
              <w:rPr>
                <w:rFonts w:ascii="宋体"/>
              </w:rPr>
            </w:pPr>
          </w:p>
        </w:tc>
      </w:tr>
      <w:tr w:rsidR="00141CDF" w14:paraId="098A9B16" w14:textId="77777777">
        <w:tc>
          <w:tcPr>
            <w:tcW w:w="0" w:type="auto"/>
            <w:gridSpan w:val="3"/>
            <w:shd w:val="clear" w:color="auto" w:fill="CCEEFF"/>
            <w:tcMar>
              <w:top w:w="40" w:type="dxa"/>
              <w:left w:w="380" w:type="dxa"/>
              <w:bottom w:w="40" w:type="dxa"/>
              <w:right w:w="20" w:type="dxa"/>
            </w:tcMar>
            <w:vAlign w:val="bottom"/>
          </w:tcPr>
          <w:p w14:paraId="098A9B09" w14:textId="77777777" w:rsidR="00141CDF" w:rsidRDefault="00DF45E0">
            <w:pPr>
              <w:textAlignment w:val="bottom"/>
            </w:pPr>
            <w:r>
              <w:rPr>
                <w:rFonts w:ascii="Times New Roman" w:eastAsia="宋体" w:hAnsi="Times New Roman"/>
                <w:color w:val="000000"/>
                <w:sz w:val="16"/>
                <w:szCs w:val="16"/>
              </w:rPr>
              <w:t>Other</w:t>
            </w:r>
          </w:p>
        </w:tc>
        <w:tc>
          <w:tcPr>
            <w:tcW w:w="0" w:type="auto"/>
            <w:gridSpan w:val="3"/>
            <w:shd w:val="clear" w:color="auto" w:fill="CCEEFF"/>
            <w:tcMar>
              <w:top w:w="0" w:type="dxa"/>
              <w:left w:w="20" w:type="dxa"/>
              <w:bottom w:w="0" w:type="dxa"/>
              <w:right w:w="20" w:type="dxa"/>
            </w:tcMar>
            <w:vAlign w:val="bottom"/>
          </w:tcPr>
          <w:p w14:paraId="098A9B0A"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bottom"/>
          </w:tcPr>
          <w:p w14:paraId="098A9B0B" w14:textId="77777777" w:rsidR="00141CDF" w:rsidRDefault="00DF45E0">
            <w:pPr>
              <w:jc w:val="right"/>
              <w:textAlignment w:val="bottom"/>
            </w:pPr>
            <w:r>
              <w:rPr>
                <w:rFonts w:ascii="Times New Roman" w:eastAsia="宋体" w:hAnsi="Times New Roman"/>
                <w:color w:val="000000"/>
                <w:sz w:val="16"/>
                <w:szCs w:val="16"/>
              </w:rPr>
              <w:t>5,496 </w:t>
            </w:r>
          </w:p>
        </w:tc>
        <w:tc>
          <w:tcPr>
            <w:tcW w:w="0" w:type="auto"/>
            <w:shd w:val="clear" w:color="auto" w:fill="CCEEFF"/>
            <w:tcMar>
              <w:top w:w="40" w:type="dxa"/>
              <w:left w:w="0" w:type="dxa"/>
              <w:bottom w:w="40" w:type="dxa"/>
              <w:right w:w="20" w:type="dxa"/>
            </w:tcMar>
            <w:vAlign w:val="bottom"/>
          </w:tcPr>
          <w:p w14:paraId="098A9B0C"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B0D"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bottom"/>
          </w:tcPr>
          <w:p w14:paraId="098A9B0E" w14:textId="77777777" w:rsidR="00141CDF" w:rsidRDefault="00DF45E0">
            <w:pPr>
              <w:jc w:val="right"/>
              <w:textAlignment w:val="bottom"/>
            </w:pPr>
            <w:r>
              <w:rPr>
                <w:rFonts w:ascii="Times New Roman" w:eastAsia="宋体" w:hAnsi="Times New Roman"/>
                <w:color w:val="000000"/>
                <w:sz w:val="16"/>
                <w:szCs w:val="16"/>
              </w:rPr>
              <w:t>5,884 </w:t>
            </w:r>
          </w:p>
        </w:tc>
        <w:tc>
          <w:tcPr>
            <w:tcW w:w="0" w:type="auto"/>
            <w:shd w:val="clear" w:color="auto" w:fill="CCEEFF"/>
            <w:tcMar>
              <w:top w:w="40" w:type="dxa"/>
              <w:left w:w="0" w:type="dxa"/>
              <w:bottom w:w="40" w:type="dxa"/>
              <w:right w:w="20" w:type="dxa"/>
            </w:tcMar>
            <w:vAlign w:val="bottom"/>
          </w:tcPr>
          <w:p w14:paraId="098A9B0F"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B10"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bottom"/>
          </w:tcPr>
          <w:p w14:paraId="098A9B11" w14:textId="77777777" w:rsidR="00141CDF" w:rsidRDefault="00DF45E0">
            <w:pPr>
              <w:jc w:val="right"/>
              <w:textAlignment w:val="bottom"/>
            </w:pPr>
            <w:r>
              <w:rPr>
                <w:rFonts w:ascii="Times New Roman" w:eastAsia="宋体" w:hAnsi="Times New Roman"/>
                <w:color w:val="000000"/>
                <w:sz w:val="16"/>
                <w:szCs w:val="16"/>
              </w:rPr>
              <w:t>10,894 </w:t>
            </w:r>
          </w:p>
        </w:tc>
        <w:tc>
          <w:tcPr>
            <w:tcW w:w="0" w:type="auto"/>
            <w:shd w:val="clear" w:color="auto" w:fill="CCEEFF"/>
            <w:tcMar>
              <w:top w:w="40" w:type="dxa"/>
              <w:left w:w="0" w:type="dxa"/>
              <w:bottom w:w="40" w:type="dxa"/>
              <w:right w:w="20" w:type="dxa"/>
            </w:tcMar>
            <w:vAlign w:val="bottom"/>
          </w:tcPr>
          <w:p w14:paraId="098A9B12"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B13"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bottom"/>
          </w:tcPr>
          <w:p w14:paraId="098A9B14" w14:textId="77777777" w:rsidR="00141CDF" w:rsidRDefault="00DF45E0">
            <w:pPr>
              <w:jc w:val="right"/>
              <w:textAlignment w:val="bottom"/>
            </w:pPr>
            <w:r>
              <w:rPr>
                <w:rFonts w:ascii="Times New Roman" w:eastAsia="宋体" w:hAnsi="Times New Roman"/>
                <w:color w:val="000000"/>
                <w:sz w:val="16"/>
                <w:szCs w:val="16"/>
              </w:rPr>
              <w:t>12,422 </w:t>
            </w:r>
          </w:p>
        </w:tc>
        <w:tc>
          <w:tcPr>
            <w:tcW w:w="0" w:type="auto"/>
            <w:shd w:val="clear" w:color="auto" w:fill="CCEEFF"/>
            <w:tcMar>
              <w:top w:w="40" w:type="dxa"/>
              <w:left w:w="0" w:type="dxa"/>
              <w:bottom w:w="40" w:type="dxa"/>
              <w:right w:w="20" w:type="dxa"/>
            </w:tcMar>
            <w:vAlign w:val="bottom"/>
          </w:tcPr>
          <w:p w14:paraId="098A9B15" w14:textId="77777777" w:rsidR="00141CDF" w:rsidRDefault="00141CDF">
            <w:pPr>
              <w:jc w:val="right"/>
              <w:rPr>
                <w:rFonts w:ascii="宋体"/>
              </w:rPr>
            </w:pPr>
          </w:p>
        </w:tc>
      </w:tr>
      <w:tr w:rsidR="00141CDF" w14:paraId="098A9B28" w14:textId="77777777">
        <w:tc>
          <w:tcPr>
            <w:tcW w:w="0" w:type="auto"/>
            <w:gridSpan w:val="3"/>
            <w:shd w:val="clear" w:color="auto" w:fill="FFFFFF"/>
            <w:tcMar>
              <w:top w:w="40" w:type="dxa"/>
              <w:left w:w="20" w:type="dxa"/>
              <w:bottom w:w="40" w:type="dxa"/>
              <w:right w:w="20" w:type="dxa"/>
            </w:tcMar>
            <w:vAlign w:val="bottom"/>
          </w:tcPr>
          <w:p w14:paraId="098A9B17" w14:textId="77777777" w:rsidR="00141CDF" w:rsidRDefault="00DF45E0">
            <w:pPr>
              <w:textAlignment w:val="bottom"/>
            </w:pPr>
            <w:r>
              <w:rPr>
                <w:rFonts w:ascii="Times New Roman" w:eastAsia="宋体" w:hAnsi="Times New Roman"/>
                <w:b/>
                <w:bCs/>
                <w:color w:val="000000"/>
                <w:sz w:val="16"/>
                <w:szCs w:val="16"/>
              </w:rPr>
              <w:t>Total</w:t>
            </w:r>
          </w:p>
        </w:tc>
        <w:tc>
          <w:tcPr>
            <w:tcW w:w="0" w:type="auto"/>
            <w:gridSpan w:val="3"/>
            <w:shd w:val="clear" w:color="auto" w:fill="FFFFFF"/>
            <w:tcMar>
              <w:top w:w="0" w:type="dxa"/>
              <w:left w:w="20" w:type="dxa"/>
              <w:bottom w:w="0" w:type="dxa"/>
              <w:right w:w="20" w:type="dxa"/>
            </w:tcMar>
            <w:vAlign w:val="bottom"/>
          </w:tcPr>
          <w:p w14:paraId="098A9B18" w14:textId="77777777" w:rsidR="00141CDF" w:rsidRDefault="00141C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98A9B19" w14:textId="77777777" w:rsidR="00141CDF" w:rsidRDefault="00DF45E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98A9B1A" w14:textId="77777777" w:rsidR="00141CDF" w:rsidRDefault="00DF45E0">
            <w:pPr>
              <w:jc w:val="right"/>
              <w:textAlignment w:val="bottom"/>
            </w:pPr>
            <w:r>
              <w:rPr>
                <w:rFonts w:ascii="Times New Roman" w:eastAsia="宋体" w:hAnsi="Times New Roman"/>
                <w:color w:val="000000"/>
                <w:sz w:val="16"/>
                <w:szCs w:val="16"/>
              </w:rPr>
              <w:t>24,350 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98A9B1B"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B1C" w14:textId="77777777" w:rsidR="00141CDF" w:rsidRDefault="00141C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98A9B1D" w14:textId="77777777" w:rsidR="00141CDF" w:rsidRDefault="00DF45E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98A9B1E" w14:textId="77777777" w:rsidR="00141CDF" w:rsidRDefault="00DF45E0">
            <w:pPr>
              <w:jc w:val="right"/>
              <w:textAlignment w:val="bottom"/>
            </w:pPr>
            <w:r>
              <w:rPr>
                <w:rFonts w:ascii="Times New Roman" w:eastAsia="宋体" w:hAnsi="Times New Roman"/>
                <w:color w:val="000000"/>
                <w:sz w:val="16"/>
                <w:szCs w:val="16"/>
              </w:rPr>
              <w:t>23,035 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98A9B1F"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B20" w14:textId="77777777" w:rsidR="00141CDF" w:rsidRDefault="00141C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98A9B21" w14:textId="77777777" w:rsidR="00141CDF" w:rsidRDefault="00DF45E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98A9B22" w14:textId="77777777" w:rsidR="00141CDF" w:rsidRDefault="00DF45E0">
            <w:pPr>
              <w:jc w:val="right"/>
              <w:textAlignment w:val="bottom"/>
            </w:pPr>
            <w:r>
              <w:rPr>
                <w:rFonts w:ascii="Times New Roman" w:eastAsia="宋体" w:hAnsi="Times New Roman"/>
                <w:color w:val="000000"/>
                <w:sz w:val="16"/>
                <w:szCs w:val="16"/>
              </w:rPr>
              <w:t>48,113 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98A9B23"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B24" w14:textId="77777777" w:rsidR="00141CDF" w:rsidRDefault="00141C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98A9B25" w14:textId="77777777" w:rsidR="00141CDF" w:rsidRDefault="00DF45E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98A9B26" w14:textId="77777777" w:rsidR="00141CDF" w:rsidRDefault="00DF45E0">
            <w:pPr>
              <w:jc w:val="right"/>
              <w:textAlignment w:val="bottom"/>
            </w:pPr>
            <w:r>
              <w:rPr>
                <w:rFonts w:ascii="Times New Roman" w:eastAsia="宋体" w:hAnsi="Times New Roman"/>
                <w:color w:val="000000"/>
                <w:sz w:val="16"/>
                <w:szCs w:val="16"/>
              </w:rPr>
              <w:t>50,335 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98A9B27" w14:textId="77777777" w:rsidR="00141CDF" w:rsidRDefault="00141CDF">
            <w:pPr>
              <w:jc w:val="right"/>
              <w:rPr>
                <w:rFonts w:ascii="宋体"/>
              </w:rPr>
            </w:pPr>
          </w:p>
        </w:tc>
      </w:tr>
    </w:tbl>
    <w:p w14:paraId="098A9B29" w14:textId="77777777" w:rsidR="00141CDF" w:rsidRDefault="00DF45E0">
      <w:pPr>
        <w:spacing w:before="80"/>
      </w:pPr>
      <w:r>
        <w:rPr>
          <w:rFonts w:ascii="Times New Roman" w:eastAsia="宋体" w:hAnsi="Times New Roman"/>
          <w:color w:val="000000"/>
          <w:sz w:val="20"/>
          <w:szCs w:val="20"/>
        </w:rPr>
        <w:t>Of Walmart International's total net sales, approximately $4.6 billion and $4.1 billion relate</w:t>
      </w:r>
      <w:r>
        <w:rPr>
          <w:rFonts w:ascii="Times New Roman" w:eastAsia="宋体" w:hAnsi="Times New Roman"/>
          <w:color w:val="000000"/>
          <w:sz w:val="20"/>
          <w:szCs w:val="20"/>
        </w:rPr>
        <w:t>d to eCommerce for the three months ended July 31, 2022 and 2021, respectively, and approximately $8.9 billion and $8.4 billion related to eCommerce for the six months ended July 31, 2022 and 2021, respectively.</w:t>
      </w:r>
    </w:p>
    <w:p w14:paraId="098A9B2A" w14:textId="77777777" w:rsidR="00141CDF" w:rsidRDefault="00DF45E0">
      <w:pPr>
        <w:jc w:val="center"/>
      </w:pPr>
      <w:r>
        <w:rPr>
          <w:rFonts w:ascii="Times New Roman" w:eastAsia="宋体" w:hAnsi="Times New Roman"/>
          <w:color w:val="000000"/>
          <w:sz w:val="20"/>
          <w:szCs w:val="20"/>
        </w:rPr>
        <w:t>13</w:t>
      </w:r>
    </w:p>
    <w:p w14:paraId="098A9B2B" w14:textId="77777777" w:rsidR="00141CDF" w:rsidRDefault="00DF45E0">
      <w:r>
        <w:pict w14:anchorId="098AA65B">
          <v:rect id="_x0000_i1037" style="width:415.3pt;height:1.5pt" o:hralign="center" o:hrstd="t" o:hr="t" fillcolor="#a0a0a0" stroked="f"/>
        </w:pict>
      </w:r>
    </w:p>
    <w:p w14:paraId="098A9B2C" w14:textId="77777777" w:rsidR="00141CDF" w:rsidRDefault="00DF45E0">
      <w:hyperlink r:id="rId63" w:anchor="i24a2f296795646fa8b5ba32fd1359591_7" w:history="1">
        <w:r>
          <w:rPr>
            <w:rStyle w:val="a5"/>
            <w:rFonts w:ascii="Times New Roman" w:eastAsia="宋体" w:hAnsi="Times New Roman"/>
            <w:sz w:val="20"/>
            <w:szCs w:val="20"/>
          </w:rPr>
          <w:t xml:space="preserve">Table of </w:t>
        </w:r>
      </w:hyperlink>
      <w:hyperlink r:id="rId64" w:anchor="i24a2f296795646fa8b5ba32fd1359591_7" w:history="1">
        <w:r>
          <w:rPr>
            <w:rStyle w:val="a5"/>
            <w:rFonts w:ascii="Times New Roman" w:eastAsia="宋体" w:hAnsi="Times New Roman"/>
            <w:sz w:val="20"/>
            <w:szCs w:val="20"/>
          </w:rPr>
          <w:t>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108"/>
        <w:gridCol w:w="39"/>
        <w:gridCol w:w="36"/>
        <w:gridCol w:w="36"/>
        <w:gridCol w:w="36"/>
        <w:gridCol w:w="100"/>
        <w:gridCol w:w="793"/>
        <w:gridCol w:w="36"/>
        <w:gridCol w:w="36"/>
        <w:gridCol w:w="36"/>
        <w:gridCol w:w="36"/>
        <w:gridCol w:w="100"/>
        <w:gridCol w:w="793"/>
        <w:gridCol w:w="36"/>
        <w:gridCol w:w="36"/>
        <w:gridCol w:w="36"/>
        <w:gridCol w:w="36"/>
        <w:gridCol w:w="100"/>
        <w:gridCol w:w="793"/>
        <w:gridCol w:w="36"/>
        <w:gridCol w:w="36"/>
        <w:gridCol w:w="36"/>
        <w:gridCol w:w="36"/>
        <w:gridCol w:w="100"/>
        <w:gridCol w:w="794"/>
        <w:gridCol w:w="36"/>
      </w:tblGrid>
      <w:tr w:rsidR="00141CDF" w14:paraId="098A9B48" w14:textId="77777777">
        <w:trPr>
          <w:jc w:val="center"/>
        </w:trPr>
        <w:tc>
          <w:tcPr>
            <w:tcW w:w="50" w:type="pct"/>
            <w:shd w:val="clear" w:color="auto" w:fill="auto"/>
            <w:vAlign w:val="bottom"/>
          </w:tcPr>
          <w:p w14:paraId="098A9B2D" w14:textId="77777777" w:rsidR="00141CDF" w:rsidRDefault="00141CDF">
            <w:pPr>
              <w:rPr>
                <w:rFonts w:ascii="宋体"/>
              </w:rPr>
            </w:pPr>
          </w:p>
        </w:tc>
        <w:tc>
          <w:tcPr>
            <w:tcW w:w="2488" w:type="pct"/>
            <w:shd w:val="clear" w:color="auto" w:fill="auto"/>
            <w:vAlign w:val="bottom"/>
          </w:tcPr>
          <w:p w14:paraId="098A9B2E" w14:textId="77777777" w:rsidR="00141CDF" w:rsidRDefault="00141CDF">
            <w:pPr>
              <w:rPr>
                <w:rFonts w:ascii="宋体"/>
              </w:rPr>
            </w:pPr>
          </w:p>
        </w:tc>
        <w:tc>
          <w:tcPr>
            <w:tcW w:w="5" w:type="pct"/>
            <w:shd w:val="clear" w:color="auto" w:fill="auto"/>
            <w:vAlign w:val="bottom"/>
          </w:tcPr>
          <w:p w14:paraId="098A9B2F" w14:textId="77777777" w:rsidR="00141CDF" w:rsidRDefault="00141CDF">
            <w:pPr>
              <w:rPr>
                <w:rFonts w:ascii="宋体"/>
              </w:rPr>
            </w:pPr>
          </w:p>
        </w:tc>
        <w:tc>
          <w:tcPr>
            <w:tcW w:w="5" w:type="pct"/>
            <w:shd w:val="clear" w:color="auto" w:fill="auto"/>
            <w:vAlign w:val="bottom"/>
          </w:tcPr>
          <w:p w14:paraId="098A9B30" w14:textId="77777777" w:rsidR="00141CDF" w:rsidRDefault="00141CDF">
            <w:pPr>
              <w:rPr>
                <w:rFonts w:ascii="宋体"/>
              </w:rPr>
            </w:pPr>
          </w:p>
        </w:tc>
        <w:tc>
          <w:tcPr>
            <w:tcW w:w="26" w:type="pct"/>
            <w:shd w:val="clear" w:color="auto" w:fill="auto"/>
            <w:vAlign w:val="bottom"/>
          </w:tcPr>
          <w:p w14:paraId="098A9B31" w14:textId="77777777" w:rsidR="00141CDF" w:rsidRDefault="00141CDF">
            <w:pPr>
              <w:rPr>
                <w:rFonts w:ascii="宋体"/>
              </w:rPr>
            </w:pPr>
          </w:p>
        </w:tc>
        <w:tc>
          <w:tcPr>
            <w:tcW w:w="5" w:type="pct"/>
            <w:shd w:val="clear" w:color="auto" w:fill="auto"/>
            <w:vAlign w:val="bottom"/>
          </w:tcPr>
          <w:p w14:paraId="098A9B32" w14:textId="77777777" w:rsidR="00141CDF" w:rsidRDefault="00141CDF">
            <w:pPr>
              <w:rPr>
                <w:rFonts w:ascii="宋体"/>
              </w:rPr>
            </w:pPr>
          </w:p>
        </w:tc>
        <w:tc>
          <w:tcPr>
            <w:tcW w:w="50" w:type="pct"/>
            <w:shd w:val="clear" w:color="auto" w:fill="auto"/>
            <w:vAlign w:val="bottom"/>
          </w:tcPr>
          <w:p w14:paraId="098A9B33" w14:textId="77777777" w:rsidR="00141CDF" w:rsidRDefault="00141CDF">
            <w:pPr>
              <w:rPr>
                <w:rFonts w:ascii="宋体"/>
              </w:rPr>
            </w:pPr>
          </w:p>
        </w:tc>
        <w:tc>
          <w:tcPr>
            <w:tcW w:w="522" w:type="pct"/>
            <w:shd w:val="clear" w:color="auto" w:fill="auto"/>
            <w:vAlign w:val="bottom"/>
          </w:tcPr>
          <w:p w14:paraId="098A9B34" w14:textId="77777777" w:rsidR="00141CDF" w:rsidRDefault="00141CDF">
            <w:pPr>
              <w:rPr>
                <w:rFonts w:ascii="宋体"/>
              </w:rPr>
            </w:pPr>
          </w:p>
        </w:tc>
        <w:tc>
          <w:tcPr>
            <w:tcW w:w="5" w:type="pct"/>
            <w:shd w:val="clear" w:color="auto" w:fill="auto"/>
            <w:vAlign w:val="bottom"/>
          </w:tcPr>
          <w:p w14:paraId="098A9B35" w14:textId="77777777" w:rsidR="00141CDF" w:rsidRDefault="00141CDF">
            <w:pPr>
              <w:rPr>
                <w:rFonts w:ascii="宋体"/>
              </w:rPr>
            </w:pPr>
          </w:p>
        </w:tc>
        <w:tc>
          <w:tcPr>
            <w:tcW w:w="5" w:type="pct"/>
            <w:shd w:val="clear" w:color="auto" w:fill="auto"/>
            <w:vAlign w:val="bottom"/>
          </w:tcPr>
          <w:p w14:paraId="098A9B36" w14:textId="77777777" w:rsidR="00141CDF" w:rsidRDefault="00141CDF">
            <w:pPr>
              <w:rPr>
                <w:rFonts w:ascii="宋体"/>
              </w:rPr>
            </w:pPr>
          </w:p>
        </w:tc>
        <w:tc>
          <w:tcPr>
            <w:tcW w:w="26" w:type="pct"/>
            <w:shd w:val="clear" w:color="auto" w:fill="auto"/>
            <w:vAlign w:val="bottom"/>
          </w:tcPr>
          <w:p w14:paraId="098A9B37" w14:textId="77777777" w:rsidR="00141CDF" w:rsidRDefault="00141CDF">
            <w:pPr>
              <w:rPr>
                <w:rFonts w:ascii="宋体"/>
              </w:rPr>
            </w:pPr>
          </w:p>
        </w:tc>
        <w:tc>
          <w:tcPr>
            <w:tcW w:w="5" w:type="pct"/>
            <w:shd w:val="clear" w:color="auto" w:fill="auto"/>
            <w:vAlign w:val="bottom"/>
          </w:tcPr>
          <w:p w14:paraId="098A9B38" w14:textId="77777777" w:rsidR="00141CDF" w:rsidRDefault="00141CDF">
            <w:pPr>
              <w:rPr>
                <w:rFonts w:ascii="宋体"/>
              </w:rPr>
            </w:pPr>
          </w:p>
        </w:tc>
        <w:tc>
          <w:tcPr>
            <w:tcW w:w="50" w:type="pct"/>
            <w:shd w:val="clear" w:color="auto" w:fill="auto"/>
            <w:vAlign w:val="bottom"/>
          </w:tcPr>
          <w:p w14:paraId="098A9B39" w14:textId="77777777" w:rsidR="00141CDF" w:rsidRDefault="00141CDF">
            <w:pPr>
              <w:rPr>
                <w:rFonts w:ascii="宋体"/>
              </w:rPr>
            </w:pPr>
          </w:p>
        </w:tc>
        <w:tc>
          <w:tcPr>
            <w:tcW w:w="522" w:type="pct"/>
            <w:shd w:val="clear" w:color="auto" w:fill="auto"/>
            <w:vAlign w:val="bottom"/>
          </w:tcPr>
          <w:p w14:paraId="098A9B3A" w14:textId="77777777" w:rsidR="00141CDF" w:rsidRDefault="00141CDF">
            <w:pPr>
              <w:rPr>
                <w:rFonts w:ascii="宋体"/>
              </w:rPr>
            </w:pPr>
          </w:p>
        </w:tc>
        <w:tc>
          <w:tcPr>
            <w:tcW w:w="5" w:type="pct"/>
            <w:shd w:val="clear" w:color="auto" w:fill="auto"/>
            <w:vAlign w:val="bottom"/>
          </w:tcPr>
          <w:p w14:paraId="098A9B3B" w14:textId="77777777" w:rsidR="00141CDF" w:rsidRDefault="00141CDF">
            <w:pPr>
              <w:rPr>
                <w:rFonts w:ascii="宋体"/>
              </w:rPr>
            </w:pPr>
          </w:p>
        </w:tc>
        <w:tc>
          <w:tcPr>
            <w:tcW w:w="5" w:type="pct"/>
            <w:shd w:val="clear" w:color="auto" w:fill="auto"/>
            <w:vAlign w:val="bottom"/>
          </w:tcPr>
          <w:p w14:paraId="098A9B3C" w14:textId="77777777" w:rsidR="00141CDF" w:rsidRDefault="00141CDF">
            <w:pPr>
              <w:rPr>
                <w:rFonts w:ascii="宋体"/>
              </w:rPr>
            </w:pPr>
          </w:p>
        </w:tc>
        <w:tc>
          <w:tcPr>
            <w:tcW w:w="26" w:type="pct"/>
            <w:shd w:val="clear" w:color="auto" w:fill="auto"/>
            <w:vAlign w:val="bottom"/>
          </w:tcPr>
          <w:p w14:paraId="098A9B3D" w14:textId="77777777" w:rsidR="00141CDF" w:rsidRDefault="00141CDF">
            <w:pPr>
              <w:rPr>
                <w:rFonts w:ascii="宋体"/>
              </w:rPr>
            </w:pPr>
          </w:p>
        </w:tc>
        <w:tc>
          <w:tcPr>
            <w:tcW w:w="5" w:type="pct"/>
            <w:shd w:val="clear" w:color="auto" w:fill="auto"/>
            <w:vAlign w:val="bottom"/>
          </w:tcPr>
          <w:p w14:paraId="098A9B3E" w14:textId="77777777" w:rsidR="00141CDF" w:rsidRDefault="00141CDF">
            <w:pPr>
              <w:rPr>
                <w:rFonts w:ascii="宋体"/>
              </w:rPr>
            </w:pPr>
          </w:p>
        </w:tc>
        <w:tc>
          <w:tcPr>
            <w:tcW w:w="50" w:type="pct"/>
            <w:shd w:val="clear" w:color="auto" w:fill="auto"/>
            <w:vAlign w:val="bottom"/>
          </w:tcPr>
          <w:p w14:paraId="098A9B3F" w14:textId="77777777" w:rsidR="00141CDF" w:rsidRDefault="00141CDF">
            <w:pPr>
              <w:rPr>
                <w:rFonts w:ascii="宋体"/>
              </w:rPr>
            </w:pPr>
          </w:p>
        </w:tc>
        <w:tc>
          <w:tcPr>
            <w:tcW w:w="522" w:type="pct"/>
            <w:shd w:val="clear" w:color="auto" w:fill="auto"/>
            <w:vAlign w:val="bottom"/>
          </w:tcPr>
          <w:p w14:paraId="098A9B40" w14:textId="77777777" w:rsidR="00141CDF" w:rsidRDefault="00141CDF">
            <w:pPr>
              <w:rPr>
                <w:rFonts w:ascii="宋体"/>
              </w:rPr>
            </w:pPr>
          </w:p>
        </w:tc>
        <w:tc>
          <w:tcPr>
            <w:tcW w:w="5" w:type="pct"/>
            <w:shd w:val="clear" w:color="auto" w:fill="auto"/>
            <w:vAlign w:val="bottom"/>
          </w:tcPr>
          <w:p w14:paraId="098A9B41" w14:textId="77777777" w:rsidR="00141CDF" w:rsidRDefault="00141CDF">
            <w:pPr>
              <w:rPr>
                <w:rFonts w:ascii="宋体"/>
              </w:rPr>
            </w:pPr>
          </w:p>
        </w:tc>
        <w:tc>
          <w:tcPr>
            <w:tcW w:w="5" w:type="pct"/>
            <w:shd w:val="clear" w:color="auto" w:fill="auto"/>
            <w:vAlign w:val="bottom"/>
          </w:tcPr>
          <w:p w14:paraId="098A9B42" w14:textId="77777777" w:rsidR="00141CDF" w:rsidRDefault="00141CDF">
            <w:pPr>
              <w:rPr>
                <w:rFonts w:ascii="宋体"/>
              </w:rPr>
            </w:pPr>
          </w:p>
        </w:tc>
        <w:tc>
          <w:tcPr>
            <w:tcW w:w="26" w:type="pct"/>
            <w:shd w:val="clear" w:color="auto" w:fill="auto"/>
            <w:vAlign w:val="bottom"/>
          </w:tcPr>
          <w:p w14:paraId="098A9B43" w14:textId="77777777" w:rsidR="00141CDF" w:rsidRDefault="00141CDF">
            <w:pPr>
              <w:rPr>
                <w:rFonts w:ascii="宋体"/>
              </w:rPr>
            </w:pPr>
          </w:p>
        </w:tc>
        <w:tc>
          <w:tcPr>
            <w:tcW w:w="5" w:type="pct"/>
            <w:shd w:val="clear" w:color="auto" w:fill="auto"/>
            <w:vAlign w:val="bottom"/>
          </w:tcPr>
          <w:p w14:paraId="098A9B44" w14:textId="77777777" w:rsidR="00141CDF" w:rsidRDefault="00141CDF">
            <w:pPr>
              <w:rPr>
                <w:rFonts w:ascii="宋体"/>
              </w:rPr>
            </w:pPr>
          </w:p>
        </w:tc>
        <w:tc>
          <w:tcPr>
            <w:tcW w:w="50" w:type="pct"/>
            <w:shd w:val="clear" w:color="auto" w:fill="auto"/>
            <w:vAlign w:val="bottom"/>
          </w:tcPr>
          <w:p w14:paraId="098A9B45" w14:textId="77777777" w:rsidR="00141CDF" w:rsidRDefault="00141CDF">
            <w:pPr>
              <w:rPr>
                <w:rFonts w:ascii="宋体"/>
              </w:rPr>
            </w:pPr>
          </w:p>
        </w:tc>
        <w:tc>
          <w:tcPr>
            <w:tcW w:w="522" w:type="pct"/>
            <w:shd w:val="clear" w:color="auto" w:fill="auto"/>
            <w:vAlign w:val="bottom"/>
          </w:tcPr>
          <w:p w14:paraId="098A9B46" w14:textId="77777777" w:rsidR="00141CDF" w:rsidRDefault="00141CDF">
            <w:pPr>
              <w:rPr>
                <w:rFonts w:ascii="宋体"/>
              </w:rPr>
            </w:pPr>
          </w:p>
        </w:tc>
        <w:tc>
          <w:tcPr>
            <w:tcW w:w="5" w:type="pct"/>
            <w:shd w:val="clear" w:color="auto" w:fill="auto"/>
            <w:vAlign w:val="bottom"/>
          </w:tcPr>
          <w:p w14:paraId="098A9B47" w14:textId="77777777" w:rsidR="00141CDF" w:rsidRDefault="00141CDF">
            <w:pPr>
              <w:rPr>
                <w:rFonts w:ascii="宋体"/>
              </w:rPr>
            </w:pPr>
          </w:p>
        </w:tc>
      </w:tr>
      <w:tr w:rsidR="00141CDF" w14:paraId="098A9B4E" w14:textId="77777777">
        <w:trPr>
          <w:jc w:val="center"/>
        </w:trPr>
        <w:tc>
          <w:tcPr>
            <w:tcW w:w="0" w:type="auto"/>
            <w:gridSpan w:val="3"/>
            <w:shd w:val="clear" w:color="auto" w:fill="auto"/>
            <w:tcMar>
              <w:top w:w="40" w:type="dxa"/>
              <w:left w:w="20" w:type="dxa"/>
              <w:bottom w:w="40" w:type="dxa"/>
              <w:right w:w="20" w:type="dxa"/>
            </w:tcMar>
            <w:vAlign w:val="bottom"/>
          </w:tcPr>
          <w:p w14:paraId="098A9B49" w14:textId="77777777" w:rsidR="00141CDF" w:rsidRDefault="00DF45E0">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098A9B4A" w14:textId="77777777" w:rsidR="00141CDF" w:rsidRDefault="00141CDF">
            <w:pPr>
              <w:rPr>
                <w:rFonts w:ascii="宋体"/>
              </w:rPr>
            </w:pPr>
          </w:p>
        </w:tc>
        <w:tc>
          <w:tcPr>
            <w:tcW w:w="0" w:type="auto"/>
            <w:gridSpan w:val="9"/>
            <w:shd w:val="clear" w:color="auto" w:fill="auto"/>
            <w:tcMar>
              <w:top w:w="40" w:type="dxa"/>
              <w:left w:w="20" w:type="dxa"/>
              <w:bottom w:w="40" w:type="dxa"/>
              <w:right w:w="20" w:type="dxa"/>
            </w:tcMar>
            <w:vAlign w:val="bottom"/>
          </w:tcPr>
          <w:p w14:paraId="098A9B4B" w14:textId="77777777" w:rsidR="00141CDF" w:rsidRDefault="00DF45E0">
            <w:pPr>
              <w:jc w:val="center"/>
              <w:textAlignment w:val="bottom"/>
            </w:pPr>
            <w:r>
              <w:rPr>
                <w:rFonts w:ascii="Times New Roman" w:eastAsia="宋体" w:hAnsi="Times New Roman"/>
                <w:b/>
                <w:bCs/>
                <w:color w:val="000000"/>
                <w:sz w:val="16"/>
                <w:szCs w:val="16"/>
              </w:rPr>
              <w:t>Three Months Ended July 31,</w:t>
            </w:r>
          </w:p>
        </w:tc>
        <w:tc>
          <w:tcPr>
            <w:tcW w:w="0" w:type="auto"/>
            <w:gridSpan w:val="3"/>
            <w:shd w:val="clear" w:color="auto" w:fill="auto"/>
            <w:tcMar>
              <w:top w:w="0" w:type="dxa"/>
              <w:left w:w="20" w:type="dxa"/>
              <w:bottom w:w="0" w:type="dxa"/>
              <w:right w:w="20" w:type="dxa"/>
            </w:tcMar>
            <w:vAlign w:val="bottom"/>
          </w:tcPr>
          <w:p w14:paraId="098A9B4C" w14:textId="77777777" w:rsidR="00141CDF" w:rsidRDefault="00141CDF">
            <w:pPr>
              <w:rPr>
                <w:rFonts w:ascii="宋体"/>
              </w:rPr>
            </w:pPr>
          </w:p>
        </w:tc>
        <w:tc>
          <w:tcPr>
            <w:tcW w:w="0" w:type="auto"/>
            <w:gridSpan w:val="9"/>
            <w:shd w:val="clear" w:color="auto" w:fill="auto"/>
            <w:tcMar>
              <w:top w:w="40" w:type="dxa"/>
              <w:left w:w="20" w:type="dxa"/>
              <w:bottom w:w="40" w:type="dxa"/>
              <w:right w:w="20" w:type="dxa"/>
            </w:tcMar>
            <w:vAlign w:val="bottom"/>
          </w:tcPr>
          <w:p w14:paraId="098A9B4D" w14:textId="77777777" w:rsidR="00141CDF" w:rsidRDefault="00DF45E0">
            <w:pPr>
              <w:jc w:val="center"/>
              <w:textAlignment w:val="bottom"/>
            </w:pPr>
            <w:r>
              <w:rPr>
                <w:rFonts w:ascii="Times New Roman" w:eastAsia="宋体" w:hAnsi="Times New Roman"/>
                <w:b/>
                <w:bCs/>
                <w:color w:val="000000"/>
                <w:sz w:val="16"/>
                <w:szCs w:val="16"/>
              </w:rPr>
              <w:t>Six Months Ended July 31,</w:t>
            </w:r>
          </w:p>
        </w:tc>
      </w:tr>
      <w:tr w:rsidR="00141CDF" w14:paraId="098A9B58" w14:textId="77777777">
        <w:trPr>
          <w:jc w:val="center"/>
        </w:trPr>
        <w:tc>
          <w:tcPr>
            <w:tcW w:w="0" w:type="auto"/>
            <w:gridSpan w:val="3"/>
            <w:shd w:val="clear" w:color="auto" w:fill="auto"/>
            <w:tcMar>
              <w:top w:w="40" w:type="dxa"/>
              <w:left w:w="20" w:type="dxa"/>
              <w:bottom w:w="40" w:type="dxa"/>
              <w:right w:w="20" w:type="dxa"/>
            </w:tcMar>
            <w:vAlign w:val="bottom"/>
          </w:tcPr>
          <w:p w14:paraId="098A9B4F" w14:textId="77777777" w:rsidR="00141CDF" w:rsidRDefault="00DF45E0">
            <w:pPr>
              <w:textAlignment w:val="bottom"/>
            </w:pPr>
            <w:r>
              <w:rPr>
                <w:rFonts w:ascii="Times New Roman" w:eastAsia="宋体" w:hAnsi="Times New Roman"/>
                <w:b/>
                <w:bCs/>
                <w:color w:val="000000"/>
                <w:sz w:val="16"/>
                <w:szCs w:val="16"/>
              </w:rPr>
              <w:t>Sam's Club net sales by merchandise category</w:t>
            </w:r>
          </w:p>
        </w:tc>
        <w:tc>
          <w:tcPr>
            <w:tcW w:w="0" w:type="auto"/>
            <w:gridSpan w:val="3"/>
            <w:shd w:val="clear" w:color="auto" w:fill="auto"/>
            <w:tcMar>
              <w:top w:w="0" w:type="dxa"/>
              <w:left w:w="20" w:type="dxa"/>
              <w:bottom w:w="0" w:type="dxa"/>
              <w:right w:w="20" w:type="dxa"/>
            </w:tcMar>
            <w:vAlign w:val="bottom"/>
          </w:tcPr>
          <w:p w14:paraId="098A9B50"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9B51" w14:textId="77777777" w:rsidR="00141CDF" w:rsidRDefault="00DF45E0">
            <w:pPr>
              <w:jc w:val="center"/>
              <w:textAlignment w:val="bottom"/>
            </w:pPr>
            <w:r>
              <w:rPr>
                <w:rFonts w:ascii="Times New Roman" w:eastAsia="宋体" w:hAnsi="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14:paraId="098A9B52"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9B53" w14:textId="77777777" w:rsidR="00141CDF" w:rsidRDefault="00DF45E0">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098A9B54"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9B55" w14:textId="77777777" w:rsidR="00141CDF" w:rsidRDefault="00DF45E0">
            <w:pPr>
              <w:jc w:val="center"/>
              <w:textAlignment w:val="bottom"/>
            </w:pPr>
            <w:r>
              <w:rPr>
                <w:rFonts w:ascii="Times New Roman" w:eastAsia="宋体" w:hAnsi="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14:paraId="098A9B56"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9B57" w14:textId="77777777" w:rsidR="00141CDF" w:rsidRDefault="00DF45E0">
            <w:pPr>
              <w:jc w:val="center"/>
              <w:textAlignment w:val="bottom"/>
            </w:pPr>
            <w:r>
              <w:rPr>
                <w:rFonts w:ascii="Times New Roman" w:eastAsia="宋体" w:hAnsi="Times New Roman"/>
                <w:b/>
                <w:bCs/>
                <w:color w:val="000000"/>
                <w:sz w:val="16"/>
                <w:szCs w:val="16"/>
              </w:rPr>
              <w:t>2021</w:t>
            </w:r>
          </w:p>
        </w:tc>
      </w:tr>
      <w:tr w:rsidR="00141CDF" w14:paraId="098A9B6A" w14:textId="77777777">
        <w:trPr>
          <w:jc w:val="center"/>
        </w:trPr>
        <w:tc>
          <w:tcPr>
            <w:tcW w:w="0" w:type="auto"/>
            <w:gridSpan w:val="3"/>
            <w:shd w:val="clear" w:color="auto" w:fill="CCEEFF"/>
            <w:tcMar>
              <w:top w:w="40" w:type="dxa"/>
              <w:left w:w="380" w:type="dxa"/>
              <w:bottom w:w="40" w:type="dxa"/>
              <w:right w:w="20" w:type="dxa"/>
            </w:tcMar>
            <w:vAlign w:val="center"/>
          </w:tcPr>
          <w:p w14:paraId="098A9B59" w14:textId="77777777" w:rsidR="00141CDF" w:rsidRDefault="00DF45E0">
            <w:pPr>
              <w:textAlignment w:val="center"/>
            </w:pPr>
            <w:r>
              <w:rPr>
                <w:rFonts w:ascii="Times New Roman" w:eastAsia="宋体" w:hAnsi="Times New Roman"/>
                <w:color w:val="000000"/>
                <w:sz w:val="16"/>
                <w:szCs w:val="16"/>
              </w:rPr>
              <w:t>Grocery and consumables</w:t>
            </w:r>
          </w:p>
        </w:tc>
        <w:tc>
          <w:tcPr>
            <w:tcW w:w="0" w:type="auto"/>
            <w:gridSpan w:val="3"/>
            <w:shd w:val="clear" w:color="auto" w:fill="CCEEFF"/>
            <w:tcMar>
              <w:top w:w="0" w:type="dxa"/>
              <w:left w:w="20" w:type="dxa"/>
              <w:bottom w:w="0" w:type="dxa"/>
              <w:right w:w="20" w:type="dxa"/>
            </w:tcMar>
            <w:vAlign w:val="bottom"/>
          </w:tcPr>
          <w:p w14:paraId="098A9B5A"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98A9B5B" w14:textId="77777777" w:rsidR="00141CDF" w:rsidRDefault="00DF45E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98A9B5C" w14:textId="77777777" w:rsidR="00141CDF" w:rsidRDefault="00DF45E0">
            <w:pPr>
              <w:jc w:val="right"/>
              <w:textAlignment w:val="bottom"/>
            </w:pPr>
            <w:r>
              <w:rPr>
                <w:rFonts w:ascii="Times New Roman" w:eastAsia="宋体" w:hAnsi="Times New Roman"/>
                <w:color w:val="000000"/>
                <w:sz w:val="16"/>
                <w:szCs w:val="16"/>
              </w:rPr>
              <w:t>13,392 </w:t>
            </w:r>
          </w:p>
        </w:tc>
        <w:tc>
          <w:tcPr>
            <w:tcW w:w="0" w:type="auto"/>
            <w:tcBorders>
              <w:top w:val="single" w:sz="8" w:space="0" w:color="000000"/>
            </w:tcBorders>
            <w:shd w:val="clear" w:color="auto" w:fill="CCEEFF"/>
            <w:tcMar>
              <w:top w:w="40" w:type="dxa"/>
              <w:left w:w="0" w:type="dxa"/>
              <w:bottom w:w="40" w:type="dxa"/>
              <w:right w:w="20" w:type="dxa"/>
            </w:tcMar>
            <w:vAlign w:val="bottom"/>
          </w:tcPr>
          <w:p w14:paraId="098A9B5D"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B5E"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98A9B5F" w14:textId="77777777" w:rsidR="00141CDF" w:rsidRDefault="00DF45E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98A9B60" w14:textId="77777777" w:rsidR="00141CDF" w:rsidRDefault="00DF45E0">
            <w:pPr>
              <w:jc w:val="right"/>
              <w:textAlignment w:val="bottom"/>
            </w:pPr>
            <w:r>
              <w:rPr>
                <w:rFonts w:ascii="Times New Roman" w:eastAsia="宋体" w:hAnsi="Times New Roman"/>
                <w:color w:val="000000"/>
                <w:sz w:val="16"/>
                <w:szCs w:val="16"/>
              </w:rPr>
              <w:t>12,014 </w:t>
            </w:r>
          </w:p>
        </w:tc>
        <w:tc>
          <w:tcPr>
            <w:tcW w:w="0" w:type="auto"/>
            <w:tcBorders>
              <w:top w:val="single" w:sz="8" w:space="0" w:color="000000"/>
            </w:tcBorders>
            <w:shd w:val="clear" w:color="auto" w:fill="CCEEFF"/>
            <w:tcMar>
              <w:top w:w="40" w:type="dxa"/>
              <w:left w:w="0" w:type="dxa"/>
              <w:bottom w:w="40" w:type="dxa"/>
              <w:right w:w="20" w:type="dxa"/>
            </w:tcMar>
            <w:vAlign w:val="bottom"/>
          </w:tcPr>
          <w:p w14:paraId="098A9B61"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B62"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98A9B63" w14:textId="77777777" w:rsidR="00141CDF" w:rsidRDefault="00DF45E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98A9B64" w14:textId="77777777" w:rsidR="00141CDF" w:rsidRDefault="00DF45E0">
            <w:pPr>
              <w:jc w:val="right"/>
              <w:textAlignment w:val="bottom"/>
            </w:pPr>
            <w:r>
              <w:rPr>
                <w:rFonts w:ascii="Times New Roman" w:eastAsia="宋体" w:hAnsi="Times New Roman"/>
                <w:color w:val="000000"/>
                <w:sz w:val="16"/>
                <w:szCs w:val="16"/>
              </w:rPr>
              <w:t>25,693 </w:t>
            </w:r>
          </w:p>
        </w:tc>
        <w:tc>
          <w:tcPr>
            <w:tcW w:w="0" w:type="auto"/>
            <w:tcBorders>
              <w:top w:val="single" w:sz="8" w:space="0" w:color="000000"/>
            </w:tcBorders>
            <w:shd w:val="clear" w:color="auto" w:fill="CCEEFF"/>
            <w:tcMar>
              <w:top w:w="40" w:type="dxa"/>
              <w:left w:w="0" w:type="dxa"/>
              <w:bottom w:w="40" w:type="dxa"/>
              <w:right w:w="20" w:type="dxa"/>
            </w:tcMar>
            <w:vAlign w:val="bottom"/>
          </w:tcPr>
          <w:p w14:paraId="098A9B65"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B66"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98A9B67" w14:textId="77777777" w:rsidR="00141CDF" w:rsidRDefault="00DF45E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98A9B68" w14:textId="77777777" w:rsidR="00141CDF" w:rsidRDefault="00DF45E0">
            <w:pPr>
              <w:jc w:val="right"/>
              <w:textAlignment w:val="bottom"/>
            </w:pPr>
            <w:r>
              <w:rPr>
                <w:rFonts w:ascii="Times New Roman" w:eastAsia="宋体" w:hAnsi="Times New Roman"/>
                <w:color w:val="000000"/>
                <w:sz w:val="16"/>
                <w:szCs w:val="16"/>
              </w:rPr>
              <w:t>22,683 </w:t>
            </w:r>
          </w:p>
        </w:tc>
        <w:tc>
          <w:tcPr>
            <w:tcW w:w="0" w:type="auto"/>
            <w:tcBorders>
              <w:top w:val="single" w:sz="8" w:space="0" w:color="000000"/>
            </w:tcBorders>
            <w:shd w:val="clear" w:color="auto" w:fill="CCEEFF"/>
            <w:tcMar>
              <w:top w:w="40" w:type="dxa"/>
              <w:left w:w="0" w:type="dxa"/>
              <w:bottom w:w="40" w:type="dxa"/>
              <w:right w:w="20" w:type="dxa"/>
            </w:tcMar>
            <w:vAlign w:val="bottom"/>
          </w:tcPr>
          <w:p w14:paraId="098A9B69" w14:textId="77777777" w:rsidR="00141CDF" w:rsidRDefault="00141CDF">
            <w:pPr>
              <w:jc w:val="right"/>
              <w:rPr>
                <w:rFonts w:ascii="宋体"/>
              </w:rPr>
            </w:pPr>
          </w:p>
        </w:tc>
      </w:tr>
      <w:tr w:rsidR="00141CDF" w14:paraId="098A9B78" w14:textId="77777777">
        <w:trPr>
          <w:jc w:val="center"/>
        </w:trPr>
        <w:tc>
          <w:tcPr>
            <w:tcW w:w="0" w:type="auto"/>
            <w:gridSpan w:val="3"/>
            <w:shd w:val="clear" w:color="auto" w:fill="FFFFFF"/>
            <w:tcMar>
              <w:top w:w="40" w:type="dxa"/>
              <w:left w:w="380" w:type="dxa"/>
              <w:bottom w:w="40" w:type="dxa"/>
              <w:right w:w="20" w:type="dxa"/>
            </w:tcMar>
            <w:vAlign w:val="center"/>
          </w:tcPr>
          <w:p w14:paraId="098A9B6B" w14:textId="77777777" w:rsidR="00141CDF" w:rsidRDefault="00DF45E0">
            <w:pPr>
              <w:textAlignment w:val="center"/>
            </w:pPr>
            <w:r>
              <w:rPr>
                <w:rFonts w:ascii="Times New Roman" w:eastAsia="宋体" w:hAnsi="Times New Roman"/>
                <w:color w:val="000000"/>
                <w:sz w:val="16"/>
                <w:szCs w:val="16"/>
              </w:rPr>
              <w:t>Fuel, tobacco and other categories</w:t>
            </w:r>
          </w:p>
        </w:tc>
        <w:tc>
          <w:tcPr>
            <w:tcW w:w="0" w:type="auto"/>
            <w:gridSpan w:val="3"/>
            <w:shd w:val="clear" w:color="auto" w:fill="FFFFFF"/>
            <w:tcMar>
              <w:top w:w="0" w:type="dxa"/>
              <w:left w:w="20" w:type="dxa"/>
              <w:bottom w:w="0" w:type="dxa"/>
              <w:right w:w="20" w:type="dxa"/>
            </w:tcMar>
            <w:vAlign w:val="bottom"/>
          </w:tcPr>
          <w:p w14:paraId="098A9B6C"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B6D" w14:textId="77777777" w:rsidR="00141CDF" w:rsidRDefault="00DF45E0">
            <w:pPr>
              <w:jc w:val="right"/>
              <w:textAlignment w:val="center"/>
            </w:pPr>
            <w:r>
              <w:rPr>
                <w:rFonts w:ascii="Times New Roman" w:eastAsia="宋体" w:hAnsi="Times New Roman"/>
                <w:color w:val="000000"/>
                <w:sz w:val="16"/>
                <w:szCs w:val="16"/>
              </w:rPr>
              <w:t>4,476 </w:t>
            </w:r>
          </w:p>
        </w:tc>
        <w:tc>
          <w:tcPr>
            <w:tcW w:w="0" w:type="auto"/>
            <w:shd w:val="clear" w:color="auto" w:fill="FFFFFF"/>
            <w:tcMar>
              <w:top w:w="40" w:type="dxa"/>
              <w:left w:w="0" w:type="dxa"/>
              <w:bottom w:w="40" w:type="dxa"/>
              <w:right w:w="20" w:type="dxa"/>
            </w:tcMar>
            <w:vAlign w:val="center"/>
          </w:tcPr>
          <w:p w14:paraId="098A9B6E"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B6F"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B70" w14:textId="77777777" w:rsidR="00141CDF" w:rsidRDefault="00DF45E0">
            <w:pPr>
              <w:jc w:val="right"/>
              <w:textAlignment w:val="center"/>
            </w:pPr>
            <w:r>
              <w:rPr>
                <w:rFonts w:ascii="Times New Roman" w:eastAsia="宋体" w:hAnsi="Times New Roman"/>
                <w:color w:val="000000"/>
                <w:sz w:val="16"/>
                <w:szCs w:val="16"/>
              </w:rPr>
              <w:t>2,816 </w:t>
            </w:r>
          </w:p>
        </w:tc>
        <w:tc>
          <w:tcPr>
            <w:tcW w:w="0" w:type="auto"/>
            <w:shd w:val="clear" w:color="auto" w:fill="FFFFFF"/>
            <w:tcMar>
              <w:top w:w="40" w:type="dxa"/>
              <w:left w:w="0" w:type="dxa"/>
              <w:bottom w:w="40" w:type="dxa"/>
              <w:right w:w="20" w:type="dxa"/>
            </w:tcMar>
            <w:vAlign w:val="center"/>
          </w:tcPr>
          <w:p w14:paraId="098A9B71"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B72"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B73" w14:textId="77777777" w:rsidR="00141CDF" w:rsidRDefault="00DF45E0">
            <w:pPr>
              <w:jc w:val="right"/>
              <w:textAlignment w:val="center"/>
            </w:pPr>
            <w:r>
              <w:rPr>
                <w:rFonts w:ascii="Times New Roman" w:eastAsia="宋体" w:hAnsi="Times New Roman"/>
                <w:color w:val="000000"/>
                <w:sz w:val="16"/>
                <w:szCs w:val="16"/>
              </w:rPr>
              <w:t>8,099 </w:t>
            </w:r>
          </w:p>
        </w:tc>
        <w:tc>
          <w:tcPr>
            <w:tcW w:w="0" w:type="auto"/>
            <w:shd w:val="clear" w:color="auto" w:fill="FFFFFF"/>
            <w:tcMar>
              <w:top w:w="40" w:type="dxa"/>
              <w:left w:w="0" w:type="dxa"/>
              <w:bottom w:w="40" w:type="dxa"/>
              <w:right w:w="20" w:type="dxa"/>
            </w:tcMar>
            <w:vAlign w:val="center"/>
          </w:tcPr>
          <w:p w14:paraId="098A9B74"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B75"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B76" w14:textId="77777777" w:rsidR="00141CDF" w:rsidRDefault="00DF45E0">
            <w:pPr>
              <w:jc w:val="right"/>
              <w:textAlignment w:val="center"/>
            </w:pPr>
            <w:r>
              <w:rPr>
                <w:rFonts w:ascii="Times New Roman" w:eastAsia="宋体" w:hAnsi="Times New Roman"/>
                <w:color w:val="000000"/>
                <w:sz w:val="16"/>
                <w:szCs w:val="16"/>
              </w:rPr>
              <w:t>5,115 </w:t>
            </w:r>
          </w:p>
        </w:tc>
        <w:tc>
          <w:tcPr>
            <w:tcW w:w="0" w:type="auto"/>
            <w:shd w:val="clear" w:color="auto" w:fill="FFFFFF"/>
            <w:tcMar>
              <w:top w:w="40" w:type="dxa"/>
              <w:left w:w="0" w:type="dxa"/>
              <w:bottom w:w="40" w:type="dxa"/>
              <w:right w:w="20" w:type="dxa"/>
            </w:tcMar>
            <w:vAlign w:val="center"/>
          </w:tcPr>
          <w:p w14:paraId="098A9B77" w14:textId="77777777" w:rsidR="00141CDF" w:rsidRDefault="00141CDF">
            <w:pPr>
              <w:jc w:val="right"/>
              <w:rPr>
                <w:rFonts w:ascii="宋体"/>
              </w:rPr>
            </w:pPr>
          </w:p>
        </w:tc>
      </w:tr>
      <w:tr w:rsidR="00141CDF" w14:paraId="098A9B86" w14:textId="77777777">
        <w:trPr>
          <w:jc w:val="center"/>
        </w:trPr>
        <w:tc>
          <w:tcPr>
            <w:tcW w:w="0" w:type="auto"/>
            <w:gridSpan w:val="3"/>
            <w:shd w:val="clear" w:color="auto" w:fill="CCEEFF"/>
            <w:tcMar>
              <w:top w:w="40" w:type="dxa"/>
              <w:left w:w="380" w:type="dxa"/>
              <w:bottom w:w="40" w:type="dxa"/>
              <w:right w:w="20" w:type="dxa"/>
            </w:tcMar>
            <w:vAlign w:val="center"/>
          </w:tcPr>
          <w:p w14:paraId="098A9B79" w14:textId="77777777" w:rsidR="00141CDF" w:rsidRDefault="00DF45E0">
            <w:pPr>
              <w:textAlignment w:val="center"/>
            </w:pPr>
            <w:r>
              <w:rPr>
                <w:rFonts w:ascii="Times New Roman" w:eastAsia="宋体" w:hAnsi="Times New Roman"/>
                <w:color w:val="000000"/>
                <w:sz w:val="16"/>
                <w:szCs w:val="16"/>
              </w:rPr>
              <w:t>Home and apparel</w:t>
            </w:r>
          </w:p>
        </w:tc>
        <w:tc>
          <w:tcPr>
            <w:tcW w:w="0" w:type="auto"/>
            <w:gridSpan w:val="3"/>
            <w:shd w:val="clear" w:color="auto" w:fill="CCEEFF"/>
            <w:tcMar>
              <w:top w:w="0" w:type="dxa"/>
              <w:left w:w="20" w:type="dxa"/>
              <w:bottom w:w="0" w:type="dxa"/>
              <w:right w:w="20" w:type="dxa"/>
            </w:tcMar>
            <w:vAlign w:val="bottom"/>
          </w:tcPr>
          <w:p w14:paraId="098A9B7A"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B7B" w14:textId="77777777" w:rsidR="00141CDF" w:rsidRDefault="00DF45E0">
            <w:pPr>
              <w:jc w:val="right"/>
              <w:textAlignment w:val="center"/>
            </w:pPr>
            <w:r>
              <w:rPr>
                <w:rFonts w:ascii="Times New Roman" w:eastAsia="宋体" w:hAnsi="Times New Roman"/>
                <w:color w:val="000000"/>
                <w:sz w:val="16"/>
                <w:szCs w:val="16"/>
              </w:rPr>
              <w:t>2,406 </w:t>
            </w:r>
          </w:p>
        </w:tc>
        <w:tc>
          <w:tcPr>
            <w:tcW w:w="0" w:type="auto"/>
            <w:shd w:val="clear" w:color="auto" w:fill="CCEEFF"/>
            <w:tcMar>
              <w:top w:w="40" w:type="dxa"/>
              <w:left w:w="0" w:type="dxa"/>
              <w:bottom w:w="40" w:type="dxa"/>
              <w:right w:w="20" w:type="dxa"/>
            </w:tcMar>
            <w:vAlign w:val="center"/>
          </w:tcPr>
          <w:p w14:paraId="098A9B7C"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B7D"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B7E" w14:textId="77777777" w:rsidR="00141CDF" w:rsidRDefault="00DF45E0">
            <w:pPr>
              <w:jc w:val="right"/>
              <w:textAlignment w:val="center"/>
            </w:pPr>
            <w:r>
              <w:rPr>
                <w:rFonts w:ascii="Times New Roman" w:eastAsia="宋体" w:hAnsi="Times New Roman"/>
                <w:color w:val="000000"/>
                <w:sz w:val="16"/>
                <w:szCs w:val="16"/>
              </w:rPr>
              <w:t>2,194 </w:t>
            </w:r>
          </w:p>
        </w:tc>
        <w:tc>
          <w:tcPr>
            <w:tcW w:w="0" w:type="auto"/>
            <w:shd w:val="clear" w:color="auto" w:fill="CCEEFF"/>
            <w:tcMar>
              <w:top w:w="40" w:type="dxa"/>
              <w:left w:w="0" w:type="dxa"/>
              <w:bottom w:w="40" w:type="dxa"/>
              <w:right w:w="20" w:type="dxa"/>
            </w:tcMar>
            <w:vAlign w:val="center"/>
          </w:tcPr>
          <w:p w14:paraId="098A9B7F"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B80"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B81" w14:textId="77777777" w:rsidR="00141CDF" w:rsidRDefault="00DF45E0">
            <w:pPr>
              <w:jc w:val="right"/>
              <w:textAlignment w:val="center"/>
            </w:pPr>
            <w:r>
              <w:rPr>
                <w:rFonts w:ascii="Times New Roman" w:eastAsia="宋体" w:hAnsi="Times New Roman"/>
                <w:color w:val="000000"/>
                <w:sz w:val="16"/>
                <w:szCs w:val="16"/>
              </w:rPr>
              <w:t>4,456 </w:t>
            </w:r>
          </w:p>
        </w:tc>
        <w:tc>
          <w:tcPr>
            <w:tcW w:w="0" w:type="auto"/>
            <w:shd w:val="clear" w:color="auto" w:fill="CCEEFF"/>
            <w:tcMar>
              <w:top w:w="40" w:type="dxa"/>
              <w:left w:w="0" w:type="dxa"/>
              <w:bottom w:w="40" w:type="dxa"/>
              <w:right w:w="20" w:type="dxa"/>
            </w:tcMar>
            <w:vAlign w:val="center"/>
          </w:tcPr>
          <w:p w14:paraId="098A9B82"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B83"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B84" w14:textId="77777777" w:rsidR="00141CDF" w:rsidRDefault="00DF45E0">
            <w:pPr>
              <w:jc w:val="right"/>
              <w:textAlignment w:val="center"/>
            </w:pPr>
            <w:r>
              <w:rPr>
                <w:rFonts w:ascii="Times New Roman" w:eastAsia="宋体" w:hAnsi="Times New Roman"/>
                <w:color w:val="000000"/>
                <w:sz w:val="16"/>
                <w:szCs w:val="16"/>
              </w:rPr>
              <w:t>4,276 </w:t>
            </w:r>
          </w:p>
        </w:tc>
        <w:tc>
          <w:tcPr>
            <w:tcW w:w="0" w:type="auto"/>
            <w:shd w:val="clear" w:color="auto" w:fill="CCEEFF"/>
            <w:tcMar>
              <w:top w:w="40" w:type="dxa"/>
              <w:left w:w="0" w:type="dxa"/>
              <w:bottom w:w="40" w:type="dxa"/>
              <w:right w:w="20" w:type="dxa"/>
            </w:tcMar>
            <w:vAlign w:val="center"/>
          </w:tcPr>
          <w:p w14:paraId="098A9B85" w14:textId="77777777" w:rsidR="00141CDF" w:rsidRDefault="00141CDF">
            <w:pPr>
              <w:jc w:val="right"/>
              <w:rPr>
                <w:rFonts w:ascii="宋体"/>
              </w:rPr>
            </w:pPr>
          </w:p>
        </w:tc>
      </w:tr>
      <w:tr w:rsidR="00141CDF" w14:paraId="098A9B94" w14:textId="77777777">
        <w:trPr>
          <w:jc w:val="center"/>
        </w:trPr>
        <w:tc>
          <w:tcPr>
            <w:tcW w:w="0" w:type="auto"/>
            <w:gridSpan w:val="3"/>
            <w:shd w:val="clear" w:color="auto" w:fill="FFFFFF"/>
            <w:tcMar>
              <w:top w:w="40" w:type="dxa"/>
              <w:left w:w="380" w:type="dxa"/>
              <w:bottom w:w="40" w:type="dxa"/>
              <w:right w:w="20" w:type="dxa"/>
            </w:tcMar>
            <w:vAlign w:val="center"/>
          </w:tcPr>
          <w:p w14:paraId="098A9B87" w14:textId="77777777" w:rsidR="00141CDF" w:rsidRDefault="00DF45E0">
            <w:pPr>
              <w:textAlignment w:val="center"/>
            </w:pPr>
            <w:r>
              <w:rPr>
                <w:rFonts w:ascii="Times New Roman" w:eastAsia="宋体" w:hAnsi="Times New Roman"/>
                <w:color w:val="000000"/>
                <w:sz w:val="16"/>
                <w:szCs w:val="16"/>
              </w:rPr>
              <w:t>Health and wellness</w:t>
            </w:r>
          </w:p>
        </w:tc>
        <w:tc>
          <w:tcPr>
            <w:tcW w:w="0" w:type="auto"/>
            <w:gridSpan w:val="3"/>
            <w:shd w:val="clear" w:color="auto" w:fill="FFFFFF"/>
            <w:tcMar>
              <w:top w:w="0" w:type="dxa"/>
              <w:left w:w="20" w:type="dxa"/>
              <w:bottom w:w="0" w:type="dxa"/>
              <w:right w:w="20" w:type="dxa"/>
            </w:tcMar>
            <w:vAlign w:val="bottom"/>
          </w:tcPr>
          <w:p w14:paraId="098A9B88"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B89" w14:textId="77777777" w:rsidR="00141CDF" w:rsidRDefault="00DF45E0">
            <w:pPr>
              <w:jc w:val="right"/>
              <w:textAlignment w:val="center"/>
            </w:pPr>
            <w:r>
              <w:rPr>
                <w:rFonts w:ascii="Times New Roman" w:eastAsia="宋体" w:hAnsi="Times New Roman"/>
                <w:color w:val="000000"/>
                <w:sz w:val="16"/>
                <w:szCs w:val="16"/>
              </w:rPr>
              <w:t>1,006 </w:t>
            </w:r>
          </w:p>
        </w:tc>
        <w:tc>
          <w:tcPr>
            <w:tcW w:w="0" w:type="auto"/>
            <w:shd w:val="clear" w:color="auto" w:fill="FFFFFF"/>
            <w:tcMar>
              <w:top w:w="40" w:type="dxa"/>
              <w:left w:w="0" w:type="dxa"/>
              <w:bottom w:w="40" w:type="dxa"/>
              <w:right w:w="20" w:type="dxa"/>
            </w:tcMar>
            <w:vAlign w:val="center"/>
          </w:tcPr>
          <w:p w14:paraId="098A9B8A"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B8B"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B8C" w14:textId="77777777" w:rsidR="00141CDF" w:rsidRDefault="00DF45E0">
            <w:pPr>
              <w:jc w:val="right"/>
              <w:textAlignment w:val="center"/>
            </w:pPr>
            <w:r>
              <w:rPr>
                <w:rFonts w:ascii="Times New Roman" w:eastAsia="宋体" w:hAnsi="Times New Roman"/>
                <w:color w:val="000000"/>
                <w:sz w:val="16"/>
                <w:szCs w:val="16"/>
              </w:rPr>
              <w:t>956 </w:t>
            </w:r>
          </w:p>
        </w:tc>
        <w:tc>
          <w:tcPr>
            <w:tcW w:w="0" w:type="auto"/>
            <w:shd w:val="clear" w:color="auto" w:fill="FFFFFF"/>
            <w:tcMar>
              <w:top w:w="40" w:type="dxa"/>
              <w:left w:w="0" w:type="dxa"/>
              <w:bottom w:w="40" w:type="dxa"/>
              <w:right w:w="20" w:type="dxa"/>
            </w:tcMar>
            <w:vAlign w:val="center"/>
          </w:tcPr>
          <w:p w14:paraId="098A9B8D"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B8E"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B8F" w14:textId="77777777" w:rsidR="00141CDF" w:rsidRDefault="00DF45E0">
            <w:pPr>
              <w:jc w:val="right"/>
              <w:textAlignment w:val="center"/>
            </w:pPr>
            <w:r>
              <w:rPr>
                <w:rFonts w:ascii="Times New Roman" w:eastAsia="宋体" w:hAnsi="Times New Roman"/>
                <w:color w:val="000000"/>
                <w:sz w:val="16"/>
                <w:szCs w:val="16"/>
              </w:rPr>
              <w:t>2,016 </w:t>
            </w:r>
          </w:p>
        </w:tc>
        <w:tc>
          <w:tcPr>
            <w:tcW w:w="0" w:type="auto"/>
            <w:shd w:val="clear" w:color="auto" w:fill="FFFFFF"/>
            <w:tcMar>
              <w:top w:w="40" w:type="dxa"/>
              <w:left w:w="0" w:type="dxa"/>
              <w:bottom w:w="40" w:type="dxa"/>
              <w:right w:w="20" w:type="dxa"/>
            </w:tcMar>
            <w:vAlign w:val="center"/>
          </w:tcPr>
          <w:p w14:paraId="098A9B90"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B91"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B92" w14:textId="77777777" w:rsidR="00141CDF" w:rsidRDefault="00DF45E0">
            <w:pPr>
              <w:jc w:val="right"/>
              <w:textAlignment w:val="center"/>
            </w:pPr>
            <w:r>
              <w:rPr>
                <w:rFonts w:ascii="Times New Roman" w:eastAsia="宋体" w:hAnsi="Times New Roman"/>
                <w:color w:val="000000"/>
                <w:sz w:val="16"/>
                <w:szCs w:val="16"/>
              </w:rPr>
              <w:t>1,897 </w:t>
            </w:r>
          </w:p>
        </w:tc>
        <w:tc>
          <w:tcPr>
            <w:tcW w:w="0" w:type="auto"/>
            <w:shd w:val="clear" w:color="auto" w:fill="FFFFFF"/>
            <w:tcMar>
              <w:top w:w="40" w:type="dxa"/>
              <w:left w:w="0" w:type="dxa"/>
              <w:bottom w:w="40" w:type="dxa"/>
              <w:right w:w="20" w:type="dxa"/>
            </w:tcMar>
            <w:vAlign w:val="center"/>
          </w:tcPr>
          <w:p w14:paraId="098A9B93" w14:textId="77777777" w:rsidR="00141CDF" w:rsidRDefault="00141CDF">
            <w:pPr>
              <w:jc w:val="right"/>
              <w:rPr>
                <w:rFonts w:ascii="宋体"/>
              </w:rPr>
            </w:pPr>
          </w:p>
        </w:tc>
      </w:tr>
      <w:tr w:rsidR="00141CDF" w14:paraId="098A9BA2" w14:textId="77777777">
        <w:trPr>
          <w:jc w:val="center"/>
        </w:trPr>
        <w:tc>
          <w:tcPr>
            <w:tcW w:w="0" w:type="auto"/>
            <w:gridSpan w:val="3"/>
            <w:shd w:val="clear" w:color="auto" w:fill="CCEEFF"/>
            <w:tcMar>
              <w:top w:w="40" w:type="dxa"/>
              <w:left w:w="380" w:type="dxa"/>
              <w:bottom w:w="40" w:type="dxa"/>
              <w:right w:w="20" w:type="dxa"/>
            </w:tcMar>
            <w:vAlign w:val="center"/>
          </w:tcPr>
          <w:p w14:paraId="098A9B95" w14:textId="77777777" w:rsidR="00141CDF" w:rsidRDefault="00DF45E0">
            <w:pPr>
              <w:textAlignment w:val="center"/>
            </w:pPr>
            <w:r>
              <w:rPr>
                <w:rFonts w:ascii="Times New Roman" w:eastAsia="宋体" w:hAnsi="Times New Roman"/>
                <w:color w:val="000000"/>
                <w:sz w:val="16"/>
                <w:szCs w:val="16"/>
              </w:rPr>
              <w:t>Technology, office and entertainment</w:t>
            </w:r>
          </w:p>
        </w:tc>
        <w:tc>
          <w:tcPr>
            <w:tcW w:w="0" w:type="auto"/>
            <w:gridSpan w:val="3"/>
            <w:shd w:val="clear" w:color="auto" w:fill="CCEEFF"/>
            <w:tcMar>
              <w:top w:w="0" w:type="dxa"/>
              <w:left w:w="20" w:type="dxa"/>
              <w:bottom w:w="0" w:type="dxa"/>
              <w:right w:w="20" w:type="dxa"/>
            </w:tcMar>
            <w:vAlign w:val="bottom"/>
          </w:tcPr>
          <w:p w14:paraId="098A9B96"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B97" w14:textId="77777777" w:rsidR="00141CDF" w:rsidRDefault="00DF45E0">
            <w:pPr>
              <w:jc w:val="right"/>
              <w:textAlignment w:val="center"/>
            </w:pPr>
            <w:r>
              <w:rPr>
                <w:rFonts w:ascii="Times New Roman" w:eastAsia="宋体" w:hAnsi="Times New Roman"/>
                <w:color w:val="000000"/>
                <w:sz w:val="16"/>
                <w:szCs w:val="16"/>
              </w:rPr>
              <w:t>621 </w:t>
            </w:r>
          </w:p>
        </w:tc>
        <w:tc>
          <w:tcPr>
            <w:tcW w:w="0" w:type="auto"/>
            <w:shd w:val="clear" w:color="auto" w:fill="CCEEFF"/>
            <w:tcMar>
              <w:top w:w="40" w:type="dxa"/>
              <w:left w:w="0" w:type="dxa"/>
              <w:bottom w:w="40" w:type="dxa"/>
              <w:right w:w="20" w:type="dxa"/>
            </w:tcMar>
            <w:vAlign w:val="center"/>
          </w:tcPr>
          <w:p w14:paraId="098A9B98"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B99"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B9A" w14:textId="77777777" w:rsidR="00141CDF" w:rsidRDefault="00DF45E0">
            <w:pPr>
              <w:jc w:val="right"/>
              <w:textAlignment w:val="center"/>
            </w:pPr>
            <w:r>
              <w:rPr>
                <w:rFonts w:ascii="Times New Roman" w:eastAsia="宋体" w:hAnsi="Times New Roman"/>
                <w:color w:val="000000"/>
                <w:sz w:val="16"/>
                <w:szCs w:val="16"/>
              </w:rPr>
              <w:t>664 </w:t>
            </w:r>
          </w:p>
        </w:tc>
        <w:tc>
          <w:tcPr>
            <w:tcW w:w="0" w:type="auto"/>
            <w:shd w:val="clear" w:color="auto" w:fill="CCEEFF"/>
            <w:tcMar>
              <w:top w:w="40" w:type="dxa"/>
              <w:left w:w="0" w:type="dxa"/>
              <w:bottom w:w="40" w:type="dxa"/>
              <w:right w:w="20" w:type="dxa"/>
            </w:tcMar>
            <w:vAlign w:val="center"/>
          </w:tcPr>
          <w:p w14:paraId="098A9B9B"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B9C"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B9D" w14:textId="77777777" w:rsidR="00141CDF" w:rsidRDefault="00DF45E0">
            <w:pPr>
              <w:jc w:val="right"/>
              <w:textAlignment w:val="center"/>
            </w:pPr>
            <w:r>
              <w:rPr>
                <w:rFonts w:ascii="Times New Roman" w:eastAsia="宋体" w:hAnsi="Times New Roman"/>
                <w:color w:val="000000"/>
                <w:sz w:val="16"/>
                <w:szCs w:val="16"/>
              </w:rPr>
              <w:t>1,258 </w:t>
            </w:r>
          </w:p>
        </w:tc>
        <w:tc>
          <w:tcPr>
            <w:tcW w:w="0" w:type="auto"/>
            <w:shd w:val="clear" w:color="auto" w:fill="CCEEFF"/>
            <w:tcMar>
              <w:top w:w="40" w:type="dxa"/>
              <w:left w:w="0" w:type="dxa"/>
              <w:bottom w:w="40" w:type="dxa"/>
              <w:right w:w="20" w:type="dxa"/>
            </w:tcMar>
            <w:vAlign w:val="center"/>
          </w:tcPr>
          <w:p w14:paraId="098A9B9E"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B9F"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BA0" w14:textId="77777777" w:rsidR="00141CDF" w:rsidRDefault="00DF45E0">
            <w:pPr>
              <w:jc w:val="right"/>
              <w:textAlignment w:val="center"/>
            </w:pPr>
            <w:r>
              <w:rPr>
                <w:rFonts w:ascii="Times New Roman" w:eastAsia="宋体" w:hAnsi="Times New Roman"/>
                <w:color w:val="000000"/>
                <w:sz w:val="16"/>
                <w:szCs w:val="16"/>
              </w:rPr>
              <w:t>1,365 </w:t>
            </w:r>
          </w:p>
        </w:tc>
        <w:tc>
          <w:tcPr>
            <w:tcW w:w="0" w:type="auto"/>
            <w:shd w:val="clear" w:color="auto" w:fill="CCEEFF"/>
            <w:tcMar>
              <w:top w:w="40" w:type="dxa"/>
              <w:left w:w="0" w:type="dxa"/>
              <w:bottom w:w="40" w:type="dxa"/>
              <w:right w:w="20" w:type="dxa"/>
            </w:tcMar>
            <w:vAlign w:val="center"/>
          </w:tcPr>
          <w:p w14:paraId="098A9BA1" w14:textId="77777777" w:rsidR="00141CDF" w:rsidRDefault="00141CDF">
            <w:pPr>
              <w:jc w:val="right"/>
              <w:rPr>
                <w:rFonts w:ascii="宋体"/>
              </w:rPr>
            </w:pPr>
          </w:p>
        </w:tc>
      </w:tr>
      <w:tr w:rsidR="00141CDF" w14:paraId="098A9BB4" w14:textId="77777777">
        <w:trPr>
          <w:jc w:val="center"/>
        </w:trPr>
        <w:tc>
          <w:tcPr>
            <w:tcW w:w="0" w:type="auto"/>
            <w:gridSpan w:val="3"/>
            <w:shd w:val="clear" w:color="auto" w:fill="FFFFFF"/>
            <w:tcMar>
              <w:top w:w="40" w:type="dxa"/>
              <w:left w:w="20" w:type="dxa"/>
              <w:bottom w:w="40" w:type="dxa"/>
              <w:right w:w="20" w:type="dxa"/>
            </w:tcMar>
            <w:vAlign w:val="center"/>
          </w:tcPr>
          <w:p w14:paraId="098A9BA3" w14:textId="77777777" w:rsidR="00141CDF" w:rsidRDefault="00DF45E0">
            <w:pPr>
              <w:textAlignment w:val="center"/>
            </w:pPr>
            <w:r>
              <w:rPr>
                <w:rFonts w:ascii="Times New Roman" w:eastAsia="宋体" w:hAnsi="Times New Roman"/>
                <w:b/>
                <w:bCs/>
                <w:color w:val="000000"/>
                <w:sz w:val="16"/>
                <w:szCs w:val="16"/>
              </w:rPr>
              <w:t>Total</w:t>
            </w:r>
          </w:p>
        </w:tc>
        <w:tc>
          <w:tcPr>
            <w:tcW w:w="0" w:type="auto"/>
            <w:gridSpan w:val="3"/>
            <w:shd w:val="clear" w:color="auto" w:fill="FFFFFF"/>
            <w:tcMar>
              <w:top w:w="0" w:type="dxa"/>
              <w:left w:w="20" w:type="dxa"/>
              <w:bottom w:w="0" w:type="dxa"/>
              <w:right w:w="20" w:type="dxa"/>
            </w:tcMar>
            <w:vAlign w:val="bottom"/>
          </w:tcPr>
          <w:p w14:paraId="098A9BA4" w14:textId="77777777" w:rsidR="00141CDF" w:rsidRDefault="00141C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98A9BA5"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98A9BA6" w14:textId="77777777" w:rsidR="00141CDF" w:rsidRDefault="00DF45E0">
            <w:pPr>
              <w:jc w:val="right"/>
              <w:textAlignment w:val="center"/>
            </w:pPr>
            <w:r>
              <w:rPr>
                <w:rFonts w:ascii="Times New Roman" w:eastAsia="宋体" w:hAnsi="Times New Roman"/>
                <w:color w:val="000000"/>
                <w:sz w:val="16"/>
                <w:szCs w:val="16"/>
              </w:rPr>
              <w:t>21,901 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98A9BA7"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BA8" w14:textId="77777777" w:rsidR="00141CDF" w:rsidRDefault="00141C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98A9BA9"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98A9BAA" w14:textId="77777777" w:rsidR="00141CDF" w:rsidRDefault="00DF45E0">
            <w:pPr>
              <w:jc w:val="right"/>
              <w:textAlignment w:val="center"/>
            </w:pPr>
            <w:r>
              <w:rPr>
                <w:rFonts w:ascii="Times New Roman" w:eastAsia="宋体" w:hAnsi="Times New Roman"/>
                <w:color w:val="000000"/>
                <w:sz w:val="16"/>
                <w:szCs w:val="16"/>
              </w:rPr>
              <w:t>18,644 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98A9BAB"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BAC" w14:textId="77777777" w:rsidR="00141CDF" w:rsidRDefault="00141C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98A9BAD"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98A9BAE" w14:textId="77777777" w:rsidR="00141CDF" w:rsidRDefault="00DF45E0">
            <w:pPr>
              <w:jc w:val="right"/>
              <w:textAlignment w:val="center"/>
            </w:pPr>
            <w:r>
              <w:rPr>
                <w:rFonts w:ascii="Times New Roman" w:eastAsia="宋体" w:hAnsi="Times New Roman"/>
                <w:color w:val="000000"/>
                <w:sz w:val="16"/>
                <w:szCs w:val="16"/>
              </w:rPr>
              <w:t>41,522 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98A9BAF"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BB0" w14:textId="77777777" w:rsidR="00141CDF" w:rsidRDefault="00141C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98A9BB1"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98A9BB2" w14:textId="77777777" w:rsidR="00141CDF" w:rsidRDefault="00DF45E0">
            <w:pPr>
              <w:jc w:val="right"/>
              <w:textAlignment w:val="center"/>
            </w:pPr>
            <w:r>
              <w:rPr>
                <w:rFonts w:ascii="Times New Roman" w:eastAsia="宋体" w:hAnsi="Times New Roman"/>
                <w:color w:val="000000"/>
                <w:sz w:val="16"/>
                <w:szCs w:val="16"/>
              </w:rPr>
              <w:t>35,336 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98A9BB3" w14:textId="77777777" w:rsidR="00141CDF" w:rsidRDefault="00141CDF">
            <w:pPr>
              <w:jc w:val="right"/>
              <w:rPr>
                <w:rFonts w:ascii="宋体"/>
              </w:rPr>
            </w:pPr>
          </w:p>
        </w:tc>
      </w:tr>
    </w:tbl>
    <w:p w14:paraId="098A9BB5" w14:textId="77777777" w:rsidR="00141CDF" w:rsidRDefault="00DF45E0">
      <w:pPr>
        <w:spacing w:before="80"/>
      </w:pPr>
      <w:r>
        <w:rPr>
          <w:rFonts w:ascii="Times New Roman" w:eastAsia="宋体" w:hAnsi="Times New Roman"/>
          <w:color w:val="000000"/>
          <w:sz w:val="20"/>
          <w:szCs w:val="20"/>
        </w:rPr>
        <w:t>Of Sam's Club's total net sales, approximately $2.1 billion and $1.6</w:t>
      </w:r>
      <w:r>
        <w:rPr>
          <w:rFonts w:ascii="Times New Roman" w:eastAsia="宋体" w:hAnsi="Times New Roman"/>
          <w:color w:val="000000"/>
          <w:sz w:val="20"/>
          <w:szCs w:val="20"/>
        </w:rPr>
        <w:t xml:space="preserve"> billion related to eCommerce for the three months ended July 31, 2022 and 2021, respectively, and approximately $3.9 billion and $3.2 billion related to eCommerce for the six months ended July 31, 2022 and 2021, respectively.</w:t>
      </w:r>
    </w:p>
    <w:p w14:paraId="098A9BB6" w14:textId="77777777" w:rsidR="00141CDF" w:rsidRDefault="00141CDF">
      <w:pPr>
        <w:spacing w:before="180"/>
      </w:pPr>
    </w:p>
    <w:p w14:paraId="098A9BB7" w14:textId="77777777" w:rsidR="00141CDF" w:rsidRDefault="00DF45E0">
      <w:pPr>
        <w:jc w:val="center"/>
      </w:pPr>
      <w:r>
        <w:rPr>
          <w:rFonts w:ascii="Times New Roman" w:eastAsia="宋体" w:hAnsi="Times New Roman"/>
          <w:color w:val="000000"/>
          <w:sz w:val="20"/>
          <w:szCs w:val="20"/>
        </w:rPr>
        <w:t>14</w:t>
      </w:r>
    </w:p>
    <w:p w14:paraId="098A9BB8" w14:textId="77777777" w:rsidR="00141CDF" w:rsidRDefault="00DF45E0">
      <w:r>
        <w:pict w14:anchorId="098AA65C">
          <v:rect id="_x0000_i1038" style="width:415.3pt;height:1.5pt" o:hralign="center" o:hrstd="t" o:hr="t" fillcolor="#a0a0a0" stroked="f"/>
        </w:pict>
      </w:r>
    </w:p>
    <w:p w14:paraId="098A9BB9" w14:textId="77777777" w:rsidR="00141CDF" w:rsidRDefault="00DF45E0">
      <w:hyperlink r:id="rId65" w:anchor="i24a2f296795646fa8b5ba32fd1359591_7" w:history="1">
        <w:r>
          <w:rPr>
            <w:rStyle w:val="a5"/>
            <w:rFonts w:ascii="Times New Roman" w:eastAsia="宋体" w:hAnsi="Times New Roman"/>
            <w:sz w:val="20"/>
            <w:szCs w:val="20"/>
          </w:rPr>
          <w:t xml:space="preserve">Table of </w:t>
        </w:r>
      </w:hyperlink>
      <w:hyperlink r:id="rId66" w:anchor="i24a2f296795646fa8b5ba32fd1359591_7" w:history="1">
        <w:r>
          <w:rPr>
            <w:rStyle w:val="a5"/>
            <w:rFonts w:ascii="Times New Roman" w:eastAsia="宋体" w:hAnsi="Times New Roman"/>
            <w:sz w:val="20"/>
            <w:szCs w:val="20"/>
          </w:rPr>
          <w:t>Contents</w:t>
        </w:r>
      </w:hyperlink>
    </w:p>
    <w:p w14:paraId="098A9BBA" w14:textId="77777777" w:rsidR="00141CDF" w:rsidRDefault="00DF45E0">
      <w:r>
        <w:rPr>
          <w:rFonts w:ascii="Times New Roman" w:eastAsia="宋体" w:hAnsi="Times New Roman"/>
          <w:b/>
          <w:bCs/>
          <w:color w:val="000000"/>
          <w:sz w:val="20"/>
          <w:szCs w:val="20"/>
        </w:rPr>
        <w:t>Item 2. Management's Discussion and Analysis of Financial Condition and Results of Operations</w:t>
      </w:r>
    </w:p>
    <w:p w14:paraId="098A9BBB" w14:textId="77777777" w:rsidR="00141CDF" w:rsidRDefault="00DF45E0">
      <w:pPr>
        <w:spacing w:before="100"/>
      </w:pPr>
      <w:r>
        <w:rPr>
          <w:rFonts w:ascii="Times New Roman" w:eastAsia="宋体" w:hAnsi="Times New Roman"/>
          <w:b/>
          <w:bCs/>
          <w:color w:val="000000"/>
          <w:sz w:val="20"/>
          <w:szCs w:val="20"/>
        </w:rPr>
        <w:t>Overview</w:t>
      </w:r>
    </w:p>
    <w:p w14:paraId="098A9BBC" w14:textId="77777777" w:rsidR="00141CDF" w:rsidRDefault="00DF45E0">
      <w:pPr>
        <w:spacing w:before="60"/>
      </w:pPr>
      <w:r>
        <w:rPr>
          <w:rFonts w:ascii="Times New Roman" w:eastAsia="宋体" w:hAnsi="Times New Roman"/>
          <w:color w:val="000000"/>
          <w:sz w:val="20"/>
          <w:szCs w:val="20"/>
        </w:rPr>
        <w:t xml:space="preserve">This discussion, which presents Walmart Inc.'s ("Walmart," the "Company," "our," or "we") results for periods </w:t>
      </w:r>
      <w:r>
        <w:rPr>
          <w:rFonts w:ascii="Times New Roman" w:eastAsia="宋体" w:hAnsi="Times New Roman"/>
          <w:color w:val="000000"/>
          <w:sz w:val="20"/>
          <w:szCs w:val="20"/>
        </w:rPr>
        <w:t>occurring in the fiscal year ending January 31, 2023 ("fiscal 2023") and the fiscal year ended January 31, 2022 ("fiscal 2022"), should be read in conjunction with our Condensed Consolidated Financial Statements as of and for the three and six months ended</w:t>
      </w:r>
      <w:r>
        <w:rPr>
          <w:rFonts w:ascii="Times New Roman" w:eastAsia="宋体" w:hAnsi="Times New Roman"/>
          <w:color w:val="000000"/>
          <w:sz w:val="20"/>
          <w:szCs w:val="20"/>
        </w:rPr>
        <w:t xml:space="preserve"> July 31, 2022, and the accompanying notes included in </w:t>
      </w:r>
      <w:hyperlink r:id="rId67" w:anchor="i24a2f296795646fa8b5ba32fd1359591_13" w:history="1">
        <w:r>
          <w:rPr>
            <w:rStyle w:val="a5"/>
            <w:rFonts w:ascii="Times New Roman" w:eastAsia="宋体" w:hAnsi="Times New Roman"/>
            <w:sz w:val="20"/>
            <w:szCs w:val="20"/>
          </w:rPr>
          <w:t>Part I, Item 1</w:t>
        </w:r>
      </w:hyperlink>
      <w:r>
        <w:rPr>
          <w:rFonts w:ascii="Times New Roman" w:eastAsia="宋体" w:hAnsi="Times New Roman"/>
          <w:color w:val="000000"/>
          <w:sz w:val="20"/>
          <w:szCs w:val="20"/>
        </w:rPr>
        <w:t xml:space="preserve"> of this Quarterly Report on Form </w:t>
      </w:r>
      <w:r>
        <w:rPr>
          <w:rFonts w:ascii="Times New Roman" w:eastAsia="宋体" w:hAnsi="Times New Roman"/>
          <w:color w:val="000000"/>
          <w:sz w:val="20"/>
          <w:szCs w:val="20"/>
        </w:rPr>
        <w:t>10-Q, as well as our Consolidated Financial Statements as of and for the year ended January 31, 2022, the accompanying notes and the related Management's Discussion and Analysis of Financial Condition and Results of Operations, contained in our Annual Repo</w:t>
      </w:r>
      <w:r>
        <w:rPr>
          <w:rFonts w:ascii="Times New Roman" w:eastAsia="宋体" w:hAnsi="Times New Roman"/>
          <w:color w:val="000000"/>
          <w:sz w:val="20"/>
          <w:szCs w:val="20"/>
        </w:rPr>
        <w:t>rt on Form 10-K for the year ended January 31, 2022.</w:t>
      </w:r>
    </w:p>
    <w:p w14:paraId="098A9BBD" w14:textId="77777777" w:rsidR="00141CDF" w:rsidRDefault="00DF45E0">
      <w:pPr>
        <w:spacing w:before="100"/>
      </w:pPr>
      <w:r>
        <w:rPr>
          <w:rFonts w:ascii="Times New Roman" w:eastAsia="宋体" w:hAnsi="Times New Roman"/>
          <w:color w:val="000000"/>
          <w:sz w:val="20"/>
          <w:szCs w:val="20"/>
        </w:rPr>
        <w:t>We intend for this discussion to provide the reader with information that will assist in understanding our financial statements, the changes in certain key items in those financial statements from period</w:t>
      </w:r>
      <w:r>
        <w:rPr>
          <w:rFonts w:ascii="Times New Roman" w:eastAsia="宋体" w:hAnsi="Times New Roman"/>
          <w:color w:val="000000"/>
          <w:sz w:val="20"/>
          <w:szCs w:val="20"/>
        </w:rPr>
        <w:t xml:space="preserve"> to period and the primary factors that accounted for those changes. We also discuss certain performance metrics that management uses to assess the Company's performance. Additionally, the discussion provides information about the financial results of each</w:t>
      </w:r>
      <w:r>
        <w:rPr>
          <w:rFonts w:ascii="Times New Roman" w:eastAsia="宋体" w:hAnsi="Times New Roman"/>
          <w:color w:val="000000"/>
          <w:sz w:val="20"/>
          <w:szCs w:val="20"/>
        </w:rPr>
        <w:t xml:space="preserve"> of the three segments of our business to provide a better understanding of how each of those segments and its results of operations affect the financial condition and results of operations of the Company as a whole. </w:t>
      </w:r>
    </w:p>
    <w:p w14:paraId="098A9BBE" w14:textId="77777777" w:rsidR="00141CDF" w:rsidRDefault="00DF45E0">
      <w:pPr>
        <w:spacing w:before="100"/>
      </w:pPr>
      <w:r>
        <w:rPr>
          <w:rFonts w:ascii="Times New Roman" w:eastAsia="宋体" w:hAnsi="Times New Roman"/>
          <w:color w:val="000000"/>
          <w:sz w:val="20"/>
          <w:szCs w:val="20"/>
        </w:rPr>
        <w:t>Throughout this Management's Discussio</w:t>
      </w:r>
      <w:r>
        <w:rPr>
          <w:rFonts w:ascii="Times New Roman" w:eastAsia="宋体" w:hAnsi="Times New Roman"/>
          <w:color w:val="000000"/>
          <w:sz w:val="20"/>
          <w:szCs w:val="20"/>
        </w:rPr>
        <w:t>n and Analysis of Financial Condition and Results of Operations, we discuss segment operating income, comparable store and club sales and other measures. Management measures the results of the Company's segments using each segment's operating income, inclu</w:t>
      </w:r>
      <w:r>
        <w:rPr>
          <w:rFonts w:ascii="Times New Roman" w:eastAsia="宋体" w:hAnsi="Times New Roman"/>
          <w:color w:val="000000"/>
          <w:sz w:val="20"/>
          <w:szCs w:val="20"/>
        </w:rPr>
        <w:t>ding certain corporate overhead allocations, as well as other measures. From time to time, we revise the measurement of each segment's operating income and other measures as determined by the information regularly reviewed by our chief operating decision m</w:t>
      </w:r>
      <w:r>
        <w:rPr>
          <w:rFonts w:ascii="Times New Roman" w:eastAsia="宋体" w:hAnsi="Times New Roman"/>
          <w:color w:val="000000"/>
          <w:sz w:val="20"/>
          <w:szCs w:val="20"/>
        </w:rPr>
        <w:t xml:space="preserve">aker. </w:t>
      </w:r>
    </w:p>
    <w:p w14:paraId="098A9BBF" w14:textId="77777777" w:rsidR="00141CDF" w:rsidRDefault="00DF45E0">
      <w:pPr>
        <w:spacing w:before="100"/>
      </w:pPr>
      <w:r>
        <w:rPr>
          <w:rFonts w:ascii="Times New Roman" w:eastAsia="宋体" w:hAnsi="Times New Roman"/>
          <w:color w:val="000000"/>
          <w:sz w:val="20"/>
          <w:szCs w:val="20"/>
        </w:rPr>
        <w:t>Comparable store and club sales, or comparable sales, is a metric that indicates the performance of our existing stores and clubs by measuring the change in sales for such stores and clubs, including eCommerce sales, for a particular period from the</w:t>
      </w:r>
      <w:r>
        <w:rPr>
          <w:rFonts w:ascii="Times New Roman" w:eastAsia="宋体" w:hAnsi="Times New Roman"/>
          <w:color w:val="000000"/>
          <w:sz w:val="20"/>
          <w:szCs w:val="20"/>
        </w:rPr>
        <w:t xml:space="preserve"> corresponding prior year period. Walmart's definition of comparable sales includes sales from stores and clubs open for the previous 12 months, including remodels, relocations, expansions and conversions, as well as eCommerce sales. We measure the eCommer</w:t>
      </w:r>
      <w:r>
        <w:rPr>
          <w:rFonts w:ascii="Times New Roman" w:eastAsia="宋体" w:hAnsi="Times New Roman"/>
          <w:color w:val="000000"/>
          <w:sz w:val="20"/>
          <w:szCs w:val="20"/>
        </w:rPr>
        <w:t xml:space="preserve">ce sales impact by including all sales initiated digitally, including omni-channel transactions which are fulfilled through our stores and clubs as well as certain other business offerings that are part of our flywheel strategy such as our Walmart Connect </w:t>
      </w:r>
      <w:r>
        <w:rPr>
          <w:rFonts w:ascii="Times New Roman" w:eastAsia="宋体" w:hAnsi="Times New Roman"/>
          <w:color w:val="000000"/>
          <w:sz w:val="20"/>
          <w:szCs w:val="20"/>
        </w:rPr>
        <w:t xml:space="preserve">advertising business. Sales at a store that has changed in format are excluded from comparable sales when the conversion of that store is accompanied by a relocation or expansion that results in a change in the store's retail square feet of more than five </w:t>
      </w:r>
      <w:r>
        <w:rPr>
          <w:rFonts w:ascii="Times New Roman" w:eastAsia="宋体" w:hAnsi="Times New Roman"/>
          <w:color w:val="000000"/>
          <w:sz w:val="20"/>
          <w:szCs w:val="20"/>
        </w:rPr>
        <w:t>percent. Sales related to divested businesses are excluded from comparable sales, and sales related to acquisitions are excluded until such acquisitions have been owned for 12 months. Comparable sales are also referred to as "same-store" sales by others wi</w:t>
      </w:r>
      <w:r>
        <w:rPr>
          <w:rFonts w:ascii="Times New Roman" w:eastAsia="宋体" w:hAnsi="Times New Roman"/>
          <w:color w:val="000000"/>
          <w:sz w:val="20"/>
          <w:szCs w:val="20"/>
        </w:rPr>
        <w:t xml:space="preserve">thin the retail industry. The method of calculating comparable sales varies across the retail industry. As a result, our calculation of comparable sales is not necessarily comparable to similarly titled measures reported by other companies. </w:t>
      </w:r>
    </w:p>
    <w:p w14:paraId="098A9BC0" w14:textId="77777777" w:rsidR="00141CDF" w:rsidRDefault="00DF45E0">
      <w:pPr>
        <w:spacing w:before="100"/>
      </w:pPr>
      <w:r>
        <w:rPr>
          <w:rFonts w:ascii="Times New Roman" w:eastAsia="宋体" w:hAnsi="Times New Roman"/>
          <w:color w:val="000000"/>
          <w:sz w:val="20"/>
          <w:szCs w:val="20"/>
        </w:rPr>
        <w:t xml:space="preserve">In discussing </w:t>
      </w:r>
      <w:r>
        <w:rPr>
          <w:rFonts w:ascii="Times New Roman" w:eastAsia="宋体" w:hAnsi="Times New Roman"/>
          <w:color w:val="000000"/>
          <w:sz w:val="20"/>
          <w:szCs w:val="20"/>
        </w:rPr>
        <w:t>our operating results, the term currency exchange rates refers to the currency exchange rates we use to convert the operating results for countries where the functional currency is not the U.S. dollar into U.S. dollars. We calculate the effect of changes i</w:t>
      </w:r>
      <w:r>
        <w:rPr>
          <w:rFonts w:ascii="Times New Roman" w:eastAsia="宋体" w:hAnsi="Times New Roman"/>
          <w:color w:val="000000"/>
          <w:sz w:val="20"/>
          <w:szCs w:val="20"/>
        </w:rPr>
        <w:t>n currency exchange rates as the difference between current period activity translated using the current period's currency exchange rates and the comparable prior year period's currency exchange rates. Additionally, no currency exchange rate fluctuations a</w:t>
      </w:r>
      <w:r>
        <w:rPr>
          <w:rFonts w:ascii="Times New Roman" w:eastAsia="宋体" w:hAnsi="Times New Roman"/>
          <w:color w:val="000000"/>
          <w:sz w:val="20"/>
          <w:szCs w:val="20"/>
        </w:rPr>
        <w:t>re calculated for non-USD acquisitions until owned for 12 months. Throughout our discussion, we refer to the results of this calculation as the impact of currency exchange rate fluctuations. Volatility in currency exchange rates may impact the results, inc</w:t>
      </w:r>
      <w:r>
        <w:rPr>
          <w:rFonts w:ascii="Times New Roman" w:eastAsia="宋体" w:hAnsi="Times New Roman"/>
          <w:color w:val="000000"/>
          <w:sz w:val="20"/>
          <w:szCs w:val="20"/>
        </w:rPr>
        <w:t>luding net sales and operating income, of the Company and the Walmart International segment in the future.</w:t>
      </w:r>
    </w:p>
    <w:p w14:paraId="098A9BC1" w14:textId="77777777" w:rsidR="00141CDF" w:rsidRDefault="00DF45E0">
      <w:pPr>
        <w:spacing w:before="100"/>
      </w:pPr>
      <w:r>
        <w:rPr>
          <w:rFonts w:ascii="Times New Roman" w:eastAsia="宋体" w:hAnsi="Times New Roman"/>
          <w:color w:val="000000"/>
          <w:sz w:val="20"/>
          <w:szCs w:val="20"/>
        </w:rPr>
        <w:t>Each of our segments contributes to the Company's operating results differently. Each, however, has generally maintained a consistent contribution ra</w:t>
      </w:r>
      <w:r>
        <w:rPr>
          <w:rFonts w:ascii="Times New Roman" w:eastAsia="宋体" w:hAnsi="Times New Roman"/>
          <w:color w:val="000000"/>
          <w:sz w:val="20"/>
          <w:szCs w:val="20"/>
        </w:rPr>
        <w:t xml:space="preserve">te to the Company's net sales and operating income in recent years other than minor changes to the contribution rate for the Walmart International segment due to fluctuations in currency exchange rates. </w:t>
      </w:r>
    </w:p>
    <w:p w14:paraId="098A9BC2" w14:textId="77777777" w:rsidR="00141CDF" w:rsidRDefault="00DF45E0">
      <w:pPr>
        <w:spacing w:before="100"/>
      </w:pPr>
      <w:r>
        <w:rPr>
          <w:rFonts w:ascii="Times New Roman" w:eastAsia="宋体" w:hAnsi="Times New Roman"/>
          <w:color w:val="000000"/>
          <w:sz w:val="20"/>
          <w:szCs w:val="20"/>
        </w:rPr>
        <w:t>We operate in the highly competitive omni-channel re</w:t>
      </w:r>
      <w:r>
        <w:rPr>
          <w:rFonts w:ascii="Times New Roman" w:eastAsia="宋体" w:hAnsi="Times New Roman"/>
          <w:color w:val="000000"/>
          <w:sz w:val="20"/>
          <w:szCs w:val="20"/>
        </w:rPr>
        <w:t>tail industry in all of the markets we serve. We face strong sales competition from other discount, department, drug, dollar, variety and specialty stores, warehouse clubs and supermarkets, as well as eCommerce businesses. Many of these competitors are nat</w:t>
      </w:r>
      <w:r>
        <w:rPr>
          <w:rFonts w:ascii="Times New Roman" w:eastAsia="宋体" w:hAnsi="Times New Roman"/>
          <w:color w:val="000000"/>
          <w:sz w:val="20"/>
          <w:szCs w:val="20"/>
        </w:rPr>
        <w:t xml:space="preserve">ional, regional or international chains or have a national or international omni-channel or eCommerce presence. We compete with a number of companies for attracting and retaining quality employees ("associates"). We, along with other retail companies, are </w:t>
      </w:r>
      <w:r>
        <w:rPr>
          <w:rFonts w:ascii="Times New Roman" w:eastAsia="宋体" w:hAnsi="Times New Roman"/>
          <w:color w:val="000000"/>
          <w:sz w:val="20"/>
          <w:szCs w:val="20"/>
        </w:rPr>
        <w:t>influenced by a number of factors including, but not limited to: catastrophic events, weather and other risks related to climate change, global health epidemics, including the COVID-19 pandemic, competitive pressures, consumer disposable income, consumer d</w:t>
      </w:r>
      <w:r>
        <w:rPr>
          <w:rFonts w:ascii="Times New Roman" w:eastAsia="宋体" w:hAnsi="Times New Roman"/>
          <w:color w:val="000000"/>
          <w:sz w:val="20"/>
          <w:szCs w:val="20"/>
        </w:rPr>
        <w:t>ebt levels and buying patterns, consumer credit availability, supply chain disruptions, cost and availability of goods, currency exchange rate fluctuations, customer preferences, deflation, inflation, fuel and energy prices, general economic conditions, in</w:t>
      </w:r>
      <w:r>
        <w:rPr>
          <w:rFonts w:ascii="Times New Roman" w:eastAsia="宋体" w:hAnsi="Times New Roman"/>
          <w:color w:val="000000"/>
          <w:sz w:val="20"/>
          <w:szCs w:val="20"/>
        </w:rPr>
        <w:t xml:space="preserve">surance costs, interest rates, labor availability and costs, tax rates, the imposition of tariffs, cybersecurity attacks and unemployment. </w:t>
      </w:r>
    </w:p>
    <w:p w14:paraId="098A9BC3" w14:textId="77777777" w:rsidR="00141CDF" w:rsidRDefault="00141CDF">
      <w:pPr>
        <w:spacing w:before="100"/>
      </w:pPr>
    </w:p>
    <w:p w14:paraId="098A9BC4" w14:textId="77777777" w:rsidR="00141CDF" w:rsidRDefault="00141CDF">
      <w:pPr>
        <w:spacing w:before="100"/>
      </w:pPr>
    </w:p>
    <w:p w14:paraId="098A9BC5" w14:textId="77777777" w:rsidR="00141CDF" w:rsidRDefault="00DF45E0">
      <w:pPr>
        <w:jc w:val="center"/>
      </w:pPr>
      <w:r>
        <w:rPr>
          <w:rFonts w:ascii="Times New Roman" w:eastAsia="宋体" w:hAnsi="Times New Roman"/>
          <w:color w:val="000000"/>
          <w:sz w:val="20"/>
          <w:szCs w:val="20"/>
        </w:rPr>
        <w:t>15</w:t>
      </w:r>
    </w:p>
    <w:p w14:paraId="098A9BC6" w14:textId="77777777" w:rsidR="00141CDF" w:rsidRDefault="00DF45E0">
      <w:r>
        <w:pict w14:anchorId="098AA65D">
          <v:rect id="_x0000_i1039" style="width:415.3pt;height:1.5pt" o:hralign="center" o:hrstd="t" o:hr="t" fillcolor="#a0a0a0" stroked="f"/>
        </w:pict>
      </w:r>
    </w:p>
    <w:p w14:paraId="098A9BC7" w14:textId="77777777" w:rsidR="00141CDF" w:rsidRDefault="00DF45E0">
      <w:hyperlink r:id="rId68" w:anchor="i24a2f296795646fa8b5ba32fd1359591_7" w:history="1">
        <w:r>
          <w:rPr>
            <w:rStyle w:val="a5"/>
            <w:rFonts w:ascii="Times New Roman" w:eastAsia="宋体" w:hAnsi="Times New Roman"/>
            <w:sz w:val="20"/>
            <w:szCs w:val="20"/>
          </w:rPr>
          <w:t xml:space="preserve">Table of </w:t>
        </w:r>
      </w:hyperlink>
      <w:hyperlink r:id="rId69" w:anchor="i24a2f296795646fa8b5ba32fd1359591_7" w:history="1">
        <w:r>
          <w:rPr>
            <w:rStyle w:val="a5"/>
            <w:rFonts w:ascii="Times New Roman" w:eastAsia="宋体" w:hAnsi="Times New Roman"/>
            <w:sz w:val="20"/>
            <w:szCs w:val="20"/>
          </w:rPr>
          <w:t>Contents</w:t>
        </w:r>
      </w:hyperlink>
    </w:p>
    <w:p w14:paraId="098A9BC8" w14:textId="77777777" w:rsidR="00141CDF" w:rsidRDefault="00DF45E0">
      <w:pPr>
        <w:spacing w:before="100"/>
      </w:pPr>
      <w:r>
        <w:rPr>
          <w:rFonts w:ascii="Times New Roman" w:eastAsia="宋体" w:hAnsi="Times New Roman"/>
          <w:color w:val="000000"/>
          <w:sz w:val="20"/>
          <w:szCs w:val="20"/>
        </w:rPr>
        <w:t>We are committed to helping customers save money and live better through everyday low prices, supported by everyday low costs. However, like other retail companies, we have seen continued su</w:t>
      </w:r>
      <w:r>
        <w:rPr>
          <w:rFonts w:ascii="Times New Roman" w:eastAsia="宋体" w:hAnsi="Times New Roman"/>
          <w:color w:val="000000"/>
          <w:sz w:val="20"/>
          <w:szCs w:val="20"/>
        </w:rPr>
        <w:t>pply chain disruptions contributing to higher than normal inventory levels. In addition, our merchandise costs for the six months ended July 31, 2022 have been impacted by high inflation, greater than what we have experienced in recent years which has incr</w:t>
      </w:r>
      <w:r>
        <w:rPr>
          <w:rFonts w:ascii="Times New Roman" w:eastAsia="宋体" w:hAnsi="Times New Roman"/>
          <w:color w:val="000000"/>
          <w:sz w:val="20"/>
          <w:szCs w:val="20"/>
        </w:rPr>
        <w:t>eased costs and decreased profitability. The impact to our net sales and gross profit margin is influenced in part by our pricing and merchandising strategies in response to cost increases. Those pricing strategies include, but are not limited to: absorbin</w:t>
      </w:r>
      <w:r>
        <w:rPr>
          <w:rFonts w:ascii="Times New Roman" w:eastAsia="宋体" w:hAnsi="Times New Roman"/>
          <w:color w:val="000000"/>
          <w:sz w:val="20"/>
          <w:szCs w:val="20"/>
        </w:rPr>
        <w:t xml:space="preserve">g cost increases instead of passing those cost increases on to our customers and members; reducing prices in certain merchandise categories; focusing on opening price points for certain food categories; and when necessary, passing cost increases on to our </w:t>
      </w:r>
      <w:r>
        <w:rPr>
          <w:rFonts w:ascii="Times New Roman" w:eastAsia="宋体" w:hAnsi="Times New Roman"/>
          <w:color w:val="000000"/>
          <w:sz w:val="20"/>
          <w:szCs w:val="20"/>
        </w:rPr>
        <w:t>customers and members. Merchandising strategies include, but are not limited to: working with our suppliers to share in absorbing cost increases; focusing on private label brands and smaller pack sizes; earlier-than-usual purchasing and in greater volumes;</w:t>
      </w:r>
      <w:r>
        <w:rPr>
          <w:rFonts w:ascii="Times New Roman" w:eastAsia="宋体" w:hAnsi="Times New Roman"/>
          <w:color w:val="000000"/>
          <w:sz w:val="20"/>
          <w:szCs w:val="20"/>
        </w:rPr>
        <w:t xml:space="preserve"> and securing ocean carrier and container capacity. These strategies have and may continue to impact gross profit as a percentage of net sales. </w:t>
      </w:r>
    </w:p>
    <w:p w14:paraId="098A9BC9" w14:textId="77777777" w:rsidR="00141CDF" w:rsidRDefault="00DF45E0">
      <w:pPr>
        <w:spacing w:before="100"/>
      </w:pPr>
      <w:r>
        <w:rPr>
          <w:rFonts w:ascii="Times New Roman" w:eastAsia="宋体" w:hAnsi="Times New Roman"/>
          <w:color w:val="000000"/>
          <w:sz w:val="20"/>
          <w:szCs w:val="20"/>
        </w:rPr>
        <w:t>Further information on the factors that can affect our operating results and on certain risks to our Company an</w:t>
      </w:r>
      <w:r>
        <w:rPr>
          <w:rFonts w:ascii="Times New Roman" w:eastAsia="宋体" w:hAnsi="Times New Roman"/>
          <w:color w:val="000000"/>
          <w:sz w:val="20"/>
          <w:szCs w:val="20"/>
        </w:rPr>
        <w:t>d an investment in our securities can be found herein under "</w:t>
      </w:r>
      <w:hyperlink r:id="rId70" w:anchor="i24a2f296795646fa8b5ba32fd1359591_121" w:history="1">
        <w:r>
          <w:rPr>
            <w:rStyle w:val="a5"/>
            <w:rFonts w:ascii="Times New Roman" w:eastAsia="宋体" w:hAnsi="Times New Roman"/>
            <w:sz w:val="20"/>
            <w:szCs w:val="20"/>
          </w:rPr>
          <w:t>Item 5. Other Information</w:t>
        </w:r>
      </w:hyperlink>
      <w:r>
        <w:rPr>
          <w:rFonts w:ascii="Times New Roman" w:eastAsia="宋体" w:hAnsi="Times New Roman"/>
          <w:color w:val="000000"/>
          <w:sz w:val="20"/>
          <w:szCs w:val="20"/>
        </w:rPr>
        <w:t xml:space="preserve">." </w:t>
      </w:r>
    </w:p>
    <w:p w14:paraId="098A9BCA" w14:textId="77777777" w:rsidR="00141CDF" w:rsidRDefault="00DF45E0">
      <w:pPr>
        <w:spacing w:before="100"/>
      </w:pPr>
      <w:r>
        <w:rPr>
          <w:rFonts w:ascii="Times New Roman" w:eastAsia="宋体" w:hAnsi="Times New Roman"/>
          <w:color w:val="000000"/>
          <w:sz w:val="20"/>
          <w:szCs w:val="20"/>
        </w:rPr>
        <w:t>We expect co</w:t>
      </w:r>
      <w:r>
        <w:rPr>
          <w:rFonts w:ascii="Times New Roman" w:eastAsia="宋体" w:hAnsi="Times New Roman"/>
          <w:color w:val="000000"/>
          <w:sz w:val="20"/>
          <w:szCs w:val="20"/>
        </w:rPr>
        <w:t>ntinued uncertainty in our business and the global economy due to pressure from inflation, supply chain disruptions, volatility in employment trends and consumer confidence, ongoing uncertainties related to the COVID-19 pandemic, including, among other mat</w:t>
      </w:r>
      <w:r>
        <w:rPr>
          <w:rFonts w:ascii="Times New Roman" w:eastAsia="宋体" w:hAnsi="Times New Roman"/>
          <w:color w:val="000000"/>
          <w:sz w:val="20"/>
          <w:szCs w:val="20"/>
        </w:rPr>
        <w:t>ters, the effectiveness and extent of administration of vaccinations and medical treatment, any of which may impact our results. For a detailed discussion on results of operations by reportable segment, refer to "</w:t>
      </w:r>
      <w:hyperlink r:id="rId71" w:anchor="i24a2f296795646fa8b5ba32fd1359591_85" w:history="1">
        <w:r>
          <w:rPr>
            <w:rStyle w:val="a5"/>
            <w:rFonts w:ascii="Times New Roman" w:eastAsia="宋体" w:hAnsi="Times New Roman"/>
            <w:sz w:val="20"/>
            <w:szCs w:val="20"/>
          </w:rPr>
          <w:t>Results of Operations</w:t>
        </w:r>
      </w:hyperlink>
      <w:r>
        <w:rPr>
          <w:rFonts w:ascii="Times New Roman" w:eastAsia="宋体" w:hAnsi="Times New Roman"/>
          <w:color w:val="000000"/>
          <w:sz w:val="20"/>
          <w:szCs w:val="20"/>
        </w:rPr>
        <w:t>" below.</w:t>
      </w:r>
    </w:p>
    <w:p w14:paraId="098A9BCB" w14:textId="77777777" w:rsidR="00141CDF" w:rsidRDefault="00141CDF"/>
    <w:p w14:paraId="098A9BCC" w14:textId="77777777" w:rsidR="00141CDF" w:rsidRDefault="00DF45E0">
      <w:r>
        <w:rPr>
          <w:rFonts w:ascii="Times New Roman" w:eastAsia="宋体" w:hAnsi="Times New Roman"/>
          <w:b/>
          <w:bCs/>
          <w:color w:val="000000"/>
          <w:sz w:val="20"/>
          <w:szCs w:val="20"/>
        </w:rPr>
        <w:t>Company Performance Metrics</w:t>
      </w:r>
    </w:p>
    <w:p w14:paraId="098A9BCD" w14:textId="77777777" w:rsidR="00141CDF" w:rsidRDefault="00DF45E0">
      <w:pPr>
        <w:spacing w:before="100"/>
      </w:pPr>
      <w:r>
        <w:rPr>
          <w:rFonts w:ascii="Times New Roman" w:eastAsia="宋体" w:hAnsi="Times New Roman"/>
          <w:color w:val="000000"/>
          <w:sz w:val="20"/>
          <w:szCs w:val="20"/>
        </w:rPr>
        <w:t>We are committed to helping customers save money and live better through everyday low p</w:t>
      </w:r>
      <w:r>
        <w:rPr>
          <w:rFonts w:ascii="Times New Roman" w:eastAsia="宋体" w:hAnsi="Times New Roman"/>
          <w:color w:val="000000"/>
          <w:sz w:val="20"/>
          <w:szCs w:val="20"/>
        </w:rPr>
        <w:t>rices, supported by everyday low costs.  At times, we adjust our business strategies to maintain and strengthen our competitive positions in the countries in which we operate.  We define our financial framework as:</w:t>
      </w:r>
    </w:p>
    <w:p w14:paraId="098A9BCE" w14:textId="77777777" w:rsidR="00141CDF" w:rsidRDefault="00DF45E0">
      <w:pPr>
        <w:spacing w:before="100"/>
        <w:ind w:hanging="360"/>
      </w:pPr>
      <w:r>
        <w:rPr>
          <w:rFonts w:ascii="Times New Roman" w:eastAsia="宋体" w:hAnsi="Times New Roman"/>
          <w:color w:val="000000"/>
          <w:sz w:val="20"/>
          <w:szCs w:val="20"/>
        </w:rPr>
        <w:t>•strong, efficient growth;</w:t>
      </w:r>
    </w:p>
    <w:p w14:paraId="098A9BCF" w14:textId="77777777" w:rsidR="00141CDF" w:rsidRDefault="00DF45E0">
      <w:pPr>
        <w:spacing w:before="100"/>
        <w:ind w:hanging="360"/>
      </w:pPr>
      <w:r>
        <w:rPr>
          <w:rFonts w:ascii="Times New Roman" w:eastAsia="宋体" w:hAnsi="Times New Roman"/>
          <w:color w:val="000000"/>
          <w:sz w:val="20"/>
          <w:szCs w:val="20"/>
        </w:rPr>
        <w:t>•consistent op</w:t>
      </w:r>
      <w:r>
        <w:rPr>
          <w:rFonts w:ascii="Times New Roman" w:eastAsia="宋体" w:hAnsi="Times New Roman"/>
          <w:color w:val="000000"/>
          <w:sz w:val="20"/>
          <w:szCs w:val="20"/>
        </w:rPr>
        <w:t>erating discipline; and</w:t>
      </w:r>
    </w:p>
    <w:p w14:paraId="098A9BD0" w14:textId="77777777" w:rsidR="00141CDF" w:rsidRDefault="00DF45E0">
      <w:pPr>
        <w:spacing w:before="100"/>
        <w:ind w:hanging="360"/>
      </w:pPr>
      <w:r>
        <w:rPr>
          <w:rFonts w:ascii="Times New Roman" w:eastAsia="宋体" w:hAnsi="Times New Roman"/>
          <w:color w:val="000000"/>
          <w:sz w:val="20"/>
          <w:szCs w:val="20"/>
        </w:rPr>
        <w:t>•strategic capital allocation.</w:t>
      </w:r>
    </w:p>
    <w:p w14:paraId="098A9BD1" w14:textId="77777777" w:rsidR="00141CDF" w:rsidRDefault="00DF45E0">
      <w:pPr>
        <w:spacing w:before="100"/>
      </w:pPr>
      <w:r>
        <w:rPr>
          <w:rFonts w:ascii="Times New Roman" w:eastAsia="宋体" w:hAnsi="Times New Roman"/>
          <w:color w:val="000000"/>
          <w:sz w:val="20"/>
          <w:szCs w:val="20"/>
        </w:rPr>
        <w:t xml:space="preserve">As we execute on this financial framework, we believe our returns on capital will improve over time. </w:t>
      </w:r>
    </w:p>
    <w:p w14:paraId="098A9BD2" w14:textId="77777777" w:rsidR="00141CDF" w:rsidRDefault="00DF45E0">
      <w:pPr>
        <w:spacing w:before="180"/>
      </w:pPr>
      <w:r>
        <w:rPr>
          <w:rFonts w:ascii="Times New Roman" w:eastAsia="宋体" w:hAnsi="Times New Roman"/>
          <w:b/>
          <w:bCs/>
          <w:color w:val="000000"/>
          <w:sz w:val="20"/>
          <w:szCs w:val="20"/>
          <w:u w:val="single"/>
        </w:rPr>
        <w:t>Strong, Efficient Growth</w:t>
      </w:r>
    </w:p>
    <w:p w14:paraId="098A9BD3" w14:textId="77777777" w:rsidR="00141CDF" w:rsidRDefault="00DF45E0">
      <w:pPr>
        <w:spacing w:before="100"/>
      </w:pPr>
      <w:r>
        <w:rPr>
          <w:rFonts w:ascii="Times New Roman" w:eastAsia="宋体" w:hAnsi="Times New Roman"/>
          <w:color w:val="000000"/>
          <w:sz w:val="20"/>
          <w:szCs w:val="20"/>
        </w:rPr>
        <w:t>Our objective of prioritizing strong, efficient growth means we will focus</w:t>
      </w:r>
      <w:r>
        <w:rPr>
          <w:rFonts w:ascii="Times New Roman" w:eastAsia="宋体" w:hAnsi="Times New Roman"/>
          <w:color w:val="000000"/>
          <w:sz w:val="20"/>
          <w:szCs w:val="20"/>
        </w:rPr>
        <w:t xml:space="preserve"> on the most productive growth opportunities, increasing comparable store and club sales, accelerating eCommerce sales growth and expansion of omni-channel initiatives that complement our flywheel strategy while slowing the rate of growth of new stores and</w:t>
      </w:r>
      <w:r>
        <w:rPr>
          <w:rFonts w:ascii="Times New Roman" w:eastAsia="宋体" w:hAnsi="Times New Roman"/>
          <w:color w:val="000000"/>
          <w:sz w:val="20"/>
          <w:szCs w:val="20"/>
        </w:rPr>
        <w:t xml:space="preserve"> clubs. At times, we make strategic investments which are focused on the long-term growth of the Company. </w:t>
      </w:r>
    </w:p>
    <w:p w14:paraId="098A9BD4" w14:textId="77777777" w:rsidR="00141CDF" w:rsidRDefault="00DF45E0">
      <w:pPr>
        <w:spacing w:before="100"/>
      </w:pPr>
      <w:r>
        <w:rPr>
          <w:rFonts w:ascii="Times New Roman" w:eastAsia="宋体" w:hAnsi="Times New Roman"/>
          <w:color w:val="000000"/>
          <w:sz w:val="20"/>
          <w:szCs w:val="20"/>
        </w:rPr>
        <w:t>Comparable sales is a metric that indicates the performance of our existing stores and clubs by measuring the change in sales for such stores and clu</w:t>
      </w:r>
      <w:r>
        <w:rPr>
          <w:rFonts w:ascii="Times New Roman" w:eastAsia="宋体" w:hAnsi="Times New Roman"/>
          <w:color w:val="000000"/>
          <w:sz w:val="20"/>
          <w:szCs w:val="20"/>
        </w:rPr>
        <w:t>bs, including eCommerce sales, for a particular period over the corresponding period in the previous year. The retail industry generally reports comparable sales using the retail calendar (also known as the 4-5-4 calendar). To be consistent with the retail</w:t>
      </w:r>
      <w:r>
        <w:rPr>
          <w:rFonts w:ascii="Times New Roman" w:eastAsia="宋体" w:hAnsi="Times New Roman"/>
          <w:color w:val="000000"/>
          <w:sz w:val="20"/>
          <w:szCs w:val="20"/>
        </w:rPr>
        <w:t xml:space="preserve"> industry, we provide comparable sales using the retail calendar in our quarterly earnings releases. However, when we discuss our comparable sales below, we are referring to our calendar comparable sales calculated using our fiscal calendar, which may resu</w:t>
      </w:r>
      <w:r>
        <w:rPr>
          <w:rFonts w:ascii="Times New Roman" w:eastAsia="宋体" w:hAnsi="Times New Roman"/>
          <w:color w:val="000000"/>
          <w:sz w:val="20"/>
          <w:szCs w:val="20"/>
        </w:rPr>
        <w:t xml:space="preserve">lt in differences when compared to comparable sales using the retail calendar. </w:t>
      </w:r>
    </w:p>
    <w:p w14:paraId="098A9BD5" w14:textId="77777777" w:rsidR="00141CDF" w:rsidRDefault="00DF45E0">
      <w:pPr>
        <w:spacing w:before="100"/>
      </w:pPr>
      <w:r>
        <w:rPr>
          <w:rFonts w:ascii="Times New Roman" w:eastAsia="宋体" w:hAnsi="Times New Roman"/>
          <w:color w:val="000000"/>
          <w:sz w:val="20"/>
          <w:szCs w:val="20"/>
        </w:rPr>
        <w:t>Calendar comparable sales, as well as the impact of fuel, for the three and six months ended July 31, 2022 and 2021, were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1829"/>
        <w:gridCol w:w="36"/>
        <w:gridCol w:w="36"/>
        <w:gridCol w:w="36"/>
        <w:gridCol w:w="36"/>
        <w:gridCol w:w="42"/>
        <w:gridCol w:w="499"/>
        <w:gridCol w:w="155"/>
        <w:gridCol w:w="36"/>
        <w:gridCol w:w="36"/>
        <w:gridCol w:w="36"/>
        <w:gridCol w:w="42"/>
        <w:gridCol w:w="499"/>
        <w:gridCol w:w="155"/>
        <w:gridCol w:w="36"/>
        <w:gridCol w:w="36"/>
        <w:gridCol w:w="36"/>
        <w:gridCol w:w="42"/>
        <w:gridCol w:w="499"/>
        <w:gridCol w:w="155"/>
        <w:gridCol w:w="36"/>
        <w:gridCol w:w="36"/>
        <w:gridCol w:w="36"/>
        <w:gridCol w:w="42"/>
        <w:gridCol w:w="499"/>
        <w:gridCol w:w="155"/>
        <w:gridCol w:w="36"/>
        <w:gridCol w:w="36"/>
        <w:gridCol w:w="36"/>
        <w:gridCol w:w="42"/>
        <w:gridCol w:w="499"/>
        <w:gridCol w:w="154"/>
        <w:gridCol w:w="36"/>
        <w:gridCol w:w="36"/>
        <w:gridCol w:w="36"/>
        <w:gridCol w:w="42"/>
        <w:gridCol w:w="499"/>
        <w:gridCol w:w="154"/>
        <w:gridCol w:w="36"/>
        <w:gridCol w:w="36"/>
        <w:gridCol w:w="36"/>
        <w:gridCol w:w="42"/>
        <w:gridCol w:w="500"/>
        <w:gridCol w:w="154"/>
        <w:gridCol w:w="36"/>
        <w:gridCol w:w="36"/>
        <w:gridCol w:w="36"/>
        <w:gridCol w:w="42"/>
        <w:gridCol w:w="504"/>
        <w:gridCol w:w="154"/>
      </w:tblGrid>
      <w:tr w:rsidR="00141CDF" w14:paraId="098A9C09" w14:textId="77777777">
        <w:trPr>
          <w:jc w:val="center"/>
        </w:trPr>
        <w:tc>
          <w:tcPr>
            <w:tcW w:w="50" w:type="pct"/>
            <w:shd w:val="clear" w:color="auto" w:fill="auto"/>
            <w:vAlign w:val="bottom"/>
          </w:tcPr>
          <w:p w14:paraId="098A9BD6" w14:textId="77777777" w:rsidR="00141CDF" w:rsidRDefault="00141CDF">
            <w:pPr>
              <w:rPr>
                <w:rFonts w:ascii="宋体"/>
              </w:rPr>
            </w:pPr>
          </w:p>
        </w:tc>
        <w:tc>
          <w:tcPr>
            <w:tcW w:w="1143" w:type="pct"/>
            <w:shd w:val="clear" w:color="auto" w:fill="auto"/>
            <w:vAlign w:val="bottom"/>
          </w:tcPr>
          <w:p w14:paraId="098A9BD7" w14:textId="77777777" w:rsidR="00141CDF" w:rsidRDefault="00141CDF">
            <w:pPr>
              <w:rPr>
                <w:rFonts w:ascii="宋体"/>
              </w:rPr>
            </w:pPr>
          </w:p>
        </w:tc>
        <w:tc>
          <w:tcPr>
            <w:tcW w:w="5" w:type="pct"/>
            <w:shd w:val="clear" w:color="auto" w:fill="auto"/>
            <w:vAlign w:val="bottom"/>
          </w:tcPr>
          <w:p w14:paraId="098A9BD8" w14:textId="77777777" w:rsidR="00141CDF" w:rsidRDefault="00141CDF">
            <w:pPr>
              <w:rPr>
                <w:rFonts w:ascii="宋体"/>
              </w:rPr>
            </w:pPr>
          </w:p>
        </w:tc>
        <w:tc>
          <w:tcPr>
            <w:tcW w:w="5" w:type="pct"/>
            <w:shd w:val="clear" w:color="auto" w:fill="auto"/>
            <w:vAlign w:val="bottom"/>
          </w:tcPr>
          <w:p w14:paraId="098A9BD9" w14:textId="77777777" w:rsidR="00141CDF" w:rsidRDefault="00141CDF">
            <w:pPr>
              <w:rPr>
                <w:rFonts w:ascii="宋体"/>
              </w:rPr>
            </w:pPr>
          </w:p>
        </w:tc>
        <w:tc>
          <w:tcPr>
            <w:tcW w:w="26" w:type="pct"/>
            <w:shd w:val="clear" w:color="auto" w:fill="auto"/>
            <w:vAlign w:val="bottom"/>
          </w:tcPr>
          <w:p w14:paraId="098A9BDA" w14:textId="77777777" w:rsidR="00141CDF" w:rsidRDefault="00141CDF">
            <w:pPr>
              <w:rPr>
                <w:rFonts w:ascii="宋体"/>
              </w:rPr>
            </w:pPr>
          </w:p>
        </w:tc>
        <w:tc>
          <w:tcPr>
            <w:tcW w:w="5" w:type="pct"/>
            <w:shd w:val="clear" w:color="auto" w:fill="auto"/>
            <w:vAlign w:val="bottom"/>
          </w:tcPr>
          <w:p w14:paraId="098A9BDB" w14:textId="77777777" w:rsidR="00141CDF" w:rsidRDefault="00141CDF">
            <w:pPr>
              <w:rPr>
                <w:rFonts w:ascii="宋体"/>
              </w:rPr>
            </w:pPr>
          </w:p>
        </w:tc>
        <w:tc>
          <w:tcPr>
            <w:tcW w:w="50" w:type="pct"/>
            <w:shd w:val="clear" w:color="auto" w:fill="auto"/>
            <w:vAlign w:val="bottom"/>
          </w:tcPr>
          <w:p w14:paraId="098A9BDC" w14:textId="77777777" w:rsidR="00141CDF" w:rsidRDefault="00141CDF">
            <w:pPr>
              <w:rPr>
                <w:rFonts w:ascii="宋体"/>
              </w:rPr>
            </w:pPr>
          </w:p>
        </w:tc>
        <w:tc>
          <w:tcPr>
            <w:tcW w:w="383" w:type="pct"/>
            <w:shd w:val="clear" w:color="auto" w:fill="auto"/>
            <w:vAlign w:val="bottom"/>
          </w:tcPr>
          <w:p w14:paraId="098A9BDD" w14:textId="77777777" w:rsidR="00141CDF" w:rsidRDefault="00141CDF">
            <w:pPr>
              <w:rPr>
                <w:rFonts w:ascii="宋体"/>
              </w:rPr>
            </w:pPr>
          </w:p>
        </w:tc>
        <w:tc>
          <w:tcPr>
            <w:tcW w:w="5" w:type="pct"/>
            <w:shd w:val="clear" w:color="auto" w:fill="auto"/>
            <w:vAlign w:val="bottom"/>
          </w:tcPr>
          <w:p w14:paraId="098A9BDE" w14:textId="77777777" w:rsidR="00141CDF" w:rsidRDefault="00141CDF">
            <w:pPr>
              <w:rPr>
                <w:rFonts w:ascii="宋体"/>
              </w:rPr>
            </w:pPr>
          </w:p>
        </w:tc>
        <w:tc>
          <w:tcPr>
            <w:tcW w:w="5" w:type="pct"/>
            <w:shd w:val="clear" w:color="auto" w:fill="auto"/>
            <w:vAlign w:val="bottom"/>
          </w:tcPr>
          <w:p w14:paraId="098A9BDF" w14:textId="77777777" w:rsidR="00141CDF" w:rsidRDefault="00141CDF">
            <w:pPr>
              <w:rPr>
                <w:rFonts w:ascii="宋体"/>
              </w:rPr>
            </w:pPr>
          </w:p>
        </w:tc>
        <w:tc>
          <w:tcPr>
            <w:tcW w:w="26" w:type="pct"/>
            <w:shd w:val="clear" w:color="auto" w:fill="auto"/>
            <w:vAlign w:val="bottom"/>
          </w:tcPr>
          <w:p w14:paraId="098A9BE0" w14:textId="77777777" w:rsidR="00141CDF" w:rsidRDefault="00141CDF">
            <w:pPr>
              <w:rPr>
                <w:rFonts w:ascii="宋体"/>
              </w:rPr>
            </w:pPr>
          </w:p>
        </w:tc>
        <w:tc>
          <w:tcPr>
            <w:tcW w:w="5" w:type="pct"/>
            <w:shd w:val="clear" w:color="auto" w:fill="auto"/>
            <w:vAlign w:val="bottom"/>
          </w:tcPr>
          <w:p w14:paraId="098A9BE1" w14:textId="77777777" w:rsidR="00141CDF" w:rsidRDefault="00141CDF">
            <w:pPr>
              <w:rPr>
                <w:rFonts w:ascii="宋体"/>
              </w:rPr>
            </w:pPr>
          </w:p>
        </w:tc>
        <w:tc>
          <w:tcPr>
            <w:tcW w:w="50" w:type="pct"/>
            <w:shd w:val="clear" w:color="auto" w:fill="auto"/>
            <w:vAlign w:val="bottom"/>
          </w:tcPr>
          <w:p w14:paraId="098A9BE2" w14:textId="77777777" w:rsidR="00141CDF" w:rsidRDefault="00141CDF">
            <w:pPr>
              <w:rPr>
                <w:rFonts w:ascii="宋体"/>
              </w:rPr>
            </w:pPr>
          </w:p>
        </w:tc>
        <w:tc>
          <w:tcPr>
            <w:tcW w:w="383" w:type="pct"/>
            <w:shd w:val="clear" w:color="auto" w:fill="auto"/>
            <w:vAlign w:val="bottom"/>
          </w:tcPr>
          <w:p w14:paraId="098A9BE3" w14:textId="77777777" w:rsidR="00141CDF" w:rsidRDefault="00141CDF">
            <w:pPr>
              <w:rPr>
                <w:rFonts w:ascii="宋体"/>
              </w:rPr>
            </w:pPr>
          </w:p>
        </w:tc>
        <w:tc>
          <w:tcPr>
            <w:tcW w:w="5" w:type="pct"/>
            <w:shd w:val="clear" w:color="auto" w:fill="auto"/>
            <w:vAlign w:val="bottom"/>
          </w:tcPr>
          <w:p w14:paraId="098A9BE4" w14:textId="77777777" w:rsidR="00141CDF" w:rsidRDefault="00141CDF">
            <w:pPr>
              <w:rPr>
                <w:rFonts w:ascii="宋体"/>
              </w:rPr>
            </w:pPr>
          </w:p>
        </w:tc>
        <w:tc>
          <w:tcPr>
            <w:tcW w:w="5" w:type="pct"/>
            <w:shd w:val="clear" w:color="auto" w:fill="auto"/>
            <w:vAlign w:val="bottom"/>
          </w:tcPr>
          <w:p w14:paraId="098A9BE5" w14:textId="77777777" w:rsidR="00141CDF" w:rsidRDefault="00141CDF">
            <w:pPr>
              <w:rPr>
                <w:rFonts w:ascii="宋体"/>
              </w:rPr>
            </w:pPr>
          </w:p>
        </w:tc>
        <w:tc>
          <w:tcPr>
            <w:tcW w:w="26" w:type="pct"/>
            <w:shd w:val="clear" w:color="auto" w:fill="auto"/>
            <w:vAlign w:val="bottom"/>
          </w:tcPr>
          <w:p w14:paraId="098A9BE6" w14:textId="77777777" w:rsidR="00141CDF" w:rsidRDefault="00141CDF">
            <w:pPr>
              <w:rPr>
                <w:rFonts w:ascii="宋体"/>
              </w:rPr>
            </w:pPr>
          </w:p>
        </w:tc>
        <w:tc>
          <w:tcPr>
            <w:tcW w:w="5" w:type="pct"/>
            <w:shd w:val="clear" w:color="auto" w:fill="auto"/>
            <w:vAlign w:val="bottom"/>
          </w:tcPr>
          <w:p w14:paraId="098A9BE7" w14:textId="77777777" w:rsidR="00141CDF" w:rsidRDefault="00141CDF">
            <w:pPr>
              <w:rPr>
                <w:rFonts w:ascii="宋体"/>
              </w:rPr>
            </w:pPr>
          </w:p>
        </w:tc>
        <w:tc>
          <w:tcPr>
            <w:tcW w:w="50" w:type="pct"/>
            <w:shd w:val="clear" w:color="auto" w:fill="auto"/>
            <w:vAlign w:val="bottom"/>
          </w:tcPr>
          <w:p w14:paraId="098A9BE8" w14:textId="77777777" w:rsidR="00141CDF" w:rsidRDefault="00141CDF">
            <w:pPr>
              <w:rPr>
                <w:rFonts w:ascii="宋体"/>
              </w:rPr>
            </w:pPr>
          </w:p>
        </w:tc>
        <w:tc>
          <w:tcPr>
            <w:tcW w:w="383" w:type="pct"/>
            <w:shd w:val="clear" w:color="auto" w:fill="auto"/>
            <w:vAlign w:val="bottom"/>
          </w:tcPr>
          <w:p w14:paraId="098A9BE9" w14:textId="77777777" w:rsidR="00141CDF" w:rsidRDefault="00141CDF">
            <w:pPr>
              <w:rPr>
                <w:rFonts w:ascii="宋体"/>
              </w:rPr>
            </w:pPr>
          </w:p>
        </w:tc>
        <w:tc>
          <w:tcPr>
            <w:tcW w:w="5" w:type="pct"/>
            <w:shd w:val="clear" w:color="auto" w:fill="auto"/>
            <w:vAlign w:val="bottom"/>
          </w:tcPr>
          <w:p w14:paraId="098A9BEA" w14:textId="77777777" w:rsidR="00141CDF" w:rsidRDefault="00141CDF">
            <w:pPr>
              <w:rPr>
                <w:rFonts w:ascii="宋体"/>
              </w:rPr>
            </w:pPr>
          </w:p>
        </w:tc>
        <w:tc>
          <w:tcPr>
            <w:tcW w:w="5" w:type="pct"/>
            <w:shd w:val="clear" w:color="auto" w:fill="auto"/>
            <w:vAlign w:val="bottom"/>
          </w:tcPr>
          <w:p w14:paraId="098A9BEB" w14:textId="77777777" w:rsidR="00141CDF" w:rsidRDefault="00141CDF">
            <w:pPr>
              <w:rPr>
                <w:rFonts w:ascii="宋体"/>
              </w:rPr>
            </w:pPr>
          </w:p>
        </w:tc>
        <w:tc>
          <w:tcPr>
            <w:tcW w:w="26" w:type="pct"/>
            <w:shd w:val="clear" w:color="auto" w:fill="auto"/>
            <w:vAlign w:val="bottom"/>
          </w:tcPr>
          <w:p w14:paraId="098A9BEC" w14:textId="77777777" w:rsidR="00141CDF" w:rsidRDefault="00141CDF">
            <w:pPr>
              <w:rPr>
                <w:rFonts w:ascii="宋体"/>
              </w:rPr>
            </w:pPr>
          </w:p>
        </w:tc>
        <w:tc>
          <w:tcPr>
            <w:tcW w:w="5" w:type="pct"/>
            <w:shd w:val="clear" w:color="auto" w:fill="auto"/>
            <w:vAlign w:val="bottom"/>
          </w:tcPr>
          <w:p w14:paraId="098A9BED" w14:textId="77777777" w:rsidR="00141CDF" w:rsidRDefault="00141CDF">
            <w:pPr>
              <w:rPr>
                <w:rFonts w:ascii="宋体"/>
              </w:rPr>
            </w:pPr>
          </w:p>
        </w:tc>
        <w:tc>
          <w:tcPr>
            <w:tcW w:w="50" w:type="pct"/>
            <w:shd w:val="clear" w:color="auto" w:fill="auto"/>
            <w:vAlign w:val="bottom"/>
          </w:tcPr>
          <w:p w14:paraId="098A9BEE" w14:textId="77777777" w:rsidR="00141CDF" w:rsidRDefault="00141CDF">
            <w:pPr>
              <w:rPr>
                <w:rFonts w:ascii="宋体"/>
              </w:rPr>
            </w:pPr>
          </w:p>
        </w:tc>
        <w:tc>
          <w:tcPr>
            <w:tcW w:w="383" w:type="pct"/>
            <w:shd w:val="clear" w:color="auto" w:fill="auto"/>
            <w:vAlign w:val="bottom"/>
          </w:tcPr>
          <w:p w14:paraId="098A9BEF" w14:textId="77777777" w:rsidR="00141CDF" w:rsidRDefault="00141CDF">
            <w:pPr>
              <w:rPr>
                <w:rFonts w:ascii="宋体"/>
              </w:rPr>
            </w:pPr>
          </w:p>
        </w:tc>
        <w:tc>
          <w:tcPr>
            <w:tcW w:w="5" w:type="pct"/>
            <w:shd w:val="clear" w:color="auto" w:fill="auto"/>
            <w:vAlign w:val="bottom"/>
          </w:tcPr>
          <w:p w14:paraId="098A9BF0" w14:textId="77777777" w:rsidR="00141CDF" w:rsidRDefault="00141CDF">
            <w:pPr>
              <w:rPr>
                <w:rFonts w:ascii="宋体"/>
              </w:rPr>
            </w:pPr>
          </w:p>
        </w:tc>
        <w:tc>
          <w:tcPr>
            <w:tcW w:w="5" w:type="pct"/>
            <w:shd w:val="clear" w:color="auto" w:fill="auto"/>
            <w:vAlign w:val="bottom"/>
          </w:tcPr>
          <w:p w14:paraId="098A9BF1" w14:textId="77777777" w:rsidR="00141CDF" w:rsidRDefault="00141CDF">
            <w:pPr>
              <w:rPr>
                <w:rFonts w:ascii="宋体"/>
              </w:rPr>
            </w:pPr>
          </w:p>
        </w:tc>
        <w:tc>
          <w:tcPr>
            <w:tcW w:w="26" w:type="pct"/>
            <w:shd w:val="clear" w:color="auto" w:fill="auto"/>
            <w:vAlign w:val="bottom"/>
          </w:tcPr>
          <w:p w14:paraId="098A9BF2" w14:textId="77777777" w:rsidR="00141CDF" w:rsidRDefault="00141CDF">
            <w:pPr>
              <w:rPr>
                <w:rFonts w:ascii="宋体"/>
              </w:rPr>
            </w:pPr>
          </w:p>
        </w:tc>
        <w:tc>
          <w:tcPr>
            <w:tcW w:w="5" w:type="pct"/>
            <w:shd w:val="clear" w:color="auto" w:fill="auto"/>
            <w:vAlign w:val="bottom"/>
          </w:tcPr>
          <w:p w14:paraId="098A9BF3" w14:textId="77777777" w:rsidR="00141CDF" w:rsidRDefault="00141CDF">
            <w:pPr>
              <w:rPr>
                <w:rFonts w:ascii="宋体"/>
              </w:rPr>
            </w:pPr>
          </w:p>
        </w:tc>
        <w:tc>
          <w:tcPr>
            <w:tcW w:w="50" w:type="pct"/>
            <w:shd w:val="clear" w:color="auto" w:fill="auto"/>
            <w:vAlign w:val="bottom"/>
          </w:tcPr>
          <w:p w14:paraId="098A9BF4" w14:textId="77777777" w:rsidR="00141CDF" w:rsidRDefault="00141CDF">
            <w:pPr>
              <w:rPr>
                <w:rFonts w:ascii="宋体"/>
              </w:rPr>
            </w:pPr>
          </w:p>
        </w:tc>
        <w:tc>
          <w:tcPr>
            <w:tcW w:w="383" w:type="pct"/>
            <w:shd w:val="clear" w:color="auto" w:fill="auto"/>
            <w:vAlign w:val="bottom"/>
          </w:tcPr>
          <w:p w14:paraId="098A9BF5" w14:textId="77777777" w:rsidR="00141CDF" w:rsidRDefault="00141CDF">
            <w:pPr>
              <w:rPr>
                <w:rFonts w:ascii="宋体"/>
              </w:rPr>
            </w:pPr>
          </w:p>
        </w:tc>
        <w:tc>
          <w:tcPr>
            <w:tcW w:w="5" w:type="pct"/>
            <w:shd w:val="clear" w:color="auto" w:fill="auto"/>
            <w:vAlign w:val="bottom"/>
          </w:tcPr>
          <w:p w14:paraId="098A9BF6" w14:textId="77777777" w:rsidR="00141CDF" w:rsidRDefault="00141CDF">
            <w:pPr>
              <w:rPr>
                <w:rFonts w:ascii="宋体"/>
              </w:rPr>
            </w:pPr>
          </w:p>
        </w:tc>
        <w:tc>
          <w:tcPr>
            <w:tcW w:w="5" w:type="pct"/>
            <w:shd w:val="clear" w:color="auto" w:fill="auto"/>
            <w:vAlign w:val="bottom"/>
          </w:tcPr>
          <w:p w14:paraId="098A9BF7" w14:textId="77777777" w:rsidR="00141CDF" w:rsidRDefault="00141CDF">
            <w:pPr>
              <w:rPr>
                <w:rFonts w:ascii="宋体"/>
              </w:rPr>
            </w:pPr>
          </w:p>
        </w:tc>
        <w:tc>
          <w:tcPr>
            <w:tcW w:w="26" w:type="pct"/>
            <w:shd w:val="clear" w:color="auto" w:fill="auto"/>
            <w:vAlign w:val="bottom"/>
          </w:tcPr>
          <w:p w14:paraId="098A9BF8" w14:textId="77777777" w:rsidR="00141CDF" w:rsidRDefault="00141CDF">
            <w:pPr>
              <w:rPr>
                <w:rFonts w:ascii="宋体"/>
              </w:rPr>
            </w:pPr>
          </w:p>
        </w:tc>
        <w:tc>
          <w:tcPr>
            <w:tcW w:w="5" w:type="pct"/>
            <w:shd w:val="clear" w:color="auto" w:fill="auto"/>
            <w:vAlign w:val="bottom"/>
          </w:tcPr>
          <w:p w14:paraId="098A9BF9" w14:textId="77777777" w:rsidR="00141CDF" w:rsidRDefault="00141CDF">
            <w:pPr>
              <w:rPr>
                <w:rFonts w:ascii="宋体"/>
              </w:rPr>
            </w:pPr>
          </w:p>
        </w:tc>
        <w:tc>
          <w:tcPr>
            <w:tcW w:w="50" w:type="pct"/>
            <w:shd w:val="clear" w:color="auto" w:fill="auto"/>
            <w:vAlign w:val="bottom"/>
          </w:tcPr>
          <w:p w14:paraId="098A9BFA" w14:textId="77777777" w:rsidR="00141CDF" w:rsidRDefault="00141CDF">
            <w:pPr>
              <w:rPr>
                <w:rFonts w:ascii="宋体"/>
              </w:rPr>
            </w:pPr>
          </w:p>
        </w:tc>
        <w:tc>
          <w:tcPr>
            <w:tcW w:w="383" w:type="pct"/>
            <w:shd w:val="clear" w:color="auto" w:fill="auto"/>
            <w:vAlign w:val="bottom"/>
          </w:tcPr>
          <w:p w14:paraId="098A9BFB" w14:textId="77777777" w:rsidR="00141CDF" w:rsidRDefault="00141CDF">
            <w:pPr>
              <w:rPr>
                <w:rFonts w:ascii="宋体"/>
              </w:rPr>
            </w:pPr>
          </w:p>
        </w:tc>
        <w:tc>
          <w:tcPr>
            <w:tcW w:w="5" w:type="pct"/>
            <w:shd w:val="clear" w:color="auto" w:fill="auto"/>
            <w:vAlign w:val="bottom"/>
          </w:tcPr>
          <w:p w14:paraId="098A9BFC" w14:textId="77777777" w:rsidR="00141CDF" w:rsidRDefault="00141CDF">
            <w:pPr>
              <w:rPr>
                <w:rFonts w:ascii="宋体"/>
              </w:rPr>
            </w:pPr>
          </w:p>
        </w:tc>
        <w:tc>
          <w:tcPr>
            <w:tcW w:w="5" w:type="pct"/>
            <w:shd w:val="clear" w:color="auto" w:fill="auto"/>
            <w:vAlign w:val="bottom"/>
          </w:tcPr>
          <w:p w14:paraId="098A9BFD" w14:textId="77777777" w:rsidR="00141CDF" w:rsidRDefault="00141CDF">
            <w:pPr>
              <w:rPr>
                <w:rFonts w:ascii="宋体"/>
              </w:rPr>
            </w:pPr>
          </w:p>
        </w:tc>
        <w:tc>
          <w:tcPr>
            <w:tcW w:w="26" w:type="pct"/>
            <w:shd w:val="clear" w:color="auto" w:fill="auto"/>
            <w:vAlign w:val="bottom"/>
          </w:tcPr>
          <w:p w14:paraId="098A9BFE" w14:textId="77777777" w:rsidR="00141CDF" w:rsidRDefault="00141CDF">
            <w:pPr>
              <w:rPr>
                <w:rFonts w:ascii="宋体"/>
              </w:rPr>
            </w:pPr>
          </w:p>
        </w:tc>
        <w:tc>
          <w:tcPr>
            <w:tcW w:w="5" w:type="pct"/>
            <w:shd w:val="clear" w:color="auto" w:fill="auto"/>
            <w:vAlign w:val="bottom"/>
          </w:tcPr>
          <w:p w14:paraId="098A9BFF" w14:textId="77777777" w:rsidR="00141CDF" w:rsidRDefault="00141CDF">
            <w:pPr>
              <w:rPr>
                <w:rFonts w:ascii="宋体"/>
              </w:rPr>
            </w:pPr>
          </w:p>
        </w:tc>
        <w:tc>
          <w:tcPr>
            <w:tcW w:w="50" w:type="pct"/>
            <w:shd w:val="clear" w:color="auto" w:fill="auto"/>
            <w:vAlign w:val="bottom"/>
          </w:tcPr>
          <w:p w14:paraId="098A9C00" w14:textId="77777777" w:rsidR="00141CDF" w:rsidRDefault="00141CDF">
            <w:pPr>
              <w:rPr>
                <w:rFonts w:ascii="宋体"/>
              </w:rPr>
            </w:pPr>
          </w:p>
        </w:tc>
        <w:tc>
          <w:tcPr>
            <w:tcW w:w="383" w:type="pct"/>
            <w:shd w:val="clear" w:color="auto" w:fill="auto"/>
            <w:vAlign w:val="bottom"/>
          </w:tcPr>
          <w:p w14:paraId="098A9C01" w14:textId="77777777" w:rsidR="00141CDF" w:rsidRDefault="00141CDF">
            <w:pPr>
              <w:rPr>
                <w:rFonts w:ascii="宋体"/>
              </w:rPr>
            </w:pPr>
          </w:p>
        </w:tc>
        <w:tc>
          <w:tcPr>
            <w:tcW w:w="5" w:type="pct"/>
            <w:shd w:val="clear" w:color="auto" w:fill="auto"/>
            <w:vAlign w:val="bottom"/>
          </w:tcPr>
          <w:p w14:paraId="098A9C02" w14:textId="77777777" w:rsidR="00141CDF" w:rsidRDefault="00141CDF">
            <w:pPr>
              <w:rPr>
                <w:rFonts w:ascii="宋体"/>
              </w:rPr>
            </w:pPr>
          </w:p>
        </w:tc>
        <w:tc>
          <w:tcPr>
            <w:tcW w:w="5" w:type="pct"/>
            <w:shd w:val="clear" w:color="auto" w:fill="auto"/>
            <w:vAlign w:val="bottom"/>
          </w:tcPr>
          <w:p w14:paraId="098A9C03" w14:textId="77777777" w:rsidR="00141CDF" w:rsidRDefault="00141CDF">
            <w:pPr>
              <w:rPr>
                <w:rFonts w:ascii="宋体"/>
              </w:rPr>
            </w:pPr>
          </w:p>
        </w:tc>
        <w:tc>
          <w:tcPr>
            <w:tcW w:w="26" w:type="pct"/>
            <w:shd w:val="clear" w:color="auto" w:fill="auto"/>
            <w:vAlign w:val="bottom"/>
          </w:tcPr>
          <w:p w14:paraId="098A9C04" w14:textId="77777777" w:rsidR="00141CDF" w:rsidRDefault="00141CDF">
            <w:pPr>
              <w:rPr>
                <w:rFonts w:ascii="宋体"/>
              </w:rPr>
            </w:pPr>
          </w:p>
        </w:tc>
        <w:tc>
          <w:tcPr>
            <w:tcW w:w="5" w:type="pct"/>
            <w:shd w:val="clear" w:color="auto" w:fill="auto"/>
            <w:vAlign w:val="bottom"/>
          </w:tcPr>
          <w:p w14:paraId="098A9C05" w14:textId="77777777" w:rsidR="00141CDF" w:rsidRDefault="00141CDF">
            <w:pPr>
              <w:rPr>
                <w:rFonts w:ascii="宋体"/>
              </w:rPr>
            </w:pPr>
          </w:p>
        </w:tc>
        <w:tc>
          <w:tcPr>
            <w:tcW w:w="50" w:type="pct"/>
            <w:shd w:val="clear" w:color="auto" w:fill="auto"/>
            <w:vAlign w:val="bottom"/>
          </w:tcPr>
          <w:p w14:paraId="098A9C06" w14:textId="77777777" w:rsidR="00141CDF" w:rsidRDefault="00141CDF">
            <w:pPr>
              <w:rPr>
                <w:rFonts w:ascii="宋体"/>
              </w:rPr>
            </w:pPr>
          </w:p>
        </w:tc>
        <w:tc>
          <w:tcPr>
            <w:tcW w:w="384" w:type="pct"/>
            <w:shd w:val="clear" w:color="auto" w:fill="auto"/>
            <w:vAlign w:val="bottom"/>
          </w:tcPr>
          <w:p w14:paraId="098A9C07" w14:textId="77777777" w:rsidR="00141CDF" w:rsidRDefault="00141CDF">
            <w:pPr>
              <w:rPr>
                <w:rFonts w:ascii="宋体"/>
              </w:rPr>
            </w:pPr>
          </w:p>
        </w:tc>
        <w:tc>
          <w:tcPr>
            <w:tcW w:w="5" w:type="pct"/>
            <w:shd w:val="clear" w:color="auto" w:fill="auto"/>
            <w:vAlign w:val="bottom"/>
          </w:tcPr>
          <w:p w14:paraId="098A9C08" w14:textId="77777777" w:rsidR="00141CDF" w:rsidRDefault="00141CDF">
            <w:pPr>
              <w:rPr>
                <w:rFonts w:ascii="宋体"/>
              </w:rPr>
            </w:pPr>
          </w:p>
        </w:tc>
      </w:tr>
      <w:tr w:rsidR="00141CDF" w14:paraId="098A9C0F" w14:textId="77777777">
        <w:trPr>
          <w:jc w:val="center"/>
        </w:trPr>
        <w:tc>
          <w:tcPr>
            <w:tcW w:w="0" w:type="auto"/>
            <w:gridSpan w:val="3"/>
            <w:shd w:val="clear" w:color="auto" w:fill="auto"/>
            <w:tcMar>
              <w:top w:w="40" w:type="dxa"/>
              <w:left w:w="20" w:type="dxa"/>
              <w:bottom w:w="40" w:type="dxa"/>
              <w:right w:w="20" w:type="dxa"/>
            </w:tcMar>
            <w:vAlign w:val="center"/>
          </w:tcPr>
          <w:p w14:paraId="098A9C0A" w14:textId="77777777" w:rsidR="00141CDF" w:rsidRDefault="00DF45E0">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098A9C0B" w14:textId="77777777" w:rsidR="00141CDF" w:rsidRDefault="00141CDF">
            <w:pPr>
              <w:rPr>
                <w:rFonts w:ascii="宋体"/>
              </w:rPr>
            </w:pPr>
          </w:p>
        </w:tc>
        <w:tc>
          <w:tcPr>
            <w:tcW w:w="0" w:type="auto"/>
            <w:gridSpan w:val="21"/>
            <w:shd w:val="clear" w:color="auto" w:fill="auto"/>
            <w:tcMar>
              <w:top w:w="40" w:type="dxa"/>
              <w:left w:w="20" w:type="dxa"/>
              <w:bottom w:w="40" w:type="dxa"/>
              <w:right w:w="20" w:type="dxa"/>
            </w:tcMar>
            <w:vAlign w:val="center"/>
          </w:tcPr>
          <w:p w14:paraId="098A9C0C" w14:textId="77777777" w:rsidR="00141CDF" w:rsidRDefault="00DF45E0">
            <w:pPr>
              <w:jc w:val="center"/>
              <w:textAlignment w:val="center"/>
            </w:pPr>
            <w:r>
              <w:rPr>
                <w:rFonts w:ascii="Times New Roman" w:eastAsia="宋体" w:hAnsi="Times New Roman"/>
                <w:b/>
                <w:bCs/>
                <w:color w:val="000000"/>
                <w:sz w:val="16"/>
                <w:szCs w:val="16"/>
              </w:rPr>
              <w:t>Three Months Ended July 31,</w:t>
            </w:r>
          </w:p>
        </w:tc>
        <w:tc>
          <w:tcPr>
            <w:tcW w:w="0" w:type="auto"/>
            <w:gridSpan w:val="3"/>
            <w:shd w:val="clear" w:color="auto" w:fill="auto"/>
            <w:tcMar>
              <w:top w:w="0" w:type="dxa"/>
              <w:left w:w="20" w:type="dxa"/>
              <w:bottom w:w="0" w:type="dxa"/>
              <w:right w:w="20" w:type="dxa"/>
            </w:tcMar>
            <w:vAlign w:val="bottom"/>
          </w:tcPr>
          <w:p w14:paraId="098A9C0D" w14:textId="77777777" w:rsidR="00141CDF" w:rsidRDefault="00141CDF">
            <w:pPr>
              <w:rPr>
                <w:rFonts w:ascii="宋体"/>
              </w:rPr>
            </w:pPr>
          </w:p>
        </w:tc>
        <w:tc>
          <w:tcPr>
            <w:tcW w:w="0" w:type="auto"/>
            <w:gridSpan w:val="21"/>
            <w:shd w:val="clear" w:color="auto" w:fill="auto"/>
            <w:tcMar>
              <w:top w:w="40" w:type="dxa"/>
              <w:left w:w="20" w:type="dxa"/>
              <w:bottom w:w="40" w:type="dxa"/>
              <w:right w:w="20" w:type="dxa"/>
            </w:tcMar>
            <w:vAlign w:val="center"/>
          </w:tcPr>
          <w:p w14:paraId="098A9C0E" w14:textId="77777777" w:rsidR="00141CDF" w:rsidRDefault="00DF45E0">
            <w:pPr>
              <w:jc w:val="center"/>
              <w:textAlignment w:val="center"/>
            </w:pPr>
            <w:r>
              <w:rPr>
                <w:rFonts w:ascii="Times New Roman" w:eastAsia="宋体" w:hAnsi="Times New Roman"/>
                <w:b/>
                <w:bCs/>
                <w:color w:val="000000"/>
                <w:sz w:val="16"/>
                <w:szCs w:val="16"/>
              </w:rPr>
              <w:t>Six Months Ended July 31,</w:t>
            </w:r>
          </w:p>
        </w:tc>
      </w:tr>
      <w:tr w:rsidR="00141CDF" w14:paraId="098A9C21" w14:textId="77777777">
        <w:trPr>
          <w:jc w:val="center"/>
        </w:trPr>
        <w:tc>
          <w:tcPr>
            <w:tcW w:w="0" w:type="auto"/>
            <w:gridSpan w:val="3"/>
            <w:shd w:val="clear" w:color="auto" w:fill="auto"/>
            <w:tcMar>
              <w:top w:w="40" w:type="dxa"/>
              <w:left w:w="20" w:type="dxa"/>
              <w:bottom w:w="40" w:type="dxa"/>
              <w:right w:w="20" w:type="dxa"/>
            </w:tcMar>
            <w:vAlign w:val="center"/>
          </w:tcPr>
          <w:p w14:paraId="098A9C10" w14:textId="77777777" w:rsidR="00141CDF" w:rsidRDefault="00DF45E0">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098A9C11"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98A9C12" w14:textId="77777777" w:rsidR="00141CDF" w:rsidRDefault="00DF45E0">
            <w:pPr>
              <w:jc w:val="center"/>
              <w:textAlignment w:val="center"/>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9C13" w14:textId="77777777" w:rsidR="00141CDF" w:rsidRDefault="00141CD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098A9C14" w14:textId="77777777" w:rsidR="00141CDF" w:rsidRDefault="00DF45E0">
            <w:pPr>
              <w:jc w:val="center"/>
              <w:textAlignment w:val="center"/>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9C15"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98A9C16" w14:textId="77777777" w:rsidR="00141CDF" w:rsidRDefault="00DF45E0">
            <w:pPr>
              <w:jc w:val="center"/>
              <w:textAlignment w:val="center"/>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9C17" w14:textId="77777777" w:rsidR="00141CDF" w:rsidRDefault="00141CD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098A9C18" w14:textId="77777777" w:rsidR="00141CDF" w:rsidRDefault="00DF45E0">
            <w:pPr>
              <w:jc w:val="center"/>
              <w:textAlignment w:val="center"/>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098A9C19"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98A9C1A" w14:textId="77777777" w:rsidR="00141CDF" w:rsidRDefault="00DF45E0">
            <w:pPr>
              <w:jc w:val="center"/>
              <w:textAlignment w:val="center"/>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9C1B" w14:textId="77777777" w:rsidR="00141CDF" w:rsidRDefault="00141CD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098A9C1C" w14:textId="77777777" w:rsidR="00141CDF" w:rsidRDefault="00DF45E0">
            <w:pPr>
              <w:jc w:val="center"/>
              <w:textAlignment w:val="center"/>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9C1D"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98A9C1E" w14:textId="77777777" w:rsidR="00141CDF" w:rsidRDefault="00DF45E0">
            <w:pPr>
              <w:jc w:val="center"/>
              <w:textAlignment w:val="center"/>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9C1F" w14:textId="77777777" w:rsidR="00141CDF" w:rsidRDefault="00141CD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098A9C20" w14:textId="77777777" w:rsidR="00141CDF" w:rsidRDefault="00DF45E0">
            <w:pPr>
              <w:jc w:val="center"/>
              <w:textAlignment w:val="center"/>
            </w:pPr>
            <w:r>
              <w:rPr>
                <w:rFonts w:ascii="Times New Roman" w:eastAsia="宋体" w:hAnsi="Times New Roman"/>
                <w:b/>
                <w:bCs/>
                <w:color w:val="000000"/>
                <w:sz w:val="16"/>
                <w:szCs w:val="16"/>
              </w:rPr>
              <w:t>2021</w:t>
            </w:r>
          </w:p>
        </w:tc>
      </w:tr>
      <w:tr w:rsidR="00141CDF" w14:paraId="098A9C2B" w14:textId="77777777">
        <w:trPr>
          <w:jc w:val="center"/>
        </w:trPr>
        <w:tc>
          <w:tcPr>
            <w:tcW w:w="0" w:type="auto"/>
            <w:gridSpan w:val="3"/>
            <w:shd w:val="clear" w:color="auto" w:fill="auto"/>
            <w:tcMar>
              <w:top w:w="40" w:type="dxa"/>
              <w:left w:w="20" w:type="dxa"/>
              <w:bottom w:w="40" w:type="dxa"/>
              <w:right w:w="20" w:type="dxa"/>
            </w:tcMar>
            <w:vAlign w:val="center"/>
          </w:tcPr>
          <w:p w14:paraId="098A9C22" w14:textId="77777777" w:rsidR="00141CDF" w:rsidRDefault="00DF45E0">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098A9C23" w14:textId="77777777" w:rsidR="00141CDF" w:rsidRDefault="00141CD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098A9C24" w14:textId="77777777" w:rsidR="00141CDF" w:rsidRDefault="00DF45E0">
            <w:pPr>
              <w:jc w:val="center"/>
              <w:textAlignment w:val="center"/>
            </w:pPr>
            <w:r>
              <w:rPr>
                <w:rFonts w:ascii="Times New Roman" w:eastAsia="宋体" w:hAnsi="Times New Roman"/>
                <w:b/>
                <w:bCs/>
                <w:color w:val="000000"/>
                <w:sz w:val="16"/>
                <w:szCs w:val="16"/>
              </w:rPr>
              <w:t>With Fuel</w:t>
            </w:r>
          </w:p>
        </w:tc>
        <w:tc>
          <w:tcPr>
            <w:tcW w:w="0" w:type="auto"/>
            <w:gridSpan w:val="3"/>
            <w:shd w:val="clear" w:color="auto" w:fill="auto"/>
            <w:tcMar>
              <w:top w:w="0" w:type="dxa"/>
              <w:left w:w="20" w:type="dxa"/>
              <w:bottom w:w="0" w:type="dxa"/>
              <w:right w:w="20" w:type="dxa"/>
            </w:tcMar>
            <w:vAlign w:val="bottom"/>
          </w:tcPr>
          <w:p w14:paraId="098A9C25" w14:textId="77777777" w:rsidR="00141CDF" w:rsidRDefault="00141CD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098A9C26" w14:textId="77777777" w:rsidR="00141CDF" w:rsidRDefault="00DF45E0">
            <w:pPr>
              <w:jc w:val="center"/>
              <w:textAlignment w:val="center"/>
            </w:pPr>
            <w:r>
              <w:rPr>
                <w:rFonts w:ascii="Times New Roman" w:eastAsia="宋体" w:hAnsi="Times New Roman"/>
                <w:b/>
                <w:bCs/>
                <w:color w:val="000000"/>
                <w:sz w:val="16"/>
                <w:szCs w:val="16"/>
              </w:rPr>
              <w:t>Fuel Impact</w:t>
            </w:r>
          </w:p>
        </w:tc>
        <w:tc>
          <w:tcPr>
            <w:tcW w:w="0" w:type="auto"/>
            <w:gridSpan w:val="3"/>
            <w:shd w:val="clear" w:color="auto" w:fill="auto"/>
            <w:tcMar>
              <w:top w:w="0" w:type="dxa"/>
              <w:left w:w="20" w:type="dxa"/>
              <w:bottom w:w="0" w:type="dxa"/>
              <w:right w:w="20" w:type="dxa"/>
            </w:tcMar>
            <w:vAlign w:val="bottom"/>
          </w:tcPr>
          <w:p w14:paraId="098A9C27" w14:textId="77777777" w:rsidR="00141CDF" w:rsidRDefault="00141CD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098A9C28" w14:textId="77777777" w:rsidR="00141CDF" w:rsidRDefault="00DF45E0">
            <w:pPr>
              <w:jc w:val="center"/>
              <w:textAlignment w:val="center"/>
            </w:pPr>
            <w:r>
              <w:rPr>
                <w:rFonts w:ascii="Times New Roman" w:eastAsia="宋体" w:hAnsi="Times New Roman"/>
                <w:b/>
                <w:bCs/>
                <w:color w:val="000000"/>
                <w:sz w:val="16"/>
                <w:szCs w:val="16"/>
              </w:rPr>
              <w:t>With Fuel</w:t>
            </w:r>
          </w:p>
        </w:tc>
        <w:tc>
          <w:tcPr>
            <w:tcW w:w="0" w:type="auto"/>
            <w:gridSpan w:val="3"/>
            <w:shd w:val="clear" w:color="auto" w:fill="auto"/>
            <w:tcMar>
              <w:top w:w="0" w:type="dxa"/>
              <w:left w:w="20" w:type="dxa"/>
              <w:bottom w:w="0" w:type="dxa"/>
              <w:right w:w="20" w:type="dxa"/>
            </w:tcMar>
            <w:vAlign w:val="bottom"/>
          </w:tcPr>
          <w:p w14:paraId="098A9C29" w14:textId="77777777" w:rsidR="00141CDF" w:rsidRDefault="00141CD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098A9C2A" w14:textId="77777777" w:rsidR="00141CDF" w:rsidRDefault="00DF45E0">
            <w:pPr>
              <w:jc w:val="center"/>
              <w:textAlignment w:val="center"/>
            </w:pPr>
            <w:r>
              <w:rPr>
                <w:rFonts w:ascii="Times New Roman" w:eastAsia="宋体" w:hAnsi="Times New Roman"/>
                <w:b/>
                <w:bCs/>
                <w:color w:val="000000"/>
                <w:sz w:val="16"/>
                <w:szCs w:val="16"/>
              </w:rPr>
              <w:t>Fuel Impact</w:t>
            </w:r>
          </w:p>
        </w:tc>
      </w:tr>
      <w:tr w:rsidR="00141CDF" w14:paraId="098A9C45" w14:textId="77777777">
        <w:trPr>
          <w:jc w:val="center"/>
        </w:trPr>
        <w:tc>
          <w:tcPr>
            <w:tcW w:w="0" w:type="auto"/>
            <w:gridSpan w:val="3"/>
            <w:shd w:val="clear" w:color="auto" w:fill="CCEEFF"/>
            <w:tcMar>
              <w:top w:w="40" w:type="dxa"/>
              <w:left w:w="20" w:type="dxa"/>
              <w:bottom w:w="40" w:type="dxa"/>
              <w:right w:w="20" w:type="dxa"/>
            </w:tcMar>
            <w:vAlign w:val="center"/>
          </w:tcPr>
          <w:p w14:paraId="098A9C2C" w14:textId="77777777" w:rsidR="00141CDF" w:rsidRDefault="00DF45E0">
            <w:pPr>
              <w:textAlignment w:val="center"/>
            </w:pPr>
            <w:r>
              <w:rPr>
                <w:rFonts w:ascii="Times New Roman" w:eastAsia="宋体" w:hAnsi="Times New Roman"/>
                <w:color w:val="000000"/>
                <w:sz w:val="16"/>
                <w:szCs w:val="16"/>
              </w:rPr>
              <w:t>Walmart U.S.</w:t>
            </w:r>
          </w:p>
        </w:tc>
        <w:tc>
          <w:tcPr>
            <w:tcW w:w="0" w:type="auto"/>
            <w:gridSpan w:val="3"/>
            <w:shd w:val="clear" w:color="auto" w:fill="CCEEFF"/>
            <w:tcMar>
              <w:top w:w="0" w:type="dxa"/>
              <w:left w:w="20" w:type="dxa"/>
              <w:bottom w:w="0" w:type="dxa"/>
              <w:right w:w="20" w:type="dxa"/>
            </w:tcMar>
            <w:vAlign w:val="bottom"/>
          </w:tcPr>
          <w:p w14:paraId="098A9C2D" w14:textId="77777777" w:rsidR="00141CDF" w:rsidRDefault="00141CD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98A9C2E" w14:textId="77777777" w:rsidR="00141CDF" w:rsidRDefault="00DF45E0">
            <w:pPr>
              <w:jc w:val="right"/>
              <w:textAlignment w:val="center"/>
            </w:pPr>
            <w:r>
              <w:rPr>
                <w:rFonts w:ascii="Times New Roman" w:eastAsia="宋体" w:hAnsi="Times New Roman"/>
                <w:color w:val="000000"/>
                <w:sz w:val="16"/>
                <w:szCs w:val="16"/>
              </w:rPr>
              <w:t>7.0 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C2F"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98A9C30" w14:textId="77777777" w:rsidR="00141CDF" w:rsidRDefault="00141CD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98A9C31" w14:textId="77777777" w:rsidR="00141CDF" w:rsidRDefault="00DF45E0">
            <w:pPr>
              <w:jc w:val="right"/>
              <w:textAlignment w:val="center"/>
            </w:pPr>
            <w:r>
              <w:rPr>
                <w:rFonts w:ascii="Times New Roman" w:eastAsia="宋体" w:hAnsi="Times New Roman"/>
                <w:color w:val="000000"/>
                <w:sz w:val="16"/>
                <w:szCs w:val="16"/>
              </w:rPr>
              <w:t>5.4 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C32"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098A9C33" w14:textId="77777777" w:rsidR="00141CDF" w:rsidRDefault="00141CD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98A9C34" w14:textId="77777777" w:rsidR="00141CDF" w:rsidRDefault="00DF45E0">
            <w:pPr>
              <w:jc w:val="right"/>
              <w:textAlignment w:val="center"/>
            </w:pPr>
            <w:r>
              <w:rPr>
                <w:rFonts w:ascii="Times New Roman" w:eastAsia="宋体" w:hAnsi="Times New Roman"/>
                <w:color w:val="000000"/>
                <w:sz w:val="16"/>
                <w:szCs w:val="16"/>
              </w:rPr>
              <w:t>0.6 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C35"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98A9C36" w14:textId="77777777" w:rsidR="00141CDF" w:rsidRDefault="00141CD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98A9C37" w14:textId="77777777" w:rsidR="00141CDF" w:rsidRDefault="00DF45E0">
            <w:pPr>
              <w:jc w:val="right"/>
              <w:textAlignment w:val="center"/>
            </w:pPr>
            <w:r>
              <w:rPr>
                <w:rFonts w:ascii="Times New Roman" w:eastAsia="宋体" w:hAnsi="Times New Roman"/>
                <w:color w:val="000000"/>
                <w:sz w:val="16"/>
                <w:szCs w:val="16"/>
              </w:rPr>
              <w:t>0.4 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C38"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098A9C39" w14:textId="77777777" w:rsidR="00141CDF" w:rsidRDefault="00141CD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98A9C3A" w14:textId="77777777" w:rsidR="00141CDF" w:rsidRDefault="00DF45E0">
            <w:pPr>
              <w:jc w:val="right"/>
              <w:textAlignment w:val="center"/>
            </w:pPr>
            <w:r>
              <w:rPr>
                <w:rFonts w:ascii="Times New Roman" w:eastAsia="宋体" w:hAnsi="Times New Roman"/>
                <w:color w:val="000000"/>
                <w:sz w:val="16"/>
                <w:szCs w:val="16"/>
              </w:rPr>
              <w:t>5.5 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C3B"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98A9C3C" w14:textId="77777777" w:rsidR="00141CDF" w:rsidRDefault="00141CD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98A9C3D" w14:textId="77777777" w:rsidR="00141CDF" w:rsidRDefault="00DF45E0">
            <w:pPr>
              <w:jc w:val="right"/>
              <w:textAlignment w:val="center"/>
            </w:pPr>
            <w:r>
              <w:rPr>
                <w:rFonts w:ascii="Times New Roman" w:eastAsia="宋体" w:hAnsi="Times New Roman"/>
                <w:color w:val="000000"/>
                <w:sz w:val="16"/>
                <w:szCs w:val="16"/>
              </w:rPr>
              <w:t>5.4 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C3E"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098A9C3F" w14:textId="77777777" w:rsidR="00141CDF" w:rsidRDefault="00141CD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98A9C40" w14:textId="77777777" w:rsidR="00141CDF" w:rsidRDefault="00DF45E0">
            <w:pPr>
              <w:jc w:val="right"/>
              <w:textAlignment w:val="center"/>
            </w:pPr>
            <w:r>
              <w:rPr>
                <w:rFonts w:ascii="Times New Roman" w:eastAsia="宋体" w:hAnsi="Times New Roman"/>
                <w:color w:val="000000"/>
                <w:sz w:val="16"/>
                <w:szCs w:val="16"/>
              </w:rPr>
              <w:t>0.5 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C41"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98A9C42" w14:textId="77777777" w:rsidR="00141CDF" w:rsidRDefault="00141CD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98A9C43" w14:textId="77777777" w:rsidR="00141CDF" w:rsidRDefault="00DF45E0">
            <w:pPr>
              <w:jc w:val="right"/>
              <w:textAlignment w:val="center"/>
            </w:pPr>
            <w:r>
              <w:rPr>
                <w:rFonts w:ascii="Times New Roman" w:eastAsia="宋体" w:hAnsi="Times New Roman"/>
                <w:color w:val="000000"/>
                <w:sz w:val="16"/>
                <w:szCs w:val="16"/>
              </w:rPr>
              <w:t>0.4 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C44" w14:textId="77777777" w:rsidR="00141CDF" w:rsidRDefault="00DF45E0">
            <w:pPr>
              <w:jc w:val="right"/>
              <w:textAlignment w:val="center"/>
            </w:pPr>
            <w:r>
              <w:rPr>
                <w:rFonts w:ascii="Times New Roman" w:eastAsia="宋体" w:hAnsi="Times New Roman"/>
                <w:color w:val="000000"/>
                <w:sz w:val="16"/>
                <w:szCs w:val="16"/>
              </w:rPr>
              <w:t>%</w:t>
            </w:r>
          </w:p>
        </w:tc>
      </w:tr>
      <w:tr w:rsidR="00141CDF" w14:paraId="098A9C5F" w14:textId="77777777">
        <w:trPr>
          <w:jc w:val="center"/>
        </w:trPr>
        <w:tc>
          <w:tcPr>
            <w:tcW w:w="0" w:type="auto"/>
            <w:gridSpan w:val="3"/>
            <w:shd w:val="clear" w:color="auto" w:fill="FFFFFF"/>
            <w:tcMar>
              <w:top w:w="40" w:type="dxa"/>
              <w:left w:w="20" w:type="dxa"/>
              <w:bottom w:w="40" w:type="dxa"/>
              <w:right w:w="20" w:type="dxa"/>
            </w:tcMar>
            <w:vAlign w:val="center"/>
          </w:tcPr>
          <w:p w14:paraId="098A9C46" w14:textId="77777777" w:rsidR="00141CDF" w:rsidRDefault="00DF45E0">
            <w:pPr>
              <w:textAlignment w:val="center"/>
            </w:pPr>
            <w:r>
              <w:rPr>
                <w:rFonts w:ascii="Times New Roman" w:eastAsia="宋体" w:hAnsi="Times New Roman"/>
                <w:color w:val="000000"/>
                <w:sz w:val="16"/>
                <w:szCs w:val="16"/>
              </w:rPr>
              <w:t>Sam's Club</w:t>
            </w:r>
          </w:p>
        </w:tc>
        <w:tc>
          <w:tcPr>
            <w:tcW w:w="0" w:type="auto"/>
            <w:gridSpan w:val="3"/>
            <w:shd w:val="clear" w:color="auto" w:fill="FFFFFF"/>
            <w:tcMar>
              <w:top w:w="0" w:type="dxa"/>
              <w:left w:w="20" w:type="dxa"/>
              <w:bottom w:w="0" w:type="dxa"/>
              <w:right w:w="20" w:type="dxa"/>
            </w:tcMar>
            <w:vAlign w:val="bottom"/>
          </w:tcPr>
          <w:p w14:paraId="098A9C47"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C48" w14:textId="77777777" w:rsidR="00141CDF" w:rsidRDefault="00DF45E0">
            <w:pPr>
              <w:jc w:val="right"/>
              <w:textAlignment w:val="center"/>
            </w:pPr>
            <w:r>
              <w:rPr>
                <w:rFonts w:ascii="Times New Roman" w:eastAsia="宋体" w:hAnsi="Times New Roman"/>
                <w:color w:val="000000"/>
                <w:sz w:val="16"/>
                <w:szCs w:val="16"/>
              </w:rPr>
              <w:t>17.3 </w:t>
            </w:r>
          </w:p>
        </w:tc>
        <w:tc>
          <w:tcPr>
            <w:tcW w:w="0" w:type="auto"/>
            <w:shd w:val="clear" w:color="auto" w:fill="FFFFFF"/>
            <w:tcMar>
              <w:top w:w="40" w:type="dxa"/>
              <w:left w:w="0" w:type="dxa"/>
              <w:bottom w:w="40" w:type="dxa"/>
              <w:right w:w="20" w:type="dxa"/>
            </w:tcMar>
            <w:vAlign w:val="center"/>
          </w:tcPr>
          <w:p w14:paraId="098A9C49"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098A9C4A"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C4B" w14:textId="77777777" w:rsidR="00141CDF" w:rsidRDefault="00DF45E0">
            <w:pPr>
              <w:jc w:val="right"/>
              <w:textAlignment w:val="center"/>
            </w:pPr>
            <w:r>
              <w:rPr>
                <w:rFonts w:ascii="Times New Roman" w:eastAsia="宋体" w:hAnsi="Times New Roman"/>
                <w:color w:val="000000"/>
                <w:sz w:val="16"/>
                <w:szCs w:val="16"/>
              </w:rPr>
              <w:t>13.9 </w:t>
            </w:r>
          </w:p>
        </w:tc>
        <w:tc>
          <w:tcPr>
            <w:tcW w:w="0" w:type="auto"/>
            <w:shd w:val="clear" w:color="auto" w:fill="FFFFFF"/>
            <w:tcMar>
              <w:top w:w="40" w:type="dxa"/>
              <w:left w:w="0" w:type="dxa"/>
              <w:bottom w:w="40" w:type="dxa"/>
              <w:right w:w="20" w:type="dxa"/>
            </w:tcMar>
            <w:vAlign w:val="center"/>
          </w:tcPr>
          <w:p w14:paraId="098A9C4C"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098A9C4D"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C4E" w14:textId="77777777" w:rsidR="00141CDF" w:rsidRDefault="00DF45E0">
            <w:pPr>
              <w:jc w:val="right"/>
              <w:textAlignment w:val="center"/>
            </w:pPr>
            <w:r>
              <w:rPr>
                <w:rFonts w:ascii="Times New Roman" w:eastAsia="宋体" w:hAnsi="Times New Roman"/>
                <w:color w:val="000000"/>
                <w:sz w:val="16"/>
                <w:szCs w:val="16"/>
              </w:rPr>
              <w:t>8.0 </w:t>
            </w:r>
          </w:p>
        </w:tc>
        <w:tc>
          <w:tcPr>
            <w:tcW w:w="0" w:type="auto"/>
            <w:shd w:val="clear" w:color="auto" w:fill="FFFFFF"/>
            <w:tcMar>
              <w:top w:w="40" w:type="dxa"/>
              <w:left w:w="0" w:type="dxa"/>
              <w:bottom w:w="40" w:type="dxa"/>
              <w:right w:w="20" w:type="dxa"/>
            </w:tcMar>
            <w:vAlign w:val="center"/>
          </w:tcPr>
          <w:p w14:paraId="098A9C4F"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098A9C50"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C51" w14:textId="77777777" w:rsidR="00141CDF" w:rsidRDefault="00DF45E0">
            <w:pPr>
              <w:jc w:val="right"/>
              <w:textAlignment w:val="center"/>
            </w:pPr>
            <w:r>
              <w:rPr>
                <w:rFonts w:ascii="Times New Roman" w:eastAsia="宋体" w:hAnsi="Times New Roman"/>
                <w:color w:val="000000"/>
                <w:sz w:val="16"/>
                <w:szCs w:val="16"/>
              </w:rPr>
              <w:t>6.2 </w:t>
            </w:r>
          </w:p>
        </w:tc>
        <w:tc>
          <w:tcPr>
            <w:tcW w:w="0" w:type="auto"/>
            <w:shd w:val="clear" w:color="auto" w:fill="FFFFFF"/>
            <w:tcMar>
              <w:top w:w="40" w:type="dxa"/>
              <w:left w:w="0" w:type="dxa"/>
              <w:bottom w:w="40" w:type="dxa"/>
              <w:right w:w="20" w:type="dxa"/>
            </w:tcMar>
            <w:vAlign w:val="center"/>
          </w:tcPr>
          <w:p w14:paraId="098A9C52"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098A9C53"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C54" w14:textId="77777777" w:rsidR="00141CDF" w:rsidRDefault="00DF45E0">
            <w:pPr>
              <w:jc w:val="right"/>
              <w:textAlignment w:val="center"/>
            </w:pPr>
            <w:r>
              <w:rPr>
                <w:rFonts w:ascii="Times New Roman" w:eastAsia="宋体" w:hAnsi="Times New Roman"/>
                <w:color w:val="000000"/>
                <w:sz w:val="16"/>
                <w:szCs w:val="16"/>
              </w:rPr>
              <w:t>17.4 </w:t>
            </w:r>
          </w:p>
        </w:tc>
        <w:tc>
          <w:tcPr>
            <w:tcW w:w="0" w:type="auto"/>
            <w:shd w:val="clear" w:color="auto" w:fill="FFFFFF"/>
            <w:tcMar>
              <w:top w:w="40" w:type="dxa"/>
              <w:left w:w="0" w:type="dxa"/>
              <w:bottom w:w="40" w:type="dxa"/>
              <w:right w:w="20" w:type="dxa"/>
            </w:tcMar>
            <w:vAlign w:val="center"/>
          </w:tcPr>
          <w:p w14:paraId="098A9C55"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098A9C56"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C57" w14:textId="77777777" w:rsidR="00141CDF" w:rsidRDefault="00DF45E0">
            <w:pPr>
              <w:jc w:val="right"/>
              <w:textAlignment w:val="center"/>
            </w:pPr>
            <w:r>
              <w:rPr>
                <w:rFonts w:ascii="Times New Roman" w:eastAsia="宋体" w:hAnsi="Times New Roman"/>
                <w:color w:val="000000"/>
                <w:sz w:val="16"/>
                <w:szCs w:val="16"/>
              </w:rPr>
              <w:t>12.0 </w:t>
            </w:r>
          </w:p>
        </w:tc>
        <w:tc>
          <w:tcPr>
            <w:tcW w:w="0" w:type="auto"/>
            <w:shd w:val="clear" w:color="auto" w:fill="FFFFFF"/>
            <w:tcMar>
              <w:top w:w="40" w:type="dxa"/>
              <w:left w:w="0" w:type="dxa"/>
              <w:bottom w:w="40" w:type="dxa"/>
              <w:right w:w="20" w:type="dxa"/>
            </w:tcMar>
            <w:vAlign w:val="center"/>
          </w:tcPr>
          <w:p w14:paraId="098A9C58"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098A9C59"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C5A" w14:textId="77777777" w:rsidR="00141CDF" w:rsidRDefault="00DF45E0">
            <w:pPr>
              <w:jc w:val="right"/>
              <w:textAlignment w:val="center"/>
            </w:pPr>
            <w:r>
              <w:rPr>
                <w:rFonts w:ascii="Times New Roman" w:eastAsia="宋体" w:hAnsi="Times New Roman"/>
                <w:color w:val="000000"/>
                <w:sz w:val="16"/>
                <w:szCs w:val="16"/>
              </w:rPr>
              <w:t>7.5 </w:t>
            </w:r>
          </w:p>
        </w:tc>
        <w:tc>
          <w:tcPr>
            <w:tcW w:w="0" w:type="auto"/>
            <w:shd w:val="clear" w:color="auto" w:fill="FFFFFF"/>
            <w:tcMar>
              <w:top w:w="40" w:type="dxa"/>
              <w:left w:w="0" w:type="dxa"/>
              <w:bottom w:w="40" w:type="dxa"/>
              <w:right w:w="20" w:type="dxa"/>
            </w:tcMar>
            <w:vAlign w:val="center"/>
          </w:tcPr>
          <w:p w14:paraId="098A9C5B"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098A9C5C"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C5D" w14:textId="77777777" w:rsidR="00141CDF" w:rsidRDefault="00DF45E0">
            <w:pPr>
              <w:jc w:val="right"/>
              <w:textAlignment w:val="center"/>
            </w:pPr>
            <w:r>
              <w:rPr>
                <w:rFonts w:ascii="Times New Roman" w:eastAsia="宋体" w:hAnsi="Times New Roman"/>
                <w:color w:val="000000"/>
                <w:sz w:val="16"/>
                <w:szCs w:val="16"/>
              </w:rPr>
              <w:t>5.0 </w:t>
            </w:r>
          </w:p>
        </w:tc>
        <w:tc>
          <w:tcPr>
            <w:tcW w:w="0" w:type="auto"/>
            <w:shd w:val="clear" w:color="auto" w:fill="FFFFFF"/>
            <w:tcMar>
              <w:top w:w="40" w:type="dxa"/>
              <w:left w:w="0" w:type="dxa"/>
              <w:bottom w:w="40" w:type="dxa"/>
              <w:right w:w="20" w:type="dxa"/>
            </w:tcMar>
            <w:vAlign w:val="center"/>
          </w:tcPr>
          <w:p w14:paraId="098A9C5E" w14:textId="77777777" w:rsidR="00141CDF" w:rsidRDefault="00DF45E0">
            <w:pPr>
              <w:jc w:val="right"/>
              <w:textAlignment w:val="center"/>
            </w:pPr>
            <w:r>
              <w:rPr>
                <w:rFonts w:ascii="Times New Roman" w:eastAsia="宋体" w:hAnsi="Times New Roman"/>
                <w:color w:val="000000"/>
                <w:sz w:val="16"/>
                <w:szCs w:val="16"/>
              </w:rPr>
              <w:t>%</w:t>
            </w:r>
          </w:p>
        </w:tc>
      </w:tr>
      <w:tr w:rsidR="00141CDF" w14:paraId="098A9C79" w14:textId="77777777">
        <w:trPr>
          <w:jc w:val="center"/>
        </w:trPr>
        <w:tc>
          <w:tcPr>
            <w:tcW w:w="0" w:type="auto"/>
            <w:gridSpan w:val="3"/>
            <w:shd w:val="clear" w:color="auto" w:fill="CCEEFF"/>
            <w:tcMar>
              <w:top w:w="40" w:type="dxa"/>
              <w:left w:w="20" w:type="dxa"/>
              <w:bottom w:w="40" w:type="dxa"/>
              <w:right w:w="20" w:type="dxa"/>
            </w:tcMar>
            <w:vAlign w:val="center"/>
          </w:tcPr>
          <w:p w14:paraId="098A9C60" w14:textId="77777777" w:rsidR="00141CDF" w:rsidRDefault="00DF45E0">
            <w:pPr>
              <w:textAlignment w:val="center"/>
            </w:pPr>
            <w:r>
              <w:rPr>
                <w:rFonts w:ascii="Times New Roman" w:eastAsia="宋体" w:hAnsi="Times New Roman"/>
                <w:b/>
                <w:bCs/>
                <w:color w:val="000000"/>
                <w:sz w:val="16"/>
                <w:szCs w:val="16"/>
              </w:rPr>
              <w:t>Total U.S.</w:t>
            </w:r>
          </w:p>
        </w:tc>
        <w:tc>
          <w:tcPr>
            <w:tcW w:w="0" w:type="auto"/>
            <w:gridSpan w:val="3"/>
            <w:shd w:val="clear" w:color="auto" w:fill="CCEEFF"/>
            <w:tcMar>
              <w:top w:w="0" w:type="dxa"/>
              <w:left w:w="20" w:type="dxa"/>
              <w:bottom w:w="0" w:type="dxa"/>
              <w:right w:w="20" w:type="dxa"/>
            </w:tcMar>
            <w:vAlign w:val="bottom"/>
          </w:tcPr>
          <w:p w14:paraId="098A9C61" w14:textId="77777777" w:rsidR="00141CDF" w:rsidRDefault="00141CD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98A9C62" w14:textId="77777777" w:rsidR="00141CDF" w:rsidRDefault="00DF45E0">
            <w:pPr>
              <w:jc w:val="right"/>
              <w:textAlignment w:val="center"/>
            </w:pPr>
            <w:r>
              <w:rPr>
                <w:rFonts w:ascii="Times New Roman" w:eastAsia="宋体" w:hAnsi="Times New Roman"/>
                <w:color w:val="000000"/>
                <w:sz w:val="16"/>
                <w:szCs w:val="16"/>
              </w:rPr>
              <w:t>8.7 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C63"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098A9C64" w14:textId="77777777" w:rsidR="00141CDF" w:rsidRDefault="00141CD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98A9C65" w14:textId="77777777" w:rsidR="00141CDF" w:rsidRDefault="00DF45E0">
            <w:pPr>
              <w:jc w:val="right"/>
              <w:textAlignment w:val="center"/>
            </w:pPr>
            <w:r>
              <w:rPr>
                <w:rFonts w:ascii="Times New Roman" w:eastAsia="宋体" w:hAnsi="Times New Roman"/>
                <w:color w:val="000000"/>
                <w:sz w:val="16"/>
                <w:szCs w:val="16"/>
              </w:rPr>
              <w:t>6.7 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C66"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098A9C67" w14:textId="77777777" w:rsidR="00141CDF" w:rsidRDefault="00141CD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98A9C68" w14:textId="77777777" w:rsidR="00141CDF" w:rsidRDefault="00DF45E0">
            <w:pPr>
              <w:jc w:val="right"/>
              <w:textAlignment w:val="center"/>
            </w:pPr>
            <w:r>
              <w:rPr>
                <w:rFonts w:ascii="Times New Roman" w:eastAsia="宋体" w:hAnsi="Times New Roman"/>
                <w:color w:val="000000"/>
                <w:sz w:val="16"/>
                <w:szCs w:val="16"/>
              </w:rPr>
              <w:t>1.9 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C69"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098A9C6A" w14:textId="77777777" w:rsidR="00141CDF" w:rsidRDefault="00141CD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98A9C6B" w14:textId="77777777" w:rsidR="00141CDF" w:rsidRDefault="00DF45E0">
            <w:pPr>
              <w:jc w:val="right"/>
              <w:textAlignment w:val="center"/>
            </w:pPr>
            <w:r>
              <w:rPr>
                <w:rFonts w:ascii="Times New Roman" w:eastAsia="宋体" w:hAnsi="Times New Roman"/>
                <w:color w:val="000000"/>
                <w:sz w:val="16"/>
                <w:szCs w:val="16"/>
              </w:rPr>
              <w:t>1.3 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C6C"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098A9C6D" w14:textId="77777777" w:rsidR="00141CDF" w:rsidRDefault="00141CD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98A9C6E" w14:textId="77777777" w:rsidR="00141CDF" w:rsidRDefault="00DF45E0">
            <w:pPr>
              <w:jc w:val="right"/>
              <w:textAlignment w:val="center"/>
            </w:pPr>
            <w:r>
              <w:rPr>
                <w:rFonts w:ascii="Times New Roman" w:eastAsia="宋体" w:hAnsi="Times New Roman"/>
                <w:color w:val="000000"/>
                <w:sz w:val="16"/>
                <w:szCs w:val="16"/>
              </w:rPr>
              <w:t>7.4 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C6F"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098A9C70" w14:textId="77777777" w:rsidR="00141CDF" w:rsidRDefault="00141CD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98A9C71" w14:textId="77777777" w:rsidR="00141CDF" w:rsidRDefault="00DF45E0">
            <w:pPr>
              <w:jc w:val="right"/>
              <w:textAlignment w:val="center"/>
            </w:pPr>
            <w:r>
              <w:rPr>
                <w:rFonts w:ascii="Times New Roman" w:eastAsia="宋体" w:hAnsi="Times New Roman"/>
                <w:color w:val="000000"/>
                <w:sz w:val="16"/>
                <w:szCs w:val="16"/>
              </w:rPr>
              <w:t>6.4 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C72"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098A9C73" w14:textId="77777777" w:rsidR="00141CDF" w:rsidRDefault="00141CD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98A9C74" w14:textId="77777777" w:rsidR="00141CDF" w:rsidRDefault="00DF45E0">
            <w:pPr>
              <w:jc w:val="right"/>
              <w:textAlignment w:val="center"/>
            </w:pPr>
            <w:r>
              <w:rPr>
                <w:rFonts w:ascii="Times New Roman" w:eastAsia="宋体" w:hAnsi="Times New Roman"/>
                <w:color w:val="000000"/>
                <w:sz w:val="16"/>
                <w:szCs w:val="16"/>
              </w:rPr>
              <w:t>1.7 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C75"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098A9C76" w14:textId="77777777" w:rsidR="00141CDF" w:rsidRDefault="00141CD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98A9C77" w14:textId="77777777" w:rsidR="00141CDF" w:rsidRDefault="00DF45E0">
            <w:pPr>
              <w:jc w:val="right"/>
              <w:textAlignment w:val="center"/>
            </w:pPr>
            <w:r>
              <w:rPr>
                <w:rFonts w:ascii="Times New Roman" w:eastAsia="宋体" w:hAnsi="Times New Roman"/>
                <w:color w:val="000000"/>
                <w:sz w:val="16"/>
                <w:szCs w:val="16"/>
              </w:rPr>
              <w:t>1.1 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C78" w14:textId="77777777" w:rsidR="00141CDF" w:rsidRDefault="00DF45E0">
            <w:pPr>
              <w:jc w:val="right"/>
              <w:textAlignment w:val="center"/>
            </w:pPr>
            <w:r>
              <w:rPr>
                <w:rFonts w:ascii="Times New Roman" w:eastAsia="宋体" w:hAnsi="Times New Roman"/>
                <w:color w:val="000000"/>
                <w:sz w:val="16"/>
                <w:szCs w:val="16"/>
              </w:rPr>
              <w:t>%</w:t>
            </w:r>
          </w:p>
        </w:tc>
      </w:tr>
    </w:tbl>
    <w:p w14:paraId="098A9C7A" w14:textId="77777777" w:rsidR="00141CDF" w:rsidRDefault="00DF45E0">
      <w:pPr>
        <w:spacing w:before="100"/>
      </w:pPr>
      <w:r>
        <w:rPr>
          <w:rFonts w:ascii="Times New Roman" w:eastAsia="宋体" w:hAnsi="Times New Roman"/>
          <w:color w:val="000000"/>
          <w:sz w:val="20"/>
          <w:szCs w:val="20"/>
        </w:rPr>
        <w:t>Comparable sales in the U.S., including fuel, increased 8.7% and 7.4% for the three and six months ended July 31, 2022, respec</w:t>
      </w:r>
      <w:r>
        <w:rPr>
          <w:rFonts w:ascii="Times New Roman" w:eastAsia="宋体" w:hAnsi="Times New Roman"/>
          <w:color w:val="000000"/>
          <w:sz w:val="20"/>
          <w:szCs w:val="20"/>
        </w:rPr>
        <w:t>tively, when compared to the same period in the previous fiscal year. The Walmart U.S. segment had comparable sales growth of 7.0% and 5.5% for the three and six months ended July 31, 2022, respectively, driven by growth in average ticket, including strong</w:t>
      </w:r>
      <w:r>
        <w:rPr>
          <w:rFonts w:ascii="Times New Roman" w:eastAsia="宋体" w:hAnsi="Times New Roman"/>
          <w:color w:val="000000"/>
          <w:sz w:val="20"/>
          <w:szCs w:val="20"/>
        </w:rPr>
        <w:t xml:space="preserve"> food sales and higher inflation impacts in certain merchandise categories, as well as a slight increase in transactions. The Walmart U.S. segment's eCommerce sales positively contributed approximately 0.6% for the three months ended July 31, 2022, which w</w:t>
      </w:r>
      <w:r>
        <w:rPr>
          <w:rFonts w:ascii="Times New Roman" w:eastAsia="宋体" w:hAnsi="Times New Roman"/>
          <w:color w:val="000000"/>
          <w:sz w:val="20"/>
          <w:szCs w:val="20"/>
        </w:rPr>
        <w:t>as primarily driven by store pickup and delivery. For the six months ended July 31, 2022, eCommerce sales growth had a negligible impact on the Walmart U.S. segment total comparable sales growth.</w:t>
      </w:r>
    </w:p>
    <w:p w14:paraId="098A9C7B" w14:textId="77777777" w:rsidR="00141CDF" w:rsidRDefault="00DF45E0">
      <w:pPr>
        <w:jc w:val="center"/>
      </w:pPr>
      <w:r>
        <w:rPr>
          <w:rFonts w:ascii="Times New Roman" w:eastAsia="宋体" w:hAnsi="Times New Roman"/>
          <w:color w:val="000000"/>
          <w:sz w:val="20"/>
          <w:szCs w:val="20"/>
        </w:rPr>
        <w:t>16</w:t>
      </w:r>
    </w:p>
    <w:p w14:paraId="098A9C7C" w14:textId="77777777" w:rsidR="00141CDF" w:rsidRDefault="00DF45E0">
      <w:r>
        <w:pict w14:anchorId="098AA65E">
          <v:rect id="_x0000_i1040" style="width:415.3pt;height:1.5pt" o:hralign="center" o:hrstd="t" o:hr="t" fillcolor="#a0a0a0" stroked="f"/>
        </w:pict>
      </w:r>
    </w:p>
    <w:p w14:paraId="098A9C7D" w14:textId="77777777" w:rsidR="00141CDF" w:rsidRDefault="00DF45E0">
      <w:hyperlink r:id="rId72" w:anchor="i24a2f296795646fa8b5ba32fd1359591_7" w:history="1">
        <w:r>
          <w:rPr>
            <w:rStyle w:val="a5"/>
            <w:rFonts w:ascii="Times New Roman" w:eastAsia="宋体" w:hAnsi="Times New Roman"/>
            <w:sz w:val="20"/>
            <w:szCs w:val="20"/>
          </w:rPr>
          <w:t xml:space="preserve">Table of </w:t>
        </w:r>
      </w:hyperlink>
      <w:hyperlink r:id="rId73" w:anchor="i24a2f296795646fa8b5ba32fd1359591_7" w:history="1">
        <w:r>
          <w:rPr>
            <w:rStyle w:val="a5"/>
            <w:rFonts w:ascii="Times New Roman" w:eastAsia="宋体" w:hAnsi="Times New Roman"/>
            <w:sz w:val="20"/>
            <w:szCs w:val="20"/>
          </w:rPr>
          <w:t>C</w:t>
        </w:r>
        <w:r>
          <w:rPr>
            <w:rStyle w:val="a5"/>
            <w:rFonts w:ascii="Times New Roman" w:eastAsia="宋体" w:hAnsi="Times New Roman"/>
            <w:sz w:val="20"/>
            <w:szCs w:val="20"/>
          </w:rPr>
          <w:t>ontents</w:t>
        </w:r>
      </w:hyperlink>
    </w:p>
    <w:p w14:paraId="098A9C7E" w14:textId="77777777" w:rsidR="00141CDF" w:rsidRDefault="00DF45E0">
      <w:pPr>
        <w:spacing w:before="100"/>
      </w:pPr>
      <w:r>
        <w:rPr>
          <w:rFonts w:ascii="Times New Roman" w:eastAsia="宋体" w:hAnsi="Times New Roman"/>
          <w:color w:val="000000"/>
          <w:sz w:val="20"/>
          <w:szCs w:val="20"/>
        </w:rPr>
        <w:t>Comparable sales at the Sam's Club segment increased 17.3% and 17.4% for the three and six months ended July 31, 2022, respectively. Growth in comparable sales benefited from growth in transactions and average ticket and included higher inflatio</w:t>
      </w:r>
      <w:r>
        <w:rPr>
          <w:rFonts w:ascii="Times New Roman" w:eastAsia="宋体" w:hAnsi="Times New Roman"/>
          <w:color w:val="000000"/>
          <w:sz w:val="20"/>
          <w:szCs w:val="20"/>
        </w:rPr>
        <w:t xml:space="preserve">n impacts in certain merchandise categories. The Sam's Club segment's eCommerce sales positively contributed approximately 0.8% and 0.7% to comparable sales for the three and six months ended July 31, 2022, respectively. </w:t>
      </w:r>
    </w:p>
    <w:p w14:paraId="098A9C7F" w14:textId="77777777" w:rsidR="00141CDF" w:rsidRDefault="00DF45E0">
      <w:pPr>
        <w:spacing w:before="180"/>
      </w:pPr>
      <w:r>
        <w:rPr>
          <w:rFonts w:ascii="Times New Roman" w:eastAsia="宋体" w:hAnsi="Times New Roman"/>
          <w:b/>
          <w:bCs/>
          <w:color w:val="000000"/>
          <w:sz w:val="20"/>
          <w:szCs w:val="20"/>
          <w:u w:val="single"/>
        </w:rPr>
        <w:t>Consistent Operating Discipline</w:t>
      </w:r>
    </w:p>
    <w:p w14:paraId="098A9C80" w14:textId="77777777" w:rsidR="00141CDF" w:rsidRDefault="00DF45E0">
      <w:pPr>
        <w:spacing w:before="100"/>
      </w:pPr>
      <w:r>
        <w:rPr>
          <w:rFonts w:ascii="Times New Roman" w:eastAsia="宋体" w:hAnsi="Times New Roman"/>
          <w:color w:val="000000"/>
          <w:sz w:val="20"/>
          <w:szCs w:val="20"/>
        </w:rPr>
        <w:t>We</w:t>
      </w:r>
      <w:r>
        <w:rPr>
          <w:rFonts w:ascii="Times New Roman" w:eastAsia="宋体" w:hAnsi="Times New Roman"/>
          <w:color w:val="000000"/>
          <w:sz w:val="20"/>
          <w:szCs w:val="20"/>
        </w:rPr>
        <w:t xml:space="preserve"> operate with discipline by managing expenses and optimizing the efficiency of how we work and creating an environment in which we have sustainable lowest cost to serve. We invest in technology and process improvements to increase productivity, manage inve</w:t>
      </w:r>
      <w:r>
        <w:rPr>
          <w:rFonts w:ascii="Times New Roman" w:eastAsia="宋体" w:hAnsi="Times New Roman"/>
          <w:color w:val="000000"/>
          <w:sz w:val="20"/>
          <w:szCs w:val="20"/>
        </w:rPr>
        <w:t xml:space="preserve">ntory, and reduce costs. We measure operating discipline through expense leverage, which we define as net sales growing at a faster rate than operating, selling, general and administrative ("operating") expenses. </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304"/>
        <w:gridCol w:w="38"/>
        <w:gridCol w:w="36"/>
        <w:gridCol w:w="36"/>
        <w:gridCol w:w="36"/>
        <w:gridCol w:w="100"/>
        <w:gridCol w:w="681"/>
        <w:gridCol w:w="154"/>
        <w:gridCol w:w="36"/>
        <w:gridCol w:w="36"/>
        <w:gridCol w:w="36"/>
        <w:gridCol w:w="100"/>
        <w:gridCol w:w="682"/>
        <w:gridCol w:w="154"/>
        <w:gridCol w:w="36"/>
        <w:gridCol w:w="36"/>
        <w:gridCol w:w="36"/>
        <w:gridCol w:w="100"/>
        <w:gridCol w:w="572"/>
        <w:gridCol w:w="154"/>
        <w:gridCol w:w="36"/>
        <w:gridCol w:w="36"/>
        <w:gridCol w:w="36"/>
        <w:gridCol w:w="100"/>
        <w:gridCol w:w="572"/>
        <w:gridCol w:w="154"/>
      </w:tblGrid>
      <w:tr w:rsidR="00141CDF" w14:paraId="098A9C9C" w14:textId="77777777">
        <w:trPr>
          <w:jc w:val="center"/>
        </w:trPr>
        <w:tc>
          <w:tcPr>
            <w:tcW w:w="50" w:type="pct"/>
            <w:shd w:val="clear" w:color="auto" w:fill="auto"/>
            <w:vAlign w:val="bottom"/>
          </w:tcPr>
          <w:p w14:paraId="098A9C81" w14:textId="77777777" w:rsidR="00141CDF" w:rsidRDefault="00141CDF">
            <w:pPr>
              <w:rPr>
                <w:rFonts w:ascii="宋体"/>
              </w:rPr>
            </w:pPr>
          </w:p>
        </w:tc>
        <w:tc>
          <w:tcPr>
            <w:tcW w:w="2737" w:type="pct"/>
            <w:shd w:val="clear" w:color="auto" w:fill="auto"/>
            <w:vAlign w:val="bottom"/>
          </w:tcPr>
          <w:p w14:paraId="098A9C82" w14:textId="77777777" w:rsidR="00141CDF" w:rsidRDefault="00141CDF">
            <w:pPr>
              <w:rPr>
                <w:rFonts w:ascii="宋体"/>
              </w:rPr>
            </w:pPr>
          </w:p>
        </w:tc>
        <w:tc>
          <w:tcPr>
            <w:tcW w:w="5" w:type="pct"/>
            <w:shd w:val="clear" w:color="auto" w:fill="auto"/>
            <w:vAlign w:val="bottom"/>
          </w:tcPr>
          <w:p w14:paraId="098A9C83" w14:textId="77777777" w:rsidR="00141CDF" w:rsidRDefault="00141CDF">
            <w:pPr>
              <w:rPr>
                <w:rFonts w:ascii="宋体"/>
              </w:rPr>
            </w:pPr>
          </w:p>
        </w:tc>
        <w:tc>
          <w:tcPr>
            <w:tcW w:w="5" w:type="pct"/>
            <w:shd w:val="clear" w:color="auto" w:fill="auto"/>
            <w:vAlign w:val="bottom"/>
          </w:tcPr>
          <w:p w14:paraId="098A9C84" w14:textId="77777777" w:rsidR="00141CDF" w:rsidRDefault="00141CDF">
            <w:pPr>
              <w:rPr>
                <w:rFonts w:ascii="宋体"/>
              </w:rPr>
            </w:pPr>
          </w:p>
        </w:tc>
        <w:tc>
          <w:tcPr>
            <w:tcW w:w="19" w:type="pct"/>
            <w:shd w:val="clear" w:color="auto" w:fill="auto"/>
            <w:vAlign w:val="bottom"/>
          </w:tcPr>
          <w:p w14:paraId="098A9C85" w14:textId="77777777" w:rsidR="00141CDF" w:rsidRDefault="00141CDF">
            <w:pPr>
              <w:rPr>
                <w:rFonts w:ascii="宋体"/>
              </w:rPr>
            </w:pPr>
          </w:p>
        </w:tc>
        <w:tc>
          <w:tcPr>
            <w:tcW w:w="5" w:type="pct"/>
            <w:shd w:val="clear" w:color="auto" w:fill="auto"/>
            <w:vAlign w:val="bottom"/>
          </w:tcPr>
          <w:p w14:paraId="098A9C86" w14:textId="77777777" w:rsidR="00141CDF" w:rsidRDefault="00141CDF">
            <w:pPr>
              <w:rPr>
                <w:rFonts w:ascii="宋体"/>
              </w:rPr>
            </w:pPr>
          </w:p>
        </w:tc>
        <w:tc>
          <w:tcPr>
            <w:tcW w:w="50" w:type="pct"/>
            <w:shd w:val="clear" w:color="auto" w:fill="auto"/>
            <w:vAlign w:val="bottom"/>
          </w:tcPr>
          <w:p w14:paraId="098A9C87" w14:textId="77777777" w:rsidR="00141CDF" w:rsidRDefault="00141CDF">
            <w:pPr>
              <w:rPr>
                <w:rFonts w:ascii="宋体"/>
              </w:rPr>
            </w:pPr>
          </w:p>
        </w:tc>
        <w:tc>
          <w:tcPr>
            <w:tcW w:w="500" w:type="pct"/>
            <w:shd w:val="clear" w:color="auto" w:fill="auto"/>
            <w:vAlign w:val="bottom"/>
          </w:tcPr>
          <w:p w14:paraId="098A9C88" w14:textId="77777777" w:rsidR="00141CDF" w:rsidRDefault="00141CDF">
            <w:pPr>
              <w:rPr>
                <w:rFonts w:ascii="宋体"/>
              </w:rPr>
            </w:pPr>
          </w:p>
        </w:tc>
        <w:tc>
          <w:tcPr>
            <w:tcW w:w="5" w:type="pct"/>
            <w:shd w:val="clear" w:color="auto" w:fill="auto"/>
            <w:vAlign w:val="bottom"/>
          </w:tcPr>
          <w:p w14:paraId="098A9C89" w14:textId="77777777" w:rsidR="00141CDF" w:rsidRDefault="00141CDF">
            <w:pPr>
              <w:rPr>
                <w:rFonts w:ascii="宋体"/>
              </w:rPr>
            </w:pPr>
          </w:p>
        </w:tc>
        <w:tc>
          <w:tcPr>
            <w:tcW w:w="5" w:type="pct"/>
            <w:shd w:val="clear" w:color="auto" w:fill="auto"/>
            <w:vAlign w:val="bottom"/>
          </w:tcPr>
          <w:p w14:paraId="098A9C8A" w14:textId="77777777" w:rsidR="00141CDF" w:rsidRDefault="00141CDF">
            <w:pPr>
              <w:rPr>
                <w:rFonts w:ascii="宋体"/>
              </w:rPr>
            </w:pPr>
          </w:p>
        </w:tc>
        <w:tc>
          <w:tcPr>
            <w:tcW w:w="19" w:type="pct"/>
            <w:shd w:val="clear" w:color="auto" w:fill="auto"/>
            <w:vAlign w:val="bottom"/>
          </w:tcPr>
          <w:p w14:paraId="098A9C8B" w14:textId="77777777" w:rsidR="00141CDF" w:rsidRDefault="00141CDF">
            <w:pPr>
              <w:rPr>
                <w:rFonts w:ascii="宋体"/>
              </w:rPr>
            </w:pPr>
          </w:p>
        </w:tc>
        <w:tc>
          <w:tcPr>
            <w:tcW w:w="5" w:type="pct"/>
            <w:shd w:val="clear" w:color="auto" w:fill="auto"/>
            <w:vAlign w:val="bottom"/>
          </w:tcPr>
          <w:p w14:paraId="098A9C8C" w14:textId="77777777" w:rsidR="00141CDF" w:rsidRDefault="00141CDF">
            <w:pPr>
              <w:rPr>
                <w:rFonts w:ascii="宋体"/>
              </w:rPr>
            </w:pPr>
          </w:p>
        </w:tc>
        <w:tc>
          <w:tcPr>
            <w:tcW w:w="50" w:type="pct"/>
            <w:shd w:val="clear" w:color="auto" w:fill="auto"/>
            <w:vAlign w:val="bottom"/>
          </w:tcPr>
          <w:p w14:paraId="098A9C8D" w14:textId="77777777" w:rsidR="00141CDF" w:rsidRDefault="00141CDF">
            <w:pPr>
              <w:rPr>
                <w:rFonts w:ascii="宋体"/>
              </w:rPr>
            </w:pPr>
          </w:p>
        </w:tc>
        <w:tc>
          <w:tcPr>
            <w:tcW w:w="500" w:type="pct"/>
            <w:shd w:val="clear" w:color="auto" w:fill="auto"/>
            <w:vAlign w:val="bottom"/>
          </w:tcPr>
          <w:p w14:paraId="098A9C8E" w14:textId="77777777" w:rsidR="00141CDF" w:rsidRDefault="00141CDF">
            <w:pPr>
              <w:rPr>
                <w:rFonts w:ascii="宋体"/>
              </w:rPr>
            </w:pPr>
          </w:p>
        </w:tc>
        <w:tc>
          <w:tcPr>
            <w:tcW w:w="5" w:type="pct"/>
            <w:shd w:val="clear" w:color="auto" w:fill="auto"/>
            <w:vAlign w:val="bottom"/>
          </w:tcPr>
          <w:p w14:paraId="098A9C8F" w14:textId="77777777" w:rsidR="00141CDF" w:rsidRDefault="00141CDF">
            <w:pPr>
              <w:rPr>
                <w:rFonts w:ascii="宋体"/>
              </w:rPr>
            </w:pPr>
          </w:p>
        </w:tc>
        <w:tc>
          <w:tcPr>
            <w:tcW w:w="5" w:type="pct"/>
            <w:shd w:val="clear" w:color="auto" w:fill="auto"/>
            <w:vAlign w:val="bottom"/>
          </w:tcPr>
          <w:p w14:paraId="098A9C90" w14:textId="77777777" w:rsidR="00141CDF" w:rsidRDefault="00141CDF">
            <w:pPr>
              <w:rPr>
                <w:rFonts w:ascii="宋体"/>
              </w:rPr>
            </w:pPr>
          </w:p>
        </w:tc>
        <w:tc>
          <w:tcPr>
            <w:tcW w:w="19" w:type="pct"/>
            <w:shd w:val="clear" w:color="auto" w:fill="auto"/>
            <w:vAlign w:val="bottom"/>
          </w:tcPr>
          <w:p w14:paraId="098A9C91" w14:textId="77777777" w:rsidR="00141CDF" w:rsidRDefault="00141CDF">
            <w:pPr>
              <w:rPr>
                <w:rFonts w:ascii="宋体"/>
              </w:rPr>
            </w:pPr>
          </w:p>
        </w:tc>
        <w:tc>
          <w:tcPr>
            <w:tcW w:w="5" w:type="pct"/>
            <w:shd w:val="clear" w:color="auto" w:fill="auto"/>
            <w:vAlign w:val="bottom"/>
          </w:tcPr>
          <w:p w14:paraId="098A9C92" w14:textId="77777777" w:rsidR="00141CDF" w:rsidRDefault="00141CDF">
            <w:pPr>
              <w:rPr>
                <w:rFonts w:ascii="宋体"/>
              </w:rPr>
            </w:pPr>
          </w:p>
        </w:tc>
        <w:tc>
          <w:tcPr>
            <w:tcW w:w="50" w:type="pct"/>
            <w:shd w:val="clear" w:color="auto" w:fill="auto"/>
            <w:vAlign w:val="bottom"/>
          </w:tcPr>
          <w:p w14:paraId="098A9C93" w14:textId="77777777" w:rsidR="00141CDF" w:rsidRDefault="00141CDF">
            <w:pPr>
              <w:rPr>
                <w:rFonts w:ascii="宋体"/>
              </w:rPr>
            </w:pPr>
          </w:p>
        </w:tc>
        <w:tc>
          <w:tcPr>
            <w:tcW w:w="434" w:type="pct"/>
            <w:shd w:val="clear" w:color="auto" w:fill="auto"/>
            <w:vAlign w:val="bottom"/>
          </w:tcPr>
          <w:p w14:paraId="098A9C94" w14:textId="77777777" w:rsidR="00141CDF" w:rsidRDefault="00141CDF">
            <w:pPr>
              <w:rPr>
                <w:rFonts w:ascii="宋体"/>
              </w:rPr>
            </w:pPr>
          </w:p>
        </w:tc>
        <w:tc>
          <w:tcPr>
            <w:tcW w:w="5" w:type="pct"/>
            <w:shd w:val="clear" w:color="auto" w:fill="auto"/>
            <w:vAlign w:val="bottom"/>
          </w:tcPr>
          <w:p w14:paraId="098A9C95" w14:textId="77777777" w:rsidR="00141CDF" w:rsidRDefault="00141CDF">
            <w:pPr>
              <w:rPr>
                <w:rFonts w:ascii="宋体"/>
              </w:rPr>
            </w:pPr>
          </w:p>
        </w:tc>
        <w:tc>
          <w:tcPr>
            <w:tcW w:w="5" w:type="pct"/>
            <w:shd w:val="clear" w:color="auto" w:fill="auto"/>
            <w:vAlign w:val="bottom"/>
          </w:tcPr>
          <w:p w14:paraId="098A9C96" w14:textId="77777777" w:rsidR="00141CDF" w:rsidRDefault="00141CDF">
            <w:pPr>
              <w:rPr>
                <w:rFonts w:ascii="宋体"/>
              </w:rPr>
            </w:pPr>
          </w:p>
        </w:tc>
        <w:tc>
          <w:tcPr>
            <w:tcW w:w="19" w:type="pct"/>
            <w:shd w:val="clear" w:color="auto" w:fill="auto"/>
            <w:vAlign w:val="bottom"/>
          </w:tcPr>
          <w:p w14:paraId="098A9C97" w14:textId="77777777" w:rsidR="00141CDF" w:rsidRDefault="00141CDF">
            <w:pPr>
              <w:rPr>
                <w:rFonts w:ascii="宋体"/>
              </w:rPr>
            </w:pPr>
          </w:p>
        </w:tc>
        <w:tc>
          <w:tcPr>
            <w:tcW w:w="5" w:type="pct"/>
            <w:shd w:val="clear" w:color="auto" w:fill="auto"/>
            <w:vAlign w:val="bottom"/>
          </w:tcPr>
          <w:p w14:paraId="098A9C98" w14:textId="77777777" w:rsidR="00141CDF" w:rsidRDefault="00141CDF">
            <w:pPr>
              <w:rPr>
                <w:rFonts w:ascii="宋体"/>
              </w:rPr>
            </w:pPr>
          </w:p>
        </w:tc>
        <w:tc>
          <w:tcPr>
            <w:tcW w:w="50" w:type="pct"/>
            <w:shd w:val="clear" w:color="auto" w:fill="auto"/>
            <w:vAlign w:val="bottom"/>
          </w:tcPr>
          <w:p w14:paraId="098A9C99" w14:textId="77777777" w:rsidR="00141CDF" w:rsidRDefault="00141CDF">
            <w:pPr>
              <w:rPr>
                <w:rFonts w:ascii="宋体"/>
              </w:rPr>
            </w:pPr>
          </w:p>
        </w:tc>
        <w:tc>
          <w:tcPr>
            <w:tcW w:w="434" w:type="pct"/>
            <w:shd w:val="clear" w:color="auto" w:fill="auto"/>
            <w:vAlign w:val="bottom"/>
          </w:tcPr>
          <w:p w14:paraId="098A9C9A" w14:textId="77777777" w:rsidR="00141CDF" w:rsidRDefault="00141CDF">
            <w:pPr>
              <w:rPr>
                <w:rFonts w:ascii="宋体"/>
              </w:rPr>
            </w:pPr>
          </w:p>
        </w:tc>
        <w:tc>
          <w:tcPr>
            <w:tcW w:w="5" w:type="pct"/>
            <w:shd w:val="clear" w:color="auto" w:fill="auto"/>
            <w:vAlign w:val="bottom"/>
          </w:tcPr>
          <w:p w14:paraId="098A9C9B" w14:textId="77777777" w:rsidR="00141CDF" w:rsidRDefault="00141CDF">
            <w:pPr>
              <w:rPr>
                <w:rFonts w:ascii="宋体"/>
              </w:rPr>
            </w:pPr>
          </w:p>
        </w:tc>
      </w:tr>
      <w:tr w:rsidR="00141CDF" w14:paraId="098A9CA2" w14:textId="77777777">
        <w:trPr>
          <w:jc w:val="center"/>
        </w:trPr>
        <w:tc>
          <w:tcPr>
            <w:tcW w:w="0" w:type="auto"/>
            <w:gridSpan w:val="3"/>
            <w:shd w:val="clear" w:color="auto" w:fill="auto"/>
            <w:tcMar>
              <w:top w:w="0" w:type="dxa"/>
              <w:left w:w="20" w:type="dxa"/>
              <w:bottom w:w="0" w:type="dxa"/>
              <w:right w:w="20" w:type="dxa"/>
            </w:tcMar>
            <w:vAlign w:val="bottom"/>
          </w:tcPr>
          <w:p w14:paraId="098A9C9D"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9C9E" w14:textId="77777777" w:rsidR="00141CDF" w:rsidRDefault="00141CDF">
            <w:pPr>
              <w:rPr>
                <w:rFonts w:ascii="宋体"/>
              </w:rPr>
            </w:pPr>
          </w:p>
        </w:tc>
        <w:tc>
          <w:tcPr>
            <w:tcW w:w="0" w:type="auto"/>
            <w:gridSpan w:val="9"/>
            <w:shd w:val="clear" w:color="auto" w:fill="auto"/>
            <w:tcMar>
              <w:top w:w="40" w:type="dxa"/>
              <w:left w:w="20" w:type="dxa"/>
              <w:bottom w:w="40" w:type="dxa"/>
              <w:right w:w="20" w:type="dxa"/>
            </w:tcMar>
          </w:tcPr>
          <w:p w14:paraId="098A9C9F" w14:textId="77777777" w:rsidR="00141CDF" w:rsidRDefault="00DF45E0">
            <w:pPr>
              <w:jc w:val="center"/>
              <w:textAlignment w:val="top"/>
            </w:pPr>
            <w:r>
              <w:rPr>
                <w:rFonts w:ascii="Times New Roman" w:eastAsia="宋体" w:hAnsi="Times New Roman"/>
                <w:b/>
                <w:bCs/>
                <w:color w:val="000000"/>
                <w:sz w:val="16"/>
                <w:szCs w:val="16"/>
              </w:rPr>
              <w:t>Three Months Ended July 31,</w:t>
            </w:r>
          </w:p>
        </w:tc>
        <w:tc>
          <w:tcPr>
            <w:tcW w:w="0" w:type="auto"/>
            <w:gridSpan w:val="3"/>
            <w:shd w:val="clear" w:color="auto" w:fill="auto"/>
            <w:tcMar>
              <w:top w:w="0" w:type="dxa"/>
              <w:left w:w="20" w:type="dxa"/>
              <w:bottom w:w="0" w:type="dxa"/>
              <w:right w:w="20" w:type="dxa"/>
            </w:tcMar>
            <w:vAlign w:val="bottom"/>
          </w:tcPr>
          <w:p w14:paraId="098A9CA0" w14:textId="77777777" w:rsidR="00141CDF" w:rsidRDefault="00141CDF">
            <w:pPr>
              <w:rPr>
                <w:rFonts w:ascii="宋体"/>
              </w:rPr>
            </w:pPr>
          </w:p>
        </w:tc>
        <w:tc>
          <w:tcPr>
            <w:tcW w:w="0" w:type="auto"/>
            <w:gridSpan w:val="9"/>
            <w:shd w:val="clear" w:color="auto" w:fill="auto"/>
            <w:tcMar>
              <w:top w:w="40" w:type="dxa"/>
              <w:left w:w="20" w:type="dxa"/>
              <w:bottom w:w="40" w:type="dxa"/>
              <w:right w:w="20" w:type="dxa"/>
            </w:tcMar>
          </w:tcPr>
          <w:p w14:paraId="098A9CA1" w14:textId="77777777" w:rsidR="00141CDF" w:rsidRDefault="00DF45E0">
            <w:pPr>
              <w:jc w:val="center"/>
              <w:textAlignment w:val="top"/>
            </w:pPr>
            <w:r>
              <w:rPr>
                <w:rFonts w:ascii="Times New Roman" w:eastAsia="宋体" w:hAnsi="Times New Roman"/>
                <w:b/>
                <w:bCs/>
                <w:color w:val="000000"/>
                <w:sz w:val="16"/>
                <w:szCs w:val="16"/>
              </w:rPr>
              <w:t>Six Months Ended July 31,</w:t>
            </w:r>
          </w:p>
        </w:tc>
      </w:tr>
      <w:tr w:rsidR="00141CDF" w14:paraId="098A9CAC" w14:textId="77777777">
        <w:trPr>
          <w:jc w:val="center"/>
        </w:trPr>
        <w:tc>
          <w:tcPr>
            <w:tcW w:w="0" w:type="auto"/>
            <w:gridSpan w:val="3"/>
            <w:shd w:val="clear" w:color="auto" w:fill="auto"/>
            <w:tcMar>
              <w:top w:w="40" w:type="dxa"/>
              <w:left w:w="20" w:type="dxa"/>
              <w:bottom w:w="40" w:type="dxa"/>
              <w:right w:w="20" w:type="dxa"/>
            </w:tcMar>
            <w:vAlign w:val="bottom"/>
          </w:tcPr>
          <w:p w14:paraId="098A9CA3" w14:textId="77777777" w:rsidR="00141CDF" w:rsidRDefault="00DF45E0">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098A9CA4"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98A9CA5" w14:textId="77777777" w:rsidR="00141CDF" w:rsidRDefault="00DF45E0">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9CA6"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98A9CA7" w14:textId="77777777" w:rsidR="00141CDF" w:rsidRDefault="00DF45E0">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098A9CA8"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98A9CA9" w14:textId="77777777" w:rsidR="00141CDF" w:rsidRDefault="00DF45E0">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9CAA"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98A9CAB" w14:textId="77777777" w:rsidR="00141CDF" w:rsidRDefault="00DF45E0">
            <w:pPr>
              <w:jc w:val="center"/>
              <w:textAlignment w:val="bottom"/>
            </w:pPr>
            <w:r>
              <w:rPr>
                <w:rFonts w:ascii="Times New Roman" w:eastAsia="宋体" w:hAnsi="Times New Roman"/>
                <w:b/>
                <w:bCs/>
                <w:color w:val="000000"/>
                <w:sz w:val="16"/>
                <w:szCs w:val="16"/>
              </w:rPr>
              <w:t>2021</w:t>
            </w:r>
          </w:p>
        </w:tc>
      </w:tr>
      <w:tr w:rsidR="00141CDF" w14:paraId="098A9CBE" w14:textId="77777777">
        <w:trPr>
          <w:jc w:val="center"/>
        </w:trPr>
        <w:tc>
          <w:tcPr>
            <w:tcW w:w="0" w:type="auto"/>
            <w:gridSpan w:val="3"/>
            <w:shd w:val="clear" w:color="auto" w:fill="CCEEFF"/>
            <w:tcMar>
              <w:top w:w="40" w:type="dxa"/>
              <w:left w:w="20" w:type="dxa"/>
              <w:bottom w:w="40" w:type="dxa"/>
              <w:right w:w="20" w:type="dxa"/>
            </w:tcMar>
            <w:vAlign w:val="center"/>
          </w:tcPr>
          <w:p w14:paraId="098A9CAD" w14:textId="77777777" w:rsidR="00141CDF" w:rsidRDefault="00DF45E0">
            <w:pPr>
              <w:textAlignment w:val="center"/>
            </w:pPr>
            <w:r>
              <w:rPr>
                <w:rFonts w:ascii="Times New Roman" w:eastAsia="宋体" w:hAnsi="Times New Roman"/>
                <w:color w:val="000000"/>
                <w:sz w:val="16"/>
                <w:szCs w:val="16"/>
              </w:rPr>
              <w:t>Net sales</w:t>
            </w:r>
          </w:p>
        </w:tc>
        <w:tc>
          <w:tcPr>
            <w:tcW w:w="0" w:type="auto"/>
            <w:gridSpan w:val="3"/>
            <w:shd w:val="clear" w:color="auto" w:fill="CCEEFF"/>
            <w:tcMar>
              <w:top w:w="0" w:type="dxa"/>
              <w:left w:w="20" w:type="dxa"/>
              <w:bottom w:w="0" w:type="dxa"/>
              <w:right w:w="20" w:type="dxa"/>
            </w:tcMar>
            <w:vAlign w:val="bottom"/>
          </w:tcPr>
          <w:p w14:paraId="098A9CAE"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9CAF"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9CB0" w14:textId="77777777" w:rsidR="00141CDF" w:rsidRDefault="00DF45E0">
            <w:pPr>
              <w:jc w:val="right"/>
              <w:textAlignment w:val="center"/>
            </w:pPr>
            <w:r>
              <w:rPr>
                <w:rFonts w:ascii="Times New Roman" w:eastAsia="宋体" w:hAnsi="Times New Roman"/>
                <w:color w:val="000000"/>
                <w:sz w:val="16"/>
                <w:szCs w:val="16"/>
              </w:rPr>
              <w:t>151,381 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CB1"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CB2"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9CB3"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9CB4" w14:textId="77777777" w:rsidR="00141CDF" w:rsidRDefault="00DF45E0">
            <w:pPr>
              <w:jc w:val="right"/>
              <w:textAlignment w:val="center"/>
            </w:pPr>
            <w:r>
              <w:rPr>
                <w:rFonts w:ascii="Times New Roman" w:eastAsia="宋体" w:hAnsi="Times New Roman"/>
                <w:color w:val="000000"/>
                <w:sz w:val="16"/>
                <w:szCs w:val="16"/>
              </w:rPr>
              <w:t>139,871 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CB5"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CB6"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9CB7"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9CB8" w14:textId="77777777" w:rsidR="00141CDF" w:rsidRDefault="00DF45E0">
            <w:pPr>
              <w:jc w:val="right"/>
              <w:textAlignment w:val="center"/>
            </w:pPr>
            <w:r>
              <w:rPr>
                <w:rFonts w:ascii="Times New Roman" w:eastAsia="宋体" w:hAnsi="Times New Roman"/>
                <w:color w:val="000000"/>
                <w:sz w:val="16"/>
                <w:szCs w:val="16"/>
              </w:rPr>
              <w:t>291,669 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CB9"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CBA"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9CBB"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9CBC" w14:textId="77777777" w:rsidR="00141CDF" w:rsidRDefault="00DF45E0">
            <w:pPr>
              <w:jc w:val="right"/>
              <w:textAlignment w:val="center"/>
            </w:pPr>
            <w:r>
              <w:rPr>
                <w:rFonts w:ascii="Times New Roman" w:eastAsia="宋体" w:hAnsi="Times New Roman"/>
                <w:color w:val="000000"/>
                <w:sz w:val="16"/>
                <w:szCs w:val="16"/>
              </w:rPr>
              <w:t>277,030 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CBD" w14:textId="77777777" w:rsidR="00141CDF" w:rsidRDefault="00141CDF">
            <w:pPr>
              <w:jc w:val="right"/>
              <w:rPr>
                <w:rFonts w:ascii="宋体"/>
              </w:rPr>
            </w:pPr>
          </w:p>
        </w:tc>
      </w:tr>
      <w:tr w:rsidR="00141CDF" w14:paraId="098A9CCC" w14:textId="77777777">
        <w:trPr>
          <w:jc w:val="center"/>
        </w:trPr>
        <w:tc>
          <w:tcPr>
            <w:tcW w:w="0" w:type="auto"/>
            <w:gridSpan w:val="3"/>
            <w:shd w:val="clear" w:color="auto" w:fill="FFFFFF"/>
            <w:tcMar>
              <w:top w:w="40" w:type="dxa"/>
              <w:left w:w="20" w:type="dxa"/>
              <w:bottom w:w="40" w:type="dxa"/>
              <w:right w:w="20" w:type="dxa"/>
            </w:tcMar>
            <w:vAlign w:val="center"/>
          </w:tcPr>
          <w:p w14:paraId="098A9CBF" w14:textId="77777777" w:rsidR="00141CDF" w:rsidRDefault="00DF45E0">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vAlign w:val="bottom"/>
          </w:tcPr>
          <w:p w14:paraId="098A9CC0"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CC1" w14:textId="77777777" w:rsidR="00141CDF" w:rsidRDefault="00DF45E0">
            <w:pPr>
              <w:jc w:val="right"/>
              <w:textAlignment w:val="center"/>
            </w:pPr>
            <w:r>
              <w:rPr>
                <w:rFonts w:ascii="Times New Roman" w:eastAsia="宋体" w:hAnsi="Times New Roman"/>
                <w:color w:val="000000"/>
                <w:sz w:val="16"/>
                <w:szCs w:val="16"/>
              </w:rPr>
              <w:t>8.2 </w:t>
            </w:r>
          </w:p>
        </w:tc>
        <w:tc>
          <w:tcPr>
            <w:tcW w:w="0" w:type="auto"/>
            <w:shd w:val="clear" w:color="auto" w:fill="FFFFFF"/>
            <w:tcMar>
              <w:top w:w="40" w:type="dxa"/>
              <w:left w:w="0" w:type="dxa"/>
              <w:bottom w:w="40" w:type="dxa"/>
              <w:right w:w="20" w:type="dxa"/>
            </w:tcMar>
            <w:vAlign w:val="center"/>
          </w:tcPr>
          <w:p w14:paraId="098A9CC2"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098A9CC3"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CC4" w14:textId="77777777" w:rsidR="00141CDF" w:rsidRDefault="00DF45E0">
            <w:pPr>
              <w:jc w:val="right"/>
              <w:textAlignment w:val="center"/>
            </w:pPr>
            <w:r>
              <w:rPr>
                <w:rFonts w:ascii="Times New Roman" w:eastAsia="宋体" w:hAnsi="Times New Roman"/>
                <w:color w:val="000000"/>
                <w:sz w:val="16"/>
                <w:szCs w:val="16"/>
              </w:rPr>
              <w:t>2.2 </w:t>
            </w:r>
          </w:p>
        </w:tc>
        <w:tc>
          <w:tcPr>
            <w:tcW w:w="0" w:type="auto"/>
            <w:shd w:val="clear" w:color="auto" w:fill="FFFFFF"/>
            <w:tcMar>
              <w:top w:w="40" w:type="dxa"/>
              <w:left w:w="0" w:type="dxa"/>
              <w:bottom w:w="40" w:type="dxa"/>
              <w:right w:w="20" w:type="dxa"/>
            </w:tcMar>
            <w:vAlign w:val="center"/>
          </w:tcPr>
          <w:p w14:paraId="098A9CC5"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098A9CC6"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CC7" w14:textId="77777777" w:rsidR="00141CDF" w:rsidRDefault="00DF45E0">
            <w:pPr>
              <w:jc w:val="right"/>
              <w:textAlignment w:val="center"/>
            </w:pPr>
            <w:r>
              <w:rPr>
                <w:rFonts w:ascii="Times New Roman" w:eastAsia="宋体" w:hAnsi="Times New Roman"/>
                <w:color w:val="000000"/>
                <w:sz w:val="16"/>
                <w:szCs w:val="16"/>
              </w:rPr>
              <w:t>5.3 </w:t>
            </w:r>
          </w:p>
        </w:tc>
        <w:tc>
          <w:tcPr>
            <w:tcW w:w="0" w:type="auto"/>
            <w:shd w:val="clear" w:color="auto" w:fill="FFFFFF"/>
            <w:tcMar>
              <w:top w:w="40" w:type="dxa"/>
              <w:left w:w="0" w:type="dxa"/>
              <w:bottom w:w="40" w:type="dxa"/>
              <w:right w:w="20" w:type="dxa"/>
            </w:tcMar>
            <w:vAlign w:val="center"/>
          </w:tcPr>
          <w:p w14:paraId="098A9CC8"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098A9CC9"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CCA" w14:textId="77777777" w:rsidR="00141CDF" w:rsidRDefault="00DF45E0">
            <w:pPr>
              <w:jc w:val="right"/>
              <w:textAlignment w:val="center"/>
            </w:pPr>
            <w:r>
              <w:rPr>
                <w:rFonts w:ascii="Times New Roman" w:eastAsia="宋体" w:hAnsi="Times New Roman"/>
                <w:color w:val="000000"/>
                <w:sz w:val="16"/>
                <w:szCs w:val="16"/>
              </w:rPr>
              <w:t>2.4 </w:t>
            </w:r>
          </w:p>
        </w:tc>
        <w:tc>
          <w:tcPr>
            <w:tcW w:w="0" w:type="auto"/>
            <w:shd w:val="clear" w:color="auto" w:fill="FFFFFF"/>
            <w:tcMar>
              <w:top w:w="40" w:type="dxa"/>
              <w:left w:w="0" w:type="dxa"/>
              <w:bottom w:w="40" w:type="dxa"/>
              <w:right w:w="20" w:type="dxa"/>
            </w:tcMar>
            <w:vAlign w:val="center"/>
          </w:tcPr>
          <w:p w14:paraId="098A9CCB" w14:textId="77777777" w:rsidR="00141CDF" w:rsidRDefault="00DF45E0">
            <w:pPr>
              <w:jc w:val="right"/>
              <w:textAlignment w:val="center"/>
            </w:pPr>
            <w:r>
              <w:rPr>
                <w:rFonts w:ascii="Times New Roman" w:eastAsia="宋体" w:hAnsi="Times New Roman"/>
                <w:color w:val="000000"/>
                <w:sz w:val="16"/>
                <w:szCs w:val="16"/>
              </w:rPr>
              <w:t>%</w:t>
            </w:r>
          </w:p>
        </w:tc>
      </w:tr>
      <w:tr w:rsidR="00141CDF" w14:paraId="098A9CDE" w14:textId="77777777">
        <w:trPr>
          <w:jc w:val="center"/>
        </w:trPr>
        <w:tc>
          <w:tcPr>
            <w:tcW w:w="0" w:type="auto"/>
            <w:gridSpan w:val="3"/>
            <w:shd w:val="clear" w:color="auto" w:fill="CCEEFF"/>
            <w:tcMar>
              <w:top w:w="40" w:type="dxa"/>
              <w:left w:w="20" w:type="dxa"/>
              <w:bottom w:w="40" w:type="dxa"/>
              <w:right w:w="20" w:type="dxa"/>
            </w:tcMar>
            <w:vAlign w:val="center"/>
          </w:tcPr>
          <w:p w14:paraId="098A9CCD" w14:textId="77777777" w:rsidR="00141CDF" w:rsidRDefault="00DF45E0">
            <w:pPr>
              <w:textAlignment w:val="center"/>
            </w:pPr>
            <w:r>
              <w:rPr>
                <w:rFonts w:ascii="Times New Roman" w:eastAsia="宋体" w:hAnsi="Times New Roman"/>
                <w:color w:val="000000"/>
                <w:sz w:val="16"/>
                <w:szCs w:val="16"/>
              </w:rPr>
              <w:t>Operating, selling, general and administrative expenses</w:t>
            </w:r>
          </w:p>
        </w:tc>
        <w:tc>
          <w:tcPr>
            <w:tcW w:w="0" w:type="auto"/>
            <w:gridSpan w:val="3"/>
            <w:shd w:val="clear" w:color="auto" w:fill="CCEEFF"/>
            <w:tcMar>
              <w:top w:w="0" w:type="dxa"/>
              <w:left w:w="20" w:type="dxa"/>
              <w:bottom w:w="0" w:type="dxa"/>
              <w:right w:w="20" w:type="dxa"/>
            </w:tcMar>
            <w:vAlign w:val="bottom"/>
          </w:tcPr>
          <w:p w14:paraId="098A9CCE"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9CCF"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9CD0" w14:textId="77777777" w:rsidR="00141CDF" w:rsidRDefault="00DF45E0">
            <w:pPr>
              <w:jc w:val="right"/>
              <w:textAlignment w:val="center"/>
            </w:pPr>
            <w:r>
              <w:rPr>
                <w:rFonts w:ascii="Times New Roman" w:eastAsia="宋体" w:hAnsi="Times New Roman"/>
                <w:color w:val="000000"/>
                <w:sz w:val="16"/>
                <w:szCs w:val="16"/>
              </w:rPr>
              <w:t>30,167 </w:t>
            </w:r>
          </w:p>
        </w:tc>
        <w:tc>
          <w:tcPr>
            <w:tcW w:w="0" w:type="auto"/>
            <w:shd w:val="clear" w:color="auto" w:fill="CCEEFF"/>
            <w:tcMar>
              <w:top w:w="40" w:type="dxa"/>
              <w:left w:w="0" w:type="dxa"/>
              <w:bottom w:w="40" w:type="dxa"/>
              <w:right w:w="20" w:type="dxa"/>
            </w:tcMar>
            <w:vAlign w:val="center"/>
          </w:tcPr>
          <w:p w14:paraId="098A9CD1"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CD2"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9CD3"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9CD4" w14:textId="77777777" w:rsidR="00141CDF" w:rsidRDefault="00DF45E0">
            <w:pPr>
              <w:jc w:val="right"/>
              <w:textAlignment w:val="center"/>
            </w:pPr>
            <w:r>
              <w:rPr>
                <w:rFonts w:ascii="Times New Roman" w:eastAsia="宋体" w:hAnsi="Times New Roman"/>
                <w:color w:val="000000"/>
                <w:sz w:val="16"/>
                <w:szCs w:val="16"/>
              </w:rPr>
              <w:t>28,511 </w:t>
            </w:r>
          </w:p>
        </w:tc>
        <w:tc>
          <w:tcPr>
            <w:tcW w:w="0" w:type="auto"/>
            <w:shd w:val="clear" w:color="auto" w:fill="CCEEFF"/>
            <w:tcMar>
              <w:top w:w="40" w:type="dxa"/>
              <w:left w:w="0" w:type="dxa"/>
              <w:bottom w:w="40" w:type="dxa"/>
              <w:right w:w="20" w:type="dxa"/>
            </w:tcMar>
            <w:vAlign w:val="center"/>
          </w:tcPr>
          <w:p w14:paraId="098A9CD5"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CD6"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9CD7"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9CD8" w14:textId="77777777" w:rsidR="00141CDF" w:rsidRDefault="00DF45E0">
            <w:pPr>
              <w:jc w:val="right"/>
              <w:textAlignment w:val="center"/>
            </w:pPr>
            <w:r>
              <w:rPr>
                <w:rFonts w:ascii="Times New Roman" w:eastAsia="宋体" w:hAnsi="Times New Roman"/>
                <w:color w:val="000000"/>
                <w:sz w:val="16"/>
                <w:szCs w:val="16"/>
              </w:rPr>
              <w:t>59,571 </w:t>
            </w:r>
          </w:p>
        </w:tc>
        <w:tc>
          <w:tcPr>
            <w:tcW w:w="0" w:type="auto"/>
            <w:shd w:val="clear" w:color="auto" w:fill="CCEEFF"/>
            <w:tcMar>
              <w:top w:w="40" w:type="dxa"/>
              <w:left w:w="0" w:type="dxa"/>
              <w:bottom w:w="40" w:type="dxa"/>
              <w:right w:w="20" w:type="dxa"/>
            </w:tcMar>
            <w:vAlign w:val="center"/>
          </w:tcPr>
          <w:p w14:paraId="098A9CD9"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CDA"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9CDB"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9CDC" w14:textId="77777777" w:rsidR="00141CDF" w:rsidRDefault="00DF45E0">
            <w:pPr>
              <w:jc w:val="right"/>
              <w:textAlignment w:val="center"/>
            </w:pPr>
            <w:r>
              <w:rPr>
                <w:rFonts w:ascii="Times New Roman" w:eastAsia="宋体" w:hAnsi="Times New Roman"/>
                <w:color w:val="000000"/>
                <w:sz w:val="16"/>
                <w:szCs w:val="16"/>
              </w:rPr>
              <w:t>56,640 </w:t>
            </w:r>
          </w:p>
        </w:tc>
        <w:tc>
          <w:tcPr>
            <w:tcW w:w="0" w:type="auto"/>
            <w:shd w:val="clear" w:color="auto" w:fill="CCEEFF"/>
            <w:tcMar>
              <w:top w:w="40" w:type="dxa"/>
              <w:left w:w="0" w:type="dxa"/>
              <w:bottom w:w="40" w:type="dxa"/>
              <w:right w:w="20" w:type="dxa"/>
            </w:tcMar>
            <w:vAlign w:val="center"/>
          </w:tcPr>
          <w:p w14:paraId="098A9CDD" w14:textId="77777777" w:rsidR="00141CDF" w:rsidRDefault="00141CDF">
            <w:pPr>
              <w:jc w:val="right"/>
              <w:rPr>
                <w:rFonts w:ascii="宋体"/>
              </w:rPr>
            </w:pPr>
          </w:p>
        </w:tc>
      </w:tr>
      <w:tr w:rsidR="00141CDF" w14:paraId="098A9CEC" w14:textId="77777777">
        <w:trPr>
          <w:jc w:val="center"/>
        </w:trPr>
        <w:tc>
          <w:tcPr>
            <w:tcW w:w="0" w:type="auto"/>
            <w:gridSpan w:val="3"/>
            <w:shd w:val="clear" w:color="auto" w:fill="FFFFFF"/>
            <w:tcMar>
              <w:top w:w="40" w:type="dxa"/>
              <w:left w:w="20" w:type="dxa"/>
              <w:bottom w:w="40" w:type="dxa"/>
              <w:right w:w="20" w:type="dxa"/>
            </w:tcMar>
            <w:vAlign w:val="center"/>
          </w:tcPr>
          <w:p w14:paraId="098A9CDF" w14:textId="77777777" w:rsidR="00141CDF" w:rsidRDefault="00DF45E0">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vAlign w:val="bottom"/>
          </w:tcPr>
          <w:p w14:paraId="098A9CE0"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CE1" w14:textId="77777777" w:rsidR="00141CDF" w:rsidRDefault="00DF45E0">
            <w:pPr>
              <w:jc w:val="right"/>
              <w:textAlignment w:val="center"/>
            </w:pPr>
            <w:r>
              <w:rPr>
                <w:rFonts w:ascii="Times New Roman" w:eastAsia="宋体" w:hAnsi="Times New Roman"/>
                <w:color w:val="000000"/>
                <w:sz w:val="16"/>
                <w:szCs w:val="16"/>
              </w:rPr>
              <w:t>5.8 </w:t>
            </w:r>
          </w:p>
        </w:tc>
        <w:tc>
          <w:tcPr>
            <w:tcW w:w="0" w:type="auto"/>
            <w:shd w:val="clear" w:color="auto" w:fill="FFFFFF"/>
            <w:tcMar>
              <w:top w:w="40" w:type="dxa"/>
              <w:left w:w="0" w:type="dxa"/>
              <w:bottom w:w="40" w:type="dxa"/>
              <w:right w:w="20" w:type="dxa"/>
            </w:tcMar>
            <w:vAlign w:val="center"/>
          </w:tcPr>
          <w:p w14:paraId="098A9CE2"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098A9CE3"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CE4" w14:textId="77777777" w:rsidR="00141CDF" w:rsidRDefault="00DF45E0">
            <w:pPr>
              <w:jc w:val="right"/>
              <w:textAlignment w:val="center"/>
            </w:pPr>
            <w:r>
              <w:rPr>
                <w:rFonts w:ascii="Times New Roman" w:eastAsia="宋体" w:hAnsi="Times New Roman"/>
                <w:color w:val="000000"/>
                <w:sz w:val="16"/>
                <w:szCs w:val="16"/>
              </w:rPr>
              <w:t>(1.7)</w:t>
            </w:r>
          </w:p>
        </w:tc>
        <w:tc>
          <w:tcPr>
            <w:tcW w:w="0" w:type="auto"/>
            <w:shd w:val="clear" w:color="auto" w:fill="FFFFFF"/>
            <w:tcMar>
              <w:top w:w="40" w:type="dxa"/>
              <w:left w:w="0" w:type="dxa"/>
              <w:bottom w:w="40" w:type="dxa"/>
              <w:right w:w="20" w:type="dxa"/>
            </w:tcMar>
            <w:vAlign w:val="center"/>
          </w:tcPr>
          <w:p w14:paraId="098A9CE5"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098A9CE6"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CE7" w14:textId="77777777" w:rsidR="00141CDF" w:rsidRDefault="00DF45E0">
            <w:pPr>
              <w:jc w:val="right"/>
              <w:textAlignment w:val="center"/>
            </w:pPr>
            <w:r>
              <w:rPr>
                <w:rFonts w:ascii="Times New Roman" w:eastAsia="宋体" w:hAnsi="Times New Roman"/>
                <w:color w:val="000000"/>
                <w:sz w:val="16"/>
                <w:szCs w:val="16"/>
              </w:rPr>
              <w:t>5.2 </w:t>
            </w:r>
          </w:p>
        </w:tc>
        <w:tc>
          <w:tcPr>
            <w:tcW w:w="0" w:type="auto"/>
            <w:shd w:val="clear" w:color="auto" w:fill="FFFFFF"/>
            <w:tcMar>
              <w:top w:w="40" w:type="dxa"/>
              <w:left w:w="0" w:type="dxa"/>
              <w:bottom w:w="40" w:type="dxa"/>
              <w:right w:w="20" w:type="dxa"/>
            </w:tcMar>
            <w:vAlign w:val="center"/>
          </w:tcPr>
          <w:p w14:paraId="098A9CE8"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098A9CE9"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CEA" w14:textId="77777777" w:rsidR="00141CDF" w:rsidRDefault="00DF45E0">
            <w:pPr>
              <w:jc w:val="right"/>
              <w:textAlignment w:val="center"/>
            </w:pPr>
            <w:r>
              <w:rPr>
                <w:rFonts w:ascii="Times New Roman" w:eastAsia="宋体" w:hAnsi="Times New Roman"/>
                <w:color w:val="000000"/>
                <w:sz w:val="16"/>
                <w:szCs w:val="16"/>
              </w:rPr>
              <w:t>0.5 </w:t>
            </w:r>
          </w:p>
        </w:tc>
        <w:tc>
          <w:tcPr>
            <w:tcW w:w="0" w:type="auto"/>
            <w:shd w:val="clear" w:color="auto" w:fill="FFFFFF"/>
            <w:tcMar>
              <w:top w:w="40" w:type="dxa"/>
              <w:left w:w="0" w:type="dxa"/>
              <w:bottom w:w="40" w:type="dxa"/>
              <w:right w:w="20" w:type="dxa"/>
            </w:tcMar>
            <w:vAlign w:val="center"/>
          </w:tcPr>
          <w:p w14:paraId="098A9CEB" w14:textId="77777777" w:rsidR="00141CDF" w:rsidRDefault="00DF45E0">
            <w:pPr>
              <w:jc w:val="right"/>
              <w:textAlignment w:val="center"/>
            </w:pPr>
            <w:r>
              <w:rPr>
                <w:rFonts w:ascii="Times New Roman" w:eastAsia="宋体" w:hAnsi="Times New Roman"/>
                <w:color w:val="000000"/>
                <w:sz w:val="16"/>
                <w:szCs w:val="16"/>
              </w:rPr>
              <w:t>%</w:t>
            </w:r>
          </w:p>
        </w:tc>
      </w:tr>
      <w:tr w:rsidR="00141CDF" w14:paraId="098A9CFA" w14:textId="77777777">
        <w:trPr>
          <w:jc w:val="center"/>
        </w:trPr>
        <w:tc>
          <w:tcPr>
            <w:tcW w:w="0" w:type="auto"/>
            <w:gridSpan w:val="3"/>
            <w:shd w:val="clear" w:color="auto" w:fill="CCEEFF"/>
            <w:tcMar>
              <w:top w:w="40" w:type="dxa"/>
              <w:left w:w="20" w:type="dxa"/>
              <w:bottom w:w="40" w:type="dxa"/>
              <w:right w:w="20" w:type="dxa"/>
            </w:tcMar>
            <w:vAlign w:val="center"/>
          </w:tcPr>
          <w:p w14:paraId="098A9CED" w14:textId="77777777" w:rsidR="00141CDF" w:rsidRDefault="00DF45E0">
            <w:pPr>
              <w:textAlignment w:val="center"/>
            </w:pPr>
            <w:r>
              <w:rPr>
                <w:rFonts w:ascii="Times New Roman" w:eastAsia="宋体" w:hAnsi="Times New Roman"/>
                <w:color w:val="000000"/>
                <w:sz w:val="16"/>
                <w:szCs w:val="16"/>
              </w:rPr>
              <w:t>Operating, selling, general and administrative expenses as a percentage of net sales</w:t>
            </w:r>
          </w:p>
        </w:tc>
        <w:tc>
          <w:tcPr>
            <w:tcW w:w="0" w:type="auto"/>
            <w:gridSpan w:val="3"/>
            <w:shd w:val="clear" w:color="auto" w:fill="CCEEFF"/>
            <w:tcMar>
              <w:top w:w="0" w:type="dxa"/>
              <w:left w:w="20" w:type="dxa"/>
              <w:bottom w:w="0" w:type="dxa"/>
              <w:right w:w="20" w:type="dxa"/>
            </w:tcMar>
            <w:vAlign w:val="bottom"/>
          </w:tcPr>
          <w:p w14:paraId="098A9CEE"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CEF" w14:textId="77777777" w:rsidR="00141CDF" w:rsidRDefault="00DF45E0">
            <w:pPr>
              <w:jc w:val="right"/>
              <w:textAlignment w:val="center"/>
            </w:pPr>
            <w:r>
              <w:rPr>
                <w:rFonts w:ascii="Times New Roman" w:eastAsia="宋体" w:hAnsi="Times New Roman"/>
                <w:color w:val="000000"/>
                <w:sz w:val="16"/>
                <w:szCs w:val="16"/>
              </w:rPr>
              <w:t>19.9 </w:t>
            </w:r>
          </w:p>
        </w:tc>
        <w:tc>
          <w:tcPr>
            <w:tcW w:w="0" w:type="auto"/>
            <w:shd w:val="clear" w:color="auto" w:fill="CCEEFF"/>
            <w:tcMar>
              <w:top w:w="40" w:type="dxa"/>
              <w:left w:w="0" w:type="dxa"/>
              <w:bottom w:w="40" w:type="dxa"/>
              <w:right w:w="20" w:type="dxa"/>
            </w:tcMar>
            <w:vAlign w:val="center"/>
          </w:tcPr>
          <w:p w14:paraId="098A9CF0"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098A9CF1"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CF2" w14:textId="77777777" w:rsidR="00141CDF" w:rsidRDefault="00DF45E0">
            <w:pPr>
              <w:jc w:val="right"/>
              <w:textAlignment w:val="center"/>
            </w:pPr>
            <w:r>
              <w:rPr>
                <w:rFonts w:ascii="Times New Roman" w:eastAsia="宋体" w:hAnsi="Times New Roman"/>
                <w:color w:val="000000"/>
                <w:sz w:val="16"/>
                <w:szCs w:val="16"/>
              </w:rPr>
              <w:t>20.4 </w:t>
            </w:r>
          </w:p>
        </w:tc>
        <w:tc>
          <w:tcPr>
            <w:tcW w:w="0" w:type="auto"/>
            <w:shd w:val="clear" w:color="auto" w:fill="CCEEFF"/>
            <w:tcMar>
              <w:top w:w="40" w:type="dxa"/>
              <w:left w:w="0" w:type="dxa"/>
              <w:bottom w:w="40" w:type="dxa"/>
              <w:right w:w="20" w:type="dxa"/>
            </w:tcMar>
            <w:vAlign w:val="center"/>
          </w:tcPr>
          <w:p w14:paraId="098A9CF3"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098A9CF4"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CF5" w14:textId="77777777" w:rsidR="00141CDF" w:rsidRDefault="00DF45E0">
            <w:pPr>
              <w:jc w:val="right"/>
              <w:textAlignment w:val="center"/>
            </w:pPr>
            <w:r>
              <w:rPr>
                <w:rFonts w:ascii="Times New Roman" w:eastAsia="宋体" w:hAnsi="Times New Roman"/>
                <w:color w:val="000000"/>
                <w:sz w:val="16"/>
                <w:szCs w:val="16"/>
              </w:rPr>
              <w:t>20.4 </w:t>
            </w:r>
          </w:p>
        </w:tc>
        <w:tc>
          <w:tcPr>
            <w:tcW w:w="0" w:type="auto"/>
            <w:shd w:val="clear" w:color="auto" w:fill="CCEEFF"/>
            <w:tcMar>
              <w:top w:w="40" w:type="dxa"/>
              <w:left w:w="0" w:type="dxa"/>
              <w:bottom w:w="40" w:type="dxa"/>
              <w:right w:w="20" w:type="dxa"/>
            </w:tcMar>
            <w:vAlign w:val="center"/>
          </w:tcPr>
          <w:p w14:paraId="098A9CF6"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098A9CF7"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CF8" w14:textId="77777777" w:rsidR="00141CDF" w:rsidRDefault="00DF45E0">
            <w:pPr>
              <w:jc w:val="right"/>
              <w:textAlignment w:val="center"/>
            </w:pPr>
            <w:r>
              <w:rPr>
                <w:rFonts w:ascii="Times New Roman" w:eastAsia="宋体" w:hAnsi="Times New Roman"/>
                <w:color w:val="000000"/>
                <w:sz w:val="16"/>
                <w:szCs w:val="16"/>
              </w:rPr>
              <w:t>20.4 </w:t>
            </w:r>
          </w:p>
        </w:tc>
        <w:tc>
          <w:tcPr>
            <w:tcW w:w="0" w:type="auto"/>
            <w:shd w:val="clear" w:color="auto" w:fill="CCEEFF"/>
            <w:tcMar>
              <w:top w:w="40" w:type="dxa"/>
              <w:left w:w="0" w:type="dxa"/>
              <w:bottom w:w="40" w:type="dxa"/>
              <w:right w:w="20" w:type="dxa"/>
            </w:tcMar>
            <w:vAlign w:val="center"/>
          </w:tcPr>
          <w:p w14:paraId="098A9CF9" w14:textId="77777777" w:rsidR="00141CDF" w:rsidRDefault="00DF45E0">
            <w:pPr>
              <w:jc w:val="right"/>
              <w:textAlignment w:val="center"/>
            </w:pPr>
            <w:r>
              <w:rPr>
                <w:rFonts w:ascii="Times New Roman" w:eastAsia="宋体" w:hAnsi="Times New Roman"/>
                <w:color w:val="000000"/>
                <w:sz w:val="16"/>
                <w:szCs w:val="16"/>
              </w:rPr>
              <w:t>%</w:t>
            </w:r>
          </w:p>
        </w:tc>
      </w:tr>
    </w:tbl>
    <w:p w14:paraId="098A9CFB" w14:textId="77777777" w:rsidR="00141CDF" w:rsidRDefault="00DF45E0">
      <w:pPr>
        <w:spacing w:before="100"/>
      </w:pPr>
      <w:r>
        <w:rPr>
          <w:rFonts w:ascii="Times New Roman" w:eastAsia="宋体" w:hAnsi="Times New Roman"/>
          <w:color w:val="000000"/>
          <w:sz w:val="20"/>
          <w:szCs w:val="20"/>
        </w:rPr>
        <w:t>Operating expenses as a percentage of net sales decreased 45 and 3 basis points for the three and six months ended July 31, 2022, respectively. The decrease for the three months ended July 31,</w:t>
      </w:r>
      <w:r>
        <w:rPr>
          <w:rFonts w:ascii="Times New Roman" w:eastAsia="宋体" w:hAnsi="Times New Roman"/>
          <w:color w:val="000000"/>
          <w:sz w:val="20"/>
          <w:szCs w:val="20"/>
        </w:rPr>
        <w:t xml:space="preserve"> 2022 was primarily driven by growth in net sales, partially offset by increased wage costs in the Walmart U.S. segment. The slight decrease for the six months ended July 31, 2022 was primarily driven by growth in net sales and lower incremental COVID-19 c</w:t>
      </w:r>
      <w:r>
        <w:rPr>
          <w:rFonts w:ascii="Times New Roman" w:eastAsia="宋体" w:hAnsi="Times New Roman"/>
          <w:color w:val="000000"/>
          <w:sz w:val="20"/>
          <w:szCs w:val="20"/>
        </w:rPr>
        <w:t xml:space="preserve">osts, partially offset by increased wage costs in the Walmart U.S. segment. </w:t>
      </w:r>
    </w:p>
    <w:p w14:paraId="098A9CFC" w14:textId="77777777" w:rsidR="00141CDF" w:rsidRDefault="00DF45E0">
      <w:pPr>
        <w:spacing w:before="180"/>
      </w:pPr>
      <w:r>
        <w:rPr>
          <w:rFonts w:ascii="Times New Roman" w:eastAsia="宋体" w:hAnsi="Times New Roman"/>
          <w:b/>
          <w:bCs/>
          <w:color w:val="000000"/>
          <w:sz w:val="20"/>
          <w:szCs w:val="20"/>
          <w:u w:val="single"/>
        </w:rPr>
        <w:t>Strategic Capital Allocation</w:t>
      </w:r>
    </w:p>
    <w:p w14:paraId="098A9CFD" w14:textId="77777777" w:rsidR="00141CDF" w:rsidRDefault="00DF45E0">
      <w:pPr>
        <w:spacing w:before="100"/>
      </w:pPr>
      <w:r>
        <w:rPr>
          <w:rFonts w:ascii="Times New Roman" w:eastAsia="宋体" w:hAnsi="Times New Roman"/>
          <w:color w:val="000000"/>
          <w:sz w:val="20"/>
          <w:szCs w:val="20"/>
        </w:rPr>
        <w:t>Our strategy includes improving our customer-facing initiatives in stores and clubs and creating a seamless omni-channel experience for our customers.</w:t>
      </w:r>
      <w:r>
        <w:rPr>
          <w:rFonts w:ascii="Times New Roman" w:eastAsia="宋体" w:hAnsi="Times New Roman"/>
          <w:color w:val="000000"/>
          <w:sz w:val="20"/>
          <w:szCs w:val="20"/>
        </w:rPr>
        <w:t xml:space="preserve"> As such, we are allocating more capital to supply chain, customer-facing initiatives, technology and store remodels, and less to new store and club openings. The following table provides additional detail:</w:t>
      </w:r>
    </w:p>
    <w:tbl>
      <w:tblPr>
        <w:tblW w:w="4993" w:type="pct"/>
        <w:tblCellMar>
          <w:top w:w="15" w:type="dxa"/>
          <w:left w:w="15" w:type="dxa"/>
          <w:bottom w:w="15" w:type="dxa"/>
          <w:right w:w="15" w:type="dxa"/>
        </w:tblCellMar>
        <w:tblLook w:val="04A0" w:firstRow="1" w:lastRow="0" w:firstColumn="1" w:lastColumn="0" w:noHBand="0" w:noVBand="1"/>
      </w:tblPr>
      <w:tblGrid>
        <w:gridCol w:w="42"/>
        <w:gridCol w:w="6113"/>
        <w:gridCol w:w="38"/>
        <w:gridCol w:w="36"/>
        <w:gridCol w:w="36"/>
        <w:gridCol w:w="36"/>
        <w:gridCol w:w="36"/>
        <w:gridCol w:w="36"/>
        <w:gridCol w:w="36"/>
        <w:gridCol w:w="36"/>
        <w:gridCol w:w="100"/>
        <w:gridCol w:w="749"/>
        <w:gridCol w:w="36"/>
        <w:gridCol w:w="36"/>
        <w:gridCol w:w="36"/>
        <w:gridCol w:w="36"/>
        <w:gridCol w:w="100"/>
        <w:gridCol w:w="750"/>
        <w:gridCol w:w="36"/>
      </w:tblGrid>
      <w:tr w:rsidR="00141CDF" w14:paraId="098A9D11" w14:textId="77777777">
        <w:tc>
          <w:tcPr>
            <w:tcW w:w="50" w:type="pct"/>
            <w:shd w:val="clear" w:color="auto" w:fill="auto"/>
            <w:vAlign w:val="bottom"/>
          </w:tcPr>
          <w:p w14:paraId="098A9CFE" w14:textId="77777777" w:rsidR="00141CDF" w:rsidRDefault="00141CDF">
            <w:pPr>
              <w:rPr>
                <w:rFonts w:ascii="宋体"/>
              </w:rPr>
            </w:pPr>
          </w:p>
        </w:tc>
        <w:tc>
          <w:tcPr>
            <w:tcW w:w="3759" w:type="pct"/>
            <w:shd w:val="clear" w:color="auto" w:fill="auto"/>
            <w:vAlign w:val="bottom"/>
          </w:tcPr>
          <w:p w14:paraId="098A9CFF" w14:textId="77777777" w:rsidR="00141CDF" w:rsidRDefault="00141CDF">
            <w:pPr>
              <w:rPr>
                <w:rFonts w:ascii="宋体"/>
              </w:rPr>
            </w:pPr>
          </w:p>
        </w:tc>
        <w:tc>
          <w:tcPr>
            <w:tcW w:w="5" w:type="pct"/>
            <w:shd w:val="clear" w:color="auto" w:fill="auto"/>
            <w:vAlign w:val="bottom"/>
          </w:tcPr>
          <w:p w14:paraId="098A9D00" w14:textId="77777777" w:rsidR="00141CDF" w:rsidRDefault="00141CDF">
            <w:pPr>
              <w:rPr>
                <w:rFonts w:ascii="宋体"/>
              </w:rPr>
            </w:pPr>
          </w:p>
        </w:tc>
        <w:tc>
          <w:tcPr>
            <w:tcW w:w="5" w:type="pct"/>
            <w:shd w:val="clear" w:color="auto" w:fill="auto"/>
            <w:vAlign w:val="bottom"/>
          </w:tcPr>
          <w:p w14:paraId="098A9D01" w14:textId="77777777" w:rsidR="00141CDF" w:rsidRDefault="00141CDF">
            <w:pPr>
              <w:rPr>
                <w:rFonts w:ascii="宋体"/>
              </w:rPr>
            </w:pPr>
          </w:p>
        </w:tc>
        <w:tc>
          <w:tcPr>
            <w:tcW w:w="26" w:type="pct"/>
            <w:shd w:val="clear" w:color="auto" w:fill="auto"/>
            <w:vAlign w:val="bottom"/>
          </w:tcPr>
          <w:p w14:paraId="098A9D02" w14:textId="77777777" w:rsidR="00141CDF" w:rsidRDefault="00141CDF">
            <w:pPr>
              <w:rPr>
                <w:rFonts w:ascii="宋体"/>
              </w:rPr>
            </w:pPr>
          </w:p>
        </w:tc>
        <w:tc>
          <w:tcPr>
            <w:tcW w:w="5" w:type="pct"/>
            <w:shd w:val="clear" w:color="auto" w:fill="auto"/>
            <w:vAlign w:val="bottom"/>
          </w:tcPr>
          <w:p w14:paraId="098A9D03" w14:textId="77777777" w:rsidR="00141CDF" w:rsidRDefault="00141CDF">
            <w:pPr>
              <w:rPr>
                <w:rFonts w:ascii="宋体"/>
              </w:rPr>
            </w:pPr>
          </w:p>
        </w:tc>
        <w:tc>
          <w:tcPr>
            <w:tcW w:w="0" w:type="auto"/>
            <w:shd w:val="clear" w:color="auto" w:fill="auto"/>
            <w:vAlign w:val="bottom"/>
          </w:tcPr>
          <w:p w14:paraId="098A9D04" w14:textId="77777777" w:rsidR="00141CDF" w:rsidRDefault="00141CDF">
            <w:pPr>
              <w:rPr>
                <w:rFonts w:ascii="宋体"/>
                <w:vanish/>
              </w:rPr>
            </w:pPr>
          </w:p>
        </w:tc>
        <w:tc>
          <w:tcPr>
            <w:tcW w:w="0" w:type="auto"/>
            <w:shd w:val="clear" w:color="auto" w:fill="auto"/>
            <w:vAlign w:val="bottom"/>
          </w:tcPr>
          <w:p w14:paraId="098A9D05" w14:textId="77777777" w:rsidR="00141CDF" w:rsidRDefault="00141CDF">
            <w:pPr>
              <w:rPr>
                <w:rFonts w:ascii="宋体"/>
                <w:vanish/>
              </w:rPr>
            </w:pPr>
          </w:p>
        </w:tc>
        <w:tc>
          <w:tcPr>
            <w:tcW w:w="0" w:type="auto"/>
            <w:shd w:val="clear" w:color="auto" w:fill="auto"/>
            <w:vAlign w:val="bottom"/>
          </w:tcPr>
          <w:p w14:paraId="098A9D06" w14:textId="77777777" w:rsidR="00141CDF" w:rsidRDefault="00141CDF">
            <w:pPr>
              <w:rPr>
                <w:rFonts w:ascii="宋体"/>
                <w:vanish/>
              </w:rPr>
            </w:pPr>
          </w:p>
        </w:tc>
        <w:tc>
          <w:tcPr>
            <w:tcW w:w="0" w:type="auto"/>
            <w:shd w:val="clear" w:color="auto" w:fill="auto"/>
            <w:vAlign w:val="bottom"/>
          </w:tcPr>
          <w:p w14:paraId="098A9D07" w14:textId="77777777" w:rsidR="00141CDF" w:rsidRDefault="00141CDF">
            <w:pPr>
              <w:rPr>
                <w:rFonts w:ascii="宋体"/>
                <w:vanish/>
              </w:rPr>
            </w:pPr>
          </w:p>
        </w:tc>
        <w:tc>
          <w:tcPr>
            <w:tcW w:w="50" w:type="pct"/>
            <w:shd w:val="clear" w:color="auto" w:fill="auto"/>
            <w:vAlign w:val="bottom"/>
          </w:tcPr>
          <w:p w14:paraId="098A9D08" w14:textId="77777777" w:rsidR="00141CDF" w:rsidRDefault="00141CDF">
            <w:pPr>
              <w:rPr>
                <w:rFonts w:ascii="宋体"/>
              </w:rPr>
            </w:pPr>
          </w:p>
        </w:tc>
        <w:tc>
          <w:tcPr>
            <w:tcW w:w="501" w:type="pct"/>
            <w:shd w:val="clear" w:color="auto" w:fill="auto"/>
            <w:vAlign w:val="bottom"/>
          </w:tcPr>
          <w:p w14:paraId="098A9D09" w14:textId="77777777" w:rsidR="00141CDF" w:rsidRDefault="00141CDF">
            <w:pPr>
              <w:rPr>
                <w:rFonts w:ascii="宋体"/>
              </w:rPr>
            </w:pPr>
          </w:p>
        </w:tc>
        <w:tc>
          <w:tcPr>
            <w:tcW w:w="5" w:type="pct"/>
            <w:shd w:val="clear" w:color="auto" w:fill="auto"/>
            <w:vAlign w:val="bottom"/>
          </w:tcPr>
          <w:p w14:paraId="098A9D0A" w14:textId="77777777" w:rsidR="00141CDF" w:rsidRDefault="00141CDF">
            <w:pPr>
              <w:rPr>
                <w:rFonts w:ascii="宋体"/>
              </w:rPr>
            </w:pPr>
          </w:p>
        </w:tc>
        <w:tc>
          <w:tcPr>
            <w:tcW w:w="5" w:type="pct"/>
            <w:shd w:val="clear" w:color="auto" w:fill="auto"/>
            <w:vAlign w:val="bottom"/>
          </w:tcPr>
          <w:p w14:paraId="098A9D0B" w14:textId="77777777" w:rsidR="00141CDF" w:rsidRDefault="00141CDF">
            <w:pPr>
              <w:rPr>
                <w:rFonts w:ascii="宋体"/>
              </w:rPr>
            </w:pPr>
          </w:p>
        </w:tc>
        <w:tc>
          <w:tcPr>
            <w:tcW w:w="26" w:type="pct"/>
            <w:shd w:val="clear" w:color="auto" w:fill="auto"/>
            <w:vAlign w:val="bottom"/>
          </w:tcPr>
          <w:p w14:paraId="098A9D0C" w14:textId="77777777" w:rsidR="00141CDF" w:rsidRDefault="00141CDF">
            <w:pPr>
              <w:rPr>
                <w:rFonts w:ascii="宋体"/>
              </w:rPr>
            </w:pPr>
          </w:p>
        </w:tc>
        <w:tc>
          <w:tcPr>
            <w:tcW w:w="5" w:type="pct"/>
            <w:shd w:val="clear" w:color="auto" w:fill="auto"/>
            <w:vAlign w:val="bottom"/>
          </w:tcPr>
          <w:p w14:paraId="098A9D0D" w14:textId="77777777" w:rsidR="00141CDF" w:rsidRDefault="00141CDF">
            <w:pPr>
              <w:rPr>
                <w:rFonts w:ascii="宋体"/>
              </w:rPr>
            </w:pPr>
          </w:p>
        </w:tc>
        <w:tc>
          <w:tcPr>
            <w:tcW w:w="50" w:type="pct"/>
            <w:shd w:val="clear" w:color="auto" w:fill="auto"/>
            <w:vAlign w:val="bottom"/>
          </w:tcPr>
          <w:p w14:paraId="098A9D0E" w14:textId="77777777" w:rsidR="00141CDF" w:rsidRDefault="00141CDF">
            <w:pPr>
              <w:rPr>
                <w:rFonts w:ascii="宋体"/>
              </w:rPr>
            </w:pPr>
          </w:p>
        </w:tc>
        <w:tc>
          <w:tcPr>
            <w:tcW w:w="501" w:type="pct"/>
            <w:shd w:val="clear" w:color="auto" w:fill="auto"/>
            <w:vAlign w:val="bottom"/>
          </w:tcPr>
          <w:p w14:paraId="098A9D0F" w14:textId="77777777" w:rsidR="00141CDF" w:rsidRDefault="00141CDF">
            <w:pPr>
              <w:rPr>
                <w:rFonts w:ascii="宋体"/>
              </w:rPr>
            </w:pPr>
          </w:p>
        </w:tc>
        <w:tc>
          <w:tcPr>
            <w:tcW w:w="5" w:type="pct"/>
            <w:shd w:val="clear" w:color="auto" w:fill="auto"/>
            <w:vAlign w:val="bottom"/>
          </w:tcPr>
          <w:p w14:paraId="098A9D10" w14:textId="77777777" w:rsidR="00141CDF" w:rsidRDefault="00141CDF">
            <w:pPr>
              <w:rPr>
                <w:rFonts w:ascii="宋体"/>
              </w:rPr>
            </w:pPr>
          </w:p>
        </w:tc>
      </w:tr>
      <w:tr w:rsidR="00141CDF" w14:paraId="098A9D1D" w14:textId="77777777">
        <w:tc>
          <w:tcPr>
            <w:tcW w:w="0" w:type="auto"/>
            <w:gridSpan w:val="3"/>
            <w:shd w:val="clear" w:color="auto" w:fill="auto"/>
            <w:tcMar>
              <w:top w:w="40" w:type="dxa"/>
              <w:left w:w="20" w:type="dxa"/>
              <w:bottom w:w="40" w:type="dxa"/>
              <w:right w:w="20" w:type="dxa"/>
            </w:tcMar>
            <w:vAlign w:val="bottom"/>
          </w:tcPr>
          <w:p w14:paraId="098A9D12" w14:textId="77777777" w:rsidR="00141CDF" w:rsidRDefault="00DF45E0">
            <w:pPr>
              <w:textAlignment w:val="bottom"/>
            </w:pPr>
            <w:r>
              <w:rPr>
                <w:rFonts w:ascii="Times New Roman" w:eastAsia="宋体" w:hAnsi="Times New Roman"/>
                <w:i/>
                <w:iCs/>
                <w:color w:val="000000"/>
                <w:sz w:val="16"/>
                <w:szCs w:val="16"/>
              </w:rPr>
              <w:t xml:space="preserve">(Amounts in </w:t>
            </w:r>
            <w:r>
              <w:rPr>
                <w:rFonts w:ascii="Times New Roman" w:eastAsia="宋体" w:hAnsi="Times New Roman"/>
                <w:i/>
                <w:iCs/>
                <w:color w:val="000000"/>
                <w:sz w:val="16"/>
                <w:szCs w:val="16"/>
              </w:rPr>
              <w:t>millions)</w:t>
            </w:r>
          </w:p>
        </w:tc>
        <w:tc>
          <w:tcPr>
            <w:tcW w:w="0" w:type="auto"/>
            <w:gridSpan w:val="3"/>
            <w:shd w:val="clear" w:color="auto" w:fill="auto"/>
            <w:tcMar>
              <w:top w:w="0" w:type="dxa"/>
              <w:left w:w="20" w:type="dxa"/>
              <w:bottom w:w="0" w:type="dxa"/>
              <w:right w:w="20" w:type="dxa"/>
            </w:tcMar>
            <w:vAlign w:val="bottom"/>
          </w:tcPr>
          <w:p w14:paraId="098A9D13" w14:textId="77777777" w:rsidR="00141CDF" w:rsidRDefault="00141CDF">
            <w:pPr>
              <w:rPr>
                <w:rFonts w:ascii="宋体"/>
              </w:rPr>
            </w:pPr>
          </w:p>
        </w:tc>
        <w:tc>
          <w:tcPr>
            <w:tcW w:w="0" w:type="auto"/>
            <w:shd w:val="clear" w:color="auto" w:fill="auto"/>
            <w:vAlign w:val="bottom"/>
          </w:tcPr>
          <w:p w14:paraId="098A9D14" w14:textId="77777777" w:rsidR="00141CDF" w:rsidRDefault="00141CDF">
            <w:pPr>
              <w:rPr>
                <w:rFonts w:ascii="宋体"/>
                <w:vanish/>
              </w:rPr>
            </w:pPr>
          </w:p>
        </w:tc>
        <w:tc>
          <w:tcPr>
            <w:tcW w:w="0" w:type="auto"/>
            <w:shd w:val="clear" w:color="auto" w:fill="auto"/>
            <w:vAlign w:val="bottom"/>
          </w:tcPr>
          <w:p w14:paraId="098A9D15" w14:textId="77777777" w:rsidR="00141CDF" w:rsidRDefault="00141CDF">
            <w:pPr>
              <w:rPr>
                <w:rFonts w:ascii="宋体"/>
                <w:vanish/>
              </w:rPr>
            </w:pPr>
          </w:p>
        </w:tc>
        <w:tc>
          <w:tcPr>
            <w:tcW w:w="0" w:type="auto"/>
            <w:gridSpan w:val="5"/>
            <w:shd w:val="clear" w:color="auto" w:fill="auto"/>
            <w:tcMar>
              <w:top w:w="40" w:type="dxa"/>
              <w:left w:w="20" w:type="dxa"/>
              <w:bottom w:w="40" w:type="dxa"/>
              <w:right w:w="20" w:type="dxa"/>
            </w:tcMar>
            <w:vAlign w:val="bottom"/>
          </w:tcPr>
          <w:p w14:paraId="098A9D16" w14:textId="77777777" w:rsidR="00141CDF" w:rsidRDefault="00DF45E0">
            <w:pPr>
              <w:jc w:val="center"/>
              <w:textAlignment w:val="bottom"/>
            </w:pPr>
            <w:r>
              <w:rPr>
                <w:rFonts w:ascii="Times New Roman" w:eastAsia="宋体" w:hAnsi="Times New Roman"/>
                <w:b/>
                <w:bCs/>
                <w:color w:val="000000"/>
                <w:sz w:val="16"/>
                <w:szCs w:val="16"/>
              </w:rPr>
              <w:t>Six Months Ended July 31,</w:t>
            </w:r>
          </w:p>
        </w:tc>
        <w:tc>
          <w:tcPr>
            <w:tcW w:w="0" w:type="auto"/>
            <w:shd w:val="clear" w:color="auto" w:fill="auto"/>
            <w:vAlign w:val="bottom"/>
          </w:tcPr>
          <w:p w14:paraId="098A9D17" w14:textId="77777777" w:rsidR="00141CDF" w:rsidRDefault="00141CDF">
            <w:pPr>
              <w:rPr>
                <w:rFonts w:ascii="宋体"/>
              </w:rPr>
            </w:pPr>
          </w:p>
        </w:tc>
        <w:tc>
          <w:tcPr>
            <w:tcW w:w="0" w:type="auto"/>
            <w:shd w:val="clear" w:color="auto" w:fill="auto"/>
            <w:vAlign w:val="bottom"/>
          </w:tcPr>
          <w:p w14:paraId="098A9D18" w14:textId="77777777" w:rsidR="00141CDF" w:rsidRDefault="00141CDF">
            <w:pPr>
              <w:rPr>
                <w:rFonts w:ascii="宋体"/>
              </w:rPr>
            </w:pPr>
          </w:p>
        </w:tc>
        <w:tc>
          <w:tcPr>
            <w:tcW w:w="0" w:type="auto"/>
            <w:shd w:val="clear" w:color="auto" w:fill="auto"/>
            <w:vAlign w:val="bottom"/>
          </w:tcPr>
          <w:p w14:paraId="098A9D19" w14:textId="77777777" w:rsidR="00141CDF" w:rsidRDefault="00141CDF">
            <w:pPr>
              <w:rPr>
                <w:rFonts w:ascii="宋体"/>
              </w:rPr>
            </w:pPr>
          </w:p>
        </w:tc>
        <w:tc>
          <w:tcPr>
            <w:tcW w:w="0" w:type="auto"/>
            <w:shd w:val="clear" w:color="auto" w:fill="auto"/>
            <w:vAlign w:val="bottom"/>
          </w:tcPr>
          <w:p w14:paraId="098A9D1A" w14:textId="77777777" w:rsidR="00141CDF" w:rsidRDefault="00141CDF">
            <w:pPr>
              <w:rPr>
                <w:rFonts w:ascii="宋体"/>
              </w:rPr>
            </w:pPr>
          </w:p>
        </w:tc>
        <w:tc>
          <w:tcPr>
            <w:tcW w:w="0" w:type="auto"/>
            <w:shd w:val="clear" w:color="auto" w:fill="auto"/>
            <w:vAlign w:val="bottom"/>
          </w:tcPr>
          <w:p w14:paraId="098A9D1B" w14:textId="77777777" w:rsidR="00141CDF" w:rsidRDefault="00141CDF">
            <w:pPr>
              <w:rPr>
                <w:rFonts w:ascii="宋体"/>
              </w:rPr>
            </w:pPr>
          </w:p>
        </w:tc>
        <w:tc>
          <w:tcPr>
            <w:tcW w:w="0" w:type="auto"/>
            <w:shd w:val="clear" w:color="auto" w:fill="auto"/>
            <w:vAlign w:val="bottom"/>
          </w:tcPr>
          <w:p w14:paraId="098A9D1C" w14:textId="77777777" w:rsidR="00141CDF" w:rsidRDefault="00141CDF">
            <w:pPr>
              <w:rPr>
                <w:rFonts w:ascii="宋体"/>
              </w:rPr>
            </w:pPr>
          </w:p>
        </w:tc>
      </w:tr>
      <w:tr w:rsidR="00141CDF" w14:paraId="098A9D27" w14:textId="77777777">
        <w:tc>
          <w:tcPr>
            <w:tcW w:w="0" w:type="auto"/>
            <w:gridSpan w:val="3"/>
            <w:shd w:val="clear" w:color="auto" w:fill="auto"/>
            <w:tcMar>
              <w:top w:w="40" w:type="dxa"/>
              <w:left w:w="20" w:type="dxa"/>
              <w:bottom w:w="40" w:type="dxa"/>
              <w:right w:w="20" w:type="dxa"/>
            </w:tcMar>
            <w:vAlign w:val="bottom"/>
          </w:tcPr>
          <w:p w14:paraId="098A9D1E" w14:textId="77777777" w:rsidR="00141CDF" w:rsidRDefault="00DF45E0">
            <w:pPr>
              <w:textAlignment w:val="bottom"/>
            </w:pPr>
            <w:r>
              <w:rPr>
                <w:rFonts w:ascii="Times New Roman" w:eastAsia="宋体" w:hAnsi="Times New Roman"/>
                <w:b/>
                <w:bCs/>
                <w:color w:val="000000"/>
                <w:sz w:val="16"/>
                <w:szCs w:val="16"/>
              </w:rPr>
              <w:t>Allocation of Capital Expenditures</w:t>
            </w:r>
          </w:p>
        </w:tc>
        <w:tc>
          <w:tcPr>
            <w:tcW w:w="0" w:type="auto"/>
            <w:gridSpan w:val="3"/>
            <w:shd w:val="clear" w:color="auto" w:fill="auto"/>
            <w:tcMar>
              <w:top w:w="0" w:type="dxa"/>
              <w:left w:w="20" w:type="dxa"/>
              <w:bottom w:w="0" w:type="dxa"/>
              <w:right w:w="20" w:type="dxa"/>
            </w:tcMar>
            <w:vAlign w:val="bottom"/>
          </w:tcPr>
          <w:p w14:paraId="098A9D1F" w14:textId="77777777" w:rsidR="00141CDF" w:rsidRDefault="00141CDF">
            <w:pPr>
              <w:rPr>
                <w:rFonts w:ascii="宋体"/>
              </w:rPr>
            </w:pPr>
          </w:p>
        </w:tc>
        <w:tc>
          <w:tcPr>
            <w:tcW w:w="0" w:type="auto"/>
            <w:shd w:val="clear" w:color="auto" w:fill="auto"/>
            <w:vAlign w:val="bottom"/>
          </w:tcPr>
          <w:p w14:paraId="098A9D20" w14:textId="77777777" w:rsidR="00141CDF" w:rsidRDefault="00141CDF">
            <w:pPr>
              <w:rPr>
                <w:rFonts w:ascii="宋体"/>
                <w:vanish/>
              </w:rPr>
            </w:pPr>
          </w:p>
        </w:tc>
        <w:tc>
          <w:tcPr>
            <w:tcW w:w="0" w:type="auto"/>
            <w:shd w:val="clear" w:color="auto" w:fill="auto"/>
            <w:vAlign w:val="bottom"/>
          </w:tcPr>
          <w:p w14:paraId="098A9D21" w14:textId="77777777" w:rsidR="00141CDF" w:rsidRDefault="00141CDF">
            <w:pPr>
              <w:rPr>
                <w:rFonts w:ascii="宋体"/>
                <w:vanish/>
              </w:rPr>
            </w:pPr>
          </w:p>
        </w:tc>
        <w:tc>
          <w:tcPr>
            <w:tcW w:w="0" w:type="auto"/>
            <w:shd w:val="clear" w:color="auto" w:fill="auto"/>
            <w:vAlign w:val="bottom"/>
          </w:tcPr>
          <w:p w14:paraId="098A9D22" w14:textId="77777777" w:rsidR="00141CDF" w:rsidRDefault="00141CDF">
            <w:pPr>
              <w:rPr>
                <w:rFonts w:ascii="宋体"/>
                <w:vanish/>
              </w:rPr>
            </w:pPr>
          </w:p>
        </w:tc>
        <w:tc>
          <w:tcPr>
            <w:tcW w:w="0" w:type="auto"/>
            <w:shd w:val="clear" w:color="auto" w:fill="auto"/>
            <w:vAlign w:val="bottom"/>
          </w:tcPr>
          <w:p w14:paraId="098A9D23" w14:textId="77777777" w:rsidR="00141CDF" w:rsidRDefault="00141CDF">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98A9D24" w14:textId="77777777" w:rsidR="00141CDF" w:rsidRDefault="00DF45E0">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9D25"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98A9D26" w14:textId="77777777" w:rsidR="00141CDF" w:rsidRDefault="00DF45E0">
            <w:pPr>
              <w:jc w:val="center"/>
              <w:textAlignment w:val="bottom"/>
            </w:pPr>
            <w:r>
              <w:rPr>
                <w:rFonts w:ascii="Times New Roman" w:eastAsia="宋体" w:hAnsi="Times New Roman"/>
                <w:b/>
                <w:bCs/>
                <w:color w:val="000000"/>
                <w:sz w:val="16"/>
                <w:szCs w:val="16"/>
              </w:rPr>
              <w:t>2021</w:t>
            </w:r>
          </w:p>
        </w:tc>
      </w:tr>
      <w:tr w:rsidR="00141CDF" w14:paraId="098A9D35" w14:textId="77777777">
        <w:tc>
          <w:tcPr>
            <w:tcW w:w="0" w:type="auto"/>
            <w:gridSpan w:val="3"/>
            <w:shd w:val="clear" w:color="auto" w:fill="CCEEFF"/>
            <w:tcMar>
              <w:top w:w="40" w:type="dxa"/>
              <w:left w:w="20" w:type="dxa"/>
              <w:bottom w:w="40" w:type="dxa"/>
              <w:right w:w="20" w:type="dxa"/>
            </w:tcMar>
            <w:vAlign w:val="center"/>
          </w:tcPr>
          <w:p w14:paraId="098A9D28" w14:textId="77777777" w:rsidR="00141CDF" w:rsidRDefault="00DF45E0">
            <w:pPr>
              <w:textAlignment w:val="center"/>
            </w:pPr>
            <w:r>
              <w:rPr>
                <w:rFonts w:ascii="Times New Roman" w:eastAsia="宋体" w:hAnsi="Times New Roman"/>
                <w:color w:val="000000"/>
                <w:sz w:val="16"/>
                <w:szCs w:val="16"/>
              </w:rPr>
              <w:t>Supply chain, customer-facing initiatives and technology</w:t>
            </w:r>
          </w:p>
        </w:tc>
        <w:tc>
          <w:tcPr>
            <w:tcW w:w="0" w:type="auto"/>
            <w:gridSpan w:val="3"/>
            <w:shd w:val="clear" w:color="auto" w:fill="CCEEFF"/>
            <w:tcMar>
              <w:top w:w="0" w:type="dxa"/>
              <w:left w:w="20" w:type="dxa"/>
              <w:bottom w:w="0" w:type="dxa"/>
              <w:right w:w="20" w:type="dxa"/>
            </w:tcMar>
            <w:vAlign w:val="bottom"/>
          </w:tcPr>
          <w:p w14:paraId="098A9D29" w14:textId="77777777" w:rsidR="00141CDF" w:rsidRDefault="00141CDF">
            <w:pPr>
              <w:rPr>
                <w:rFonts w:ascii="宋体"/>
              </w:rPr>
            </w:pPr>
          </w:p>
        </w:tc>
        <w:tc>
          <w:tcPr>
            <w:tcW w:w="0" w:type="auto"/>
            <w:shd w:val="clear" w:color="auto" w:fill="auto"/>
            <w:vAlign w:val="bottom"/>
          </w:tcPr>
          <w:p w14:paraId="098A9D2A" w14:textId="77777777" w:rsidR="00141CDF" w:rsidRDefault="00141CDF">
            <w:pPr>
              <w:rPr>
                <w:rFonts w:ascii="宋体"/>
                <w:vanish/>
              </w:rPr>
            </w:pPr>
          </w:p>
        </w:tc>
        <w:tc>
          <w:tcPr>
            <w:tcW w:w="0" w:type="auto"/>
            <w:shd w:val="clear" w:color="auto" w:fill="auto"/>
            <w:vAlign w:val="bottom"/>
          </w:tcPr>
          <w:p w14:paraId="098A9D2B" w14:textId="77777777" w:rsidR="00141CDF" w:rsidRDefault="00141CDF">
            <w:pPr>
              <w:rPr>
                <w:rFonts w:ascii="宋体"/>
                <w:vanish/>
              </w:rPr>
            </w:pPr>
          </w:p>
        </w:tc>
        <w:tc>
          <w:tcPr>
            <w:tcW w:w="0" w:type="auto"/>
            <w:shd w:val="clear" w:color="auto" w:fill="auto"/>
            <w:vAlign w:val="bottom"/>
          </w:tcPr>
          <w:p w14:paraId="098A9D2C" w14:textId="77777777" w:rsidR="00141CDF" w:rsidRDefault="00141CDF">
            <w:pPr>
              <w:rPr>
                <w:rFonts w:ascii="宋体"/>
                <w:vanish/>
              </w:rPr>
            </w:pPr>
          </w:p>
        </w:tc>
        <w:tc>
          <w:tcPr>
            <w:tcW w:w="0" w:type="auto"/>
            <w:shd w:val="clear" w:color="auto" w:fill="auto"/>
            <w:vAlign w:val="bottom"/>
          </w:tcPr>
          <w:p w14:paraId="098A9D2D" w14:textId="77777777" w:rsidR="00141CDF" w:rsidRDefault="00141CDF">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9D2E"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9D2F" w14:textId="77777777" w:rsidR="00141CDF" w:rsidRDefault="00DF45E0">
            <w:pPr>
              <w:jc w:val="right"/>
              <w:textAlignment w:val="center"/>
            </w:pPr>
            <w:r>
              <w:rPr>
                <w:rFonts w:ascii="Times New Roman" w:eastAsia="宋体" w:hAnsi="Times New Roman"/>
                <w:color w:val="000000"/>
                <w:sz w:val="16"/>
                <w:szCs w:val="16"/>
              </w:rPr>
              <w:t>4,106 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D30"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D31"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9D32"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9D33" w14:textId="77777777" w:rsidR="00141CDF" w:rsidRDefault="00DF45E0">
            <w:pPr>
              <w:jc w:val="right"/>
              <w:textAlignment w:val="center"/>
            </w:pPr>
            <w:r>
              <w:rPr>
                <w:rFonts w:ascii="Times New Roman" w:eastAsia="宋体" w:hAnsi="Times New Roman"/>
                <w:color w:val="000000"/>
                <w:sz w:val="16"/>
                <w:szCs w:val="16"/>
              </w:rPr>
              <w:t>2,454 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D34" w14:textId="77777777" w:rsidR="00141CDF" w:rsidRDefault="00141CDF">
            <w:pPr>
              <w:jc w:val="right"/>
              <w:rPr>
                <w:rFonts w:ascii="宋体"/>
              </w:rPr>
            </w:pPr>
          </w:p>
        </w:tc>
      </w:tr>
      <w:tr w:rsidR="00141CDF" w14:paraId="098A9D41" w14:textId="77777777">
        <w:tc>
          <w:tcPr>
            <w:tcW w:w="0" w:type="auto"/>
            <w:gridSpan w:val="3"/>
            <w:shd w:val="clear" w:color="auto" w:fill="FFFFFF"/>
            <w:tcMar>
              <w:top w:w="40" w:type="dxa"/>
              <w:left w:w="20" w:type="dxa"/>
              <w:bottom w:w="40" w:type="dxa"/>
              <w:right w:w="20" w:type="dxa"/>
            </w:tcMar>
            <w:vAlign w:val="center"/>
          </w:tcPr>
          <w:p w14:paraId="098A9D36" w14:textId="77777777" w:rsidR="00141CDF" w:rsidRDefault="00DF45E0">
            <w:pPr>
              <w:textAlignment w:val="center"/>
            </w:pPr>
            <w:r>
              <w:rPr>
                <w:rFonts w:ascii="Times New Roman" w:eastAsia="宋体" w:hAnsi="Times New Roman"/>
                <w:color w:val="000000"/>
                <w:sz w:val="16"/>
                <w:szCs w:val="16"/>
              </w:rPr>
              <w:t>Store and club remodels</w:t>
            </w:r>
          </w:p>
        </w:tc>
        <w:tc>
          <w:tcPr>
            <w:tcW w:w="0" w:type="auto"/>
            <w:gridSpan w:val="3"/>
            <w:shd w:val="clear" w:color="auto" w:fill="FFFFFF"/>
            <w:tcMar>
              <w:top w:w="0" w:type="dxa"/>
              <w:left w:w="20" w:type="dxa"/>
              <w:bottom w:w="0" w:type="dxa"/>
              <w:right w:w="20" w:type="dxa"/>
            </w:tcMar>
            <w:vAlign w:val="bottom"/>
          </w:tcPr>
          <w:p w14:paraId="098A9D37" w14:textId="77777777" w:rsidR="00141CDF" w:rsidRDefault="00141CDF">
            <w:pPr>
              <w:rPr>
                <w:rFonts w:ascii="宋体"/>
              </w:rPr>
            </w:pPr>
          </w:p>
        </w:tc>
        <w:tc>
          <w:tcPr>
            <w:tcW w:w="0" w:type="auto"/>
            <w:shd w:val="clear" w:color="auto" w:fill="auto"/>
            <w:vAlign w:val="bottom"/>
          </w:tcPr>
          <w:p w14:paraId="098A9D38" w14:textId="77777777" w:rsidR="00141CDF" w:rsidRDefault="00141CDF">
            <w:pPr>
              <w:rPr>
                <w:rFonts w:ascii="宋体"/>
                <w:vanish/>
              </w:rPr>
            </w:pPr>
          </w:p>
        </w:tc>
        <w:tc>
          <w:tcPr>
            <w:tcW w:w="0" w:type="auto"/>
            <w:shd w:val="clear" w:color="auto" w:fill="auto"/>
            <w:vAlign w:val="bottom"/>
          </w:tcPr>
          <w:p w14:paraId="098A9D39" w14:textId="77777777" w:rsidR="00141CDF" w:rsidRDefault="00141CDF">
            <w:pPr>
              <w:rPr>
                <w:rFonts w:ascii="宋体"/>
                <w:vanish/>
              </w:rPr>
            </w:pPr>
          </w:p>
        </w:tc>
        <w:tc>
          <w:tcPr>
            <w:tcW w:w="0" w:type="auto"/>
            <w:shd w:val="clear" w:color="auto" w:fill="auto"/>
            <w:vAlign w:val="bottom"/>
          </w:tcPr>
          <w:p w14:paraId="098A9D3A" w14:textId="77777777" w:rsidR="00141CDF" w:rsidRDefault="00141CDF">
            <w:pPr>
              <w:rPr>
                <w:rFonts w:ascii="宋体"/>
                <w:vanish/>
              </w:rPr>
            </w:pPr>
          </w:p>
        </w:tc>
        <w:tc>
          <w:tcPr>
            <w:tcW w:w="0" w:type="auto"/>
            <w:shd w:val="clear" w:color="auto" w:fill="auto"/>
            <w:vAlign w:val="bottom"/>
          </w:tcPr>
          <w:p w14:paraId="098A9D3B" w14:textId="77777777" w:rsidR="00141CDF" w:rsidRDefault="00141CDF">
            <w:pPr>
              <w:rPr>
                <w:rFonts w:ascii="宋体"/>
                <w:vanish/>
              </w:rPr>
            </w:pPr>
          </w:p>
        </w:tc>
        <w:tc>
          <w:tcPr>
            <w:tcW w:w="0" w:type="auto"/>
            <w:gridSpan w:val="2"/>
            <w:shd w:val="clear" w:color="auto" w:fill="FFFFFF"/>
            <w:tcMar>
              <w:top w:w="40" w:type="dxa"/>
              <w:left w:w="20" w:type="dxa"/>
              <w:bottom w:w="40" w:type="dxa"/>
              <w:right w:w="0" w:type="dxa"/>
            </w:tcMar>
            <w:vAlign w:val="center"/>
          </w:tcPr>
          <w:p w14:paraId="098A9D3C" w14:textId="77777777" w:rsidR="00141CDF" w:rsidRDefault="00DF45E0">
            <w:pPr>
              <w:jc w:val="right"/>
              <w:textAlignment w:val="center"/>
            </w:pPr>
            <w:r>
              <w:rPr>
                <w:rFonts w:ascii="Times New Roman" w:eastAsia="宋体" w:hAnsi="Times New Roman"/>
                <w:color w:val="000000"/>
                <w:sz w:val="16"/>
                <w:szCs w:val="16"/>
              </w:rPr>
              <w:t>2,377 </w:t>
            </w:r>
          </w:p>
        </w:tc>
        <w:tc>
          <w:tcPr>
            <w:tcW w:w="0" w:type="auto"/>
            <w:shd w:val="clear" w:color="auto" w:fill="FFFFFF"/>
            <w:tcMar>
              <w:top w:w="40" w:type="dxa"/>
              <w:left w:w="0" w:type="dxa"/>
              <w:bottom w:w="40" w:type="dxa"/>
              <w:right w:w="20" w:type="dxa"/>
            </w:tcMar>
            <w:vAlign w:val="center"/>
          </w:tcPr>
          <w:p w14:paraId="098A9D3D"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D3E"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D3F" w14:textId="77777777" w:rsidR="00141CDF" w:rsidRDefault="00DF45E0">
            <w:pPr>
              <w:jc w:val="right"/>
              <w:textAlignment w:val="center"/>
            </w:pPr>
            <w:r>
              <w:rPr>
                <w:rFonts w:ascii="Times New Roman" w:eastAsia="宋体" w:hAnsi="Times New Roman"/>
                <w:color w:val="000000"/>
                <w:sz w:val="16"/>
                <w:szCs w:val="16"/>
              </w:rPr>
              <w:t>1,446 </w:t>
            </w:r>
          </w:p>
        </w:tc>
        <w:tc>
          <w:tcPr>
            <w:tcW w:w="0" w:type="auto"/>
            <w:shd w:val="clear" w:color="auto" w:fill="FFFFFF"/>
            <w:tcMar>
              <w:top w:w="40" w:type="dxa"/>
              <w:left w:w="0" w:type="dxa"/>
              <w:bottom w:w="40" w:type="dxa"/>
              <w:right w:w="20" w:type="dxa"/>
            </w:tcMar>
            <w:vAlign w:val="center"/>
          </w:tcPr>
          <w:p w14:paraId="098A9D40" w14:textId="77777777" w:rsidR="00141CDF" w:rsidRDefault="00141CDF">
            <w:pPr>
              <w:jc w:val="right"/>
              <w:rPr>
                <w:rFonts w:ascii="宋体"/>
              </w:rPr>
            </w:pPr>
          </w:p>
        </w:tc>
      </w:tr>
      <w:tr w:rsidR="00141CDF" w14:paraId="098A9D4D" w14:textId="77777777">
        <w:tc>
          <w:tcPr>
            <w:tcW w:w="0" w:type="auto"/>
            <w:gridSpan w:val="3"/>
            <w:shd w:val="clear" w:color="auto" w:fill="CCEEFF"/>
            <w:tcMar>
              <w:top w:w="40" w:type="dxa"/>
              <w:left w:w="20" w:type="dxa"/>
              <w:bottom w:w="40" w:type="dxa"/>
              <w:right w:w="20" w:type="dxa"/>
            </w:tcMar>
            <w:vAlign w:val="center"/>
          </w:tcPr>
          <w:p w14:paraId="098A9D42" w14:textId="77777777" w:rsidR="00141CDF" w:rsidRDefault="00DF45E0">
            <w:pPr>
              <w:textAlignment w:val="center"/>
            </w:pPr>
            <w:r>
              <w:rPr>
                <w:rFonts w:ascii="Times New Roman" w:eastAsia="宋体" w:hAnsi="Times New Roman"/>
                <w:color w:val="000000"/>
                <w:sz w:val="16"/>
                <w:szCs w:val="16"/>
              </w:rPr>
              <w:t>New stores and clubs, including expansions and relocations</w:t>
            </w:r>
          </w:p>
        </w:tc>
        <w:tc>
          <w:tcPr>
            <w:tcW w:w="0" w:type="auto"/>
            <w:gridSpan w:val="3"/>
            <w:shd w:val="clear" w:color="auto" w:fill="CCEEFF"/>
            <w:tcMar>
              <w:top w:w="0" w:type="dxa"/>
              <w:left w:w="20" w:type="dxa"/>
              <w:bottom w:w="0" w:type="dxa"/>
              <w:right w:w="20" w:type="dxa"/>
            </w:tcMar>
            <w:vAlign w:val="bottom"/>
          </w:tcPr>
          <w:p w14:paraId="098A9D43" w14:textId="77777777" w:rsidR="00141CDF" w:rsidRDefault="00141CDF">
            <w:pPr>
              <w:rPr>
                <w:rFonts w:ascii="宋体"/>
              </w:rPr>
            </w:pPr>
          </w:p>
        </w:tc>
        <w:tc>
          <w:tcPr>
            <w:tcW w:w="0" w:type="auto"/>
            <w:shd w:val="clear" w:color="auto" w:fill="auto"/>
            <w:vAlign w:val="bottom"/>
          </w:tcPr>
          <w:p w14:paraId="098A9D44" w14:textId="77777777" w:rsidR="00141CDF" w:rsidRDefault="00141CDF">
            <w:pPr>
              <w:rPr>
                <w:rFonts w:ascii="宋体"/>
                <w:vanish/>
              </w:rPr>
            </w:pPr>
          </w:p>
        </w:tc>
        <w:tc>
          <w:tcPr>
            <w:tcW w:w="0" w:type="auto"/>
            <w:shd w:val="clear" w:color="auto" w:fill="auto"/>
            <w:vAlign w:val="bottom"/>
          </w:tcPr>
          <w:p w14:paraId="098A9D45" w14:textId="77777777" w:rsidR="00141CDF" w:rsidRDefault="00141CDF">
            <w:pPr>
              <w:rPr>
                <w:rFonts w:ascii="宋体"/>
                <w:vanish/>
              </w:rPr>
            </w:pPr>
          </w:p>
        </w:tc>
        <w:tc>
          <w:tcPr>
            <w:tcW w:w="0" w:type="auto"/>
            <w:shd w:val="clear" w:color="auto" w:fill="auto"/>
            <w:vAlign w:val="bottom"/>
          </w:tcPr>
          <w:p w14:paraId="098A9D46" w14:textId="77777777" w:rsidR="00141CDF" w:rsidRDefault="00141CDF">
            <w:pPr>
              <w:rPr>
                <w:rFonts w:ascii="宋体"/>
                <w:vanish/>
              </w:rPr>
            </w:pPr>
          </w:p>
        </w:tc>
        <w:tc>
          <w:tcPr>
            <w:tcW w:w="0" w:type="auto"/>
            <w:shd w:val="clear" w:color="auto" w:fill="auto"/>
            <w:vAlign w:val="bottom"/>
          </w:tcPr>
          <w:p w14:paraId="098A9D47" w14:textId="77777777" w:rsidR="00141CDF" w:rsidRDefault="00141CDF">
            <w:pPr>
              <w:rPr>
                <w:rFonts w:ascii="宋体"/>
                <w:vanish/>
              </w:rPr>
            </w:pPr>
          </w:p>
        </w:tc>
        <w:tc>
          <w:tcPr>
            <w:tcW w:w="0" w:type="auto"/>
            <w:gridSpan w:val="2"/>
            <w:shd w:val="clear" w:color="auto" w:fill="CCEEFF"/>
            <w:tcMar>
              <w:top w:w="40" w:type="dxa"/>
              <w:left w:w="20" w:type="dxa"/>
              <w:bottom w:w="40" w:type="dxa"/>
              <w:right w:w="0" w:type="dxa"/>
            </w:tcMar>
            <w:vAlign w:val="center"/>
          </w:tcPr>
          <w:p w14:paraId="098A9D48" w14:textId="77777777" w:rsidR="00141CDF" w:rsidRDefault="00DF45E0">
            <w:pPr>
              <w:jc w:val="right"/>
              <w:textAlignment w:val="center"/>
            </w:pPr>
            <w:r>
              <w:rPr>
                <w:rFonts w:ascii="Times New Roman" w:eastAsia="宋体" w:hAnsi="Times New Roman"/>
                <w:color w:val="000000"/>
                <w:sz w:val="16"/>
                <w:szCs w:val="16"/>
              </w:rPr>
              <w:t>21 </w:t>
            </w:r>
          </w:p>
        </w:tc>
        <w:tc>
          <w:tcPr>
            <w:tcW w:w="0" w:type="auto"/>
            <w:shd w:val="clear" w:color="auto" w:fill="CCEEFF"/>
            <w:tcMar>
              <w:top w:w="40" w:type="dxa"/>
              <w:left w:w="0" w:type="dxa"/>
              <w:bottom w:w="40" w:type="dxa"/>
              <w:right w:w="20" w:type="dxa"/>
            </w:tcMar>
            <w:vAlign w:val="center"/>
          </w:tcPr>
          <w:p w14:paraId="098A9D49"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D4A"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D4B" w14:textId="77777777" w:rsidR="00141CDF" w:rsidRDefault="00DF45E0">
            <w:pPr>
              <w:jc w:val="right"/>
              <w:textAlignment w:val="center"/>
            </w:pPr>
            <w:r>
              <w:rPr>
                <w:rFonts w:ascii="Times New Roman" w:eastAsia="宋体" w:hAnsi="Times New Roman"/>
                <w:color w:val="000000"/>
                <w:sz w:val="16"/>
                <w:szCs w:val="16"/>
              </w:rPr>
              <w:t>73 </w:t>
            </w:r>
          </w:p>
        </w:tc>
        <w:tc>
          <w:tcPr>
            <w:tcW w:w="0" w:type="auto"/>
            <w:shd w:val="clear" w:color="auto" w:fill="CCEEFF"/>
            <w:tcMar>
              <w:top w:w="40" w:type="dxa"/>
              <w:left w:w="0" w:type="dxa"/>
              <w:bottom w:w="40" w:type="dxa"/>
              <w:right w:w="20" w:type="dxa"/>
            </w:tcMar>
            <w:vAlign w:val="center"/>
          </w:tcPr>
          <w:p w14:paraId="098A9D4C" w14:textId="77777777" w:rsidR="00141CDF" w:rsidRDefault="00141CDF">
            <w:pPr>
              <w:jc w:val="right"/>
              <w:rPr>
                <w:rFonts w:ascii="宋体"/>
              </w:rPr>
            </w:pPr>
          </w:p>
        </w:tc>
      </w:tr>
      <w:tr w:rsidR="00141CDF" w14:paraId="098A9D59" w14:textId="77777777">
        <w:tc>
          <w:tcPr>
            <w:tcW w:w="0" w:type="auto"/>
            <w:gridSpan w:val="3"/>
            <w:shd w:val="clear" w:color="auto" w:fill="FFFFFF"/>
            <w:tcMar>
              <w:top w:w="40" w:type="dxa"/>
              <w:left w:w="20" w:type="dxa"/>
              <w:bottom w:w="40" w:type="dxa"/>
              <w:right w:w="20" w:type="dxa"/>
            </w:tcMar>
            <w:vAlign w:val="center"/>
          </w:tcPr>
          <w:p w14:paraId="098A9D4E" w14:textId="77777777" w:rsidR="00141CDF" w:rsidRDefault="00DF45E0">
            <w:pPr>
              <w:textAlignment w:val="center"/>
            </w:pPr>
            <w:r>
              <w:rPr>
                <w:rFonts w:ascii="Times New Roman" w:eastAsia="宋体" w:hAnsi="Times New Roman"/>
                <w:b/>
                <w:bCs/>
                <w:color w:val="000000"/>
                <w:sz w:val="16"/>
                <w:szCs w:val="16"/>
              </w:rPr>
              <w:t>Total U.S.</w:t>
            </w:r>
          </w:p>
        </w:tc>
        <w:tc>
          <w:tcPr>
            <w:tcW w:w="0" w:type="auto"/>
            <w:gridSpan w:val="3"/>
            <w:shd w:val="clear" w:color="auto" w:fill="FFFFFF"/>
            <w:tcMar>
              <w:top w:w="0" w:type="dxa"/>
              <w:left w:w="20" w:type="dxa"/>
              <w:bottom w:w="0" w:type="dxa"/>
              <w:right w:w="20" w:type="dxa"/>
            </w:tcMar>
            <w:vAlign w:val="bottom"/>
          </w:tcPr>
          <w:p w14:paraId="098A9D4F" w14:textId="77777777" w:rsidR="00141CDF" w:rsidRDefault="00141CDF">
            <w:pPr>
              <w:rPr>
                <w:rFonts w:ascii="宋体"/>
              </w:rPr>
            </w:pPr>
          </w:p>
        </w:tc>
        <w:tc>
          <w:tcPr>
            <w:tcW w:w="0" w:type="auto"/>
            <w:shd w:val="clear" w:color="auto" w:fill="auto"/>
            <w:vAlign w:val="bottom"/>
          </w:tcPr>
          <w:p w14:paraId="098A9D50" w14:textId="77777777" w:rsidR="00141CDF" w:rsidRDefault="00141CDF">
            <w:pPr>
              <w:rPr>
                <w:rFonts w:ascii="宋体"/>
                <w:vanish/>
              </w:rPr>
            </w:pPr>
          </w:p>
        </w:tc>
        <w:tc>
          <w:tcPr>
            <w:tcW w:w="0" w:type="auto"/>
            <w:shd w:val="clear" w:color="auto" w:fill="auto"/>
            <w:vAlign w:val="bottom"/>
          </w:tcPr>
          <w:p w14:paraId="098A9D51" w14:textId="77777777" w:rsidR="00141CDF" w:rsidRDefault="00141CDF">
            <w:pPr>
              <w:rPr>
                <w:rFonts w:ascii="宋体"/>
                <w:vanish/>
              </w:rPr>
            </w:pPr>
          </w:p>
        </w:tc>
        <w:tc>
          <w:tcPr>
            <w:tcW w:w="0" w:type="auto"/>
            <w:shd w:val="clear" w:color="auto" w:fill="auto"/>
            <w:vAlign w:val="bottom"/>
          </w:tcPr>
          <w:p w14:paraId="098A9D52" w14:textId="77777777" w:rsidR="00141CDF" w:rsidRDefault="00141CDF">
            <w:pPr>
              <w:rPr>
                <w:rFonts w:ascii="宋体"/>
                <w:vanish/>
              </w:rPr>
            </w:pPr>
          </w:p>
        </w:tc>
        <w:tc>
          <w:tcPr>
            <w:tcW w:w="0" w:type="auto"/>
            <w:shd w:val="clear" w:color="auto" w:fill="auto"/>
            <w:vAlign w:val="bottom"/>
          </w:tcPr>
          <w:p w14:paraId="098A9D53" w14:textId="77777777" w:rsidR="00141CDF" w:rsidRDefault="00141CDF">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98A9D54" w14:textId="77777777" w:rsidR="00141CDF" w:rsidRDefault="00DF45E0">
            <w:pPr>
              <w:jc w:val="right"/>
              <w:textAlignment w:val="center"/>
            </w:pPr>
            <w:r>
              <w:rPr>
                <w:rFonts w:ascii="Times New Roman" w:eastAsia="宋体" w:hAnsi="Times New Roman"/>
                <w:color w:val="000000"/>
                <w:sz w:val="16"/>
                <w:szCs w:val="16"/>
              </w:rPr>
              <w:t>6,504 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9D55"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D56" w14:textId="77777777" w:rsidR="00141CDF" w:rsidRDefault="00141C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98A9D57" w14:textId="77777777" w:rsidR="00141CDF" w:rsidRDefault="00DF45E0">
            <w:pPr>
              <w:jc w:val="right"/>
              <w:textAlignment w:val="center"/>
            </w:pPr>
            <w:r>
              <w:rPr>
                <w:rFonts w:ascii="Times New Roman" w:eastAsia="宋体" w:hAnsi="Times New Roman"/>
                <w:color w:val="000000"/>
                <w:sz w:val="16"/>
                <w:szCs w:val="16"/>
              </w:rPr>
              <w:t>3,973 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9D58" w14:textId="77777777" w:rsidR="00141CDF" w:rsidRDefault="00141CDF">
            <w:pPr>
              <w:jc w:val="right"/>
              <w:rPr>
                <w:rFonts w:ascii="宋体"/>
              </w:rPr>
            </w:pPr>
          </w:p>
        </w:tc>
      </w:tr>
      <w:tr w:rsidR="00141CDF" w14:paraId="098A9D65" w14:textId="77777777">
        <w:tc>
          <w:tcPr>
            <w:tcW w:w="0" w:type="auto"/>
            <w:gridSpan w:val="3"/>
            <w:shd w:val="clear" w:color="auto" w:fill="CCEEFF"/>
            <w:tcMar>
              <w:top w:w="40" w:type="dxa"/>
              <w:left w:w="20" w:type="dxa"/>
              <w:bottom w:w="40" w:type="dxa"/>
              <w:right w:w="20" w:type="dxa"/>
            </w:tcMar>
            <w:vAlign w:val="center"/>
          </w:tcPr>
          <w:p w14:paraId="098A9D5A" w14:textId="77777777" w:rsidR="00141CDF" w:rsidRDefault="00DF45E0">
            <w:pPr>
              <w:textAlignment w:val="center"/>
            </w:pPr>
            <w:r>
              <w:rPr>
                <w:rFonts w:ascii="Times New Roman" w:eastAsia="宋体" w:hAnsi="Times New Roman"/>
                <w:color w:val="000000"/>
                <w:sz w:val="16"/>
                <w:szCs w:val="16"/>
              </w:rPr>
              <w:t>Walmart International</w:t>
            </w:r>
          </w:p>
        </w:tc>
        <w:tc>
          <w:tcPr>
            <w:tcW w:w="0" w:type="auto"/>
            <w:gridSpan w:val="3"/>
            <w:shd w:val="clear" w:color="auto" w:fill="CCEEFF"/>
            <w:tcMar>
              <w:top w:w="0" w:type="dxa"/>
              <w:left w:w="20" w:type="dxa"/>
              <w:bottom w:w="0" w:type="dxa"/>
              <w:right w:w="20" w:type="dxa"/>
            </w:tcMar>
            <w:vAlign w:val="bottom"/>
          </w:tcPr>
          <w:p w14:paraId="098A9D5B" w14:textId="77777777" w:rsidR="00141CDF" w:rsidRDefault="00141CDF">
            <w:pPr>
              <w:rPr>
                <w:rFonts w:ascii="宋体"/>
              </w:rPr>
            </w:pPr>
          </w:p>
        </w:tc>
        <w:tc>
          <w:tcPr>
            <w:tcW w:w="0" w:type="auto"/>
            <w:shd w:val="clear" w:color="auto" w:fill="auto"/>
            <w:vAlign w:val="bottom"/>
          </w:tcPr>
          <w:p w14:paraId="098A9D5C" w14:textId="77777777" w:rsidR="00141CDF" w:rsidRDefault="00141CDF">
            <w:pPr>
              <w:rPr>
                <w:rFonts w:ascii="宋体"/>
                <w:vanish/>
              </w:rPr>
            </w:pPr>
          </w:p>
        </w:tc>
        <w:tc>
          <w:tcPr>
            <w:tcW w:w="0" w:type="auto"/>
            <w:shd w:val="clear" w:color="auto" w:fill="auto"/>
            <w:vAlign w:val="bottom"/>
          </w:tcPr>
          <w:p w14:paraId="098A9D5D" w14:textId="77777777" w:rsidR="00141CDF" w:rsidRDefault="00141CDF">
            <w:pPr>
              <w:rPr>
                <w:rFonts w:ascii="宋体"/>
                <w:vanish/>
              </w:rPr>
            </w:pPr>
          </w:p>
        </w:tc>
        <w:tc>
          <w:tcPr>
            <w:tcW w:w="0" w:type="auto"/>
            <w:shd w:val="clear" w:color="auto" w:fill="auto"/>
            <w:vAlign w:val="bottom"/>
          </w:tcPr>
          <w:p w14:paraId="098A9D5E" w14:textId="77777777" w:rsidR="00141CDF" w:rsidRDefault="00141CDF">
            <w:pPr>
              <w:rPr>
                <w:rFonts w:ascii="宋体"/>
                <w:vanish/>
              </w:rPr>
            </w:pPr>
          </w:p>
        </w:tc>
        <w:tc>
          <w:tcPr>
            <w:tcW w:w="0" w:type="auto"/>
            <w:shd w:val="clear" w:color="auto" w:fill="auto"/>
            <w:vAlign w:val="bottom"/>
          </w:tcPr>
          <w:p w14:paraId="098A9D5F" w14:textId="77777777" w:rsidR="00141CDF" w:rsidRDefault="00141CDF">
            <w:pPr>
              <w:rPr>
                <w:rFonts w:ascii="宋体"/>
                <w:vanish/>
              </w:rPr>
            </w:pPr>
          </w:p>
        </w:tc>
        <w:tc>
          <w:tcPr>
            <w:tcW w:w="0" w:type="auto"/>
            <w:gridSpan w:val="2"/>
            <w:shd w:val="clear" w:color="auto" w:fill="CCEEFF"/>
            <w:tcMar>
              <w:top w:w="40" w:type="dxa"/>
              <w:left w:w="20" w:type="dxa"/>
              <w:bottom w:w="40" w:type="dxa"/>
              <w:right w:w="0" w:type="dxa"/>
            </w:tcMar>
            <w:vAlign w:val="center"/>
          </w:tcPr>
          <w:p w14:paraId="098A9D60" w14:textId="77777777" w:rsidR="00141CDF" w:rsidRDefault="00DF45E0">
            <w:pPr>
              <w:jc w:val="right"/>
              <w:textAlignment w:val="center"/>
            </w:pPr>
            <w:r>
              <w:rPr>
                <w:rFonts w:ascii="Times New Roman" w:eastAsia="宋体" w:hAnsi="Times New Roman"/>
                <w:color w:val="000000"/>
                <w:sz w:val="16"/>
                <w:szCs w:val="16"/>
              </w:rPr>
              <w:t>988 </w:t>
            </w:r>
          </w:p>
        </w:tc>
        <w:tc>
          <w:tcPr>
            <w:tcW w:w="0" w:type="auto"/>
            <w:shd w:val="clear" w:color="auto" w:fill="CCEEFF"/>
            <w:tcMar>
              <w:top w:w="40" w:type="dxa"/>
              <w:left w:w="0" w:type="dxa"/>
              <w:bottom w:w="40" w:type="dxa"/>
              <w:right w:w="20" w:type="dxa"/>
            </w:tcMar>
            <w:vAlign w:val="center"/>
          </w:tcPr>
          <w:p w14:paraId="098A9D61"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D62"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D63" w14:textId="77777777" w:rsidR="00141CDF" w:rsidRDefault="00DF45E0">
            <w:pPr>
              <w:jc w:val="right"/>
              <w:textAlignment w:val="center"/>
            </w:pPr>
            <w:r>
              <w:rPr>
                <w:rFonts w:ascii="Times New Roman" w:eastAsia="宋体" w:hAnsi="Times New Roman"/>
                <w:color w:val="000000"/>
                <w:sz w:val="16"/>
                <w:szCs w:val="16"/>
              </w:rPr>
              <w:t>1,046 </w:t>
            </w:r>
          </w:p>
        </w:tc>
        <w:tc>
          <w:tcPr>
            <w:tcW w:w="0" w:type="auto"/>
            <w:shd w:val="clear" w:color="auto" w:fill="CCEEFF"/>
            <w:tcMar>
              <w:top w:w="40" w:type="dxa"/>
              <w:left w:w="0" w:type="dxa"/>
              <w:bottom w:w="40" w:type="dxa"/>
              <w:right w:w="20" w:type="dxa"/>
            </w:tcMar>
            <w:vAlign w:val="center"/>
          </w:tcPr>
          <w:p w14:paraId="098A9D64" w14:textId="77777777" w:rsidR="00141CDF" w:rsidRDefault="00141CDF">
            <w:pPr>
              <w:jc w:val="right"/>
              <w:rPr>
                <w:rFonts w:ascii="宋体"/>
              </w:rPr>
            </w:pPr>
          </w:p>
        </w:tc>
      </w:tr>
      <w:tr w:rsidR="00141CDF" w14:paraId="098A9D73" w14:textId="77777777">
        <w:tc>
          <w:tcPr>
            <w:tcW w:w="0" w:type="auto"/>
            <w:gridSpan w:val="3"/>
            <w:shd w:val="clear" w:color="auto" w:fill="FFFFFF"/>
            <w:tcMar>
              <w:top w:w="40" w:type="dxa"/>
              <w:left w:w="20" w:type="dxa"/>
              <w:bottom w:w="40" w:type="dxa"/>
              <w:right w:w="20" w:type="dxa"/>
            </w:tcMar>
            <w:vAlign w:val="center"/>
          </w:tcPr>
          <w:p w14:paraId="098A9D66" w14:textId="77777777" w:rsidR="00141CDF" w:rsidRDefault="00DF45E0">
            <w:pPr>
              <w:textAlignment w:val="center"/>
            </w:pPr>
            <w:r>
              <w:rPr>
                <w:rFonts w:ascii="Times New Roman" w:eastAsia="宋体" w:hAnsi="Times New Roman"/>
                <w:b/>
                <w:bCs/>
                <w:color w:val="000000"/>
                <w:sz w:val="16"/>
                <w:szCs w:val="16"/>
              </w:rPr>
              <w:t>Total Capital Expenditures</w:t>
            </w:r>
          </w:p>
        </w:tc>
        <w:tc>
          <w:tcPr>
            <w:tcW w:w="0" w:type="auto"/>
            <w:gridSpan w:val="3"/>
            <w:shd w:val="clear" w:color="auto" w:fill="FFFFFF"/>
            <w:tcMar>
              <w:top w:w="0" w:type="dxa"/>
              <w:left w:w="20" w:type="dxa"/>
              <w:bottom w:w="0" w:type="dxa"/>
              <w:right w:w="20" w:type="dxa"/>
            </w:tcMar>
            <w:vAlign w:val="bottom"/>
          </w:tcPr>
          <w:p w14:paraId="098A9D67" w14:textId="77777777" w:rsidR="00141CDF" w:rsidRDefault="00141CDF">
            <w:pPr>
              <w:rPr>
                <w:rFonts w:ascii="宋体"/>
              </w:rPr>
            </w:pPr>
          </w:p>
        </w:tc>
        <w:tc>
          <w:tcPr>
            <w:tcW w:w="0" w:type="auto"/>
            <w:shd w:val="clear" w:color="auto" w:fill="auto"/>
            <w:vAlign w:val="bottom"/>
          </w:tcPr>
          <w:p w14:paraId="098A9D68" w14:textId="77777777" w:rsidR="00141CDF" w:rsidRDefault="00141CDF">
            <w:pPr>
              <w:rPr>
                <w:rFonts w:ascii="宋体"/>
                <w:vanish/>
              </w:rPr>
            </w:pPr>
          </w:p>
        </w:tc>
        <w:tc>
          <w:tcPr>
            <w:tcW w:w="0" w:type="auto"/>
            <w:shd w:val="clear" w:color="auto" w:fill="auto"/>
            <w:vAlign w:val="bottom"/>
          </w:tcPr>
          <w:p w14:paraId="098A9D69" w14:textId="77777777" w:rsidR="00141CDF" w:rsidRDefault="00141CDF">
            <w:pPr>
              <w:rPr>
                <w:rFonts w:ascii="宋体"/>
                <w:vanish/>
              </w:rPr>
            </w:pPr>
          </w:p>
        </w:tc>
        <w:tc>
          <w:tcPr>
            <w:tcW w:w="0" w:type="auto"/>
            <w:shd w:val="clear" w:color="auto" w:fill="auto"/>
            <w:vAlign w:val="bottom"/>
          </w:tcPr>
          <w:p w14:paraId="098A9D6A" w14:textId="77777777" w:rsidR="00141CDF" w:rsidRDefault="00141CDF">
            <w:pPr>
              <w:rPr>
                <w:rFonts w:ascii="宋体"/>
                <w:vanish/>
              </w:rPr>
            </w:pPr>
          </w:p>
        </w:tc>
        <w:tc>
          <w:tcPr>
            <w:tcW w:w="0" w:type="auto"/>
            <w:shd w:val="clear" w:color="auto" w:fill="auto"/>
            <w:vAlign w:val="bottom"/>
          </w:tcPr>
          <w:p w14:paraId="098A9D6B" w14:textId="77777777" w:rsidR="00141CDF" w:rsidRDefault="00141CDF">
            <w:pPr>
              <w:rPr>
                <w:rFonts w:ascii="宋体"/>
                <w:vanish/>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98A9D6C"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98A9D6D" w14:textId="77777777" w:rsidR="00141CDF" w:rsidRDefault="00DF45E0">
            <w:pPr>
              <w:jc w:val="right"/>
              <w:textAlignment w:val="center"/>
            </w:pPr>
            <w:r>
              <w:rPr>
                <w:rFonts w:ascii="Times New Roman" w:eastAsia="宋体" w:hAnsi="Times New Roman"/>
                <w:color w:val="000000"/>
                <w:sz w:val="16"/>
                <w:szCs w:val="16"/>
              </w:rPr>
              <w:t>7,492 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98A9D6E"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D6F" w14:textId="77777777" w:rsidR="00141CDF" w:rsidRDefault="00141C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98A9D70"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98A9D71" w14:textId="77777777" w:rsidR="00141CDF" w:rsidRDefault="00DF45E0">
            <w:pPr>
              <w:jc w:val="right"/>
              <w:textAlignment w:val="center"/>
            </w:pPr>
            <w:r>
              <w:rPr>
                <w:rFonts w:ascii="Times New Roman" w:eastAsia="宋体" w:hAnsi="Times New Roman"/>
                <w:color w:val="000000"/>
                <w:sz w:val="16"/>
                <w:szCs w:val="16"/>
              </w:rPr>
              <w:t>5,019 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98A9D72" w14:textId="77777777" w:rsidR="00141CDF" w:rsidRDefault="00141CDF">
            <w:pPr>
              <w:jc w:val="right"/>
              <w:rPr>
                <w:rFonts w:ascii="宋体"/>
              </w:rPr>
            </w:pPr>
          </w:p>
        </w:tc>
      </w:tr>
    </w:tbl>
    <w:p w14:paraId="098A9D74" w14:textId="77777777" w:rsidR="00141CDF" w:rsidRDefault="00141CDF"/>
    <w:p w14:paraId="098A9D75" w14:textId="77777777" w:rsidR="00141CDF" w:rsidRDefault="00DF45E0">
      <w:r>
        <w:rPr>
          <w:rFonts w:ascii="Times New Roman" w:eastAsia="宋体" w:hAnsi="Times New Roman"/>
          <w:b/>
          <w:bCs/>
          <w:color w:val="000000"/>
          <w:sz w:val="20"/>
          <w:szCs w:val="20"/>
          <w:u w:val="single"/>
        </w:rPr>
        <w:t>Returns</w:t>
      </w:r>
    </w:p>
    <w:p w14:paraId="098A9D76" w14:textId="77777777" w:rsidR="00141CDF" w:rsidRDefault="00DF45E0">
      <w:pPr>
        <w:spacing w:before="100"/>
      </w:pPr>
      <w:r>
        <w:rPr>
          <w:rFonts w:ascii="Times New Roman" w:eastAsia="宋体" w:hAnsi="Times New Roman"/>
          <w:color w:val="000000"/>
          <w:sz w:val="20"/>
          <w:szCs w:val="20"/>
        </w:rPr>
        <w:t>As we execute our financial framework, we believe our return on capital will improve over time. We measure return on capital with our return on investment and free cash flow metrics. In addition, we provide returns in the fo</w:t>
      </w:r>
      <w:r>
        <w:rPr>
          <w:rFonts w:ascii="Times New Roman" w:eastAsia="宋体" w:hAnsi="Times New Roman"/>
          <w:color w:val="000000"/>
          <w:sz w:val="20"/>
          <w:szCs w:val="20"/>
        </w:rPr>
        <w:t xml:space="preserve">rm of share repurchases and dividends, which are discussed in the </w:t>
      </w:r>
      <w:hyperlink r:id="rId74" w:anchor="i24a2f296795646fa8b5ba32fd1359591_97" w:history="1">
        <w:r>
          <w:rPr>
            <w:rStyle w:val="a5"/>
            <w:rFonts w:ascii="Times New Roman" w:eastAsia="宋体" w:hAnsi="Times New Roman"/>
            <w:sz w:val="20"/>
            <w:szCs w:val="20"/>
          </w:rPr>
          <w:t>Liquidity and Capital Resources</w:t>
        </w:r>
      </w:hyperlink>
      <w:r>
        <w:rPr>
          <w:rFonts w:ascii="Times New Roman" w:eastAsia="宋体" w:hAnsi="Times New Roman"/>
          <w:color w:val="000000"/>
          <w:sz w:val="20"/>
          <w:szCs w:val="20"/>
        </w:rPr>
        <w:t xml:space="preserve"> secti</w:t>
      </w:r>
      <w:r>
        <w:rPr>
          <w:rFonts w:ascii="Times New Roman" w:eastAsia="宋体" w:hAnsi="Times New Roman"/>
          <w:color w:val="000000"/>
          <w:sz w:val="20"/>
          <w:szCs w:val="20"/>
        </w:rPr>
        <w:t>on.</w:t>
      </w:r>
    </w:p>
    <w:p w14:paraId="098A9D77" w14:textId="77777777" w:rsidR="00141CDF" w:rsidRDefault="00DF45E0">
      <w:pPr>
        <w:spacing w:before="100"/>
      </w:pPr>
      <w:r>
        <w:rPr>
          <w:rFonts w:ascii="Times New Roman" w:eastAsia="宋体" w:hAnsi="Times New Roman"/>
          <w:i/>
          <w:iCs/>
          <w:color w:val="000000"/>
          <w:sz w:val="20"/>
          <w:szCs w:val="20"/>
        </w:rPr>
        <w:t xml:space="preserve">Return on Assets and Return on Investment </w:t>
      </w:r>
    </w:p>
    <w:p w14:paraId="098A9D78" w14:textId="77777777" w:rsidR="00141CDF" w:rsidRDefault="00DF45E0">
      <w:pPr>
        <w:spacing w:before="100"/>
      </w:pPr>
      <w:r>
        <w:rPr>
          <w:rFonts w:ascii="Times New Roman" w:eastAsia="宋体" w:hAnsi="Times New Roman"/>
          <w:color w:val="000000"/>
          <w:sz w:val="20"/>
          <w:szCs w:val="20"/>
        </w:rPr>
        <w:t>We include Return on Assets ("ROA"), the most directly comparable measure based on our financial statements presented in accordance with generally accepted accounting principles in the U.S. ("GAAP"), and Retur</w:t>
      </w:r>
      <w:r>
        <w:rPr>
          <w:rFonts w:ascii="Times New Roman" w:eastAsia="宋体" w:hAnsi="Times New Roman"/>
          <w:color w:val="000000"/>
          <w:sz w:val="20"/>
          <w:szCs w:val="20"/>
        </w:rPr>
        <w:t>n on Investment ("ROI") as metrics to assess returns on assets. While ROI is considered a non-GAAP financial measure, management believes ROI is a meaningful metric to share with investors because it helps investors assess how effectively Walmart is deploy</w:t>
      </w:r>
      <w:r>
        <w:rPr>
          <w:rFonts w:ascii="Times New Roman" w:eastAsia="宋体" w:hAnsi="Times New Roman"/>
          <w:color w:val="000000"/>
          <w:sz w:val="20"/>
          <w:szCs w:val="20"/>
        </w:rPr>
        <w:t xml:space="preserve">ing its assets. Trends in ROI can fluctuate over time as management balances long-term strategic initiatives with possible short-term impacts. ROA was 5.8% and 4.4% for the trailing twelve months ended July 31, 2022 and 2021, respectively. The increase in </w:t>
      </w:r>
      <w:r>
        <w:rPr>
          <w:rFonts w:ascii="Times New Roman" w:eastAsia="宋体" w:hAnsi="Times New Roman"/>
          <w:color w:val="000000"/>
          <w:sz w:val="20"/>
          <w:szCs w:val="20"/>
        </w:rPr>
        <w:t>ROA was primarily due to the increase in net income. ROI was 13.8% and 14.8% for the trailing twelve months ended July 31, 2022 and 2021, respectively. The decrease in ROI was primarily due to a decrease in operating income and increase in average total as</w:t>
      </w:r>
      <w:r>
        <w:rPr>
          <w:rFonts w:ascii="Times New Roman" w:eastAsia="宋体" w:hAnsi="Times New Roman"/>
          <w:color w:val="000000"/>
          <w:sz w:val="20"/>
          <w:szCs w:val="20"/>
        </w:rPr>
        <w:t>sets driven by higher inventories.</w:t>
      </w:r>
    </w:p>
    <w:p w14:paraId="098A9D79" w14:textId="77777777" w:rsidR="00141CDF" w:rsidRDefault="00DF45E0">
      <w:pPr>
        <w:spacing w:before="100"/>
      </w:pPr>
      <w:r>
        <w:rPr>
          <w:rFonts w:ascii="Times New Roman" w:eastAsia="宋体" w:hAnsi="Times New Roman"/>
          <w:color w:val="000000"/>
          <w:sz w:val="20"/>
          <w:szCs w:val="20"/>
        </w:rPr>
        <w:t>We define ROI as adjusted operating income (operating income plus interest income, depreciation and amortization, and rent expense) for the trailing 12 months divided by average invested capital during that period. We con</w:t>
      </w:r>
      <w:r>
        <w:rPr>
          <w:rFonts w:ascii="Times New Roman" w:eastAsia="宋体" w:hAnsi="Times New Roman"/>
          <w:color w:val="000000"/>
          <w:sz w:val="20"/>
          <w:szCs w:val="20"/>
        </w:rPr>
        <w:t xml:space="preserve">sider average invested capital to be the average of our beginning and ending total assets, plus average accumulated depreciation and amortization, less average accounts payable and average accrued liabilities for that period. </w:t>
      </w:r>
    </w:p>
    <w:p w14:paraId="098A9D7A" w14:textId="77777777" w:rsidR="00141CDF" w:rsidRDefault="00DF45E0">
      <w:pPr>
        <w:jc w:val="center"/>
      </w:pPr>
      <w:r>
        <w:rPr>
          <w:rFonts w:ascii="Times New Roman" w:eastAsia="宋体" w:hAnsi="Times New Roman"/>
          <w:color w:val="000000"/>
          <w:sz w:val="20"/>
          <w:szCs w:val="20"/>
        </w:rPr>
        <w:t>17</w:t>
      </w:r>
    </w:p>
    <w:p w14:paraId="098A9D7B" w14:textId="77777777" w:rsidR="00141CDF" w:rsidRDefault="00DF45E0">
      <w:r>
        <w:pict w14:anchorId="098AA65F">
          <v:rect id="_x0000_i1041" style="width:415.3pt;height:1.5pt" o:hralign="center" o:hrstd="t" o:hr="t" fillcolor="#a0a0a0" stroked="f"/>
        </w:pict>
      </w:r>
    </w:p>
    <w:p w14:paraId="098A9D7C" w14:textId="77777777" w:rsidR="00141CDF" w:rsidRDefault="00DF45E0">
      <w:hyperlink r:id="rId75" w:anchor="i24a2f296795646fa8b5ba32fd1359591_7" w:history="1">
        <w:r>
          <w:rPr>
            <w:rStyle w:val="a5"/>
            <w:rFonts w:ascii="Times New Roman" w:eastAsia="宋体" w:hAnsi="Times New Roman"/>
            <w:sz w:val="20"/>
            <w:szCs w:val="20"/>
          </w:rPr>
          <w:t xml:space="preserve">Table of </w:t>
        </w:r>
      </w:hyperlink>
      <w:hyperlink r:id="rId76" w:anchor="i24a2f296795646fa8b5ba32fd1359591_7" w:history="1">
        <w:r>
          <w:rPr>
            <w:rStyle w:val="a5"/>
            <w:rFonts w:ascii="Times New Roman" w:eastAsia="宋体" w:hAnsi="Times New Roman"/>
            <w:sz w:val="20"/>
            <w:szCs w:val="20"/>
          </w:rPr>
          <w:t>Contents</w:t>
        </w:r>
      </w:hyperlink>
    </w:p>
    <w:p w14:paraId="098A9D7D" w14:textId="77777777" w:rsidR="00141CDF" w:rsidRDefault="00DF45E0">
      <w:pPr>
        <w:spacing w:before="100"/>
      </w:pPr>
      <w:r>
        <w:rPr>
          <w:rFonts w:ascii="Times New Roman" w:eastAsia="宋体" w:hAnsi="Times New Roman"/>
          <w:color w:val="000000"/>
          <w:sz w:val="20"/>
          <w:szCs w:val="20"/>
        </w:rPr>
        <w:t>Our calculation of ROI is considered a non-GAAP financial measure because we calculate ROI using financial measures that exclude and include amounts that are included and excluded in the mos</w:t>
      </w:r>
      <w:r>
        <w:rPr>
          <w:rFonts w:ascii="Times New Roman" w:eastAsia="宋体" w:hAnsi="Times New Roman"/>
          <w:color w:val="000000"/>
          <w:sz w:val="20"/>
          <w:szCs w:val="20"/>
        </w:rPr>
        <w:t>t directly comparable GAAP financial measure. For example, we exclude the impact of depreciation and amortization from our reported operating income in calculating the numerator of our calculation of ROI. As mentioned above, we consider ROA to be the finan</w:t>
      </w:r>
      <w:r>
        <w:rPr>
          <w:rFonts w:ascii="Times New Roman" w:eastAsia="宋体" w:hAnsi="Times New Roman"/>
          <w:color w:val="000000"/>
          <w:sz w:val="20"/>
          <w:szCs w:val="20"/>
        </w:rPr>
        <w:t>cial measure computed in accordance with GAAP most directly comparable to our calculation of ROI. ROI differs from ROA (which is consolidated net income for the period divided by average total assets for the period) because ROI: adjusts operating income to</w:t>
      </w:r>
      <w:r>
        <w:rPr>
          <w:rFonts w:ascii="Times New Roman" w:eastAsia="宋体" w:hAnsi="Times New Roman"/>
          <w:color w:val="000000"/>
          <w:sz w:val="20"/>
          <w:szCs w:val="20"/>
        </w:rPr>
        <w:t xml:space="preserve"> exclude certain expense items and adds interest income; and adjusts total assets for the impact of accumulated depreciation and amortization, accounts payable and accrued liabilities to arrive at total invested capital. Because of the adjustments mentione</w:t>
      </w:r>
      <w:r>
        <w:rPr>
          <w:rFonts w:ascii="Times New Roman" w:eastAsia="宋体" w:hAnsi="Times New Roman"/>
          <w:color w:val="000000"/>
          <w:sz w:val="20"/>
          <w:szCs w:val="20"/>
        </w:rPr>
        <w:t>d above, we believe ROI more accurately measures how we are deploying our key assets and is more meaningful to investors than ROA. Although ROI is a standard financial measure, numerous methods exist for calculating a company's ROI. As a result, the method</w:t>
      </w:r>
      <w:r>
        <w:rPr>
          <w:rFonts w:ascii="Times New Roman" w:eastAsia="宋体" w:hAnsi="Times New Roman"/>
          <w:color w:val="000000"/>
          <w:sz w:val="20"/>
          <w:szCs w:val="20"/>
        </w:rPr>
        <w:t xml:space="preserve"> used by management to calculate our ROI may differ from the methods used by other companies to calculate their ROI.</w:t>
      </w:r>
    </w:p>
    <w:p w14:paraId="098A9D7E" w14:textId="77777777" w:rsidR="00141CDF" w:rsidRDefault="00DF45E0">
      <w:pPr>
        <w:spacing w:before="100"/>
      </w:pPr>
      <w:r>
        <w:rPr>
          <w:rFonts w:ascii="Times New Roman" w:eastAsia="宋体" w:hAnsi="Times New Roman"/>
          <w:color w:val="000000"/>
          <w:sz w:val="20"/>
          <w:szCs w:val="20"/>
        </w:rPr>
        <w:t>The calculation of ROA and ROI, along with a reconciliation of ROI to the calculation of ROA, the most comparable GAAP financial measure, i</w:t>
      </w:r>
      <w:r>
        <w:rPr>
          <w:rFonts w:ascii="Times New Roman" w:eastAsia="宋体" w:hAnsi="Times New Roman"/>
          <w:color w:val="000000"/>
          <w:sz w:val="20"/>
          <w:szCs w:val="20"/>
        </w:rPr>
        <w:t>s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6065"/>
        <w:gridCol w:w="38"/>
        <w:gridCol w:w="36"/>
        <w:gridCol w:w="36"/>
        <w:gridCol w:w="36"/>
        <w:gridCol w:w="100"/>
        <w:gridCol w:w="735"/>
        <w:gridCol w:w="154"/>
        <w:gridCol w:w="36"/>
        <w:gridCol w:w="36"/>
        <w:gridCol w:w="36"/>
        <w:gridCol w:w="100"/>
        <w:gridCol w:w="735"/>
        <w:gridCol w:w="154"/>
      </w:tblGrid>
      <w:tr w:rsidR="00141CDF" w14:paraId="098A9D8E" w14:textId="77777777">
        <w:tc>
          <w:tcPr>
            <w:tcW w:w="50" w:type="pct"/>
            <w:shd w:val="clear" w:color="auto" w:fill="auto"/>
            <w:vAlign w:val="bottom"/>
          </w:tcPr>
          <w:p w14:paraId="098A9D7F" w14:textId="77777777" w:rsidR="00141CDF" w:rsidRDefault="00141CDF">
            <w:pPr>
              <w:rPr>
                <w:rFonts w:ascii="宋体"/>
              </w:rPr>
            </w:pPr>
          </w:p>
        </w:tc>
        <w:tc>
          <w:tcPr>
            <w:tcW w:w="3702" w:type="pct"/>
            <w:shd w:val="clear" w:color="auto" w:fill="auto"/>
            <w:vAlign w:val="bottom"/>
          </w:tcPr>
          <w:p w14:paraId="098A9D80" w14:textId="77777777" w:rsidR="00141CDF" w:rsidRDefault="00141CDF">
            <w:pPr>
              <w:rPr>
                <w:rFonts w:ascii="宋体"/>
              </w:rPr>
            </w:pPr>
          </w:p>
        </w:tc>
        <w:tc>
          <w:tcPr>
            <w:tcW w:w="5" w:type="pct"/>
            <w:shd w:val="clear" w:color="auto" w:fill="auto"/>
            <w:vAlign w:val="bottom"/>
          </w:tcPr>
          <w:p w14:paraId="098A9D81" w14:textId="77777777" w:rsidR="00141CDF" w:rsidRDefault="00141CDF">
            <w:pPr>
              <w:rPr>
                <w:rFonts w:ascii="宋体"/>
              </w:rPr>
            </w:pPr>
          </w:p>
        </w:tc>
        <w:tc>
          <w:tcPr>
            <w:tcW w:w="5" w:type="pct"/>
            <w:shd w:val="clear" w:color="auto" w:fill="auto"/>
            <w:vAlign w:val="bottom"/>
          </w:tcPr>
          <w:p w14:paraId="098A9D82" w14:textId="77777777" w:rsidR="00141CDF" w:rsidRDefault="00141CDF">
            <w:pPr>
              <w:rPr>
                <w:rFonts w:ascii="宋体"/>
              </w:rPr>
            </w:pPr>
          </w:p>
        </w:tc>
        <w:tc>
          <w:tcPr>
            <w:tcW w:w="26" w:type="pct"/>
            <w:shd w:val="clear" w:color="auto" w:fill="auto"/>
            <w:vAlign w:val="bottom"/>
          </w:tcPr>
          <w:p w14:paraId="098A9D83" w14:textId="77777777" w:rsidR="00141CDF" w:rsidRDefault="00141CDF">
            <w:pPr>
              <w:rPr>
                <w:rFonts w:ascii="宋体"/>
              </w:rPr>
            </w:pPr>
          </w:p>
        </w:tc>
        <w:tc>
          <w:tcPr>
            <w:tcW w:w="5" w:type="pct"/>
            <w:shd w:val="clear" w:color="auto" w:fill="auto"/>
            <w:vAlign w:val="bottom"/>
          </w:tcPr>
          <w:p w14:paraId="098A9D84" w14:textId="77777777" w:rsidR="00141CDF" w:rsidRDefault="00141CDF">
            <w:pPr>
              <w:rPr>
                <w:rFonts w:ascii="宋体"/>
              </w:rPr>
            </w:pPr>
          </w:p>
        </w:tc>
        <w:tc>
          <w:tcPr>
            <w:tcW w:w="50" w:type="pct"/>
            <w:shd w:val="clear" w:color="auto" w:fill="auto"/>
            <w:vAlign w:val="bottom"/>
          </w:tcPr>
          <w:p w14:paraId="098A9D85" w14:textId="77777777" w:rsidR="00141CDF" w:rsidRDefault="00141CDF">
            <w:pPr>
              <w:rPr>
                <w:rFonts w:ascii="宋体"/>
              </w:rPr>
            </w:pPr>
          </w:p>
        </w:tc>
        <w:tc>
          <w:tcPr>
            <w:tcW w:w="529" w:type="pct"/>
            <w:shd w:val="clear" w:color="auto" w:fill="auto"/>
            <w:vAlign w:val="bottom"/>
          </w:tcPr>
          <w:p w14:paraId="098A9D86" w14:textId="77777777" w:rsidR="00141CDF" w:rsidRDefault="00141CDF">
            <w:pPr>
              <w:rPr>
                <w:rFonts w:ascii="宋体"/>
              </w:rPr>
            </w:pPr>
          </w:p>
        </w:tc>
        <w:tc>
          <w:tcPr>
            <w:tcW w:w="5" w:type="pct"/>
            <w:shd w:val="clear" w:color="auto" w:fill="auto"/>
            <w:vAlign w:val="bottom"/>
          </w:tcPr>
          <w:p w14:paraId="098A9D87" w14:textId="77777777" w:rsidR="00141CDF" w:rsidRDefault="00141CDF">
            <w:pPr>
              <w:rPr>
                <w:rFonts w:ascii="宋体"/>
              </w:rPr>
            </w:pPr>
          </w:p>
        </w:tc>
        <w:tc>
          <w:tcPr>
            <w:tcW w:w="5" w:type="pct"/>
            <w:shd w:val="clear" w:color="auto" w:fill="auto"/>
            <w:vAlign w:val="bottom"/>
          </w:tcPr>
          <w:p w14:paraId="098A9D88" w14:textId="77777777" w:rsidR="00141CDF" w:rsidRDefault="00141CDF">
            <w:pPr>
              <w:rPr>
                <w:rFonts w:ascii="宋体"/>
              </w:rPr>
            </w:pPr>
          </w:p>
        </w:tc>
        <w:tc>
          <w:tcPr>
            <w:tcW w:w="26" w:type="pct"/>
            <w:shd w:val="clear" w:color="auto" w:fill="auto"/>
            <w:vAlign w:val="bottom"/>
          </w:tcPr>
          <w:p w14:paraId="098A9D89" w14:textId="77777777" w:rsidR="00141CDF" w:rsidRDefault="00141CDF">
            <w:pPr>
              <w:rPr>
                <w:rFonts w:ascii="宋体"/>
              </w:rPr>
            </w:pPr>
          </w:p>
        </w:tc>
        <w:tc>
          <w:tcPr>
            <w:tcW w:w="5" w:type="pct"/>
            <w:shd w:val="clear" w:color="auto" w:fill="auto"/>
            <w:vAlign w:val="bottom"/>
          </w:tcPr>
          <w:p w14:paraId="098A9D8A" w14:textId="77777777" w:rsidR="00141CDF" w:rsidRDefault="00141CDF">
            <w:pPr>
              <w:rPr>
                <w:rFonts w:ascii="宋体"/>
              </w:rPr>
            </w:pPr>
          </w:p>
        </w:tc>
        <w:tc>
          <w:tcPr>
            <w:tcW w:w="50" w:type="pct"/>
            <w:shd w:val="clear" w:color="auto" w:fill="auto"/>
            <w:vAlign w:val="bottom"/>
          </w:tcPr>
          <w:p w14:paraId="098A9D8B" w14:textId="77777777" w:rsidR="00141CDF" w:rsidRDefault="00141CDF">
            <w:pPr>
              <w:rPr>
                <w:rFonts w:ascii="宋体"/>
              </w:rPr>
            </w:pPr>
          </w:p>
        </w:tc>
        <w:tc>
          <w:tcPr>
            <w:tcW w:w="529" w:type="pct"/>
            <w:shd w:val="clear" w:color="auto" w:fill="auto"/>
            <w:vAlign w:val="bottom"/>
          </w:tcPr>
          <w:p w14:paraId="098A9D8C" w14:textId="77777777" w:rsidR="00141CDF" w:rsidRDefault="00141CDF">
            <w:pPr>
              <w:rPr>
                <w:rFonts w:ascii="宋体"/>
              </w:rPr>
            </w:pPr>
          </w:p>
        </w:tc>
        <w:tc>
          <w:tcPr>
            <w:tcW w:w="5" w:type="pct"/>
            <w:shd w:val="clear" w:color="auto" w:fill="auto"/>
            <w:vAlign w:val="bottom"/>
          </w:tcPr>
          <w:p w14:paraId="098A9D8D" w14:textId="77777777" w:rsidR="00141CDF" w:rsidRDefault="00141CDF">
            <w:pPr>
              <w:rPr>
                <w:rFonts w:ascii="宋体"/>
              </w:rPr>
            </w:pPr>
          </w:p>
        </w:tc>
      </w:tr>
      <w:tr w:rsidR="00141CDF" w14:paraId="098A9D92" w14:textId="77777777">
        <w:tc>
          <w:tcPr>
            <w:tcW w:w="0" w:type="auto"/>
            <w:gridSpan w:val="3"/>
            <w:shd w:val="clear" w:color="auto" w:fill="auto"/>
            <w:tcMar>
              <w:top w:w="40" w:type="dxa"/>
              <w:left w:w="20" w:type="dxa"/>
              <w:bottom w:w="40" w:type="dxa"/>
              <w:right w:w="20" w:type="dxa"/>
            </w:tcMar>
            <w:vAlign w:val="bottom"/>
          </w:tcPr>
          <w:p w14:paraId="098A9D8F" w14:textId="77777777" w:rsidR="00141CDF" w:rsidRDefault="00DF45E0">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098A9D90" w14:textId="77777777" w:rsidR="00141CDF" w:rsidRDefault="00141CDF">
            <w:pPr>
              <w:rPr>
                <w:rFonts w:ascii="宋体"/>
              </w:rPr>
            </w:pPr>
          </w:p>
        </w:tc>
        <w:tc>
          <w:tcPr>
            <w:tcW w:w="0" w:type="auto"/>
            <w:gridSpan w:val="9"/>
            <w:shd w:val="clear" w:color="auto" w:fill="auto"/>
            <w:tcMar>
              <w:top w:w="40" w:type="dxa"/>
              <w:left w:w="20" w:type="dxa"/>
              <w:bottom w:w="40" w:type="dxa"/>
              <w:right w:w="20" w:type="dxa"/>
            </w:tcMar>
            <w:vAlign w:val="bottom"/>
          </w:tcPr>
          <w:p w14:paraId="098A9D91" w14:textId="77777777" w:rsidR="00141CDF" w:rsidRDefault="00DF45E0">
            <w:pPr>
              <w:jc w:val="center"/>
              <w:textAlignment w:val="bottom"/>
            </w:pPr>
            <w:r>
              <w:rPr>
                <w:rFonts w:ascii="Times New Roman" w:eastAsia="宋体" w:hAnsi="Times New Roman"/>
                <w:b/>
                <w:bCs/>
                <w:color w:val="000000"/>
                <w:sz w:val="16"/>
                <w:szCs w:val="16"/>
              </w:rPr>
              <w:t>For the Trailing Twelve Months Ending July 31,</w:t>
            </w:r>
          </w:p>
        </w:tc>
      </w:tr>
      <w:tr w:rsidR="00141CDF" w14:paraId="098A9D98" w14:textId="77777777">
        <w:tc>
          <w:tcPr>
            <w:tcW w:w="0" w:type="auto"/>
            <w:gridSpan w:val="3"/>
            <w:shd w:val="clear" w:color="auto" w:fill="auto"/>
            <w:tcMar>
              <w:top w:w="40" w:type="dxa"/>
              <w:left w:w="20" w:type="dxa"/>
              <w:bottom w:w="40" w:type="dxa"/>
              <w:right w:w="20" w:type="dxa"/>
            </w:tcMar>
            <w:vAlign w:val="bottom"/>
          </w:tcPr>
          <w:p w14:paraId="098A9D93" w14:textId="77777777" w:rsidR="00141CDF" w:rsidRDefault="00DF45E0">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098A9D94" w14:textId="77777777" w:rsidR="00141CDF" w:rsidRDefault="00141CD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98A9D95" w14:textId="77777777" w:rsidR="00141CDF" w:rsidRDefault="00DF45E0">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9D96" w14:textId="77777777" w:rsidR="00141CDF" w:rsidRDefault="00141CD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98A9D97" w14:textId="77777777" w:rsidR="00141CDF" w:rsidRDefault="00DF45E0">
            <w:pPr>
              <w:jc w:val="center"/>
              <w:textAlignment w:val="bottom"/>
            </w:pPr>
            <w:r>
              <w:rPr>
                <w:rFonts w:ascii="Times New Roman" w:eastAsia="宋体" w:hAnsi="Times New Roman"/>
                <w:b/>
                <w:bCs/>
                <w:color w:val="000000"/>
                <w:sz w:val="16"/>
                <w:szCs w:val="16"/>
              </w:rPr>
              <w:t>2021</w:t>
            </w:r>
          </w:p>
        </w:tc>
      </w:tr>
      <w:tr w:rsidR="00141CDF" w14:paraId="098A9D9A" w14:textId="77777777">
        <w:tc>
          <w:tcPr>
            <w:tcW w:w="0" w:type="auto"/>
            <w:gridSpan w:val="15"/>
            <w:shd w:val="clear" w:color="auto" w:fill="CCEEFF"/>
            <w:tcMar>
              <w:top w:w="40" w:type="dxa"/>
              <w:left w:w="20" w:type="dxa"/>
              <w:bottom w:w="40" w:type="dxa"/>
              <w:right w:w="20" w:type="dxa"/>
            </w:tcMar>
            <w:vAlign w:val="center"/>
          </w:tcPr>
          <w:p w14:paraId="098A9D99" w14:textId="77777777" w:rsidR="00141CDF" w:rsidRDefault="00DF45E0">
            <w:pPr>
              <w:textAlignment w:val="center"/>
            </w:pPr>
            <w:r>
              <w:rPr>
                <w:rFonts w:ascii="Times New Roman" w:eastAsia="宋体" w:hAnsi="Times New Roman"/>
                <w:b/>
                <w:bCs/>
                <w:color w:val="000000"/>
                <w:sz w:val="16"/>
                <w:szCs w:val="16"/>
              </w:rPr>
              <w:t>CALCULATION OF RETURN ON ASSETS</w:t>
            </w:r>
          </w:p>
        </w:tc>
      </w:tr>
      <w:tr w:rsidR="00141CDF" w14:paraId="098A9DA0" w14:textId="77777777">
        <w:tc>
          <w:tcPr>
            <w:tcW w:w="0" w:type="auto"/>
            <w:gridSpan w:val="3"/>
            <w:shd w:val="clear" w:color="auto" w:fill="FFFFFF"/>
            <w:tcMar>
              <w:top w:w="40" w:type="dxa"/>
              <w:left w:w="20" w:type="dxa"/>
              <w:bottom w:w="40" w:type="dxa"/>
              <w:right w:w="20" w:type="dxa"/>
            </w:tcMar>
            <w:vAlign w:val="center"/>
          </w:tcPr>
          <w:p w14:paraId="098A9D9B" w14:textId="77777777" w:rsidR="00141CDF" w:rsidRDefault="00DF45E0">
            <w:pPr>
              <w:textAlignment w:val="center"/>
            </w:pPr>
            <w:r>
              <w:rPr>
                <w:rFonts w:ascii="Times New Roman" w:eastAsia="宋体" w:hAnsi="Times New Roman"/>
                <w:b/>
                <w:bCs/>
                <w:color w:val="000000"/>
                <w:sz w:val="16"/>
                <w:szCs w:val="16"/>
              </w:rPr>
              <w:t>Numerator</w:t>
            </w:r>
          </w:p>
        </w:tc>
        <w:tc>
          <w:tcPr>
            <w:tcW w:w="0" w:type="auto"/>
            <w:gridSpan w:val="3"/>
            <w:shd w:val="clear" w:color="auto" w:fill="FFFFFF"/>
            <w:tcMar>
              <w:top w:w="0" w:type="dxa"/>
              <w:left w:w="20" w:type="dxa"/>
              <w:bottom w:w="0" w:type="dxa"/>
              <w:right w:w="20" w:type="dxa"/>
            </w:tcMar>
            <w:vAlign w:val="bottom"/>
          </w:tcPr>
          <w:p w14:paraId="098A9D9C"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9D9D"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9D9E"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9D9F" w14:textId="77777777" w:rsidR="00141CDF" w:rsidRDefault="00141CDF">
            <w:pPr>
              <w:rPr>
                <w:rFonts w:ascii="宋体"/>
              </w:rPr>
            </w:pPr>
          </w:p>
        </w:tc>
      </w:tr>
      <w:tr w:rsidR="00141CDF" w14:paraId="098A9DAA" w14:textId="77777777">
        <w:tc>
          <w:tcPr>
            <w:tcW w:w="0" w:type="auto"/>
            <w:gridSpan w:val="3"/>
            <w:shd w:val="clear" w:color="auto" w:fill="CCEEFF"/>
            <w:tcMar>
              <w:top w:w="40" w:type="dxa"/>
              <w:left w:w="380" w:type="dxa"/>
              <w:bottom w:w="40" w:type="dxa"/>
              <w:right w:w="20" w:type="dxa"/>
            </w:tcMar>
            <w:vAlign w:val="center"/>
          </w:tcPr>
          <w:p w14:paraId="098A9DA1" w14:textId="77777777" w:rsidR="00141CDF" w:rsidRDefault="00DF45E0">
            <w:pPr>
              <w:textAlignment w:val="center"/>
            </w:pPr>
            <w:r>
              <w:rPr>
                <w:rFonts w:ascii="Times New Roman" w:eastAsia="宋体" w:hAnsi="Times New Roman"/>
                <w:color w:val="000000"/>
                <w:sz w:val="16"/>
                <w:szCs w:val="16"/>
              </w:rPr>
              <w:t>Consolidated net income</w:t>
            </w:r>
          </w:p>
        </w:tc>
        <w:tc>
          <w:tcPr>
            <w:tcW w:w="0" w:type="auto"/>
            <w:gridSpan w:val="3"/>
            <w:shd w:val="clear" w:color="auto" w:fill="CCEEFF"/>
            <w:tcMar>
              <w:top w:w="0" w:type="dxa"/>
              <w:left w:w="20" w:type="dxa"/>
              <w:bottom w:w="0" w:type="dxa"/>
              <w:right w:w="20" w:type="dxa"/>
            </w:tcMar>
            <w:vAlign w:val="bottom"/>
          </w:tcPr>
          <w:p w14:paraId="098A9DA2"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9DA3"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9DA4" w14:textId="77777777" w:rsidR="00141CDF" w:rsidRDefault="00DF45E0">
            <w:pPr>
              <w:jc w:val="right"/>
              <w:textAlignment w:val="center"/>
            </w:pPr>
            <w:r>
              <w:rPr>
                <w:rFonts w:ascii="Times New Roman" w:eastAsia="宋体" w:hAnsi="Times New Roman"/>
                <w:color w:val="000000"/>
                <w:sz w:val="16"/>
                <w:szCs w:val="16"/>
              </w:rPr>
              <w:t>14,015 </w:t>
            </w:r>
          </w:p>
        </w:tc>
        <w:tc>
          <w:tcPr>
            <w:tcW w:w="0" w:type="auto"/>
            <w:shd w:val="clear" w:color="auto" w:fill="CCEEFF"/>
            <w:tcMar>
              <w:top w:w="40" w:type="dxa"/>
              <w:left w:w="0" w:type="dxa"/>
              <w:bottom w:w="40" w:type="dxa"/>
              <w:right w:w="20" w:type="dxa"/>
            </w:tcMar>
            <w:vAlign w:val="center"/>
          </w:tcPr>
          <w:p w14:paraId="098A9DA5"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DA6"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9DA7"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9DA8" w14:textId="77777777" w:rsidR="00141CDF" w:rsidRDefault="00DF45E0">
            <w:pPr>
              <w:jc w:val="right"/>
              <w:textAlignment w:val="center"/>
            </w:pPr>
            <w:r>
              <w:rPr>
                <w:rFonts w:ascii="Times New Roman" w:eastAsia="宋体" w:hAnsi="Times New Roman"/>
                <w:color w:val="000000"/>
                <w:sz w:val="16"/>
                <w:szCs w:val="16"/>
              </w:rPr>
              <w:t>10,368 </w:t>
            </w:r>
          </w:p>
        </w:tc>
        <w:tc>
          <w:tcPr>
            <w:tcW w:w="0" w:type="auto"/>
            <w:shd w:val="clear" w:color="auto" w:fill="CCEEFF"/>
            <w:tcMar>
              <w:top w:w="40" w:type="dxa"/>
              <w:left w:w="0" w:type="dxa"/>
              <w:bottom w:w="40" w:type="dxa"/>
              <w:right w:w="20" w:type="dxa"/>
            </w:tcMar>
            <w:vAlign w:val="center"/>
          </w:tcPr>
          <w:p w14:paraId="098A9DA9" w14:textId="77777777" w:rsidR="00141CDF" w:rsidRDefault="00141CDF">
            <w:pPr>
              <w:jc w:val="right"/>
              <w:rPr>
                <w:rFonts w:ascii="宋体"/>
              </w:rPr>
            </w:pPr>
          </w:p>
        </w:tc>
      </w:tr>
      <w:tr w:rsidR="00141CDF" w14:paraId="098A9DB0" w14:textId="77777777">
        <w:tc>
          <w:tcPr>
            <w:tcW w:w="0" w:type="auto"/>
            <w:gridSpan w:val="3"/>
            <w:shd w:val="clear" w:color="auto" w:fill="FFFFFF"/>
            <w:tcMar>
              <w:top w:w="40" w:type="dxa"/>
              <w:left w:w="20" w:type="dxa"/>
              <w:bottom w:w="40" w:type="dxa"/>
              <w:right w:w="20" w:type="dxa"/>
            </w:tcMar>
            <w:vAlign w:val="center"/>
          </w:tcPr>
          <w:p w14:paraId="098A9DAB" w14:textId="77777777" w:rsidR="00141CDF" w:rsidRDefault="00DF45E0">
            <w:pPr>
              <w:textAlignment w:val="center"/>
            </w:pPr>
            <w:r>
              <w:rPr>
                <w:rFonts w:ascii="Times New Roman" w:eastAsia="宋体" w:hAnsi="Times New Roman"/>
                <w:b/>
                <w:bCs/>
                <w:color w:val="000000"/>
                <w:sz w:val="16"/>
                <w:szCs w:val="16"/>
              </w:rPr>
              <w:t>Denominator</w:t>
            </w:r>
          </w:p>
        </w:tc>
        <w:tc>
          <w:tcPr>
            <w:tcW w:w="0" w:type="auto"/>
            <w:gridSpan w:val="3"/>
            <w:shd w:val="clear" w:color="auto" w:fill="FFFFFF"/>
            <w:tcMar>
              <w:top w:w="0" w:type="dxa"/>
              <w:left w:w="20" w:type="dxa"/>
              <w:bottom w:w="0" w:type="dxa"/>
              <w:right w:w="20" w:type="dxa"/>
            </w:tcMar>
            <w:vAlign w:val="bottom"/>
          </w:tcPr>
          <w:p w14:paraId="098A9DAC" w14:textId="77777777" w:rsidR="00141CDF" w:rsidRDefault="00141CD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98A9DAD"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9DAE" w14:textId="77777777" w:rsidR="00141CDF" w:rsidRDefault="00141CD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98A9DAF" w14:textId="77777777" w:rsidR="00141CDF" w:rsidRDefault="00141CDF">
            <w:pPr>
              <w:rPr>
                <w:rFonts w:ascii="宋体"/>
              </w:rPr>
            </w:pPr>
          </w:p>
        </w:tc>
      </w:tr>
      <w:tr w:rsidR="00141CDF" w14:paraId="098A9DBA" w14:textId="77777777">
        <w:tc>
          <w:tcPr>
            <w:tcW w:w="0" w:type="auto"/>
            <w:gridSpan w:val="3"/>
            <w:shd w:val="clear" w:color="auto" w:fill="CCEEFF"/>
            <w:tcMar>
              <w:top w:w="40" w:type="dxa"/>
              <w:left w:w="20" w:type="dxa"/>
              <w:bottom w:w="40" w:type="dxa"/>
              <w:right w:w="20" w:type="dxa"/>
            </w:tcMar>
            <w:vAlign w:val="center"/>
          </w:tcPr>
          <w:p w14:paraId="098A9DB1" w14:textId="77777777" w:rsidR="00141CDF" w:rsidRDefault="00DF45E0">
            <w:pPr>
              <w:textAlignment w:val="center"/>
            </w:pPr>
            <w:r>
              <w:rPr>
                <w:rFonts w:ascii="Times New Roman" w:eastAsia="宋体" w:hAnsi="Times New Roman"/>
                <w:color w:val="000000"/>
                <w:sz w:val="16"/>
                <w:szCs w:val="16"/>
              </w:rPr>
              <w:t>Average total assets</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vAlign w:val="bottom"/>
          </w:tcPr>
          <w:p w14:paraId="098A9DB2"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9DB3"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9DB4" w14:textId="77777777" w:rsidR="00141CDF" w:rsidRDefault="00DF45E0">
            <w:pPr>
              <w:jc w:val="right"/>
              <w:textAlignment w:val="center"/>
            </w:pPr>
            <w:r>
              <w:rPr>
                <w:rFonts w:ascii="Times New Roman" w:eastAsia="宋体" w:hAnsi="Times New Roman"/>
                <w:color w:val="000000"/>
                <w:sz w:val="16"/>
                <w:szCs w:val="16"/>
              </w:rPr>
              <w:t>242,876 </w:t>
            </w:r>
          </w:p>
        </w:tc>
        <w:tc>
          <w:tcPr>
            <w:tcW w:w="0" w:type="auto"/>
            <w:shd w:val="clear" w:color="auto" w:fill="CCEEFF"/>
            <w:tcMar>
              <w:top w:w="40" w:type="dxa"/>
              <w:left w:w="0" w:type="dxa"/>
              <w:bottom w:w="40" w:type="dxa"/>
              <w:right w:w="20" w:type="dxa"/>
            </w:tcMar>
            <w:vAlign w:val="center"/>
          </w:tcPr>
          <w:p w14:paraId="098A9DB5"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DB6"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9DB7"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9DB8" w14:textId="77777777" w:rsidR="00141CDF" w:rsidRDefault="00DF45E0">
            <w:pPr>
              <w:jc w:val="right"/>
              <w:textAlignment w:val="center"/>
            </w:pPr>
            <w:r>
              <w:rPr>
                <w:rFonts w:ascii="Times New Roman" w:eastAsia="宋体" w:hAnsi="Times New Roman"/>
                <w:color w:val="000000"/>
                <w:sz w:val="16"/>
                <w:szCs w:val="16"/>
              </w:rPr>
              <w:t>237,967 </w:t>
            </w:r>
          </w:p>
        </w:tc>
        <w:tc>
          <w:tcPr>
            <w:tcW w:w="0" w:type="auto"/>
            <w:shd w:val="clear" w:color="auto" w:fill="CCEEFF"/>
            <w:tcMar>
              <w:top w:w="40" w:type="dxa"/>
              <w:left w:w="0" w:type="dxa"/>
              <w:bottom w:w="40" w:type="dxa"/>
              <w:right w:w="20" w:type="dxa"/>
            </w:tcMar>
            <w:vAlign w:val="center"/>
          </w:tcPr>
          <w:p w14:paraId="098A9DB9" w14:textId="77777777" w:rsidR="00141CDF" w:rsidRDefault="00141CDF">
            <w:pPr>
              <w:jc w:val="right"/>
              <w:rPr>
                <w:rFonts w:ascii="宋体"/>
              </w:rPr>
            </w:pPr>
          </w:p>
        </w:tc>
      </w:tr>
      <w:tr w:rsidR="00141CDF" w14:paraId="098A9DC2" w14:textId="77777777">
        <w:tc>
          <w:tcPr>
            <w:tcW w:w="0" w:type="auto"/>
            <w:gridSpan w:val="3"/>
            <w:shd w:val="clear" w:color="auto" w:fill="FFFFFF"/>
            <w:tcMar>
              <w:top w:w="40" w:type="dxa"/>
              <w:left w:w="20" w:type="dxa"/>
              <w:bottom w:w="40" w:type="dxa"/>
              <w:right w:w="20" w:type="dxa"/>
            </w:tcMar>
            <w:vAlign w:val="center"/>
          </w:tcPr>
          <w:p w14:paraId="098A9DBB" w14:textId="77777777" w:rsidR="00141CDF" w:rsidRDefault="00DF45E0">
            <w:pPr>
              <w:textAlignment w:val="center"/>
            </w:pPr>
            <w:r>
              <w:rPr>
                <w:rFonts w:ascii="Times New Roman" w:eastAsia="宋体" w:hAnsi="Times New Roman"/>
                <w:b/>
                <w:bCs/>
                <w:color w:val="000000"/>
                <w:sz w:val="16"/>
                <w:szCs w:val="16"/>
              </w:rPr>
              <w:t>Return on assets (ROA)</w:t>
            </w:r>
          </w:p>
        </w:tc>
        <w:tc>
          <w:tcPr>
            <w:tcW w:w="0" w:type="auto"/>
            <w:gridSpan w:val="3"/>
            <w:shd w:val="clear" w:color="auto" w:fill="FFFFFF"/>
            <w:tcMar>
              <w:top w:w="0" w:type="dxa"/>
              <w:left w:w="20" w:type="dxa"/>
              <w:bottom w:w="0" w:type="dxa"/>
              <w:right w:w="20" w:type="dxa"/>
            </w:tcMar>
            <w:vAlign w:val="bottom"/>
          </w:tcPr>
          <w:p w14:paraId="098A9DBC" w14:textId="77777777" w:rsidR="00141CDF" w:rsidRDefault="00141C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98A9DBD" w14:textId="77777777" w:rsidR="00141CDF" w:rsidRDefault="00DF45E0">
            <w:pPr>
              <w:jc w:val="right"/>
              <w:textAlignment w:val="center"/>
            </w:pPr>
            <w:r>
              <w:rPr>
                <w:rFonts w:ascii="Times New Roman" w:eastAsia="宋体" w:hAnsi="Times New Roman"/>
                <w:color w:val="000000"/>
                <w:sz w:val="16"/>
                <w:szCs w:val="16"/>
              </w:rPr>
              <w:t>5.8 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9DBE"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098A9DBF" w14:textId="77777777" w:rsidR="00141CDF" w:rsidRDefault="00141C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98A9DC0" w14:textId="77777777" w:rsidR="00141CDF" w:rsidRDefault="00DF45E0">
            <w:pPr>
              <w:jc w:val="right"/>
              <w:textAlignment w:val="center"/>
            </w:pPr>
            <w:r>
              <w:rPr>
                <w:rFonts w:ascii="Times New Roman" w:eastAsia="宋体" w:hAnsi="Times New Roman"/>
                <w:color w:val="000000"/>
                <w:sz w:val="16"/>
                <w:szCs w:val="16"/>
              </w:rPr>
              <w:t>4.4 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9DC1" w14:textId="77777777" w:rsidR="00141CDF" w:rsidRDefault="00DF45E0">
            <w:pPr>
              <w:jc w:val="right"/>
              <w:textAlignment w:val="center"/>
            </w:pPr>
            <w:r>
              <w:rPr>
                <w:rFonts w:ascii="Times New Roman" w:eastAsia="宋体" w:hAnsi="Times New Roman"/>
                <w:color w:val="000000"/>
                <w:sz w:val="16"/>
                <w:szCs w:val="16"/>
              </w:rPr>
              <w:t>%</w:t>
            </w:r>
          </w:p>
        </w:tc>
      </w:tr>
      <w:tr w:rsidR="00141CDF" w14:paraId="098A9DC8" w14:textId="77777777">
        <w:trPr>
          <w:trHeight w:val="220"/>
        </w:trPr>
        <w:tc>
          <w:tcPr>
            <w:tcW w:w="0" w:type="auto"/>
            <w:gridSpan w:val="3"/>
            <w:shd w:val="clear" w:color="auto" w:fill="CCEEFF"/>
            <w:tcMar>
              <w:top w:w="0" w:type="dxa"/>
              <w:left w:w="20" w:type="dxa"/>
              <w:bottom w:w="0" w:type="dxa"/>
              <w:right w:w="20" w:type="dxa"/>
            </w:tcMar>
            <w:vAlign w:val="bottom"/>
          </w:tcPr>
          <w:p w14:paraId="098A9DC3"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9DC4" w14:textId="77777777" w:rsidR="00141CDF" w:rsidRDefault="00141CD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98A9DC5"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9DC6" w14:textId="77777777" w:rsidR="00141CDF" w:rsidRDefault="00141CD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98A9DC7" w14:textId="77777777" w:rsidR="00141CDF" w:rsidRDefault="00141CDF">
            <w:pPr>
              <w:rPr>
                <w:rFonts w:ascii="宋体"/>
              </w:rPr>
            </w:pPr>
          </w:p>
        </w:tc>
      </w:tr>
      <w:tr w:rsidR="00141CDF" w14:paraId="098A9DCA" w14:textId="77777777">
        <w:tc>
          <w:tcPr>
            <w:tcW w:w="0" w:type="auto"/>
            <w:gridSpan w:val="15"/>
            <w:shd w:val="clear" w:color="auto" w:fill="FFFFFF"/>
            <w:tcMar>
              <w:top w:w="40" w:type="dxa"/>
              <w:left w:w="20" w:type="dxa"/>
              <w:bottom w:w="40" w:type="dxa"/>
              <w:right w:w="20" w:type="dxa"/>
            </w:tcMar>
            <w:vAlign w:val="center"/>
          </w:tcPr>
          <w:p w14:paraId="098A9DC9" w14:textId="77777777" w:rsidR="00141CDF" w:rsidRDefault="00DF45E0">
            <w:pPr>
              <w:textAlignment w:val="center"/>
            </w:pPr>
            <w:r>
              <w:rPr>
                <w:rFonts w:ascii="Times New Roman" w:eastAsia="宋体" w:hAnsi="Times New Roman"/>
                <w:b/>
                <w:bCs/>
                <w:color w:val="000000"/>
                <w:sz w:val="16"/>
                <w:szCs w:val="16"/>
              </w:rPr>
              <w:t>CALCULATION OF RETURN ON INVESTMENT</w:t>
            </w:r>
          </w:p>
        </w:tc>
      </w:tr>
      <w:tr w:rsidR="00141CDF" w14:paraId="098A9DD0" w14:textId="77777777">
        <w:tc>
          <w:tcPr>
            <w:tcW w:w="0" w:type="auto"/>
            <w:gridSpan w:val="3"/>
            <w:shd w:val="clear" w:color="auto" w:fill="CCEEFF"/>
            <w:tcMar>
              <w:top w:w="40" w:type="dxa"/>
              <w:left w:w="20" w:type="dxa"/>
              <w:bottom w:w="40" w:type="dxa"/>
              <w:right w:w="20" w:type="dxa"/>
            </w:tcMar>
            <w:vAlign w:val="center"/>
          </w:tcPr>
          <w:p w14:paraId="098A9DCB" w14:textId="77777777" w:rsidR="00141CDF" w:rsidRDefault="00DF45E0">
            <w:pPr>
              <w:textAlignment w:val="center"/>
            </w:pPr>
            <w:r>
              <w:rPr>
                <w:rFonts w:ascii="Times New Roman" w:eastAsia="宋体" w:hAnsi="Times New Roman"/>
                <w:b/>
                <w:bCs/>
                <w:color w:val="000000"/>
                <w:sz w:val="16"/>
                <w:szCs w:val="16"/>
              </w:rPr>
              <w:t>Numerator</w:t>
            </w:r>
          </w:p>
        </w:tc>
        <w:tc>
          <w:tcPr>
            <w:tcW w:w="0" w:type="auto"/>
            <w:gridSpan w:val="3"/>
            <w:shd w:val="clear" w:color="auto" w:fill="CCEEFF"/>
            <w:tcMar>
              <w:top w:w="0" w:type="dxa"/>
              <w:left w:w="20" w:type="dxa"/>
              <w:bottom w:w="0" w:type="dxa"/>
              <w:right w:w="20" w:type="dxa"/>
            </w:tcMar>
            <w:vAlign w:val="bottom"/>
          </w:tcPr>
          <w:p w14:paraId="098A9DCC"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9DCD"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9DCE"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9DCF" w14:textId="77777777" w:rsidR="00141CDF" w:rsidRDefault="00141CDF">
            <w:pPr>
              <w:rPr>
                <w:rFonts w:ascii="宋体"/>
              </w:rPr>
            </w:pPr>
          </w:p>
        </w:tc>
      </w:tr>
      <w:tr w:rsidR="00141CDF" w14:paraId="098A9DDA" w14:textId="77777777">
        <w:tc>
          <w:tcPr>
            <w:tcW w:w="0" w:type="auto"/>
            <w:gridSpan w:val="3"/>
            <w:shd w:val="clear" w:color="auto" w:fill="FFFFFF"/>
            <w:tcMar>
              <w:top w:w="40" w:type="dxa"/>
              <w:left w:w="380" w:type="dxa"/>
              <w:bottom w:w="40" w:type="dxa"/>
              <w:right w:w="20" w:type="dxa"/>
            </w:tcMar>
            <w:vAlign w:val="center"/>
          </w:tcPr>
          <w:p w14:paraId="098A9DD1" w14:textId="77777777" w:rsidR="00141CDF" w:rsidRDefault="00DF45E0">
            <w:pPr>
              <w:textAlignment w:val="center"/>
            </w:pPr>
            <w:r>
              <w:rPr>
                <w:rFonts w:ascii="Times New Roman" w:eastAsia="宋体" w:hAnsi="Times New Roman"/>
                <w:color w:val="000000"/>
                <w:sz w:val="16"/>
                <w:szCs w:val="16"/>
              </w:rPr>
              <w:t>Operating income</w:t>
            </w:r>
          </w:p>
        </w:tc>
        <w:tc>
          <w:tcPr>
            <w:tcW w:w="0" w:type="auto"/>
            <w:gridSpan w:val="3"/>
            <w:shd w:val="clear" w:color="auto" w:fill="FFFFFF"/>
            <w:tcMar>
              <w:top w:w="0" w:type="dxa"/>
              <w:left w:w="20" w:type="dxa"/>
              <w:bottom w:w="0" w:type="dxa"/>
              <w:right w:w="20" w:type="dxa"/>
            </w:tcMar>
            <w:vAlign w:val="bottom"/>
          </w:tcPr>
          <w:p w14:paraId="098A9DD2" w14:textId="77777777" w:rsidR="00141CDF" w:rsidRDefault="00141CDF">
            <w:pPr>
              <w:rPr>
                <w:rFonts w:ascii="宋体"/>
              </w:rPr>
            </w:pPr>
          </w:p>
        </w:tc>
        <w:tc>
          <w:tcPr>
            <w:tcW w:w="0" w:type="auto"/>
            <w:shd w:val="clear" w:color="auto" w:fill="FFFFFF"/>
            <w:tcMar>
              <w:top w:w="40" w:type="dxa"/>
              <w:left w:w="20" w:type="dxa"/>
              <w:bottom w:w="40" w:type="dxa"/>
              <w:right w:w="0" w:type="dxa"/>
            </w:tcMar>
            <w:vAlign w:val="center"/>
          </w:tcPr>
          <w:p w14:paraId="098A9DD3"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098A9DD4" w14:textId="77777777" w:rsidR="00141CDF" w:rsidRDefault="00DF45E0">
            <w:pPr>
              <w:jc w:val="right"/>
              <w:textAlignment w:val="center"/>
            </w:pPr>
            <w:r>
              <w:rPr>
                <w:rFonts w:ascii="Times New Roman" w:eastAsia="宋体" w:hAnsi="Times New Roman"/>
                <w:color w:val="000000"/>
                <w:sz w:val="16"/>
                <w:szCs w:val="16"/>
              </w:rPr>
              <w:t>23,851 </w:t>
            </w:r>
          </w:p>
        </w:tc>
        <w:tc>
          <w:tcPr>
            <w:tcW w:w="0" w:type="auto"/>
            <w:shd w:val="clear" w:color="auto" w:fill="FFFFFF"/>
            <w:tcMar>
              <w:top w:w="40" w:type="dxa"/>
              <w:left w:w="0" w:type="dxa"/>
              <w:bottom w:w="40" w:type="dxa"/>
              <w:right w:w="20" w:type="dxa"/>
            </w:tcMar>
            <w:vAlign w:val="center"/>
          </w:tcPr>
          <w:p w14:paraId="098A9DD5"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DD6" w14:textId="77777777" w:rsidR="00141CDF" w:rsidRDefault="00141CDF">
            <w:pPr>
              <w:rPr>
                <w:rFonts w:ascii="宋体"/>
              </w:rPr>
            </w:pPr>
          </w:p>
        </w:tc>
        <w:tc>
          <w:tcPr>
            <w:tcW w:w="0" w:type="auto"/>
            <w:shd w:val="clear" w:color="auto" w:fill="FFFFFF"/>
            <w:tcMar>
              <w:top w:w="40" w:type="dxa"/>
              <w:left w:w="20" w:type="dxa"/>
              <w:bottom w:w="40" w:type="dxa"/>
              <w:right w:w="0" w:type="dxa"/>
            </w:tcMar>
            <w:vAlign w:val="center"/>
          </w:tcPr>
          <w:p w14:paraId="098A9DD7"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098A9DD8" w14:textId="77777777" w:rsidR="00141CDF" w:rsidRDefault="00DF45E0">
            <w:pPr>
              <w:jc w:val="right"/>
              <w:textAlignment w:val="center"/>
            </w:pPr>
            <w:r>
              <w:rPr>
                <w:rFonts w:ascii="Times New Roman" w:eastAsia="宋体" w:hAnsi="Times New Roman"/>
                <w:color w:val="000000"/>
                <w:sz w:val="16"/>
                <w:szCs w:val="16"/>
              </w:rPr>
              <w:t>25,528 </w:t>
            </w:r>
          </w:p>
        </w:tc>
        <w:tc>
          <w:tcPr>
            <w:tcW w:w="0" w:type="auto"/>
            <w:shd w:val="clear" w:color="auto" w:fill="FFFFFF"/>
            <w:tcMar>
              <w:top w:w="40" w:type="dxa"/>
              <w:left w:w="0" w:type="dxa"/>
              <w:bottom w:w="40" w:type="dxa"/>
              <w:right w:w="20" w:type="dxa"/>
            </w:tcMar>
            <w:vAlign w:val="center"/>
          </w:tcPr>
          <w:p w14:paraId="098A9DD9" w14:textId="77777777" w:rsidR="00141CDF" w:rsidRDefault="00141CDF">
            <w:pPr>
              <w:jc w:val="right"/>
              <w:rPr>
                <w:rFonts w:ascii="宋体"/>
              </w:rPr>
            </w:pPr>
          </w:p>
        </w:tc>
      </w:tr>
      <w:tr w:rsidR="00141CDF" w14:paraId="098A9DE2" w14:textId="77777777">
        <w:tc>
          <w:tcPr>
            <w:tcW w:w="0" w:type="auto"/>
            <w:gridSpan w:val="3"/>
            <w:shd w:val="clear" w:color="auto" w:fill="CCEEFF"/>
            <w:tcMar>
              <w:top w:w="40" w:type="dxa"/>
              <w:left w:w="380" w:type="dxa"/>
              <w:bottom w:w="40" w:type="dxa"/>
              <w:right w:w="20" w:type="dxa"/>
            </w:tcMar>
            <w:vAlign w:val="center"/>
          </w:tcPr>
          <w:p w14:paraId="098A9DDB" w14:textId="77777777" w:rsidR="00141CDF" w:rsidRDefault="00DF45E0">
            <w:pPr>
              <w:textAlignment w:val="center"/>
            </w:pPr>
            <w:r>
              <w:rPr>
                <w:rFonts w:ascii="Times New Roman" w:eastAsia="宋体" w:hAnsi="Times New Roman"/>
                <w:color w:val="000000"/>
                <w:sz w:val="16"/>
                <w:szCs w:val="16"/>
              </w:rPr>
              <w:t>+ Interest income</w:t>
            </w:r>
          </w:p>
        </w:tc>
        <w:tc>
          <w:tcPr>
            <w:tcW w:w="0" w:type="auto"/>
            <w:gridSpan w:val="3"/>
            <w:shd w:val="clear" w:color="auto" w:fill="CCEEFF"/>
            <w:tcMar>
              <w:top w:w="0" w:type="dxa"/>
              <w:left w:w="20" w:type="dxa"/>
              <w:bottom w:w="0" w:type="dxa"/>
              <w:right w:w="20" w:type="dxa"/>
            </w:tcMar>
            <w:vAlign w:val="bottom"/>
          </w:tcPr>
          <w:p w14:paraId="098A9DDC"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DDD" w14:textId="77777777" w:rsidR="00141CDF" w:rsidRDefault="00DF45E0">
            <w:pPr>
              <w:jc w:val="right"/>
              <w:textAlignment w:val="center"/>
            </w:pPr>
            <w:r>
              <w:rPr>
                <w:rFonts w:ascii="Times New Roman" w:eastAsia="宋体" w:hAnsi="Times New Roman"/>
                <w:color w:val="000000"/>
                <w:sz w:val="16"/>
                <w:szCs w:val="16"/>
              </w:rPr>
              <w:t>155 </w:t>
            </w:r>
          </w:p>
        </w:tc>
        <w:tc>
          <w:tcPr>
            <w:tcW w:w="0" w:type="auto"/>
            <w:shd w:val="clear" w:color="auto" w:fill="CCEEFF"/>
            <w:tcMar>
              <w:top w:w="40" w:type="dxa"/>
              <w:left w:w="0" w:type="dxa"/>
              <w:bottom w:w="40" w:type="dxa"/>
              <w:right w:w="20" w:type="dxa"/>
            </w:tcMar>
            <w:vAlign w:val="center"/>
          </w:tcPr>
          <w:p w14:paraId="098A9DDE"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DDF"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DE0" w14:textId="77777777" w:rsidR="00141CDF" w:rsidRDefault="00DF45E0">
            <w:pPr>
              <w:jc w:val="right"/>
              <w:textAlignment w:val="center"/>
            </w:pPr>
            <w:r>
              <w:rPr>
                <w:rFonts w:ascii="Times New Roman" w:eastAsia="宋体" w:hAnsi="Times New Roman"/>
                <w:color w:val="000000"/>
                <w:sz w:val="16"/>
                <w:szCs w:val="16"/>
              </w:rPr>
              <w:t>122 </w:t>
            </w:r>
          </w:p>
        </w:tc>
        <w:tc>
          <w:tcPr>
            <w:tcW w:w="0" w:type="auto"/>
            <w:shd w:val="clear" w:color="auto" w:fill="CCEEFF"/>
            <w:tcMar>
              <w:top w:w="40" w:type="dxa"/>
              <w:left w:w="0" w:type="dxa"/>
              <w:bottom w:w="40" w:type="dxa"/>
              <w:right w:w="20" w:type="dxa"/>
            </w:tcMar>
            <w:vAlign w:val="center"/>
          </w:tcPr>
          <w:p w14:paraId="098A9DE1" w14:textId="77777777" w:rsidR="00141CDF" w:rsidRDefault="00141CDF">
            <w:pPr>
              <w:jc w:val="right"/>
              <w:rPr>
                <w:rFonts w:ascii="宋体"/>
              </w:rPr>
            </w:pPr>
          </w:p>
        </w:tc>
      </w:tr>
      <w:tr w:rsidR="00141CDF" w14:paraId="098A9DEA" w14:textId="77777777">
        <w:tc>
          <w:tcPr>
            <w:tcW w:w="0" w:type="auto"/>
            <w:gridSpan w:val="3"/>
            <w:shd w:val="clear" w:color="auto" w:fill="FFFFFF"/>
            <w:tcMar>
              <w:top w:w="40" w:type="dxa"/>
              <w:left w:w="380" w:type="dxa"/>
              <w:bottom w:w="40" w:type="dxa"/>
              <w:right w:w="20" w:type="dxa"/>
            </w:tcMar>
            <w:vAlign w:val="center"/>
          </w:tcPr>
          <w:p w14:paraId="098A9DE3" w14:textId="77777777" w:rsidR="00141CDF" w:rsidRDefault="00DF45E0">
            <w:pPr>
              <w:textAlignment w:val="center"/>
            </w:pPr>
            <w:r>
              <w:rPr>
                <w:rFonts w:ascii="Times New Roman" w:eastAsia="宋体" w:hAnsi="Times New Roman"/>
                <w:color w:val="000000"/>
                <w:sz w:val="16"/>
                <w:szCs w:val="16"/>
              </w:rPr>
              <w:t>+ Depreciation and amortization</w:t>
            </w:r>
          </w:p>
        </w:tc>
        <w:tc>
          <w:tcPr>
            <w:tcW w:w="0" w:type="auto"/>
            <w:gridSpan w:val="3"/>
            <w:shd w:val="clear" w:color="auto" w:fill="FFFFFF"/>
            <w:tcMar>
              <w:top w:w="0" w:type="dxa"/>
              <w:left w:w="20" w:type="dxa"/>
              <w:bottom w:w="0" w:type="dxa"/>
              <w:right w:w="20" w:type="dxa"/>
            </w:tcMar>
            <w:vAlign w:val="bottom"/>
          </w:tcPr>
          <w:p w14:paraId="098A9DE4"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DE5" w14:textId="77777777" w:rsidR="00141CDF" w:rsidRDefault="00DF45E0">
            <w:pPr>
              <w:jc w:val="right"/>
              <w:textAlignment w:val="center"/>
            </w:pPr>
            <w:r>
              <w:rPr>
                <w:rFonts w:ascii="Times New Roman" w:eastAsia="宋体" w:hAnsi="Times New Roman"/>
                <w:color w:val="000000"/>
                <w:sz w:val="16"/>
                <w:szCs w:val="16"/>
              </w:rPr>
              <w:t>10,733 </w:t>
            </w:r>
          </w:p>
        </w:tc>
        <w:tc>
          <w:tcPr>
            <w:tcW w:w="0" w:type="auto"/>
            <w:shd w:val="clear" w:color="auto" w:fill="FFFFFF"/>
            <w:tcMar>
              <w:top w:w="40" w:type="dxa"/>
              <w:left w:w="0" w:type="dxa"/>
              <w:bottom w:w="40" w:type="dxa"/>
              <w:right w:w="20" w:type="dxa"/>
            </w:tcMar>
            <w:vAlign w:val="center"/>
          </w:tcPr>
          <w:p w14:paraId="098A9DE6"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DE7"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DE8" w14:textId="77777777" w:rsidR="00141CDF" w:rsidRDefault="00DF45E0">
            <w:pPr>
              <w:jc w:val="right"/>
              <w:textAlignment w:val="center"/>
            </w:pPr>
            <w:r>
              <w:rPr>
                <w:rFonts w:ascii="Times New Roman" w:eastAsia="宋体" w:hAnsi="Times New Roman"/>
                <w:color w:val="000000"/>
                <w:sz w:val="16"/>
                <w:szCs w:val="16"/>
              </w:rPr>
              <w:t>10,892 </w:t>
            </w:r>
          </w:p>
        </w:tc>
        <w:tc>
          <w:tcPr>
            <w:tcW w:w="0" w:type="auto"/>
            <w:shd w:val="clear" w:color="auto" w:fill="FFFFFF"/>
            <w:tcMar>
              <w:top w:w="40" w:type="dxa"/>
              <w:left w:w="0" w:type="dxa"/>
              <w:bottom w:w="40" w:type="dxa"/>
              <w:right w:w="20" w:type="dxa"/>
            </w:tcMar>
            <w:vAlign w:val="center"/>
          </w:tcPr>
          <w:p w14:paraId="098A9DE9" w14:textId="77777777" w:rsidR="00141CDF" w:rsidRDefault="00141CDF">
            <w:pPr>
              <w:jc w:val="right"/>
              <w:rPr>
                <w:rFonts w:ascii="宋体"/>
              </w:rPr>
            </w:pPr>
          </w:p>
        </w:tc>
      </w:tr>
      <w:tr w:rsidR="00141CDF" w14:paraId="098A9DF2" w14:textId="77777777">
        <w:tc>
          <w:tcPr>
            <w:tcW w:w="0" w:type="auto"/>
            <w:gridSpan w:val="3"/>
            <w:shd w:val="clear" w:color="auto" w:fill="CCEEFF"/>
            <w:tcMar>
              <w:top w:w="40" w:type="dxa"/>
              <w:left w:w="380" w:type="dxa"/>
              <w:bottom w:w="40" w:type="dxa"/>
              <w:right w:w="20" w:type="dxa"/>
            </w:tcMar>
            <w:vAlign w:val="center"/>
          </w:tcPr>
          <w:p w14:paraId="098A9DEB" w14:textId="77777777" w:rsidR="00141CDF" w:rsidRDefault="00DF45E0">
            <w:pPr>
              <w:textAlignment w:val="center"/>
            </w:pPr>
            <w:r>
              <w:rPr>
                <w:rFonts w:ascii="Times New Roman" w:eastAsia="宋体" w:hAnsi="Times New Roman"/>
                <w:color w:val="000000"/>
                <w:sz w:val="16"/>
                <w:szCs w:val="16"/>
              </w:rPr>
              <w:t xml:space="preserve">+ </w:t>
            </w:r>
            <w:r>
              <w:rPr>
                <w:rFonts w:ascii="Times New Roman" w:eastAsia="宋体" w:hAnsi="Times New Roman"/>
                <w:color w:val="000000"/>
                <w:sz w:val="16"/>
                <w:szCs w:val="16"/>
              </w:rPr>
              <w:t>Rent</w:t>
            </w:r>
          </w:p>
        </w:tc>
        <w:tc>
          <w:tcPr>
            <w:tcW w:w="0" w:type="auto"/>
            <w:gridSpan w:val="3"/>
            <w:shd w:val="clear" w:color="auto" w:fill="CCEEFF"/>
            <w:tcMar>
              <w:top w:w="0" w:type="dxa"/>
              <w:left w:w="20" w:type="dxa"/>
              <w:bottom w:w="0" w:type="dxa"/>
              <w:right w:w="20" w:type="dxa"/>
            </w:tcMar>
            <w:vAlign w:val="bottom"/>
          </w:tcPr>
          <w:p w14:paraId="098A9DEC"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DED" w14:textId="77777777" w:rsidR="00141CDF" w:rsidRDefault="00DF45E0">
            <w:pPr>
              <w:jc w:val="right"/>
              <w:textAlignment w:val="center"/>
            </w:pPr>
            <w:r>
              <w:rPr>
                <w:rFonts w:ascii="Times New Roman" w:eastAsia="宋体" w:hAnsi="Times New Roman"/>
                <w:color w:val="000000"/>
                <w:sz w:val="16"/>
                <w:szCs w:val="16"/>
              </w:rPr>
              <w:t>2,302 </w:t>
            </w:r>
          </w:p>
        </w:tc>
        <w:tc>
          <w:tcPr>
            <w:tcW w:w="0" w:type="auto"/>
            <w:shd w:val="clear" w:color="auto" w:fill="CCEEFF"/>
            <w:tcMar>
              <w:top w:w="40" w:type="dxa"/>
              <w:left w:w="0" w:type="dxa"/>
              <w:bottom w:w="40" w:type="dxa"/>
              <w:right w:w="20" w:type="dxa"/>
            </w:tcMar>
            <w:vAlign w:val="center"/>
          </w:tcPr>
          <w:p w14:paraId="098A9DEE"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DEF"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DF0" w14:textId="77777777" w:rsidR="00141CDF" w:rsidRDefault="00DF45E0">
            <w:pPr>
              <w:jc w:val="right"/>
              <w:textAlignment w:val="center"/>
            </w:pPr>
            <w:r>
              <w:rPr>
                <w:rFonts w:ascii="Times New Roman" w:eastAsia="宋体" w:hAnsi="Times New Roman"/>
                <w:color w:val="000000"/>
                <w:sz w:val="16"/>
                <w:szCs w:val="16"/>
              </w:rPr>
              <w:t>2,451 </w:t>
            </w:r>
          </w:p>
        </w:tc>
        <w:tc>
          <w:tcPr>
            <w:tcW w:w="0" w:type="auto"/>
            <w:shd w:val="clear" w:color="auto" w:fill="CCEEFF"/>
            <w:tcMar>
              <w:top w:w="40" w:type="dxa"/>
              <w:left w:w="0" w:type="dxa"/>
              <w:bottom w:w="40" w:type="dxa"/>
              <w:right w:w="20" w:type="dxa"/>
            </w:tcMar>
            <w:vAlign w:val="center"/>
          </w:tcPr>
          <w:p w14:paraId="098A9DF1" w14:textId="77777777" w:rsidR="00141CDF" w:rsidRDefault="00141CDF">
            <w:pPr>
              <w:jc w:val="right"/>
              <w:rPr>
                <w:rFonts w:ascii="宋体"/>
              </w:rPr>
            </w:pPr>
          </w:p>
        </w:tc>
      </w:tr>
      <w:tr w:rsidR="00141CDF" w14:paraId="098A9DFC" w14:textId="77777777">
        <w:tc>
          <w:tcPr>
            <w:tcW w:w="0" w:type="auto"/>
            <w:gridSpan w:val="3"/>
            <w:shd w:val="clear" w:color="auto" w:fill="FFFFFF"/>
            <w:tcMar>
              <w:top w:w="40" w:type="dxa"/>
              <w:left w:w="380" w:type="dxa"/>
              <w:bottom w:w="40" w:type="dxa"/>
              <w:right w:w="20" w:type="dxa"/>
            </w:tcMar>
            <w:vAlign w:val="center"/>
          </w:tcPr>
          <w:p w14:paraId="098A9DF3" w14:textId="77777777" w:rsidR="00141CDF" w:rsidRDefault="00DF45E0">
            <w:pPr>
              <w:textAlignment w:val="center"/>
            </w:pPr>
            <w:r>
              <w:rPr>
                <w:rFonts w:ascii="Times New Roman" w:eastAsia="宋体" w:hAnsi="Times New Roman"/>
                <w:color w:val="000000"/>
                <w:sz w:val="16"/>
                <w:szCs w:val="16"/>
              </w:rPr>
              <w:t>= ROI operating income</w:t>
            </w:r>
          </w:p>
        </w:tc>
        <w:tc>
          <w:tcPr>
            <w:tcW w:w="0" w:type="auto"/>
            <w:gridSpan w:val="3"/>
            <w:shd w:val="clear" w:color="auto" w:fill="FFFFFF"/>
            <w:tcMar>
              <w:top w:w="0" w:type="dxa"/>
              <w:left w:w="20" w:type="dxa"/>
              <w:bottom w:w="0" w:type="dxa"/>
              <w:right w:w="20" w:type="dxa"/>
            </w:tcMar>
            <w:vAlign w:val="bottom"/>
          </w:tcPr>
          <w:p w14:paraId="098A9DF4" w14:textId="77777777" w:rsidR="00141CDF" w:rsidRDefault="00141C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98A9DF5"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98A9DF6" w14:textId="77777777" w:rsidR="00141CDF" w:rsidRDefault="00DF45E0">
            <w:pPr>
              <w:jc w:val="right"/>
              <w:textAlignment w:val="center"/>
            </w:pPr>
            <w:r>
              <w:rPr>
                <w:rFonts w:ascii="Times New Roman" w:eastAsia="宋体" w:hAnsi="Times New Roman"/>
                <w:color w:val="000000"/>
                <w:sz w:val="16"/>
                <w:szCs w:val="16"/>
              </w:rPr>
              <w:t>37,041 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9DF7"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DF8" w14:textId="77777777" w:rsidR="00141CDF" w:rsidRDefault="00141C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98A9DF9"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98A9DFA" w14:textId="77777777" w:rsidR="00141CDF" w:rsidRDefault="00DF45E0">
            <w:pPr>
              <w:jc w:val="right"/>
              <w:textAlignment w:val="center"/>
            </w:pPr>
            <w:r>
              <w:rPr>
                <w:rFonts w:ascii="Times New Roman" w:eastAsia="宋体" w:hAnsi="Times New Roman"/>
                <w:color w:val="000000"/>
                <w:sz w:val="16"/>
                <w:szCs w:val="16"/>
              </w:rPr>
              <w:t>38,993 </w:t>
            </w:r>
          </w:p>
        </w:tc>
        <w:tc>
          <w:tcPr>
            <w:tcW w:w="0" w:type="auto"/>
            <w:tcBorders>
              <w:top w:val="single" w:sz="8" w:space="0" w:color="000000"/>
            </w:tcBorders>
            <w:shd w:val="clear" w:color="auto" w:fill="FFFFFF"/>
            <w:tcMar>
              <w:top w:w="40" w:type="dxa"/>
              <w:left w:w="0" w:type="dxa"/>
              <w:bottom w:w="40" w:type="dxa"/>
              <w:right w:w="20" w:type="dxa"/>
            </w:tcMar>
            <w:vAlign w:val="center"/>
          </w:tcPr>
          <w:p w14:paraId="098A9DFB" w14:textId="77777777" w:rsidR="00141CDF" w:rsidRDefault="00141CDF">
            <w:pPr>
              <w:jc w:val="right"/>
              <w:rPr>
                <w:rFonts w:ascii="宋体"/>
              </w:rPr>
            </w:pPr>
          </w:p>
        </w:tc>
      </w:tr>
      <w:tr w:rsidR="00141CDF" w14:paraId="098A9E02" w14:textId="77777777">
        <w:trPr>
          <w:trHeight w:val="220"/>
        </w:trPr>
        <w:tc>
          <w:tcPr>
            <w:tcW w:w="0" w:type="auto"/>
            <w:gridSpan w:val="3"/>
            <w:shd w:val="clear" w:color="auto" w:fill="CCEEFF"/>
            <w:tcMar>
              <w:top w:w="0" w:type="dxa"/>
              <w:left w:w="20" w:type="dxa"/>
              <w:bottom w:w="0" w:type="dxa"/>
              <w:right w:w="20" w:type="dxa"/>
            </w:tcMar>
            <w:vAlign w:val="bottom"/>
          </w:tcPr>
          <w:p w14:paraId="098A9DFD"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9DFE" w14:textId="77777777" w:rsidR="00141CDF" w:rsidRDefault="00141CD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98A9DFF"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9E00" w14:textId="77777777" w:rsidR="00141CDF" w:rsidRDefault="00141CD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98A9E01" w14:textId="77777777" w:rsidR="00141CDF" w:rsidRDefault="00141CDF">
            <w:pPr>
              <w:rPr>
                <w:rFonts w:ascii="宋体"/>
              </w:rPr>
            </w:pPr>
          </w:p>
        </w:tc>
      </w:tr>
      <w:tr w:rsidR="00141CDF" w14:paraId="098A9E08" w14:textId="77777777">
        <w:tc>
          <w:tcPr>
            <w:tcW w:w="0" w:type="auto"/>
            <w:gridSpan w:val="3"/>
            <w:shd w:val="clear" w:color="auto" w:fill="FFFFFF"/>
            <w:tcMar>
              <w:top w:w="40" w:type="dxa"/>
              <w:left w:w="20" w:type="dxa"/>
              <w:bottom w:w="40" w:type="dxa"/>
              <w:right w:w="20" w:type="dxa"/>
            </w:tcMar>
            <w:vAlign w:val="center"/>
          </w:tcPr>
          <w:p w14:paraId="098A9E03" w14:textId="77777777" w:rsidR="00141CDF" w:rsidRDefault="00DF45E0">
            <w:pPr>
              <w:textAlignment w:val="center"/>
            </w:pPr>
            <w:r>
              <w:rPr>
                <w:rFonts w:ascii="Times New Roman" w:eastAsia="宋体" w:hAnsi="Times New Roman"/>
                <w:b/>
                <w:bCs/>
                <w:color w:val="000000"/>
                <w:sz w:val="16"/>
                <w:szCs w:val="16"/>
              </w:rPr>
              <w:t>Denominator</w:t>
            </w:r>
          </w:p>
        </w:tc>
        <w:tc>
          <w:tcPr>
            <w:tcW w:w="0" w:type="auto"/>
            <w:gridSpan w:val="3"/>
            <w:shd w:val="clear" w:color="auto" w:fill="FFFFFF"/>
            <w:tcMar>
              <w:top w:w="0" w:type="dxa"/>
              <w:left w:w="20" w:type="dxa"/>
              <w:bottom w:w="0" w:type="dxa"/>
              <w:right w:w="20" w:type="dxa"/>
            </w:tcMar>
            <w:vAlign w:val="bottom"/>
          </w:tcPr>
          <w:p w14:paraId="098A9E04"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9E05"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9E06"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9E07" w14:textId="77777777" w:rsidR="00141CDF" w:rsidRDefault="00141CDF">
            <w:pPr>
              <w:rPr>
                <w:rFonts w:ascii="宋体"/>
              </w:rPr>
            </w:pPr>
          </w:p>
        </w:tc>
      </w:tr>
      <w:tr w:rsidR="00141CDF" w14:paraId="098A9E12" w14:textId="77777777">
        <w:tc>
          <w:tcPr>
            <w:tcW w:w="0" w:type="auto"/>
            <w:gridSpan w:val="3"/>
            <w:shd w:val="clear" w:color="auto" w:fill="CCEEFF"/>
            <w:tcMar>
              <w:top w:w="40" w:type="dxa"/>
              <w:left w:w="20" w:type="dxa"/>
              <w:bottom w:w="40" w:type="dxa"/>
              <w:right w:w="20" w:type="dxa"/>
            </w:tcMar>
            <w:vAlign w:val="center"/>
          </w:tcPr>
          <w:p w14:paraId="098A9E09" w14:textId="77777777" w:rsidR="00141CDF" w:rsidRDefault="00DF45E0">
            <w:pPr>
              <w:textAlignment w:val="center"/>
            </w:pPr>
            <w:r>
              <w:rPr>
                <w:rFonts w:ascii="Times New Roman" w:eastAsia="宋体" w:hAnsi="Times New Roman"/>
                <w:color w:val="000000"/>
                <w:sz w:val="16"/>
                <w:szCs w:val="16"/>
              </w:rPr>
              <w:t>Average total assets</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vAlign w:val="bottom"/>
          </w:tcPr>
          <w:p w14:paraId="098A9E0A"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9E0B"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9E0C" w14:textId="77777777" w:rsidR="00141CDF" w:rsidRDefault="00DF45E0">
            <w:pPr>
              <w:jc w:val="right"/>
              <w:textAlignment w:val="center"/>
            </w:pPr>
            <w:r>
              <w:rPr>
                <w:rFonts w:ascii="Times New Roman" w:eastAsia="宋体" w:hAnsi="Times New Roman"/>
                <w:color w:val="000000"/>
                <w:sz w:val="16"/>
                <w:szCs w:val="16"/>
              </w:rPr>
              <w:t>242,876 </w:t>
            </w:r>
          </w:p>
        </w:tc>
        <w:tc>
          <w:tcPr>
            <w:tcW w:w="0" w:type="auto"/>
            <w:shd w:val="clear" w:color="auto" w:fill="CCEEFF"/>
            <w:tcMar>
              <w:top w:w="40" w:type="dxa"/>
              <w:left w:w="0" w:type="dxa"/>
              <w:bottom w:w="40" w:type="dxa"/>
              <w:right w:w="20" w:type="dxa"/>
            </w:tcMar>
            <w:vAlign w:val="center"/>
          </w:tcPr>
          <w:p w14:paraId="098A9E0D"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E0E"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9E0F"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9E10" w14:textId="77777777" w:rsidR="00141CDF" w:rsidRDefault="00DF45E0">
            <w:pPr>
              <w:jc w:val="right"/>
              <w:textAlignment w:val="center"/>
            </w:pPr>
            <w:r>
              <w:rPr>
                <w:rFonts w:ascii="Times New Roman" w:eastAsia="宋体" w:hAnsi="Times New Roman"/>
                <w:color w:val="000000"/>
                <w:sz w:val="16"/>
                <w:szCs w:val="16"/>
              </w:rPr>
              <w:t>237,967 </w:t>
            </w:r>
          </w:p>
        </w:tc>
        <w:tc>
          <w:tcPr>
            <w:tcW w:w="0" w:type="auto"/>
            <w:shd w:val="clear" w:color="auto" w:fill="CCEEFF"/>
            <w:tcMar>
              <w:top w:w="40" w:type="dxa"/>
              <w:left w:w="0" w:type="dxa"/>
              <w:bottom w:w="40" w:type="dxa"/>
              <w:right w:w="20" w:type="dxa"/>
            </w:tcMar>
            <w:vAlign w:val="center"/>
          </w:tcPr>
          <w:p w14:paraId="098A9E11" w14:textId="77777777" w:rsidR="00141CDF" w:rsidRDefault="00141CDF">
            <w:pPr>
              <w:jc w:val="right"/>
              <w:rPr>
                <w:rFonts w:ascii="宋体"/>
              </w:rPr>
            </w:pPr>
          </w:p>
        </w:tc>
      </w:tr>
      <w:tr w:rsidR="00141CDF" w14:paraId="098A9E1A" w14:textId="77777777">
        <w:tc>
          <w:tcPr>
            <w:tcW w:w="0" w:type="auto"/>
            <w:gridSpan w:val="3"/>
            <w:shd w:val="clear" w:color="auto" w:fill="FFFFFF"/>
            <w:tcMar>
              <w:top w:w="40" w:type="dxa"/>
              <w:left w:w="20" w:type="dxa"/>
              <w:bottom w:w="40" w:type="dxa"/>
              <w:right w:w="20" w:type="dxa"/>
            </w:tcMar>
            <w:vAlign w:val="center"/>
          </w:tcPr>
          <w:p w14:paraId="098A9E13" w14:textId="77777777" w:rsidR="00141CDF" w:rsidRDefault="00DF45E0">
            <w:pPr>
              <w:textAlignment w:val="center"/>
            </w:pPr>
            <w:r>
              <w:rPr>
                <w:rFonts w:ascii="Times New Roman" w:eastAsia="宋体" w:hAnsi="Times New Roman"/>
                <w:color w:val="FFFFFF"/>
                <w:sz w:val="16"/>
                <w:szCs w:val="16"/>
              </w:rPr>
              <w:t>'</w:t>
            </w:r>
            <w:r>
              <w:rPr>
                <w:rFonts w:ascii="Times New Roman" w:eastAsia="宋体" w:hAnsi="Times New Roman"/>
                <w:color w:val="000000"/>
                <w:sz w:val="16"/>
                <w:szCs w:val="16"/>
              </w:rPr>
              <w:t>+ Average accumulated depreciation and amortization</w:t>
            </w:r>
            <w:r>
              <w:rPr>
                <w:rFonts w:ascii="Times New Roman" w:eastAsia="宋体" w:hAnsi="Times New Roman"/>
                <w:color w:val="000000"/>
                <w:sz w:val="10"/>
                <w:szCs w:val="10"/>
              </w:rPr>
              <w:t>(1)</w:t>
            </w:r>
          </w:p>
        </w:tc>
        <w:tc>
          <w:tcPr>
            <w:tcW w:w="0" w:type="auto"/>
            <w:gridSpan w:val="3"/>
            <w:shd w:val="clear" w:color="auto" w:fill="FFFFFF"/>
            <w:tcMar>
              <w:top w:w="0" w:type="dxa"/>
              <w:left w:w="20" w:type="dxa"/>
              <w:bottom w:w="0" w:type="dxa"/>
              <w:right w:w="20" w:type="dxa"/>
            </w:tcMar>
            <w:vAlign w:val="bottom"/>
          </w:tcPr>
          <w:p w14:paraId="098A9E14"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E15" w14:textId="77777777" w:rsidR="00141CDF" w:rsidRDefault="00DF45E0">
            <w:pPr>
              <w:jc w:val="right"/>
              <w:textAlignment w:val="center"/>
            </w:pPr>
            <w:r>
              <w:rPr>
                <w:rFonts w:ascii="Times New Roman" w:eastAsia="宋体" w:hAnsi="Times New Roman"/>
                <w:color w:val="000000"/>
                <w:sz w:val="16"/>
                <w:szCs w:val="16"/>
              </w:rPr>
              <w:t>102,155 </w:t>
            </w:r>
          </w:p>
        </w:tc>
        <w:tc>
          <w:tcPr>
            <w:tcW w:w="0" w:type="auto"/>
            <w:shd w:val="clear" w:color="auto" w:fill="FFFFFF"/>
            <w:tcMar>
              <w:top w:w="40" w:type="dxa"/>
              <w:left w:w="0" w:type="dxa"/>
              <w:bottom w:w="40" w:type="dxa"/>
              <w:right w:w="20" w:type="dxa"/>
            </w:tcMar>
            <w:vAlign w:val="center"/>
          </w:tcPr>
          <w:p w14:paraId="098A9E16"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E17"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E18" w14:textId="77777777" w:rsidR="00141CDF" w:rsidRDefault="00DF45E0">
            <w:pPr>
              <w:jc w:val="right"/>
              <w:textAlignment w:val="center"/>
            </w:pPr>
            <w:r>
              <w:rPr>
                <w:rFonts w:ascii="Times New Roman" w:eastAsia="宋体" w:hAnsi="Times New Roman"/>
                <w:color w:val="000000"/>
                <w:sz w:val="16"/>
                <w:szCs w:val="16"/>
              </w:rPr>
              <w:t>97,685 </w:t>
            </w:r>
          </w:p>
        </w:tc>
        <w:tc>
          <w:tcPr>
            <w:tcW w:w="0" w:type="auto"/>
            <w:shd w:val="clear" w:color="auto" w:fill="FFFFFF"/>
            <w:tcMar>
              <w:top w:w="40" w:type="dxa"/>
              <w:left w:w="0" w:type="dxa"/>
              <w:bottom w:w="40" w:type="dxa"/>
              <w:right w:w="20" w:type="dxa"/>
            </w:tcMar>
            <w:vAlign w:val="center"/>
          </w:tcPr>
          <w:p w14:paraId="098A9E19" w14:textId="77777777" w:rsidR="00141CDF" w:rsidRDefault="00141CDF">
            <w:pPr>
              <w:jc w:val="right"/>
              <w:rPr>
                <w:rFonts w:ascii="宋体"/>
              </w:rPr>
            </w:pPr>
          </w:p>
        </w:tc>
      </w:tr>
      <w:tr w:rsidR="00141CDF" w14:paraId="098A9E22" w14:textId="77777777">
        <w:tc>
          <w:tcPr>
            <w:tcW w:w="0" w:type="auto"/>
            <w:gridSpan w:val="3"/>
            <w:shd w:val="clear" w:color="auto" w:fill="CCEEFF"/>
            <w:tcMar>
              <w:top w:w="40" w:type="dxa"/>
              <w:left w:w="20" w:type="dxa"/>
              <w:bottom w:w="40" w:type="dxa"/>
              <w:right w:w="20" w:type="dxa"/>
            </w:tcMar>
            <w:vAlign w:val="center"/>
          </w:tcPr>
          <w:p w14:paraId="098A9E1B" w14:textId="77777777" w:rsidR="00141CDF" w:rsidRDefault="00DF45E0">
            <w:pPr>
              <w:textAlignment w:val="center"/>
            </w:pPr>
            <w:r>
              <w:rPr>
                <w:rFonts w:ascii="Times New Roman" w:eastAsia="宋体" w:hAnsi="Times New Roman"/>
                <w:color w:val="CCEEFF"/>
                <w:sz w:val="16"/>
                <w:szCs w:val="16"/>
              </w:rPr>
              <w:t>'</w:t>
            </w:r>
            <w:r>
              <w:rPr>
                <w:rFonts w:ascii="Times New Roman" w:eastAsia="宋体" w:hAnsi="Times New Roman"/>
                <w:color w:val="000000"/>
                <w:sz w:val="16"/>
                <w:szCs w:val="16"/>
              </w:rPr>
              <w:t xml:space="preserve">- Average accounts </w:t>
            </w:r>
            <w:r>
              <w:rPr>
                <w:rFonts w:ascii="Times New Roman" w:eastAsia="宋体" w:hAnsi="Times New Roman"/>
                <w:color w:val="000000"/>
                <w:sz w:val="16"/>
                <w:szCs w:val="16"/>
              </w:rPr>
              <w:t>payable</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vAlign w:val="bottom"/>
          </w:tcPr>
          <w:p w14:paraId="098A9E1C"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E1D" w14:textId="77777777" w:rsidR="00141CDF" w:rsidRDefault="00DF45E0">
            <w:pPr>
              <w:jc w:val="right"/>
              <w:textAlignment w:val="center"/>
            </w:pPr>
            <w:r>
              <w:rPr>
                <w:rFonts w:ascii="Times New Roman" w:eastAsia="宋体" w:hAnsi="Times New Roman"/>
                <w:color w:val="000000"/>
                <w:sz w:val="16"/>
                <w:szCs w:val="16"/>
              </w:rPr>
              <w:t>51,896 </w:t>
            </w:r>
          </w:p>
        </w:tc>
        <w:tc>
          <w:tcPr>
            <w:tcW w:w="0" w:type="auto"/>
            <w:shd w:val="clear" w:color="auto" w:fill="CCEEFF"/>
            <w:tcMar>
              <w:top w:w="40" w:type="dxa"/>
              <w:left w:w="0" w:type="dxa"/>
              <w:bottom w:w="40" w:type="dxa"/>
              <w:right w:w="20" w:type="dxa"/>
            </w:tcMar>
            <w:vAlign w:val="center"/>
          </w:tcPr>
          <w:p w14:paraId="098A9E1E"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E1F"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E20" w14:textId="77777777" w:rsidR="00141CDF" w:rsidRDefault="00DF45E0">
            <w:pPr>
              <w:jc w:val="right"/>
              <w:textAlignment w:val="center"/>
            </w:pPr>
            <w:r>
              <w:rPr>
                <w:rFonts w:ascii="Times New Roman" w:eastAsia="宋体" w:hAnsi="Times New Roman"/>
                <w:color w:val="000000"/>
                <w:sz w:val="16"/>
                <w:szCs w:val="16"/>
              </w:rPr>
              <w:t>47,964 </w:t>
            </w:r>
          </w:p>
        </w:tc>
        <w:tc>
          <w:tcPr>
            <w:tcW w:w="0" w:type="auto"/>
            <w:shd w:val="clear" w:color="auto" w:fill="CCEEFF"/>
            <w:tcMar>
              <w:top w:w="40" w:type="dxa"/>
              <w:left w:w="0" w:type="dxa"/>
              <w:bottom w:w="40" w:type="dxa"/>
              <w:right w:w="20" w:type="dxa"/>
            </w:tcMar>
            <w:vAlign w:val="center"/>
          </w:tcPr>
          <w:p w14:paraId="098A9E21" w14:textId="77777777" w:rsidR="00141CDF" w:rsidRDefault="00141CDF">
            <w:pPr>
              <w:jc w:val="right"/>
              <w:rPr>
                <w:rFonts w:ascii="宋体"/>
              </w:rPr>
            </w:pPr>
          </w:p>
        </w:tc>
      </w:tr>
      <w:tr w:rsidR="00141CDF" w14:paraId="098A9E2A" w14:textId="77777777">
        <w:tc>
          <w:tcPr>
            <w:tcW w:w="0" w:type="auto"/>
            <w:gridSpan w:val="3"/>
            <w:shd w:val="clear" w:color="auto" w:fill="FFFFFF"/>
            <w:tcMar>
              <w:top w:w="40" w:type="dxa"/>
              <w:left w:w="20" w:type="dxa"/>
              <w:bottom w:w="40" w:type="dxa"/>
              <w:right w:w="20" w:type="dxa"/>
            </w:tcMar>
            <w:vAlign w:val="center"/>
          </w:tcPr>
          <w:p w14:paraId="098A9E23" w14:textId="77777777" w:rsidR="00141CDF" w:rsidRDefault="00DF45E0">
            <w:pPr>
              <w:textAlignment w:val="center"/>
            </w:pPr>
            <w:r>
              <w:rPr>
                <w:rFonts w:ascii="Times New Roman" w:eastAsia="宋体" w:hAnsi="Times New Roman"/>
                <w:color w:val="000000"/>
                <w:sz w:val="16"/>
                <w:szCs w:val="16"/>
              </w:rPr>
              <w:t> - Average accrued liabilities</w:t>
            </w:r>
            <w:r>
              <w:rPr>
                <w:rFonts w:ascii="Times New Roman" w:eastAsia="宋体" w:hAnsi="Times New Roman"/>
                <w:color w:val="000000"/>
                <w:sz w:val="10"/>
                <w:szCs w:val="10"/>
              </w:rPr>
              <w:t>(1)</w:t>
            </w:r>
          </w:p>
        </w:tc>
        <w:tc>
          <w:tcPr>
            <w:tcW w:w="0" w:type="auto"/>
            <w:gridSpan w:val="3"/>
            <w:shd w:val="clear" w:color="auto" w:fill="FFFFFF"/>
            <w:tcMar>
              <w:top w:w="0" w:type="dxa"/>
              <w:left w:w="20" w:type="dxa"/>
              <w:bottom w:w="0" w:type="dxa"/>
              <w:right w:w="20" w:type="dxa"/>
            </w:tcMar>
            <w:vAlign w:val="bottom"/>
          </w:tcPr>
          <w:p w14:paraId="098A9E24"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E25" w14:textId="77777777" w:rsidR="00141CDF" w:rsidRDefault="00DF45E0">
            <w:pPr>
              <w:jc w:val="right"/>
              <w:textAlignment w:val="center"/>
            </w:pPr>
            <w:r>
              <w:rPr>
                <w:rFonts w:ascii="Times New Roman" w:eastAsia="宋体" w:hAnsi="Times New Roman"/>
                <w:color w:val="000000"/>
                <w:sz w:val="16"/>
                <w:szCs w:val="16"/>
              </w:rPr>
              <w:t>23,878 </w:t>
            </w:r>
          </w:p>
        </w:tc>
        <w:tc>
          <w:tcPr>
            <w:tcW w:w="0" w:type="auto"/>
            <w:shd w:val="clear" w:color="auto" w:fill="FFFFFF"/>
            <w:tcMar>
              <w:top w:w="40" w:type="dxa"/>
              <w:left w:w="0" w:type="dxa"/>
              <w:bottom w:w="40" w:type="dxa"/>
              <w:right w:w="20" w:type="dxa"/>
            </w:tcMar>
            <w:vAlign w:val="center"/>
          </w:tcPr>
          <w:p w14:paraId="098A9E26"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E27"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E28" w14:textId="77777777" w:rsidR="00141CDF" w:rsidRDefault="00DF45E0">
            <w:pPr>
              <w:jc w:val="right"/>
              <w:textAlignment w:val="center"/>
            </w:pPr>
            <w:r>
              <w:rPr>
                <w:rFonts w:ascii="Times New Roman" w:eastAsia="宋体" w:hAnsi="Times New Roman"/>
                <w:color w:val="000000"/>
                <w:sz w:val="16"/>
                <w:szCs w:val="16"/>
              </w:rPr>
              <w:t>23,842 </w:t>
            </w:r>
          </w:p>
        </w:tc>
        <w:tc>
          <w:tcPr>
            <w:tcW w:w="0" w:type="auto"/>
            <w:shd w:val="clear" w:color="auto" w:fill="FFFFFF"/>
            <w:tcMar>
              <w:top w:w="40" w:type="dxa"/>
              <w:left w:w="0" w:type="dxa"/>
              <w:bottom w:w="40" w:type="dxa"/>
              <w:right w:w="20" w:type="dxa"/>
            </w:tcMar>
            <w:vAlign w:val="center"/>
          </w:tcPr>
          <w:p w14:paraId="098A9E29" w14:textId="77777777" w:rsidR="00141CDF" w:rsidRDefault="00141CDF">
            <w:pPr>
              <w:jc w:val="right"/>
              <w:rPr>
                <w:rFonts w:ascii="宋体"/>
              </w:rPr>
            </w:pPr>
          </w:p>
        </w:tc>
      </w:tr>
      <w:tr w:rsidR="00141CDF" w14:paraId="098A9E34" w14:textId="77777777">
        <w:tc>
          <w:tcPr>
            <w:tcW w:w="0" w:type="auto"/>
            <w:gridSpan w:val="3"/>
            <w:shd w:val="clear" w:color="auto" w:fill="CCEEFF"/>
            <w:tcMar>
              <w:top w:w="40" w:type="dxa"/>
              <w:left w:w="380" w:type="dxa"/>
              <w:bottom w:w="40" w:type="dxa"/>
              <w:right w:w="20" w:type="dxa"/>
            </w:tcMar>
            <w:vAlign w:val="center"/>
          </w:tcPr>
          <w:p w14:paraId="098A9E2B" w14:textId="77777777" w:rsidR="00141CDF" w:rsidRDefault="00DF45E0">
            <w:pPr>
              <w:textAlignment w:val="center"/>
            </w:pPr>
            <w:r>
              <w:rPr>
                <w:rFonts w:ascii="Times New Roman" w:eastAsia="宋体" w:hAnsi="Times New Roman"/>
                <w:color w:val="000000"/>
                <w:sz w:val="16"/>
                <w:szCs w:val="16"/>
              </w:rPr>
              <w:t>= Average invested capital</w:t>
            </w:r>
          </w:p>
        </w:tc>
        <w:tc>
          <w:tcPr>
            <w:tcW w:w="0" w:type="auto"/>
            <w:gridSpan w:val="3"/>
            <w:shd w:val="clear" w:color="auto" w:fill="CCEEFF"/>
            <w:tcMar>
              <w:top w:w="0" w:type="dxa"/>
              <w:left w:w="20" w:type="dxa"/>
              <w:bottom w:w="0" w:type="dxa"/>
              <w:right w:w="20" w:type="dxa"/>
            </w:tcMar>
            <w:vAlign w:val="bottom"/>
          </w:tcPr>
          <w:p w14:paraId="098A9E2C"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9E2D"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9E2E" w14:textId="77777777" w:rsidR="00141CDF" w:rsidRDefault="00DF45E0">
            <w:pPr>
              <w:jc w:val="right"/>
              <w:textAlignment w:val="center"/>
            </w:pPr>
            <w:r>
              <w:rPr>
                <w:rFonts w:ascii="Times New Roman" w:eastAsia="宋体" w:hAnsi="Times New Roman"/>
                <w:color w:val="000000"/>
                <w:sz w:val="16"/>
                <w:szCs w:val="16"/>
              </w:rPr>
              <w:t>269,257 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E2F"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E30"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9E31"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9E32" w14:textId="77777777" w:rsidR="00141CDF" w:rsidRDefault="00DF45E0">
            <w:pPr>
              <w:jc w:val="right"/>
              <w:textAlignment w:val="center"/>
            </w:pPr>
            <w:r>
              <w:rPr>
                <w:rFonts w:ascii="Times New Roman" w:eastAsia="宋体" w:hAnsi="Times New Roman"/>
                <w:color w:val="000000"/>
                <w:sz w:val="16"/>
                <w:szCs w:val="16"/>
              </w:rPr>
              <w:t>263,846 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E33" w14:textId="77777777" w:rsidR="00141CDF" w:rsidRDefault="00141CDF">
            <w:pPr>
              <w:jc w:val="right"/>
              <w:rPr>
                <w:rFonts w:ascii="宋体"/>
              </w:rPr>
            </w:pPr>
          </w:p>
        </w:tc>
      </w:tr>
      <w:tr w:rsidR="00141CDF" w14:paraId="098A9E3C" w14:textId="77777777">
        <w:tc>
          <w:tcPr>
            <w:tcW w:w="0" w:type="auto"/>
            <w:gridSpan w:val="3"/>
            <w:shd w:val="clear" w:color="auto" w:fill="FFFFFF"/>
            <w:tcMar>
              <w:top w:w="40" w:type="dxa"/>
              <w:left w:w="20" w:type="dxa"/>
              <w:bottom w:w="40" w:type="dxa"/>
              <w:right w:w="20" w:type="dxa"/>
            </w:tcMar>
            <w:vAlign w:val="center"/>
          </w:tcPr>
          <w:p w14:paraId="098A9E35" w14:textId="77777777" w:rsidR="00141CDF" w:rsidRDefault="00DF45E0">
            <w:pPr>
              <w:textAlignment w:val="center"/>
            </w:pPr>
            <w:r>
              <w:rPr>
                <w:rFonts w:ascii="Times New Roman" w:eastAsia="宋体" w:hAnsi="Times New Roman"/>
                <w:b/>
                <w:bCs/>
                <w:color w:val="000000"/>
                <w:sz w:val="16"/>
                <w:szCs w:val="16"/>
              </w:rPr>
              <w:t>Return on investment (ROI)</w:t>
            </w:r>
          </w:p>
        </w:tc>
        <w:tc>
          <w:tcPr>
            <w:tcW w:w="0" w:type="auto"/>
            <w:gridSpan w:val="3"/>
            <w:shd w:val="clear" w:color="auto" w:fill="FFFFFF"/>
            <w:tcMar>
              <w:top w:w="0" w:type="dxa"/>
              <w:left w:w="20" w:type="dxa"/>
              <w:bottom w:w="0" w:type="dxa"/>
              <w:right w:w="20" w:type="dxa"/>
            </w:tcMar>
            <w:vAlign w:val="bottom"/>
          </w:tcPr>
          <w:p w14:paraId="098A9E36" w14:textId="77777777" w:rsidR="00141CDF" w:rsidRDefault="00141CDF">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98A9E37" w14:textId="77777777" w:rsidR="00141CDF" w:rsidRDefault="00DF45E0">
            <w:pPr>
              <w:jc w:val="right"/>
              <w:textAlignment w:val="center"/>
            </w:pPr>
            <w:r>
              <w:rPr>
                <w:rFonts w:ascii="Times New Roman" w:eastAsia="宋体" w:hAnsi="Times New Roman"/>
                <w:color w:val="000000"/>
                <w:sz w:val="16"/>
                <w:szCs w:val="16"/>
              </w:rPr>
              <w:t>13.8 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98A9E38"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098A9E39" w14:textId="77777777" w:rsidR="00141CDF" w:rsidRDefault="00141CDF">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98A9E3A" w14:textId="77777777" w:rsidR="00141CDF" w:rsidRDefault="00DF45E0">
            <w:pPr>
              <w:jc w:val="right"/>
              <w:textAlignment w:val="center"/>
            </w:pPr>
            <w:r>
              <w:rPr>
                <w:rFonts w:ascii="Times New Roman" w:eastAsia="宋体" w:hAnsi="Times New Roman"/>
                <w:color w:val="000000"/>
                <w:sz w:val="16"/>
                <w:szCs w:val="16"/>
              </w:rPr>
              <w:t>14.8 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98A9E3B" w14:textId="77777777" w:rsidR="00141CDF" w:rsidRDefault="00DF45E0">
            <w:pPr>
              <w:jc w:val="right"/>
              <w:textAlignment w:val="center"/>
            </w:pPr>
            <w:r>
              <w:rPr>
                <w:rFonts w:ascii="Times New Roman" w:eastAsia="宋体" w:hAnsi="Times New Roman"/>
                <w:color w:val="000000"/>
                <w:sz w:val="16"/>
                <w:szCs w:val="16"/>
              </w:rPr>
              <w:t>%</w:t>
            </w:r>
          </w:p>
        </w:tc>
      </w:tr>
    </w:tbl>
    <w:p w14:paraId="098A9E3D" w14:textId="77777777" w:rsidR="00141CDF" w:rsidRDefault="00DF45E0">
      <w:pPr>
        <w:ind w:hanging="180"/>
      </w:pPr>
      <w:r>
        <w:rPr>
          <w:rFonts w:ascii="Times New Roman" w:eastAsia="宋体" w:hAnsi="Times New Roman"/>
          <w:color w:val="000000"/>
          <w:sz w:val="18"/>
          <w:szCs w:val="18"/>
        </w:rPr>
        <w:t> </w:t>
      </w:r>
      <w:r>
        <w:rPr>
          <w:rFonts w:ascii="Times New Roman" w:eastAsia="宋体" w:hAnsi="Times New Roman"/>
          <w:color w:val="000000"/>
          <w:sz w:val="10"/>
          <w:szCs w:val="10"/>
        </w:rPr>
        <w:t xml:space="preserve">(1) </w:t>
      </w:r>
      <w:r>
        <w:rPr>
          <w:rFonts w:ascii="Times New Roman" w:eastAsia="宋体" w:hAnsi="Times New Roman"/>
          <w:color w:val="000000"/>
          <w:sz w:val="16"/>
          <w:szCs w:val="16"/>
        </w:rPr>
        <w:t xml:space="preserve">The average is based on the addition of the account </w:t>
      </w:r>
      <w:r>
        <w:rPr>
          <w:rFonts w:ascii="Times New Roman" w:eastAsia="宋体" w:hAnsi="Times New Roman"/>
          <w:color w:val="000000"/>
          <w:sz w:val="16"/>
          <w:szCs w:val="16"/>
        </w:rPr>
        <w:t>balance at the end of the current period to the account balance at the end of the prior period and dividing by 2.</w:t>
      </w:r>
    </w:p>
    <w:tbl>
      <w:tblPr>
        <w:tblW w:w="5000" w:type="pct"/>
        <w:tblCellMar>
          <w:top w:w="15" w:type="dxa"/>
          <w:left w:w="15" w:type="dxa"/>
          <w:bottom w:w="15" w:type="dxa"/>
          <w:right w:w="15" w:type="dxa"/>
        </w:tblCellMar>
        <w:tblLook w:val="04A0" w:firstRow="1" w:lastRow="0" w:firstColumn="1" w:lastColumn="0" w:noHBand="0" w:noVBand="1"/>
      </w:tblPr>
      <w:tblGrid>
        <w:gridCol w:w="42"/>
        <w:gridCol w:w="5097"/>
        <w:gridCol w:w="37"/>
        <w:gridCol w:w="36"/>
        <w:gridCol w:w="36"/>
        <w:gridCol w:w="36"/>
        <w:gridCol w:w="100"/>
        <w:gridCol w:w="808"/>
        <w:gridCol w:w="36"/>
        <w:gridCol w:w="36"/>
        <w:gridCol w:w="36"/>
        <w:gridCol w:w="36"/>
        <w:gridCol w:w="100"/>
        <w:gridCol w:w="809"/>
        <w:gridCol w:w="36"/>
        <w:gridCol w:w="36"/>
        <w:gridCol w:w="36"/>
        <w:gridCol w:w="36"/>
        <w:gridCol w:w="100"/>
        <w:gridCol w:w="811"/>
        <w:gridCol w:w="36"/>
      </w:tblGrid>
      <w:tr w:rsidR="00141CDF" w14:paraId="098A9E53" w14:textId="77777777">
        <w:tc>
          <w:tcPr>
            <w:tcW w:w="50" w:type="pct"/>
            <w:shd w:val="clear" w:color="auto" w:fill="auto"/>
            <w:vAlign w:val="bottom"/>
          </w:tcPr>
          <w:p w14:paraId="098A9E3E" w14:textId="77777777" w:rsidR="00141CDF" w:rsidRDefault="00141CDF">
            <w:pPr>
              <w:rPr>
                <w:rFonts w:ascii="宋体"/>
              </w:rPr>
            </w:pPr>
          </w:p>
        </w:tc>
        <w:tc>
          <w:tcPr>
            <w:tcW w:w="3080" w:type="pct"/>
            <w:shd w:val="clear" w:color="auto" w:fill="auto"/>
            <w:vAlign w:val="bottom"/>
          </w:tcPr>
          <w:p w14:paraId="098A9E3F" w14:textId="77777777" w:rsidR="00141CDF" w:rsidRDefault="00141CDF">
            <w:pPr>
              <w:rPr>
                <w:rFonts w:ascii="宋体"/>
              </w:rPr>
            </w:pPr>
          </w:p>
        </w:tc>
        <w:tc>
          <w:tcPr>
            <w:tcW w:w="5" w:type="pct"/>
            <w:shd w:val="clear" w:color="auto" w:fill="auto"/>
            <w:vAlign w:val="bottom"/>
          </w:tcPr>
          <w:p w14:paraId="098A9E40" w14:textId="77777777" w:rsidR="00141CDF" w:rsidRDefault="00141CDF">
            <w:pPr>
              <w:rPr>
                <w:rFonts w:ascii="宋体"/>
              </w:rPr>
            </w:pPr>
          </w:p>
        </w:tc>
        <w:tc>
          <w:tcPr>
            <w:tcW w:w="5" w:type="pct"/>
            <w:shd w:val="clear" w:color="auto" w:fill="auto"/>
            <w:vAlign w:val="bottom"/>
          </w:tcPr>
          <w:p w14:paraId="098A9E41" w14:textId="77777777" w:rsidR="00141CDF" w:rsidRDefault="00141CDF">
            <w:pPr>
              <w:rPr>
                <w:rFonts w:ascii="宋体"/>
              </w:rPr>
            </w:pPr>
          </w:p>
        </w:tc>
        <w:tc>
          <w:tcPr>
            <w:tcW w:w="26" w:type="pct"/>
            <w:shd w:val="clear" w:color="auto" w:fill="auto"/>
            <w:vAlign w:val="bottom"/>
          </w:tcPr>
          <w:p w14:paraId="098A9E42" w14:textId="77777777" w:rsidR="00141CDF" w:rsidRDefault="00141CDF">
            <w:pPr>
              <w:rPr>
                <w:rFonts w:ascii="宋体"/>
              </w:rPr>
            </w:pPr>
          </w:p>
        </w:tc>
        <w:tc>
          <w:tcPr>
            <w:tcW w:w="5" w:type="pct"/>
            <w:shd w:val="clear" w:color="auto" w:fill="auto"/>
            <w:vAlign w:val="bottom"/>
          </w:tcPr>
          <w:p w14:paraId="098A9E43" w14:textId="77777777" w:rsidR="00141CDF" w:rsidRDefault="00141CDF">
            <w:pPr>
              <w:rPr>
                <w:rFonts w:ascii="宋体"/>
              </w:rPr>
            </w:pPr>
          </w:p>
        </w:tc>
        <w:tc>
          <w:tcPr>
            <w:tcW w:w="50" w:type="pct"/>
            <w:shd w:val="clear" w:color="auto" w:fill="auto"/>
            <w:vAlign w:val="bottom"/>
          </w:tcPr>
          <w:p w14:paraId="098A9E44" w14:textId="77777777" w:rsidR="00141CDF" w:rsidRDefault="00141CDF">
            <w:pPr>
              <w:rPr>
                <w:rFonts w:ascii="宋体"/>
              </w:rPr>
            </w:pPr>
          </w:p>
        </w:tc>
        <w:tc>
          <w:tcPr>
            <w:tcW w:w="529" w:type="pct"/>
            <w:shd w:val="clear" w:color="auto" w:fill="auto"/>
            <w:vAlign w:val="bottom"/>
          </w:tcPr>
          <w:p w14:paraId="098A9E45" w14:textId="77777777" w:rsidR="00141CDF" w:rsidRDefault="00141CDF">
            <w:pPr>
              <w:rPr>
                <w:rFonts w:ascii="宋体"/>
              </w:rPr>
            </w:pPr>
          </w:p>
        </w:tc>
        <w:tc>
          <w:tcPr>
            <w:tcW w:w="5" w:type="pct"/>
            <w:shd w:val="clear" w:color="auto" w:fill="auto"/>
            <w:vAlign w:val="bottom"/>
          </w:tcPr>
          <w:p w14:paraId="098A9E46" w14:textId="77777777" w:rsidR="00141CDF" w:rsidRDefault="00141CDF">
            <w:pPr>
              <w:rPr>
                <w:rFonts w:ascii="宋体"/>
              </w:rPr>
            </w:pPr>
          </w:p>
        </w:tc>
        <w:tc>
          <w:tcPr>
            <w:tcW w:w="5" w:type="pct"/>
            <w:shd w:val="clear" w:color="auto" w:fill="auto"/>
            <w:vAlign w:val="bottom"/>
          </w:tcPr>
          <w:p w14:paraId="098A9E47" w14:textId="77777777" w:rsidR="00141CDF" w:rsidRDefault="00141CDF">
            <w:pPr>
              <w:rPr>
                <w:rFonts w:ascii="宋体"/>
              </w:rPr>
            </w:pPr>
          </w:p>
        </w:tc>
        <w:tc>
          <w:tcPr>
            <w:tcW w:w="26" w:type="pct"/>
            <w:shd w:val="clear" w:color="auto" w:fill="auto"/>
            <w:vAlign w:val="bottom"/>
          </w:tcPr>
          <w:p w14:paraId="098A9E48" w14:textId="77777777" w:rsidR="00141CDF" w:rsidRDefault="00141CDF">
            <w:pPr>
              <w:rPr>
                <w:rFonts w:ascii="宋体"/>
              </w:rPr>
            </w:pPr>
          </w:p>
        </w:tc>
        <w:tc>
          <w:tcPr>
            <w:tcW w:w="5" w:type="pct"/>
            <w:shd w:val="clear" w:color="auto" w:fill="auto"/>
            <w:vAlign w:val="bottom"/>
          </w:tcPr>
          <w:p w14:paraId="098A9E49" w14:textId="77777777" w:rsidR="00141CDF" w:rsidRDefault="00141CDF">
            <w:pPr>
              <w:rPr>
                <w:rFonts w:ascii="宋体"/>
              </w:rPr>
            </w:pPr>
          </w:p>
        </w:tc>
        <w:tc>
          <w:tcPr>
            <w:tcW w:w="50" w:type="pct"/>
            <w:shd w:val="clear" w:color="auto" w:fill="auto"/>
            <w:vAlign w:val="bottom"/>
          </w:tcPr>
          <w:p w14:paraId="098A9E4A" w14:textId="77777777" w:rsidR="00141CDF" w:rsidRDefault="00141CDF">
            <w:pPr>
              <w:rPr>
                <w:rFonts w:ascii="宋体"/>
              </w:rPr>
            </w:pPr>
          </w:p>
        </w:tc>
        <w:tc>
          <w:tcPr>
            <w:tcW w:w="529" w:type="pct"/>
            <w:shd w:val="clear" w:color="auto" w:fill="auto"/>
            <w:vAlign w:val="bottom"/>
          </w:tcPr>
          <w:p w14:paraId="098A9E4B" w14:textId="77777777" w:rsidR="00141CDF" w:rsidRDefault="00141CDF">
            <w:pPr>
              <w:rPr>
                <w:rFonts w:ascii="宋体"/>
              </w:rPr>
            </w:pPr>
          </w:p>
        </w:tc>
        <w:tc>
          <w:tcPr>
            <w:tcW w:w="5" w:type="pct"/>
            <w:shd w:val="clear" w:color="auto" w:fill="auto"/>
            <w:vAlign w:val="bottom"/>
          </w:tcPr>
          <w:p w14:paraId="098A9E4C" w14:textId="77777777" w:rsidR="00141CDF" w:rsidRDefault="00141CDF">
            <w:pPr>
              <w:rPr>
                <w:rFonts w:ascii="宋体"/>
              </w:rPr>
            </w:pPr>
          </w:p>
        </w:tc>
        <w:tc>
          <w:tcPr>
            <w:tcW w:w="5" w:type="pct"/>
            <w:shd w:val="clear" w:color="auto" w:fill="auto"/>
            <w:vAlign w:val="bottom"/>
          </w:tcPr>
          <w:p w14:paraId="098A9E4D" w14:textId="77777777" w:rsidR="00141CDF" w:rsidRDefault="00141CDF">
            <w:pPr>
              <w:rPr>
                <w:rFonts w:ascii="宋体"/>
              </w:rPr>
            </w:pPr>
          </w:p>
        </w:tc>
        <w:tc>
          <w:tcPr>
            <w:tcW w:w="26" w:type="pct"/>
            <w:shd w:val="clear" w:color="auto" w:fill="auto"/>
            <w:vAlign w:val="bottom"/>
          </w:tcPr>
          <w:p w14:paraId="098A9E4E" w14:textId="77777777" w:rsidR="00141CDF" w:rsidRDefault="00141CDF">
            <w:pPr>
              <w:rPr>
                <w:rFonts w:ascii="宋体"/>
              </w:rPr>
            </w:pPr>
          </w:p>
        </w:tc>
        <w:tc>
          <w:tcPr>
            <w:tcW w:w="5" w:type="pct"/>
            <w:shd w:val="clear" w:color="auto" w:fill="auto"/>
            <w:vAlign w:val="bottom"/>
          </w:tcPr>
          <w:p w14:paraId="098A9E4F" w14:textId="77777777" w:rsidR="00141CDF" w:rsidRDefault="00141CDF">
            <w:pPr>
              <w:rPr>
                <w:rFonts w:ascii="宋体"/>
              </w:rPr>
            </w:pPr>
          </w:p>
        </w:tc>
        <w:tc>
          <w:tcPr>
            <w:tcW w:w="50" w:type="pct"/>
            <w:shd w:val="clear" w:color="auto" w:fill="auto"/>
            <w:vAlign w:val="bottom"/>
          </w:tcPr>
          <w:p w14:paraId="098A9E50" w14:textId="77777777" w:rsidR="00141CDF" w:rsidRDefault="00141CDF">
            <w:pPr>
              <w:rPr>
                <w:rFonts w:ascii="宋体"/>
              </w:rPr>
            </w:pPr>
          </w:p>
        </w:tc>
        <w:tc>
          <w:tcPr>
            <w:tcW w:w="530" w:type="pct"/>
            <w:shd w:val="clear" w:color="auto" w:fill="auto"/>
            <w:vAlign w:val="bottom"/>
          </w:tcPr>
          <w:p w14:paraId="098A9E51" w14:textId="77777777" w:rsidR="00141CDF" w:rsidRDefault="00141CDF">
            <w:pPr>
              <w:rPr>
                <w:rFonts w:ascii="宋体"/>
              </w:rPr>
            </w:pPr>
          </w:p>
        </w:tc>
        <w:tc>
          <w:tcPr>
            <w:tcW w:w="5" w:type="pct"/>
            <w:shd w:val="clear" w:color="auto" w:fill="auto"/>
            <w:vAlign w:val="bottom"/>
          </w:tcPr>
          <w:p w14:paraId="098A9E52" w14:textId="77777777" w:rsidR="00141CDF" w:rsidRDefault="00141CDF">
            <w:pPr>
              <w:rPr>
                <w:rFonts w:ascii="宋体"/>
              </w:rPr>
            </w:pPr>
          </w:p>
        </w:tc>
      </w:tr>
      <w:tr w:rsidR="00141CDF" w14:paraId="098A9E57" w14:textId="77777777">
        <w:tc>
          <w:tcPr>
            <w:tcW w:w="0" w:type="auto"/>
            <w:gridSpan w:val="3"/>
            <w:shd w:val="clear" w:color="auto" w:fill="auto"/>
            <w:tcMar>
              <w:top w:w="40" w:type="dxa"/>
              <w:left w:w="20" w:type="dxa"/>
              <w:bottom w:w="40" w:type="dxa"/>
              <w:right w:w="20" w:type="dxa"/>
            </w:tcMar>
            <w:vAlign w:val="bottom"/>
          </w:tcPr>
          <w:p w14:paraId="098A9E54" w14:textId="77777777" w:rsidR="00141CDF" w:rsidRDefault="00DF45E0">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098A9E55" w14:textId="77777777" w:rsidR="00141CDF" w:rsidRDefault="00141CDF">
            <w:pPr>
              <w:rPr>
                <w:rFonts w:ascii="宋体"/>
              </w:rPr>
            </w:pPr>
          </w:p>
        </w:tc>
        <w:tc>
          <w:tcPr>
            <w:tcW w:w="0" w:type="auto"/>
            <w:gridSpan w:val="15"/>
            <w:shd w:val="clear" w:color="auto" w:fill="auto"/>
            <w:tcMar>
              <w:top w:w="40" w:type="dxa"/>
              <w:left w:w="20" w:type="dxa"/>
              <w:bottom w:w="40" w:type="dxa"/>
              <w:right w:w="20" w:type="dxa"/>
            </w:tcMar>
            <w:vAlign w:val="bottom"/>
          </w:tcPr>
          <w:p w14:paraId="098A9E56" w14:textId="77777777" w:rsidR="00141CDF" w:rsidRDefault="00DF45E0">
            <w:pPr>
              <w:jc w:val="center"/>
              <w:textAlignment w:val="bottom"/>
            </w:pPr>
            <w:r>
              <w:rPr>
                <w:rFonts w:ascii="Times New Roman" w:eastAsia="宋体" w:hAnsi="Times New Roman"/>
                <w:b/>
                <w:bCs/>
                <w:color w:val="000000"/>
                <w:sz w:val="16"/>
                <w:szCs w:val="16"/>
              </w:rPr>
              <w:t xml:space="preserve">As of </w:t>
            </w:r>
            <w:r>
              <w:rPr>
                <w:rFonts w:ascii="Times New Roman" w:eastAsia="宋体" w:hAnsi="Times New Roman"/>
                <w:b/>
                <w:bCs/>
                <w:color w:val="000000"/>
                <w:sz w:val="16"/>
                <w:szCs w:val="16"/>
              </w:rPr>
              <w:t>July 31,</w:t>
            </w:r>
          </w:p>
        </w:tc>
      </w:tr>
      <w:tr w:rsidR="00141CDF" w14:paraId="098A9E5F" w14:textId="77777777">
        <w:tc>
          <w:tcPr>
            <w:tcW w:w="0" w:type="auto"/>
            <w:gridSpan w:val="3"/>
            <w:shd w:val="clear" w:color="auto" w:fill="auto"/>
            <w:tcMar>
              <w:top w:w="40" w:type="dxa"/>
              <w:left w:w="20" w:type="dxa"/>
              <w:bottom w:w="40" w:type="dxa"/>
              <w:right w:w="20" w:type="dxa"/>
            </w:tcMar>
            <w:vAlign w:val="bottom"/>
          </w:tcPr>
          <w:p w14:paraId="098A9E58" w14:textId="77777777" w:rsidR="00141CDF" w:rsidRDefault="00DF45E0">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098A9E59"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98A9E5A" w14:textId="77777777" w:rsidR="00141CDF" w:rsidRDefault="00DF45E0">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9E5B"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98A9E5C" w14:textId="77777777" w:rsidR="00141CDF" w:rsidRDefault="00DF45E0">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9E5D"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98A9E5E" w14:textId="77777777" w:rsidR="00141CDF" w:rsidRDefault="00DF45E0">
            <w:pPr>
              <w:jc w:val="center"/>
              <w:textAlignment w:val="bottom"/>
            </w:pPr>
            <w:r>
              <w:rPr>
                <w:rFonts w:ascii="Times New Roman" w:eastAsia="宋体" w:hAnsi="Times New Roman"/>
                <w:b/>
                <w:bCs/>
                <w:color w:val="000000"/>
                <w:sz w:val="16"/>
                <w:szCs w:val="16"/>
              </w:rPr>
              <w:t>2020</w:t>
            </w:r>
          </w:p>
        </w:tc>
      </w:tr>
      <w:tr w:rsidR="00141CDF" w14:paraId="098A9E67" w14:textId="77777777">
        <w:tc>
          <w:tcPr>
            <w:tcW w:w="0" w:type="auto"/>
            <w:gridSpan w:val="3"/>
            <w:shd w:val="clear" w:color="auto" w:fill="auto"/>
            <w:tcMar>
              <w:top w:w="40" w:type="dxa"/>
              <w:left w:w="20" w:type="dxa"/>
              <w:bottom w:w="40" w:type="dxa"/>
              <w:right w:w="20" w:type="dxa"/>
            </w:tcMar>
            <w:vAlign w:val="bottom"/>
          </w:tcPr>
          <w:p w14:paraId="098A9E60" w14:textId="77777777" w:rsidR="00141CDF" w:rsidRDefault="00DF45E0">
            <w:pPr>
              <w:textAlignment w:val="bottom"/>
            </w:pPr>
            <w:r>
              <w:rPr>
                <w:rFonts w:ascii="Times New Roman" w:eastAsia="宋体" w:hAnsi="Times New Roman"/>
                <w:b/>
                <w:bCs/>
                <w:color w:val="000000"/>
                <w:sz w:val="16"/>
                <w:szCs w:val="16"/>
              </w:rPr>
              <w:t>Certain Balance Sheet Data</w:t>
            </w:r>
          </w:p>
        </w:tc>
        <w:tc>
          <w:tcPr>
            <w:tcW w:w="0" w:type="auto"/>
            <w:gridSpan w:val="3"/>
            <w:shd w:val="clear" w:color="auto" w:fill="auto"/>
            <w:tcMar>
              <w:top w:w="0" w:type="dxa"/>
              <w:left w:w="20" w:type="dxa"/>
              <w:bottom w:w="0" w:type="dxa"/>
              <w:right w:w="20" w:type="dxa"/>
            </w:tcMar>
            <w:vAlign w:val="bottom"/>
          </w:tcPr>
          <w:p w14:paraId="098A9E61" w14:textId="77777777" w:rsidR="00141CDF" w:rsidRDefault="00141CD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9E62"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9E63" w14:textId="77777777" w:rsidR="00141CDF" w:rsidRDefault="00141CD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9E64"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9E65" w14:textId="77777777" w:rsidR="00141CDF" w:rsidRDefault="00141CD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9E66" w14:textId="77777777" w:rsidR="00141CDF" w:rsidRDefault="00141CDF">
            <w:pPr>
              <w:rPr>
                <w:rFonts w:ascii="宋体"/>
              </w:rPr>
            </w:pPr>
          </w:p>
        </w:tc>
      </w:tr>
      <w:tr w:rsidR="00141CDF" w14:paraId="098A9E75" w14:textId="77777777">
        <w:tc>
          <w:tcPr>
            <w:tcW w:w="0" w:type="auto"/>
            <w:gridSpan w:val="3"/>
            <w:shd w:val="clear" w:color="auto" w:fill="CCEEFF"/>
            <w:tcMar>
              <w:top w:w="40" w:type="dxa"/>
              <w:left w:w="20" w:type="dxa"/>
              <w:bottom w:w="40" w:type="dxa"/>
              <w:right w:w="20" w:type="dxa"/>
            </w:tcMar>
            <w:vAlign w:val="center"/>
          </w:tcPr>
          <w:p w14:paraId="098A9E68" w14:textId="77777777" w:rsidR="00141CDF" w:rsidRDefault="00DF45E0">
            <w:pPr>
              <w:textAlignment w:val="center"/>
            </w:pPr>
            <w:r>
              <w:rPr>
                <w:rFonts w:ascii="Times New Roman" w:eastAsia="宋体" w:hAnsi="Times New Roman"/>
                <w:color w:val="000000"/>
                <w:sz w:val="16"/>
                <w:szCs w:val="16"/>
              </w:rPr>
              <w:t>Total assets</w:t>
            </w:r>
          </w:p>
        </w:tc>
        <w:tc>
          <w:tcPr>
            <w:tcW w:w="0" w:type="auto"/>
            <w:gridSpan w:val="3"/>
            <w:shd w:val="clear" w:color="auto" w:fill="CCEEFF"/>
            <w:tcMar>
              <w:top w:w="0" w:type="dxa"/>
              <w:left w:w="20" w:type="dxa"/>
              <w:bottom w:w="0" w:type="dxa"/>
              <w:right w:w="20" w:type="dxa"/>
            </w:tcMar>
            <w:vAlign w:val="bottom"/>
          </w:tcPr>
          <w:p w14:paraId="098A9E69"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9E6A"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9E6B" w14:textId="77777777" w:rsidR="00141CDF" w:rsidRDefault="00DF45E0">
            <w:pPr>
              <w:jc w:val="right"/>
              <w:textAlignment w:val="center"/>
            </w:pPr>
            <w:r>
              <w:rPr>
                <w:rFonts w:ascii="Times New Roman" w:eastAsia="宋体" w:hAnsi="Times New Roman"/>
                <w:color w:val="000000"/>
                <w:sz w:val="16"/>
                <w:szCs w:val="16"/>
              </w:rPr>
              <w:t>247,199 </w:t>
            </w:r>
          </w:p>
        </w:tc>
        <w:tc>
          <w:tcPr>
            <w:tcW w:w="0" w:type="auto"/>
            <w:shd w:val="clear" w:color="auto" w:fill="CCEEFF"/>
            <w:tcMar>
              <w:top w:w="40" w:type="dxa"/>
              <w:left w:w="0" w:type="dxa"/>
              <w:bottom w:w="40" w:type="dxa"/>
              <w:right w:w="20" w:type="dxa"/>
            </w:tcMar>
            <w:vAlign w:val="center"/>
          </w:tcPr>
          <w:p w14:paraId="098A9E6C"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E6D"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9E6E"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9E6F" w14:textId="77777777" w:rsidR="00141CDF" w:rsidRDefault="00DF45E0">
            <w:pPr>
              <w:jc w:val="right"/>
              <w:textAlignment w:val="center"/>
            </w:pPr>
            <w:r>
              <w:rPr>
                <w:rFonts w:ascii="Times New Roman" w:eastAsia="宋体" w:hAnsi="Times New Roman"/>
                <w:color w:val="000000"/>
                <w:sz w:val="16"/>
                <w:szCs w:val="16"/>
              </w:rPr>
              <w:t>238,552 </w:t>
            </w:r>
          </w:p>
        </w:tc>
        <w:tc>
          <w:tcPr>
            <w:tcW w:w="0" w:type="auto"/>
            <w:shd w:val="clear" w:color="auto" w:fill="CCEEFF"/>
            <w:tcMar>
              <w:top w:w="40" w:type="dxa"/>
              <w:left w:w="0" w:type="dxa"/>
              <w:bottom w:w="40" w:type="dxa"/>
              <w:right w:w="20" w:type="dxa"/>
            </w:tcMar>
            <w:vAlign w:val="center"/>
          </w:tcPr>
          <w:p w14:paraId="098A9E70"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E71"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9E72"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9E73" w14:textId="77777777" w:rsidR="00141CDF" w:rsidRDefault="00DF45E0">
            <w:pPr>
              <w:jc w:val="right"/>
              <w:textAlignment w:val="center"/>
            </w:pPr>
            <w:r>
              <w:rPr>
                <w:rFonts w:ascii="Times New Roman" w:eastAsia="宋体" w:hAnsi="Times New Roman"/>
                <w:color w:val="000000"/>
                <w:sz w:val="16"/>
                <w:szCs w:val="16"/>
              </w:rPr>
              <w:t>237,382 </w:t>
            </w:r>
          </w:p>
        </w:tc>
        <w:tc>
          <w:tcPr>
            <w:tcW w:w="0" w:type="auto"/>
            <w:shd w:val="clear" w:color="auto" w:fill="CCEEFF"/>
            <w:tcMar>
              <w:top w:w="40" w:type="dxa"/>
              <w:left w:w="0" w:type="dxa"/>
              <w:bottom w:w="40" w:type="dxa"/>
              <w:right w:w="20" w:type="dxa"/>
            </w:tcMar>
            <w:vAlign w:val="center"/>
          </w:tcPr>
          <w:p w14:paraId="098A9E74" w14:textId="77777777" w:rsidR="00141CDF" w:rsidRDefault="00141CDF">
            <w:pPr>
              <w:jc w:val="right"/>
              <w:rPr>
                <w:rFonts w:ascii="宋体"/>
              </w:rPr>
            </w:pPr>
          </w:p>
        </w:tc>
      </w:tr>
      <w:tr w:rsidR="00141CDF" w14:paraId="098A9E80" w14:textId="77777777">
        <w:tc>
          <w:tcPr>
            <w:tcW w:w="0" w:type="auto"/>
            <w:gridSpan w:val="3"/>
            <w:shd w:val="clear" w:color="auto" w:fill="FFFFFF"/>
            <w:tcMar>
              <w:top w:w="40" w:type="dxa"/>
              <w:left w:w="20" w:type="dxa"/>
              <w:bottom w:w="40" w:type="dxa"/>
              <w:right w:w="20" w:type="dxa"/>
            </w:tcMar>
            <w:vAlign w:val="center"/>
          </w:tcPr>
          <w:p w14:paraId="098A9E76" w14:textId="77777777" w:rsidR="00141CDF" w:rsidRDefault="00DF45E0">
            <w:pPr>
              <w:textAlignment w:val="center"/>
            </w:pPr>
            <w:r>
              <w:rPr>
                <w:rFonts w:ascii="Times New Roman" w:eastAsia="宋体" w:hAnsi="Times New Roman"/>
                <w:color w:val="000000"/>
                <w:sz w:val="16"/>
                <w:szCs w:val="16"/>
              </w:rPr>
              <w:t>Accumulated depreciation and amortization</w:t>
            </w:r>
          </w:p>
        </w:tc>
        <w:tc>
          <w:tcPr>
            <w:tcW w:w="0" w:type="auto"/>
            <w:gridSpan w:val="3"/>
            <w:shd w:val="clear" w:color="auto" w:fill="FFFFFF"/>
            <w:tcMar>
              <w:top w:w="0" w:type="dxa"/>
              <w:left w:w="20" w:type="dxa"/>
              <w:bottom w:w="0" w:type="dxa"/>
              <w:right w:w="20" w:type="dxa"/>
            </w:tcMar>
            <w:vAlign w:val="bottom"/>
          </w:tcPr>
          <w:p w14:paraId="098A9E77"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E78" w14:textId="77777777" w:rsidR="00141CDF" w:rsidRDefault="00DF45E0">
            <w:pPr>
              <w:jc w:val="right"/>
              <w:textAlignment w:val="center"/>
            </w:pPr>
            <w:r>
              <w:rPr>
                <w:rFonts w:ascii="Times New Roman" w:eastAsia="宋体" w:hAnsi="Times New Roman"/>
                <w:color w:val="000000"/>
                <w:sz w:val="16"/>
                <w:szCs w:val="16"/>
              </w:rPr>
              <w:t>105,963 </w:t>
            </w:r>
          </w:p>
        </w:tc>
        <w:tc>
          <w:tcPr>
            <w:tcW w:w="0" w:type="auto"/>
            <w:shd w:val="clear" w:color="auto" w:fill="FFFFFF"/>
            <w:tcMar>
              <w:top w:w="40" w:type="dxa"/>
              <w:left w:w="0" w:type="dxa"/>
              <w:bottom w:w="40" w:type="dxa"/>
              <w:right w:w="20" w:type="dxa"/>
            </w:tcMar>
            <w:vAlign w:val="center"/>
          </w:tcPr>
          <w:p w14:paraId="098A9E79"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E7A"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E7B" w14:textId="77777777" w:rsidR="00141CDF" w:rsidRDefault="00DF45E0">
            <w:pPr>
              <w:jc w:val="right"/>
              <w:textAlignment w:val="center"/>
            </w:pPr>
            <w:r>
              <w:rPr>
                <w:rFonts w:ascii="Times New Roman" w:eastAsia="宋体" w:hAnsi="Times New Roman"/>
                <w:color w:val="000000"/>
                <w:sz w:val="16"/>
                <w:szCs w:val="16"/>
              </w:rPr>
              <w:t>98,346 </w:t>
            </w:r>
          </w:p>
        </w:tc>
        <w:tc>
          <w:tcPr>
            <w:tcW w:w="0" w:type="auto"/>
            <w:shd w:val="clear" w:color="auto" w:fill="FFFFFF"/>
            <w:tcMar>
              <w:top w:w="40" w:type="dxa"/>
              <w:left w:w="0" w:type="dxa"/>
              <w:bottom w:w="40" w:type="dxa"/>
              <w:right w:w="20" w:type="dxa"/>
            </w:tcMar>
            <w:vAlign w:val="center"/>
          </w:tcPr>
          <w:p w14:paraId="098A9E7C"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E7D"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E7E" w14:textId="77777777" w:rsidR="00141CDF" w:rsidRDefault="00DF45E0">
            <w:pPr>
              <w:jc w:val="right"/>
              <w:textAlignment w:val="center"/>
            </w:pPr>
            <w:r>
              <w:rPr>
                <w:rFonts w:ascii="Times New Roman" w:eastAsia="宋体" w:hAnsi="Times New Roman"/>
                <w:color w:val="000000"/>
                <w:sz w:val="16"/>
                <w:szCs w:val="16"/>
              </w:rPr>
              <w:t>97,023 </w:t>
            </w:r>
          </w:p>
        </w:tc>
        <w:tc>
          <w:tcPr>
            <w:tcW w:w="0" w:type="auto"/>
            <w:shd w:val="clear" w:color="auto" w:fill="FFFFFF"/>
            <w:tcMar>
              <w:top w:w="40" w:type="dxa"/>
              <w:left w:w="0" w:type="dxa"/>
              <w:bottom w:w="40" w:type="dxa"/>
              <w:right w:w="20" w:type="dxa"/>
            </w:tcMar>
            <w:vAlign w:val="center"/>
          </w:tcPr>
          <w:p w14:paraId="098A9E7F" w14:textId="77777777" w:rsidR="00141CDF" w:rsidRDefault="00141CDF">
            <w:pPr>
              <w:jc w:val="right"/>
              <w:rPr>
                <w:rFonts w:ascii="宋体"/>
              </w:rPr>
            </w:pPr>
          </w:p>
        </w:tc>
      </w:tr>
      <w:tr w:rsidR="00141CDF" w14:paraId="098A9E8B" w14:textId="77777777">
        <w:tc>
          <w:tcPr>
            <w:tcW w:w="0" w:type="auto"/>
            <w:gridSpan w:val="3"/>
            <w:shd w:val="clear" w:color="auto" w:fill="CCEEFF"/>
            <w:tcMar>
              <w:top w:w="40" w:type="dxa"/>
              <w:left w:w="20" w:type="dxa"/>
              <w:bottom w:w="40" w:type="dxa"/>
              <w:right w:w="20" w:type="dxa"/>
            </w:tcMar>
            <w:vAlign w:val="center"/>
          </w:tcPr>
          <w:p w14:paraId="098A9E81" w14:textId="77777777" w:rsidR="00141CDF" w:rsidRDefault="00DF45E0">
            <w:pPr>
              <w:textAlignment w:val="center"/>
            </w:pPr>
            <w:r>
              <w:rPr>
                <w:rFonts w:ascii="Times New Roman" w:eastAsia="宋体" w:hAnsi="Times New Roman"/>
                <w:color w:val="000000"/>
                <w:sz w:val="16"/>
                <w:szCs w:val="16"/>
              </w:rPr>
              <w:t>Accounts payable</w:t>
            </w:r>
          </w:p>
        </w:tc>
        <w:tc>
          <w:tcPr>
            <w:tcW w:w="0" w:type="auto"/>
            <w:gridSpan w:val="3"/>
            <w:shd w:val="clear" w:color="auto" w:fill="CCEEFF"/>
            <w:tcMar>
              <w:top w:w="0" w:type="dxa"/>
              <w:left w:w="20" w:type="dxa"/>
              <w:bottom w:w="0" w:type="dxa"/>
              <w:right w:w="20" w:type="dxa"/>
            </w:tcMar>
            <w:vAlign w:val="bottom"/>
          </w:tcPr>
          <w:p w14:paraId="098A9E82"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E83" w14:textId="77777777" w:rsidR="00141CDF" w:rsidRDefault="00DF45E0">
            <w:pPr>
              <w:jc w:val="right"/>
              <w:textAlignment w:val="center"/>
            </w:pPr>
            <w:r>
              <w:rPr>
                <w:rFonts w:ascii="Times New Roman" w:eastAsia="宋体" w:hAnsi="Times New Roman"/>
                <w:color w:val="000000"/>
                <w:sz w:val="16"/>
                <w:szCs w:val="16"/>
              </w:rPr>
              <w:t>54,191 </w:t>
            </w:r>
          </w:p>
        </w:tc>
        <w:tc>
          <w:tcPr>
            <w:tcW w:w="0" w:type="auto"/>
            <w:shd w:val="clear" w:color="auto" w:fill="CCEEFF"/>
            <w:tcMar>
              <w:top w:w="40" w:type="dxa"/>
              <w:left w:w="0" w:type="dxa"/>
              <w:bottom w:w="40" w:type="dxa"/>
              <w:right w:w="20" w:type="dxa"/>
            </w:tcMar>
            <w:vAlign w:val="center"/>
          </w:tcPr>
          <w:p w14:paraId="098A9E84"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E85"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E86" w14:textId="77777777" w:rsidR="00141CDF" w:rsidRDefault="00DF45E0">
            <w:pPr>
              <w:jc w:val="right"/>
              <w:textAlignment w:val="center"/>
            </w:pPr>
            <w:r>
              <w:rPr>
                <w:rFonts w:ascii="Times New Roman" w:eastAsia="宋体" w:hAnsi="Times New Roman"/>
                <w:color w:val="000000"/>
                <w:sz w:val="16"/>
                <w:szCs w:val="16"/>
              </w:rPr>
              <w:t>49,601 </w:t>
            </w:r>
          </w:p>
        </w:tc>
        <w:tc>
          <w:tcPr>
            <w:tcW w:w="0" w:type="auto"/>
            <w:shd w:val="clear" w:color="auto" w:fill="CCEEFF"/>
            <w:tcMar>
              <w:top w:w="40" w:type="dxa"/>
              <w:left w:w="0" w:type="dxa"/>
              <w:bottom w:w="40" w:type="dxa"/>
              <w:right w:w="20" w:type="dxa"/>
            </w:tcMar>
            <w:vAlign w:val="center"/>
          </w:tcPr>
          <w:p w14:paraId="098A9E87"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E88"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E89" w14:textId="77777777" w:rsidR="00141CDF" w:rsidRDefault="00DF45E0">
            <w:pPr>
              <w:jc w:val="right"/>
              <w:textAlignment w:val="center"/>
            </w:pPr>
            <w:r>
              <w:rPr>
                <w:rFonts w:ascii="Times New Roman" w:eastAsia="宋体" w:hAnsi="Times New Roman"/>
                <w:color w:val="000000"/>
                <w:sz w:val="16"/>
                <w:szCs w:val="16"/>
              </w:rPr>
              <w:t>46,326 </w:t>
            </w:r>
          </w:p>
        </w:tc>
        <w:tc>
          <w:tcPr>
            <w:tcW w:w="0" w:type="auto"/>
            <w:shd w:val="clear" w:color="auto" w:fill="CCEEFF"/>
            <w:tcMar>
              <w:top w:w="40" w:type="dxa"/>
              <w:left w:w="0" w:type="dxa"/>
              <w:bottom w:w="40" w:type="dxa"/>
              <w:right w:w="20" w:type="dxa"/>
            </w:tcMar>
            <w:vAlign w:val="center"/>
          </w:tcPr>
          <w:p w14:paraId="098A9E8A" w14:textId="77777777" w:rsidR="00141CDF" w:rsidRDefault="00141CDF">
            <w:pPr>
              <w:jc w:val="right"/>
              <w:rPr>
                <w:rFonts w:ascii="宋体"/>
              </w:rPr>
            </w:pPr>
          </w:p>
        </w:tc>
      </w:tr>
      <w:tr w:rsidR="00141CDF" w14:paraId="098A9E96" w14:textId="77777777">
        <w:tc>
          <w:tcPr>
            <w:tcW w:w="0" w:type="auto"/>
            <w:gridSpan w:val="3"/>
            <w:shd w:val="clear" w:color="auto" w:fill="FFFFFF"/>
            <w:tcMar>
              <w:top w:w="40" w:type="dxa"/>
              <w:left w:w="20" w:type="dxa"/>
              <w:bottom w:w="40" w:type="dxa"/>
              <w:right w:w="20" w:type="dxa"/>
            </w:tcMar>
            <w:vAlign w:val="center"/>
          </w:tcPr>
          <w:p w14:paraId="098A9E8C" w14:textId="77777777" w:rsidR="00141CDF" w:rsidRDefault="00DF45E0">
            <w:pPr>
              <w:textAlignment w:val="center"/>
            </w:pPr>
            <w:r>
              <w:rPr>
                <w:rFonts w:ascii="Times New Roman" w:eastAsia="宋体" w:hAnsi="Times New Roman"/>
                <w:color w:val="000000"/>
                <w:sz w:val="16"/>
                <w:szCs w:val="16"/>
              </w:rPr>
              <w:t>Accr</w:t>
            </w:r>
            <w:r>
              <w:rPr>
                <w:rFonts w:ascii="Times New Roman" w:eastAsia="宋体" w:hAnsi="Times New Roman"/>
                <w:color w:val="000000"/>
                <w:sz w:val="16"/>
                <w:szCs w:val="16"/>
              </w:rPr>
              <w:t>ued liabilities</w:t>
            </w:r>
          </w:p>
        </w:tc>
        <w:tc>
          <w:tcPr>
            <w:tcW w:w="0" w:type="auto"/>
            <w:gridSpan w:val="3"/>
            <w:shd w:val="clear" w:color="auto" w:fill="FFFFFF"/>
            <w:tcMar>
              <w:top w:w="0" w:type="dxa"/>
              <w:left w:w="20" w:type="dxa"/>
              <w:bottom w:w="0" w:type="dxa"/>
              <w:right w:w="20" w:type="dxa"/>
            </w:tcMar>
            <w:vAlign w:val="bottom"/>
          </w:tcPr>
          <w:p w14:paraId="098A9E8D"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E8E" w14:textId="77777777" w:rsidR="00141CDF" w:rsidRDefault="00DF45E0">
            <w:pPr>
              <w:jc w:val="right"/>
              <w:textAlignment w:val="center"/>
            </w:pPr>
            <w:r>
              <w:rPr>
                <w:rFonts w:ascii="Times New Roman" w:eastAsia="宋体" w:hAnsi="Times New Roman"/>
                <w:color w:val="000000"/>
                <w:sz w:val="16"/>
                <w:szCs w:val="16"/>
              </w:rPr>
              <w:t>23,843 </w:t>
            </w:r>
          </w:p>
        </w:tc>
        <w:tc>
          <w:tcPr>
            <w:tcW w:w="0" w:type="auto"/>
            <w:shd w:val="clear" w:color="auto" w:fill="FFFFFF"/>
            <w:tcMar>
              <w:top w:w="40" w:type="dxa"/>
              <w:left w:w="0" w:type="dxa"/>
              <w:bottom w:w="40" w:type="dxa"/>
              <w:right w:w="20" w:type="dxa"/>
            </w:tcMar>
            <w:vAlign w:val="center"/>
          </w:tcPr>
          <w:p w14:paraId="098A9E8F"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E90"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E91" w14:textId="77777777" w:rsidR="00141CDF" w:rsidRDefault="00DF45E0">
            <w:pPr>
              <w:jc w:val="right"/>
              <w:textAlignment w:val="center"/>
            </w:pPr>
            <w:r>
              <w:rPr>
                <w:rFonts w:ascii="Times New Roman" w:eastAsia="宋体" w:hAnsi="Times New Roman"/>
                <w:color w:val="000000"/>
                <w:sz w:val="16"/>
                <w:szCs w:val="16"/>
              </w:rPr>
              <w:t>23,915 </w:t>
            </w:r>
          </w:p>
        </w:tc>
        <w:tc>
          <w:tcPr>
            <w:tcW w:w="0" w:type="auto"/>
            <w:shd w:val="clear" w:color="auto" w:fill="FFFFFF"/>
            <w:tcMar>
              <w:top w:w="40" w:type="dxa"/>
              <w:left w:w="0" w:type="dxa"/>
              <w:bottom w:w="40" w:type="dxa"/>
              <w:right w:w="20" w:type="dxa"/>
            </w:tcMar>
            <w:vAlign w:val="center"/>
          </w:tcPr>
          <w:p w14:paraId="098A9E92"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E93"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E94" w14:textId="77777777" w:rsidR="00141CDF" w:rsidRDefault="00DF45E0">
            <w:pPr>
              <w:jc w:val="right"/>
              <w:textAlignment w:val="center"/>
            </w:pPr>
            <w:r>
              <w:rPr>
                <w:rFonts w:ascii="Times New Roman" w:eastAsia="宋体" w:hAnsi="Times New Roman"/>
                <w:color w:val="000000"/>
                <w:sz w:val="16"/>
                <w:szCs w:val="16"/>
              </w:rPr>
              <w:t>23,768 </w:t>
            </w:r>
          </w:p>
        </w:tc>
        <w:tc>
          <w:tcPr>
            <w:tcW w:w="0" w:type="auto"/>
            <w:shd w:val="clear" w:color="auto" w:fill="FFFFFF"/>
            <w:tcMar>
              <w:top w:w="40" w:type="dxa"/>
              <w:left w:w="0" w:type="dxa"/>
              <w:bottom w:w="40" w:type="dxa"/>
              <w:right w:w="20" w:type="dxa"/>
            </w:tcMar>
            <w:vAlign w:val="center"/>
          </w:tcPr>
          <w:p w14:paraId="098A9E95" w14:textId="77777777" w:rsidR="00141CDF" w:rsidRDefault="00141CDF">
            <w:pPr>
              <w:jc w:val="right"/>
              <w:rPr>
                <w:rFonts w:ascii="宋体"/>
              </w:rPr>
            </w:pPr>
          </w:p>
        </w:tc>
      </w:tr>
    </w:tbl>
    <w:p w14:paraId="098A9E97" w14:textId="77777777" w:rsidR="00141CDF" w:rsidRDefault="00DF45E0">
      <w:r>
        <w:rPr>
          <w:rFonts w:ascii="Times New Roman" w:eastAsia="宋体" w:hAnsi="Times New Roman"/>
          <w:color w:val="000000"/>
          <w:sz w:val="20"/>
          <w:szCs w:val="20"/>
        </w:rPr>
        <w:t> </w:t>
      </w:r>
    </w:p>
    <w:p w14:paraId="098A9E98" w14:textId="77777777" w:rsidR="00141CDF" w:rsidRDefault="00141CDF">
      <w:pPr>
        <w:ind w:hanging="180"/>
      </w:pPr>
    </w:p>
    <w:p w14:paraId="098A9E99" w14:textId="77777777" w:rsidR="00141CDF" w:rsidRDefault="00141CDF">
      <w:pPr>
        <w:ind w:hanging="360"/>
      </w:pPr>
    </w:p>
    <w:p w14:paraId="098A9E9A" w14:textId="77777777" w:rsidR="00141CDF" w:rsidRDefault="00141CDF">
      <w:pPr>
        <w:ind w:hanging="360"/>
      </w:pPr>
    </w:p>
    <w:p w14:paraId="098A9E9B" w14:textId="77777777" w:rsidR="00141CDF" w:rsidRDefault="00141CDF">
      <w:pPr>
        <w:ind w:hanging="360"/>
      </w:pPr>
    </w:p>
    <w:p w14:paraId="098A9E9C" w14:textId="77777777" w:rsidR="00141CDF" w:rsidRDefault="00DF45E0">
      <w:pPr>
        <w:jc w:val="center"/>
      </w:pPr>
      <w:r>
        <w:rPr>
          <w:rFonts w:ascii="Times New Roman" w:eastAsia="宋体" w:hAnsi="Times New Roman"/>
          <w:color w:val="000000"/>
          <w:sz w:val="20"/>
          <w:szCs w:val="20"/>
        </w:rPr>
        <w:t>18</w:t>
      </w:r>
    </w:p>
    <w:p w14:paraId="098A9E9D" w14:textId="77777777" w:rsidR="00141CDF" w:rsidRDefault="00DF45E0">
      <w:r>
        <w:pict w14:anchorId="098AA660">
          <v:rect id="_x0000_i1042" style="width:415.3pt;height:1.5pt" o:hralign="center" o:hrstd="t" o:hr="t" fillcolor="#a0a0a0" stroked="f"/>
        </w:pict>
      </w:r>
    </w:p>
    <w:p w14:paraId="098A9E9E" w14:textId="77777777" w:rsidR="00141CDF" w:rsidRDefault="00DF45E0">
      <w:hyperlink r:id="rId77" w:anchor="i24a2f296795646fa8b5ba32fd1359591_7" w:history="1">
        <w:r>
          <w:rPr>
            <w:rStyle w:val="a5"/>
            <w:rFonts w:ascii="Times New Roman" w:eastAsia="宋体" w:hAnsi="Times New Roman"/>
            <w:sz w:val="20"/>
            <w:szCs w:val="20"/>
          </w:rPr>
          <w:t xml:space="preserve">Table of </w:t>
        </w:r>
      </w:hyperlink>
      <w:hyperlink r:id="rId78" w:anchor="i24a2f296795646fa8b5ba32fd1359591_7" w:history="1">
        <w:r>
          <w:rPr>
            <w:rStyle w:val="a5"/>
            <w:rFonts w:ascii="Times New Roman" w:eastAsia="宋体" w:hAnsi="Times New Roman"/>
            <w:sz w:val="20"/>
            <w:szCs w:val="20"/>
          </w:rPr>
          <w:t>Contents</w:t>
        </w:r>
      </w:hyperlink>
    </w:p>
    <w:p w14:paraId="098A9E9F" w14:textId="77777777" w:rsidR="00141CDF" w:rsidRDefault="00DF45E0">
      <w:r>
        <w:rPr>
          <w:rFonts w:ascii="Times New Roman" w:eastAsia="宋体" w:hAnsi="Times New Roman"/>
          <w:i/>
          <w:iCs/>
          <w:color w:val="000000"/>
          <w:sz w:val="20"/>
          <w:szCs w:val="20"/>
        </w:rPr>
        <w:t>Free Cash Flow</w:t>
      </w:r>
    </w:p>
    <w:p w14:paraId="098A9EA0" w14:textId="77777777" w:rsidR="00141CDF" w:rsidRDefault="00DF45E0">
      <w:pPr>
        <w:spacing w:before="100"/>
      </w:pPr>
      <w:r>
        <w:rPr>
          <w:rFonts w:ascii="Times New Roman" w:eastAsia="宋体" w:hAnsi="Times New Roman"/>
          <w:color w:val="000000"/>
          <w:sz w:val="20"/>
          <w:szCs w:val="20"/>
        </w:rPr>
        <w:t>Free cash flow is considered a non-GAAP financial measure. Management believes, however, that free cash flow, which measures our ability to generate additional cash from our b</w:t>
      </w:r>
      <w:r>
        <w:rPr>
          <w:rFonts w:ascii="Times New Roman" w:eastAsia="宋体" w:hAnsi="Times New Roman"/>
          <w:color w:val="000000"/>
          <w:sz w:val="20"/>
          <w:szCs w:val="20"/>
        </w:rPr>
        <w:t>usiness operations, is an important financial measure for use in evaluating the Company's financial performance. Free cash flow should be considered in addition to, rather than as a substitute for, consolidated net income as a measure of our performance an</w:t>
      </w:r>
      <w:r>
        <w:rPr>
          <w:rFonts w:ascii="Times New Roman" w:eastAsia="宋体" w:hAnsi="Times New Roman"/>
          <w:color w:val="000000"/>
          <w:sz w:val="20"/>
          <w:szCs w:val="20"/>
        </w:rPr>
        <w:t xml:space="preserve">d net cash provided by operating activities as a measure of our liquidity. See </w:t>
      </w:r>
      <w:hyperlink r:id="rId79" w:anchor="i24a2f296795646fa8b5ba32fd1359591_97" w:history="1">
        <w:r>
          <w:rPr>
            <w:rStyle w:val="a5"/>
            <w:rFonts w:ascii="Times New Roman" w:eastAsia="宋体" w:hAnsi="Times New Roman"/>
            <w:sz w:val="20"/>
            <w:szCs w:val="20"/>
          </w:rPr>
          <w:t>Liquidity and Capital Resou</w:t>
        </w:r>
        <w:r>
          <w:rPr>
            <w:rStyle w:val="a5"/>
            <w:rFonts w:ascii="Times New Roman" w:eastAsia="宋体" w:hAnsi="Times New Roman"/>
            <w:sz w:val="20"/>
            <w:szCs w:val="20"/>
          </w:rPr>
          <w:t>rces</w:t>
        </w:r>
      </w:hyperlink>
      <w:r>
        <w:rPr>
          <w:rFonts w:ascii="Times New Roman" w:eastAsia="宋体" w:hAnsi="Times New Roman"/>
          <w:color w:val="000000"/>
          <w:sz w:val="20"/>
          <w:szCs w:val="20"/>
        </w:rPr>
        <w:t xml:space="preserve"> for discussions of GAAP metrics including net cash provided by operating activities, net cash used in investing activities and net cash used in financing activities.</w:t>
      </w:r>
    </w:p>
    <w:p w14:paraId="098A9EA1" w14:textId="77777777" w:rsidR="00141CDF" w:rsidRDefault="00DF45E0">
      <w:pPr>
        <w:spacing w:before="100" w:after="100"/>
      </w:pPr>
      <w:r>
        <w:rPr>
          <w:rFonts w:ascii="Times New Roman" w:eastAsia="宋体" w:hAnsi="Times New Roman"/>
          <w:color w:val="000000"/>
          <w:sz w:val="20"/>
          <w:szCs w:val="20"/>
        </w:rPr>
        <w:t xml:space="preserve">We define free cash flow as net cash provided by operating activities in a period </w:t>
      </w:r>
      <w:r>
        <w:rPr>
          <w:rFonts w:ascii="Times New Roman" w:eastAsia="宋体" w:hAnsi="Times New Roman"/>
          <w:color w:val="000000"/>
          <w:sz w:val="20"/>
          <w:szCs w:val="20"/>
        </w:rPr>
        <w:t>minus payments for property and equipment made in that period. Net cash provided by operating activities was $9.2 billion for the six months ended July 31, 2022, which represents a decline of $3.2 billion when compared to the same period in the prior year.</w:t>
      </w:r>
      <w:r>
        <w:rPr>
          <w:rFonts w:ascii="Times New Roman" w:eastAsia="宋体" w:hAnsi="Times New Roman"/>
          <w:color w:val="000000"/>
          <w:sz w:val="20"/>
          <w:szCs w:val="20"/>
        </w:rPr>
        <w:t xml:space="preserve"> The decline is primarily due to a decrease in operating income, higher inventory costs and purchases to support strong sales and the timing of certain payments. Free cash flow for the six months ended July 31, 2022 was $1.7 billion, which represents a dec</w:t>
      </w:r>
      <w:r>
        <w:rPr>
          <w:rFonts w:ascii="Times New Roman" w:eastAsia="宋体" w:hAnsi="Times New Roman"/>
          <w:color w:val="000000"/>
          <w:sz w:val="20"/>
          <w:szCs w:val="20"/>
        </w:rPr>
        <w:t>line of $5.7 billion when compared to the same period in the prior year. The decline in free cash flow is due to the reduction in operating cash flows described above, as well as an increase of $2.5 billion in capital expenditures to support our investment</w:t>
      </w:r>
      <w:r>
        <w:rPr>
          <w:rFonts w:ascii="Times New Roman" w:eastAsia="宋体" w:hAnsi="Times New Roman"/>
          <w:color w:val="000000"/>
          <w:sz w:val="20"/>
          <w:szCs w:val="20"/>
        </w:rPr>
        <w:t xml:space="preserve"> strategy. </w:t>
      </w:r>
    </w:p>
    <w:p w14:paraId="098A9EA2" w14:textId="77777777" w:rsidR="00141CDF" w:rsidRDefault="00DF45E0">
      <w:pPr>
        <w:spacing w:before="100"/>
      </w:pPr>
      <w:r>
        <w:rPr>
          <w:rFonts w:ascii="Times New Roman" w:eastAsia="宋体" w:hAnsi="Times New Roman"/>
          <w:color w:val="000000"/>
          <w:sz w:val="20"/>
          <w:szCs w:val="20"/>
        </w:rPr>
        <w:t>Walmart's definition of free cash flow is limited in that it does not represent residual cash flows available for discretionary expenditures due to the fact that the measure does not deduct the payments required for debt service and other contr</w:t>
      </w:r>
      <w:r>
        <w:rPr>
          <w:rFonts w:ascii="Times New Roman" w:eastAsia="宋体" w:hAnsi="Times New Roman"/>
          <w:color w:val="000000"/>
          <w:sz w:val="20"/>
          <w:szCs w:val="20"/>
        </w:rPr>
        <w:t>actual obligations or payments made for business acquisitions. Therefore, we believe it is important to view free cash flow as a measure that provides supplemental information to our Condensed Consolidated Statements of Cash Flows.</w:t>
      </w:r>
    </w:p>
    <w:p w14:paraId="098A9EA3" w14:textId="77777777" w:rsidR="00141CDF" w:rsidRDefault="00DF45E0">
      <w:pPr>
        <w:spacing w:before="100"/>
      </w:pPr>
      <w:r>
        <w:rPr>
          <w:rFonts w:ascii="Times New Roman" w:eastAsia="宋体" w:hAnsi="Times New Roman"/>
          <w:color w:val="000000"/>
          <w:sz w:val="20"/>
          <w:szCs w:val="20"/>
        </w:rPr>
        <w:t>Although other companies</w:t>
      </w:r>
      <w:r>
        <w:rPr>
          <w:rFonts w:ascii="Times New Roman" w:eastAsia="宋体" w:hAnsi="Times New Roman"/>
          <w:color w:val="000000"/>
          <w:sz w:val="20"/>
          <w:szCs w:val="20"/>
        </w:rPr>
        <w:t xml:space="preserve"> report their free cash flow, numerous methods may exist for calculating a company's free cash flow. As a result, the method used by management to calculate our free cash flow may differ from the methods used by other companies to calculate their free cash</w:t>
      </w:r>
      <w:r>
        <w:rPr>
          <w:rFonts w:ascii="Times New Roman" w:eastAsia="宋体" w:hAnsi="Times New Roman"/>
          <w:color w:val="000000"/>
          <w:sz w:val="20"/>
          <w:szCs w:val="20"/>
        </w:rPr>
        <w:t xml:space="preserve"> flow.</w:t>
      </w:r>
    </w:p>
    <w:p w14:paraId="098A9EA4" w14:textId="77777777" w:rsidR="00141CDF" w:rsidRDefault="00DF45E0">
      <w:pPr>
        <w:spacing w:before="100"/>
      </w:pPr>
      <w:r>
        <w:rPr>
          <w:rFonts w:ascii="Times New Roman" w:eastAsia="宋体" w:hAnsi="Times New Roman"/>
          <w:color w:val="000000"/>
          <w:sz w:val="20"/>
          <w:szCs w:val="20"/>
        </w:rPr>
        <w:t>The following table sets forth a reconciliation of free cash flow, a non-GAAP financial measure, to net cash provided by operating activities, which we believe to be the GAAP financial measure most directly comparable to free cash flow, as well as i</w:t>
      </w:r>
      <w:r>
        <w:rPr>
          <w:rFonts w:ascii="Times New Roman" w:eastAsia="宋体" w:hAnsi="Times New Roman"/>
          <w:color w:val="000000"/>
          <w:sz w:val="20"/>
          <w:szCs w:val="20"/>
        </w:rPr>
        <w:t>nformation regarding net cash used in investing activities and net cash used in financing activities.</w:t>
      </w:r>
    </w:p>
    <w:tbl>
      <w:tblPr>
        <w:tblW w:w="4993" w:type="pct"/>
        <w:jc w:val="center"/>
        <w:tblCellMar>
          <w:top w:w="15" w:type="dxa"/>
          <w:left w:w="15" w:type="dxa"/>
          <w:bottom w:w="15" w:type="dxa"/>
          <w:right w:w="15" w:type="dxa"/>
        </w:tblCellMar>
        <w:tblLook w:val="04A0" w:firstRow="1" w:lastRow="0" w:firstColumn="1" w:lastColumn="0" w:noHBand="0" w:noVBand="1"/>
      </w:tblPr>
      <w:tblGrid>
        <w:gridCol w:w="38"/>
        <w:gridCol w:w="5520"/>
        <w:gridCol w:w="37"/>
        <w:gridCol w:w="36"/>
        <w:gridCol w:w="36"/>
        <w:gridCol w:w="36"/>
        <w:gridCol w:w="36"/>
        <w:gridCol w:w="36"/>
        <w:gridCol w:w="189"/>
        <w:gridCol w:w="188"/>
        <w:gridCol w:w="188"/>
        <w:gridCol w:w="36"/>
        <w:gridCol w:w="36"/>
        <w:gridCol w:w="36"/>
        <w:gridCol w:w="100"/>
        <w:gridCol w:w="736"/>
        <w:gridCol w:w="36"/>
        <w:gridCol w:w="36"/>
        <w:gridCol w:w="36"/>
        <w:gridCol w:w="36"/>
        <w:gridCol w:w="100"/>
        <w:gridCol w:w="760"/>
        <w:gridCol w:w="36"/>
      </w:tblGrid>
      <w:tr w:rsidR="00141CDF" w14:paraId="098A9EBA" w14:textId="77777777">
        <w:trPr>
          <w:jc w:val="center"/>
        </w:trPr>
        <w:tc>
          <w:tcPr>
            <w:tcW w:w="50" w:type="pct"/>
            <w:shd w:val="clear" w:color="auto" w:fill="auto"/>
            <w:vAlign w:val="bottom"/>
          </w:tcPr>
          <w:p w14:paraId="098A9EA5" w14:textId="77777777" w:rsidR="00141CDF" w:rsidRDefault="00141CDF">
            <w:pPr>
              <w:rPr>
                <w:rFonts w:ascii="宋体"/>
              </w:rPr>
            </w:pPr>
          </w:p>
        </w:tc>
        <w:tc>
          <w:tcPr>
            <w:tcW w:w="3671" w:type="pct"/>
            <w:shd w:val="clear" w:color="auto" w:fill="auto"/>
            <w:vAlign w:val="bottom"/>
          </w:tcPr>
          <w:p w14:paraId="098A9EA6" w14:textId="77777777" w:rsidR="00141CDF" w:rsidRDefault="00141CDF">
            <w:pPr>
              <w:rPr>
                <w:rFonts w:ascii="宋体"/>
              </w:rPr>
            </w:pPr>
          </w:p>
        </w:tc>
        <w:tc>
          <w:tcPr>
            <w:tcW w:w="5" w:type="pct"/>
            <w:shd w:val="clear" w:color="auto" w:fill="auto"/>
            <w:vAlign w:val="bottom"/>
          </w:tcPr>
          <w:p w14:paraId="098A9EA7" w14:textId="77777777" w:rsidR="00141CDF" w:rsidRDefault="00141CDF">
            <w:pPr>
              <w:rPr>
                <w:rFonts w:ascii="宋体"/>
              </w:rPr>
            </w:pPr>
          </w:p>
        </w:tc>
        <w:tc>
          <w:tcPr>
            <w:tcW w:w="5" w:type="pct"/>
            <w:shd w:val="clear" w:color="auto" w:fill="auto"/>
            <w:vAlign w:val="bottom"/>
          </w:tcPr>
          <w:p w14:paraId="098A9EA8" w14:textId="77777777" w:rsidR="00141CDF" w:rsidRDefault="00141CDF">
            <w:pPr>
              <w:rPr>
                <w:rFonts w:ascii="宋体"/>
              </w:rPr>
            </w:pPr>
          </w:p>
        </w:tc>
        <w:tc>
          <w:tcPr>
            <w:tcW w:w="26" w:type="pct"/>
            <w:shd w:val="clear" w:color="auto" w:fill="auto"/>
            <w:vAlign w:val="bottom"/>
          </w:tcPr>
          <w:p w14:paraId="098A9EA9" w14:textId="77777777" w:rsidR="00141CDF" w:rsidRDefault="00141CDF">
            <w:pPr>
              <w:rPr>
                <w:rFonts w:ascii="宋体"/>
              </w:rPr>
            </w:pPr>
          </w:p>
        </w:tc>
        <w:tc>
          <w:tcPr>
            <w:tcW w:w="5" w:type="pct"/>
            <w:shd w:val="clear" w:color="auto" w:fill="auto"/>
            <w:vAlign w:val="bottom"/>
          </w:tcPr>
          <w:p w14:paraId="098A9EAA" w14:textId="77777777" w:rsidR="00141CDF" w:rsidRDefault="00141CDF">
            <w:pPr>
              <w:rPr>
                <w:rFonts w:ascii="宋体"/>
              </w:rPr>
            </w:pPr>
          </w:p>
        </w:tc>
        <w:tc>
          <w:tcPr>
            <w:tcW w:w="0" w:type="auto"/>
            <w:shd w:val="clear" w:color="auto" w:fill="auto"/>
            <w:vAlign w:val="bottom"/>
          </w:tcPr>
          <w:p w14:paraId="098A9EAB" w14:textId="77777777" w:rsidR="00141CDF" w:rsidRDefault="00141CDF">
            <w:pPr>
              <w:rPr>
                <w:rFonts w:ascii="宋体"/>
                <w:vanish/>
              </w:rPr>
            </w:pPr>
          </w:p>
        </w:tc>
        <w:tc>
          <w:tcPr>
            <w:tcW w:w="0" w:type="auto"/>
            <w:shd w:val="clear" w:color="auto" w:fill="auto"/>
            <w:vAlign w:val="bottom"/>
          </w:tcPr>
          <w:p w14:paraId="098A9EAC" w14:textId="77777777" w:rsidR="00141CDF" w:rsidRDefault="00141CDF">
            <w:pPr>
              <w:rPr>
                <w:rFonts w:ascii="宋体"/>
                <w:vanish/>
              </w:rPr>
            </w:pPr>
          </w:p>
        </w:tc>
        <w:tc>
          <w:tcPr>
            <w:tcW w:w="0" w:type="auto"/>
            <w:shd w:val="clear" w:color="auto" w:fill="auto"/>
            <w:vAlign w:val="bottom"/>
          </w:tcPr>
          <w:p w14:paraId="098A9EAD" w14:textId="77777777" w:rsidR="00141CDF" w:rsidRDefault="00141CDF">
            <w:pPr>
              <w:rPr>
                <w:rFonts w:ascii="宋体"/>
                <w:vanish/>
              </w:rPr>
            </w:pPr>
          </w:p>
        </w:tc>
        <w:tc>
          <w:tcPr>
            <w:tcW w:w="0" w:type="auto"/>
            <w:shd w:val="clear" w:color="auto" w:fill="auto"/>
            <w:vAlign w:val="bottom"/>
          </w:tcPr>
          <w:p w14:paraId="098A9EAE" w14:textId="77777777" w:rsidR="00141CDF" w:rsidRDefault="00141CDF">
            <w:pPr>
              <w:rPr>
                <w:rFonts w:ascii="宋体"/>
                <w:vanish/>
              </w:rPr>
            </w:pPr>
          </w:p>
        </w:tc>
        <w:tc>
          <w:tcPr>
            <w:tcW w:w="0" w:type="auto"/>
            <w:shd w:val="clear" w:color="auto" w:fill="auto"/>
            <w:vAlign w:val="bottom"/>
          </w:tcPr>
          <w:p w14:paraId="098A9EAF" w14:textId="77777777" w:rsidR="00141CDF" w:rsidRDefault="00141CDF">
            <w:pPr>
              <w:rPr>
                <w:rFonts w:ascii="宋体"/>
                <w:vanish/>
              </w:rPr>
            </w:pPr>
          </w:p>
        </w:tc>
        <w:tc>
          <w:tcPr>
            <w:tcW w:w="0" w:type="auto"/>
            <w:gridSpan w:val="3"/>
            <w:shd w:val="clear" w:color="auto" w:fill="auto"/>
            <w:vAlign w:val="bottom"/>
          </w:tcPr>
          <w:p w14:paraId="098A9EB0" w14:textId="77777777" w:rsidR="00141CDF" w:rsidRDefault="00141CDF">
            <w:pPr>
              <w:rPr>
                <w:rFonts w:ascii="宋体"/>
                <w:vanish/>
              </w:rPr>
            </w:pPr>
          </w:p>
        </w:tc>
        <w:tc>
          <w:tcPr>
            <w:tcW w:w="50" w:type="pct"/>
            <w:shd w:val="clear" w:color="auto" w:fill="auto"/>
            <w:vAlign w:val="bottom"/>
          </w:tcPr>
          <w:p w14:paraId="098A9EB1" w14:textId="77777777" w:rsidR="00141CDF" w:rsidRDefault="00141CDF">
            <w:pPr>
              <w:rPr>
                <w:rFonts w:ascii="宋体"/>
              </w:rPr>
            </w:pPr>
          </w:p>
        </w:tc>
        <w:tc>
          <w:tcPr>
            <w:tcW w:w="537" w:type="pct"/>
            <w:shd w:val="clear" w:color="auto" w:fill="auto"/>
            <w:vAlign w:val="bottom"/>
          </w:tcPr>
          <w:p w14:paraId="098A9EB2" w14:textId="77777777" w:rsidR="00141CDF" w:rsidRDefault="00141CDF">
            <w:pPr>
              <w:rPr>
                <w:rFonts w:ascii="宋体"/>
              </w:rPr>
            </w:pPr>
          </w:p>
        </w:tc>
        <w:tc>
          <w:tcPr>
            <w:tcW w:w="5" w:type="pct"/>
            <w:shd w:val="clear" w:color="auto" w:fill="auto"/>
            <w:vAlign w:val="bottom"/>
          </w:tcPr>
          <w:p w14:paraId="098A9EB3" w14:textId="77777777" w:rsidR="00141CDF" w:rsidRDefault="00141CDF">
            <w:pPr>
              <w:rPr>
                <w:rFonts w:ascii="宋体"/>
              </w:rPr>
            </w:pPr>
          </w:p>
        </w:tc>
        <w:tc>
          <w:tcPr>
            <w:tcW w:w="5" w:type="pct"/>
            <w:shd w:val="clear" w:color="auto" w:fill="auto"/>
            <w:vAlign w:val="bottom"/>
          </w:tcPr>
          <w:p w14:paraId="098A9EB4" w14:textId="77777777" w:rsidR="00141CDF" w:rsidRDefault="00141CDF">
            <w:pPr>
              <w:rPr>
                <w:rFonts w:ascii="宋体"/>
              </w:rPr>
            </w:pPr>
          </w:p>
        </w:tc>
        <w:tc>
          <w:tcPr>
            <w:tcW w:w="41" w:type="pct"/>
            <w:shd w:val="clear" w:color="auto" w:fill="auto"/>
            <w:vAlign w:val="bottom"/>
          </w:tcPr>
          <w:p w14:paraId="098A9EB5" w14:textId="77777777" w:rsidR="00141CDF" w:rsidRDefault="00141CDF">
            <w:pPr>
              <w:rPr>
                <w:rFonts w:ascii="宋体"/>
              </w:rPr>
            </w:pPr>
          </w:p>
        </w:tc>
        <w:tc>
          <w:tcPr>
            <w:tcW w:w="5" w:type="pct"/>
            <w:shd w:val="clear" w:color="auto" w:fill="auto"/>
            <w:vAlign w:val="bottom"/>
          </w:tcPr>
          <w:p w14:paraId="098A9EB6" w14:textId="77777777" w:rsidR="00141CDF" w:rsidRDefault="00141CDF">
            <w:pPr>
              <w:rPr>
                <w:rFonts w:ascii="宋体"/>
              </w:rPr>
            </w:pPr>
          </w:p>
        </w:tc>
        <w:tc>
          <w:tcPr>
            <w:tcW w:w="50" w:type="pct"/>
            <w:shd w:val="clear" w:color="auto" w:fill="auto"/>
            <w:vAlign w:val="bottom"/>
          </w:tcPr>
          <w:p w14:paraId="098A9EB7" w14:textId="77777777" w:rsidR="00141CDF" w:rsidRDefault="00141CDF">
            <w:pPr>
              <w:rPr>
                <w:rFonts w:ascii="宋体"/>
              </w:rPr>
            </w:pPr>
          </w:p>
        </w:tc>
        <w:tc>
          <w:tcPr>
            <w:tcW w:w="538" w:type="pct"/>
            <w:shd w:val="clear" w:color="auto" w:fill="auto"/>
            <w:vAlign w:val="bottom"/>
          </w:tcPr>
          <w:p w14:paraId="098A9EB8" w14:textId="77777777" w:rsidR="00141CDF" w:rsidRDefault="00141CDF">
            <w:pPr>
              <w:rPr>
                <w:rFonts w:ascii="宋体"/>
              </w:rPr>
            </w:pPr>
          </w:p>
        </w:tc>
        <w:tc>
          <w:tcPr>
            <w:tcW w:w="5" w:type="pct"/>
            <w:shd w:val="clear" w:color="auto" w:fill="auto"/>
            <w:vAlign w:val="bottom"/>
          </w:tcPr>
          <w:p w14:paraId="098A9EB9" w14:textId="77777777" w:rsidR="00141CDF" w:rsidRDefault="00141CDF">
            <w:pPr>
              <w:rPr>
                <w:rFonts w:ascii="宋体"/>
              </w:rPr>
            </w:pPr>
          </w:p>
        </w:tc>
      </w:tr>
      <w:tr w:rsidR="00141CDF" w14:paraId="098A9ECC" w14:textId="77777777">
        <w:trPr>
          <w:jc w:val="center"/>
        </w:trPr>
        <w:tc>
          <w:tcPr>
            <w:tcW w:w="0" w:type="auto"/>
            <w:gridSpan w:val="3"/>
            <w:shd w:val="clear" w:color="auto" w:fill="auto"/>
            <w:tcMar>
              <w:top w:w="40" w:type="dxa"/>
              <w:left w:w="20" w:type="dxa"/>
              <w:bottom w:w="40" w:type="dxa"/>
              <w:right w:w="20" w:type="dxa"/>
            </w:tcMar>
            <w:vAlign w:val="bottom"/>
          </w:tcPr>
          <w:p w14:paraId="098A9EBB" w14:textId="77777777" w:rsidR="00141CDF" w:rsidRDefault="00DF45E0">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098A9EBC" w14:textId="77777777" w:rsidR="00141CDF" w:rsidRDefault="00141CDF">
            <w:pPr>
              <w:rPr>
                <w:rFonts w:ascii="宋体"/>
              </w:rPr>
            </w:pPr>
          </w:p>
        </w:tc>
        <w:tc>
          <w:tcPr>
            <w:tcW w:w="0" w:type="auto"/>
            <w:shd w:val="clear" w:color="auto" w:fill="auto"/>
            <w:vAlign w:val="bottom"/>
          </w:tcPr>
          <w:p w14:paraId="098A9EBD" w14:textId="77777777" w:rsidR="00141CDF" w:rsidRDefault="00141CDF">
            <w:pPr>
              <w:rPr>
                <w:rFonts w:ascii="宋体"/>
                <w:vanish/>
              </w:rPr>
            </w:pPr>
          </w:p>
        </w:tc>
        <w:tc>
          <w:tcPr>
            <w:tcW w:w="0" w:type="auto"/>
            <w:shd w:val="clear" w:color="auto" w:fill="auto"/>
            <w:vAlign w:val="bottom"/>
          </w:tcPr>
          <w:p w14:paraId="098A9EBE" w14:textId="77777777" w:rsidR="00141CDF" w:rsidRDefault="00141CDF">
            <w:pPr>
              <w:rPr>
                <w:rFonts w:ascii="宋体"/>
                <w:vanish/>
              </w:rPr>
            </w:pPr>
          </w:p>
        </w:tc>
        <w:tc>
          <w:tcPr>
            <w:tcW w:w="0" w:type="auto"/>
            <w:gridSpan w:val="3"/>
            <w:shd w:val="clear" w:color="auto" w:fill="auto"/>
            <w:tcMar>
              <w:top w:w="40" w:type="dxa"/>
              <w:left w:w="20" w:type="dxa"/>
              <w:bottom w:w="40" w:type="dxa"/>
              <w:right w:w="20" w:type="dxa"/>
            </w:tcMar>
            <w:vAlign w:val="bottom"/>
          </w:tcPr>
          <w:p w14:paraId="098A9EBF" w14:textId="77777777" w:rsidR="00141CDF" w:rsidRDefault="00DF45E0">
            <w:pPr>
              <w:jc w:val="center"/>
              <w:textAlignment w:val="bottom"/>
            </w:pPr>
            <w:r>
              <w:rPr>
                <w:rFonts w:ascii="Times New Roman" w:eastAsia="宋体" w:hAnsi="Times New Roman"/>
                <w:b/>
                <w:bCs/>
                <w:color w:val="000000"/>
                <w:sz w:val="16"/>
                <w:szCs w:val="16"/>
              </w:rPr>
              <w:t>Six Months Ended July 31,</w:t>
            </w:r>
          </w:p>
        </w:tc>
        <w:tc>
          <w:tcPr>
            <w:tcW w:w="0" w:type="auto"/>
            <w:shd w:val="clear" w:color="auto" w:fill="auto"/>
            <w:vAlign w:val="bottom"/>
          </w:tcPr>
          <w:p w14:paraId="098A9EC0" w14:textId="77777777" w:rsidR="00141CDF" w:rsidRDefault="00141CDF">
            <w:pPr>
              <w:rPr>
                <w:rFonts w:ascii="宋体"/>
              </w:rPr>
            </w:pPr>
          </w:p>
        </w:tc>
        <w:tc>
          <w:tcPr>
            <w:tcW w:w="0" w:type="auto"/>
            <w:shd w:val="clear" w:color="auto" w:fill="auto"/>
            <w:vAlign w:val="bottom"/>
          </w:tcPr>
          <w:p w14:paraId="098A9EC1" w14:textId="77777777" w:rsidR="00141CDF" w:rsidRDefault="00141CDF">
            <w:pPr>
              <w:rPr>
                <w:rFonts w:ascii="宋体"/>
              </w:rPr>
            </w:pPr>
          </w:p>
        </w:tc>
        <w:tc>
          <w:tcPr>
            <w:tcW w:w="0" w:type="auto"/>
            <w:shd w:val="clear" w:color="auto" w:fill="auto"/>
            <w:vAlign w:val="bottom"/>
          </w:tcPr>
          <w:p w14:paraId="098A9EC2" w14:textId="77777777" w:rsidR="00141CDF" w:rsidRDefault="00141CDF">
            <w:pPr>
              <w:rPr>
                <w:rFonts w:ascii="宋体"/>
              </w:rPr>
            </w:pPr>
          </w:p>
        </w:tc>
        <w:tc>
          <w:tcPr>
            <w:tcW w:w="0" w:type="auto"/>
            <w:shd w:val="clear" w:color="auto" w:fill="auto"/>
            <w:vAlign w:val="bottom"/>
          </w:tcPr>
          <w:p w14:paraId="098A9EC3" w14:textId="77777777" w:rsidR="00141CDF" w:rsidRDefault="00141CDF">
            <w:pPr>
              <w:rPr>
                <w:rFonts w:ascii="宋体"/>
              </w:rPr>
            </w:pPr>
          </w:p>
        </w:tc>
        <w:tc>
          <w:tcPr>
            <w:tcW w:w="0" w:type="auto"/>
            <w:shd w:val="clear" w:color="auto" w:fill="auto"/>
            <w:vAlign w:val="bottom"/>
          </w:tcPr>
          <w:p w14:paraId="098A9EC4" w14:textId="77777777" w:rsidR="00141CDF" w:rsidRDefault="00141CDF">
            <w:pPr>
              <w:rPr>
                <w:rFonts w:ascii="宋体"/>
              </w:rPr>
            </w:pPr>
          </w:p>
        </w:tc>
        <w:tc>
          <w:tcPr>
            <w:tcW w:w="0" w:type="auto"/>
            <w:shd w:val="clear" w:color="auto" w:fill="auto"/>
            <w:vAlign w:val="bottom"/>
          </w:tcPr>
          <w:p w14:paraId="098A9EC5" w14:textId="77777777" w:rsidR="00141CDF" w:rsidRDefault="00141CDF">
            <w:pPr>
              <w:rPr>
                <w:rFonts w:ascii="宋体"/>
              </w:rPr>
            </w:pPr>
          </w:p>
        </w:tc>
        <w:tc>
          <w:tcPr>
            <w:tcW w:w="0" w:type="auto"/>
            <w:shd w:val="clear" w:color="auto" w:fill="auto"/>
            <w:vAlign w:val="bottom"/>
          </w:tcPr>
          <w:p w14:paraId="098A9EC6" w14:textId="77777777" w:rsidR="00141CDF" w:rsidRDefault="00141CDF">
            <w:pPr>
              <w:rPr>
                <w:rFonts w:ascii="宋体"/>
              </w:rPr>
            </w:pPr>
          </w:p>
        </w:tc>
        <w:tc>
          <w:tcPr>
            <w:tcW w:w="0" w:type="auto"/>
            <w:shd w:val="clear" w:color="auto" w:fill="auto"/>
            <w:vAlign w:val="bottom"/>
          </w:tcPr>
          <w:p w14:paraId="098A9EC7" w14:textId="77777777" w:rsidR="00141CDF" w:rsidRDefault="00141CDF">
            <w:pPr>
              <w:rPr>
                <w:rFonts w:ascii="宋体"/>
              </w:rPr>
            </w:pPr>
          </w:p>
        </w:tc>
        <w:tc>
          <w:tcPr>
            <w:tcW w:w="0" w:type="auto"/>
            <w:shd w:val="clear" w:color="auto" w:fill="auto"/>
            <w:vAlign w:val="bottom"/>
          </w:tcPr>
          <w:p w14:paraId="098A9EC8" w14:textId="77777777" w:rsidR="00141CDF" w:rsidRDefault="00141CDF">
            <w:pPr>
              <w:rPr>
                <w:rFonts w:ascii="宋体"/>
              </w:rPr>
            </w:pPr>
          </w:p>
        </w:tc>
        <w:tc>
          <w:tcPr>
            <w:tcW w:w="0" w:type="auto"/>
            <w:shd w:val="clear" w:color="auto" w:fill="auto"/>
            <w:vAlign w:val="bottom"/>
          </w:tcPr>
          <w:p w14:paraId="098A9EC9" w14:textId="77777777" w:rsidR="00141CDF" w:rsidRDefault="00141CDF">
            <w:pPr>
              <w:rPr>
                <w:rFonts w:ascii="宋体"/>
              </w:rPr>
            </w:pPr>
          </w:p>
        </w:tc>
        <w:tc>
          <w:tcPr>
            <w:tcW w:w="0" w:type="auto"/>
            <w:shd w:val="clear" w:color="auto" w:fill="auto"/>
            <w:vAlign w:val="bottom"/>
          </w:tcPr>
          <w:p w14:paraId="098A9ECA" w14:textId="77777777" w:rsidR="00141CDF" w:rsidRDefault="00141CDF">
            <w:pPr>
              <w:rPr>
                <w:rFonts w:ascii="宋体"/>
              </w:rPr>
            </w:pPr>
          </w:p>
        </w:tc>
        <w:tc>
          <w:tcPr>
            <w:tcW w:w="0" w:type="auto"/>
            <w:shd w:val="clear" w:color="auto" w:fill="auto"/>
            <w:vAlign w:val="bottom"/>
          </w:tcPr>
          <w:p w14:paraId="098A9ECB" w14:textId="77777777" w:rsidR="00141CDF" w:rsidRDefault="00141CDF">
            <w:pPr>
              <w:rPr>
                <w:rFonts w:ascii="宋体"/>
              </w:rPr>
            </w:pPr>
          </w:p>
        </w:tc>
      </w:tr>
      <w:tr w:rsidR="00141CDF" w14:paraId="098A9ED8" w14:textId="77777777">
        <w:trPr>
          <w:jc w:val="center"/>
        </w:trPr>
        <w:tc>
          <w:tcPr>
            <w:tcW w:w="0" w:type="auto"/>
            <w:gridSpan w:val="3"/>
            <w:shd w:val="clear" w:color="auto" w:fill="auto"/>
            <w:tcMar>
              <w:top w:w="40" w:type="dxa"/>
              <w:left w:w="20" w:type="dxa"/>
              <w:bottom w:w="40" w:type="dxa"/>
              <w:right w:w="20" w:type="dxa"/>
            </w:tcMar>
            <w:vAlign w:val="bottom"/>
          </w:tcPr>
          <w:p w14:paraId="098A9ECD" w14:textId="77777777" w:rsidR="00141CDF" w:rsidRDefault="00DF45E0">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098A9ECE" w14:textId="77777777" w:rsidR="00141CDF" w:rsidRDefault="00141CDF">
            <w:pPr>
              <w:rPr>
                <w:rFonts w:ascii="宋体"/>
              </w:rPr>
            </w:pPr>
          </w:p>
        </w:tc>
        <w:tc>
          <w:tcPr>
            <w:tcW w:w="0" w:type="auto"/>
            <w:shd w:val="clear" w:color="auto" w:fill="auto"/>
            <w:vAlign w:val="bottom"/>
          </w:tcPr>
          <w:p w14:paraId="098A9ECF" w14:textId="77777777" w:rsidR="00141CDF" w:rsidRDefault="00141CDF">
            <w:pPr>
              <w:rPr>
                <w:rFonts w:ascii="宋体"/>
                <w:vanish/>
              </w:rPr>
            </w:pPr>
          </w:p>
        </w:tc>
        <w:tc>
          <w:tcPr>
            <w:tcW w:w="0" w:type="auto"/>
            <w:shd w:val="clear" w:color="auto" w:fill="auto"/>
            <w:vAlign w:val="bottom"/>
          </w:tcPr>
          <w:p w14:paraId="098A9ED0" w14:textId="77777777" w:rsidR="00141CDF" w:rsidRDefault="00141CDF">
            <w:pPr>
              <w:rPr>
                <w:rFonts w:ascii="宋体"/>
                <w:vanish/>
              </w:rPr>
            </w:pPr>
          </w:p>
        </w:tc>
        <w:tc>
          <w:tcPr>
            <w:tcW w:w="0" w:type="auto"/>
            <w:shd w:val="clear" w:color="auto" w:fill="auto"/>
            <w:vAlign w:val="bottom"/>
          </w:tcPr>
          <w:p w14:paraId="098A9ED1" w14:textId="77777777" w:rsidR="00141CDF" w:rsidRDefault="00141CDF">
            <w:pPr>
              <w:rPr>
                <w:rFonts w:ascii="宋体"/>
                <w:vanish/>
              </w:rPr>
            </w:pPr>
          </w:p>
        </w:tc>
        <w:tc>
          <w:tcPr>
            <w:tcW w:w="0" w:type="auto"/>
            <w:shd w:val="clear" w:color="auto" w:fill="auto"/>
            <w:vAlign w:val="bottom"/>
          </w:tcPr>
          <w:p w14:paraId="098A9ED2" w14:textId="77777777" w:rsidR="00141CDF" w:rsidRDefault="00141CDF">
            <w:pPr>
              <w:rPr>
                <w:rFonts w:ascii="宋体"/>
                <w:vanish/>
              </w:rPr>
            </w:pPr>
          </w:p>
        </w:tc>
        <w:tc>
          <w:tcPr>
            <w:tcW w:w="0" w:type="auto"/>
            <w:shd w:val="clear" w:color="auto" w:fill="auto"/>
            <w:vAlign w:val="bottom"/>
          </w:tcPr>
          <w:p w14:paraId="098A9ED3" w14:textId="77777777" w:rsidR="00141CDF" w:rsidRDefault="00141CDF">
            <w:pPr>
              <w:rPr>
                <w:rFonts w:ascii="宋体"/>
                <w:vanish/>
              </w:rPr>
            </w:pPr>
          </w:p>
        </w:tc>
        <w:tc>
          <w:tcPr>
            <w:tcW w:w="0" w:type="auto"/>
            <w:gridSpan w:val="3"/>
            <w:shd w:val="clear" w:color="auto" w:fill="auto"/>
            <w:vAlign w:val="bottom"/>
          </w:tcPr>
          <w:p w14:paraId="098A9ED4" w14:textId="77777777" w:rsidR="00141CDF" w:rsidRDefault="00141CDF">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98A9ED5" w14:textId="77777777" w:rsidR="00141CDF" w:rsidRDefault="00DF45E0">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9ED6"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98A9ED7" w14:textId="77777777" w:rsidR="00141CDF" w:rsidRDefault="00DF45E0">
            <w:pPr>
              <w:jc w:val="center"/>
              <w:textAlignment w:val="bottom"/>
            </w:pPr>
            <w:r>
              <w:rPr>
                <w:rFonts w:ascii="Times New Roman" w:eastAsia="宋体" w:hAnsi="Times New Roman"/>
                <w:b/>
                <w:bCs/>
                <w:color w:val="000000"/>
                <w:sz w:val="16"/>
                <w:szCs w:val="16"/>
              </w:rPr>
              <w:t>2021</w:t>
            </w:r>
          </w:p>
        </w:tc>
      </w:tr>
      <w:tr w:rsidR="00141CDF" w14:paraId="098A9EE8" w14:textId="77777777">
        <w:trPr>
          <w:jc w:val="center"/>
        </w:trPr>
        <w:tc>
          <w:tcPr>
            <w:tcW w:w="0" w:type="auto"/>
            <w:gridSpan w:val="3"/>
            <w:shd w:val="clear" w:color="auto" w:fill="CCEEFF"/>
            <w:tcMar>
              <w:top w:w="40" w:type="dxa"/>
              <w:left w:w="20" w:type="dxa"/>
              <w:bottom w:w="40" w:type="dxa"/>
              <w:right w:w="20" w:type="dxa"/>
            </w:tcMar>
            <w:vAlign w:val="center"/>
          </w:tcPr>
          <w:p w14:paraId="098A9ED9" w14:textId="77777777" w:rsidR="00141CDF" w:rsidRDefault="00DF45E0">
            <w:pPr>
              <w:textAlignment w:val="center"/>
            </w:pPr>
            <w:r>
              <w:rPr>
                <w:rFonts w:ascii="Times New Roman" w:eastAsia="宋体" w:hAnsi="Times New Roman"/>
                <w:color w:val="000000"/>
                <w:sz w:val="16"/>
                <w:szCs w:val="16"/>
              </w:rPr>
              <w:t xml:space="preserve">Net cash provided by operating </w:t>
            </w:r>
            <w:r>
              <w:rPr>
                <w:rFonts w:ascii="Times New Roman" w:eastAsia="宋体" w:hAnsi="Times New Roman"/>
                <w:color w:val="000000"/>
                <w:sz w:val="16"/>
                <w:szCs w:val="16"/>
              </w:rPr>
              <w:t>activities</w:t>
            </w:r>
          </w:p>
        </w:tc>
        <w:tc>
          <w:tcPr>
            <w:tcW w:w="0" w:type="auto"/>
            <w:gridSpan w:val="3"/>
            <w:shd w:val="clear" w:color="auto" w:fill="CCEEFF"/>
            <w:tcMar>
              <w:top w:w="0" w:type="dxa"/>
              <w:left w:w="20" w:type="dxa"/>
              <w:bottom w:w="0" w:type="dxa"/>
              <w:right w:w="20" w:type="dxa"/>
            </w:tcMar>
            <w:vAlign w:val="bottom"/>
          </w:tcPr>
          <w:p w14:paraId="098A9EDA" w14:textId="77777777" w:rsidR="00141CDF" w:rsidRDefault="00141CDF">
            <w:pPr>
              <w:rPr>
                <w:rFonts w:ascii="宋体"/>
              </w:rPr>
            </w:pPr>
          </w:p>
        </w:tc>
        <w:tc>
          <w:tcPr>
            <w:tcW w:w="0" w:type="auto"/>
            <w:shd w:val="clear" w:color="auto" w:fill="auto"/>
            <w:vAlign w:val="bottom"/>
          </w:tcPr>
          <w:p w14:paraId="098A9EDB" w14:textId="77777777" w:rsidR="00141CDF" w:rsidRDefault="00141CDF">
            <w:pPr>
              <w:rPr>
                <w:rFonts w:ascii="宋体"/>
                <w:vanish/>
              </w:rPr>
            </w:pPr>
          </w:p>
        </w:tc>
        <w:tc>
          <w:tcPr>
            <w:tcW w:w="0" w:type="auto"/>
            <w:shd w:val="clear" w:color="auto" w:fill="auto"/>
            <w:vAlign w:val="bottom"/>
          </w:tcPr>
          <w:p w14:paraId="098A9EDC" w14:textId="77777777" w:rsidR="00141CDF" w:rsidRDefault="00141CDF">
            <w:pPr>
              <w:rPr>
                <w:rFonts w:ascii="宋体"/>
                <w:vanish/>
              </w:rPr>
            </w:pPr>
          </w:p>
        </w:tc>
        <w:tc>
          <w:tcPr>
            <w:tcW w:w="0" w:type="auto"/>
            <w:shd w:val="clear" w:color="auto" w:fill="auto"/>
            <w:vAlign w:val="bottom"/>
          </w:tcPr>
          <w:p w14:paraId="098A9EDD" w14:textId="77777777" w:rsidR="00141CDF" w:rsidRDefault="00141CDF">
            <w:pPr>
              <w:rPr>
                <w:rFonts w:ascii="宋体"/>
                <w:vanish/>
              </w:rPr>
            </w:pPr>
          </w:p>
        </w:tc>
        <w:tc>
          <w:tcPr>
            <w:tcW w:w="0" w:type="auto"/>
            <w:shd w:val="clear" w:color="auto" w:fill="auto"/>
            <w:vAlign w:val="bottom"/>
          </w:tcPr>
          <w:p w14:paraId="098A9EDE" w14:textId="77777777" w:rsidR="00141CDF" w:rsidRDefault="00141CDF">
            <w:pPr>
              <w:rPr>
                <w:rFonts w:ascii="宋体"/>
                <w:vanish/>
              </w:rPr>
            </w:pPr>
          </w:p>
        </w:tc>
        <w:tc>
          <w:tcPr>
            <w:tcW w:w="0" w:type="auto"/>
            <w:shd w:val="clear" w:color="auto" w:fill="auto"/>
            <w:vAlign w:val="bottom"/>
          </w:tcPr>
          <w:p w14:paraId="098A9EDF" w14:textId="77777777" w:rsidR="00141CDF" w:rsidRDefault="00141CDF">
            <w:pPr>
              <w:rPr>
                <w:rFonts w:ascii="宋体"/>
                <w:vanish/>
              </w:rPr>
            </w:pPr>
          </w:p>
        </w:tc>
        <w:tc>
          <w:tcPr>
            <w:tcW w:w="0" w:type="auto"/>
            <w:gridSpan w:val="3"/>
            <w:shd w:val="clear" w:color="auto" w:fill="auto"/>
            <w:vAlign w:val="bottom"/>
          </w:tcPr>
          <w:p w14:paraId="098A9EE0" w14:textId="77777777" w:rsidR="00141CDF" w:rsidRDefault="00141CDF">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9EE1"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9EE2" w14:textId="77777777" w:rsidR="00141CDF" w:rsidRDefault="00DF45E0">
            <w:pPr>
              <w:jc w:val="right"/>
              <w:textAlignment w:val="center"/>
            </w:pPr>
            <w:r>
              <w:rPr>
                <w:rFonts w:ascii="Times New Roman" w:eastAsia="宋体" w:hAnsi="Times New Roman"/>
                <w:color w:val="000000"/>
                <w:sz w:val="16"/>
                <w:szCs w:val="16"/>
              </w:rPr>
              <w:t>9,240 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EE3"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EE4"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9EE5"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9EE6" w14:textId="77777777" w:rsidR="00141CDF" w:rsidRDefault="00DF45E0">
            <w:pPr>
              <w:jc w:val="right"/>
              <w:textAlignment w:val="center"/>
            </w:pPr>
            <w:r>
              <w:rPr>
                <w:rFonts w:ascii="Times New Roman" w:eastAsia="宋体" w:hAnsi="Times New Roman"/>
                <w:color w:val="000000"/>
                <w:sz w:val="16"/>
                <w:szCs w:val="16"/>
              </w:rPr>
              <w:t>12,423 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EE7" w14:textId="77777777" w:rsidR="00141CDF" w:rsidRDefault="00141CDF">
            <w:pPr>
              <w:jc w:val="right"/>
              <w:rPr>
                <w:rFonts w:ascii="宋体"/>
              </w:rPr>
            </w:pPr>
          </w:p>
        </w:tc>
      </w:tr>
      <w:tr w:rsidR="00141CDF" w14:paraId="098A9EF6" w14:textId="77777777">
        <w:trPr>
          <w:jc w:val="center"/>
        </w:trPr>
        <w:tc>
          <w:tcPr>
            <w:tcW w:w="0" w:type="auto"/>
            <w:gridSpan w:val="3"/>
            <w:shd w:val="clear" w:color="auto" w:fill="FFFFFF"/>
            <w:tcMar>
              <w:top w:w="40" w:type="dxa"/>
              <w:left w:w="20" w:type="dxa"/>
              <w:bottom w:w="40" w:type="dxa"/>
              <w:right w:w="20" w:type="dxa"/>
            </w:tcMar>
            <w:vAlign w:val="center"/>
          </w:tcPr>
          <w:p w14:paraId="098A9EE9" w14:textId="77777777" w:rsidR="00141CDF" w:rsidRDefault="00DF45E0">
            <w:pPr>
              <w:textAlignment w:val="center"/>
            </w:pPr>
            <w:r>
              <w:rPr>
                <w:rFonts w:ascii="Times New Roman" w:eastAsia="宋体" w:hAnsi="Times New Roman"/>
                <w:color w:val="000000"/>
                <w:sz w:val="16"/>
                <w:szCs w:val="16"/>
              </w:rPr>
              <w:t>Payments for property and equipment</w:t>
            </w:r>
          </w:p>
        </w:tc>
        <w:tc>
          <w:tcPr>
            <w:tcW w:w="0" w:type="auto"/>
            <w:gridSpan w:val="3"/>
            <w:shd w:val="clear" w:color="auto" w:fill="FFFFFF"/>
            <w:tcMar>
              <w:top w:w="0" w:type="dxa"/>
              <w:left w:w="20" w:type="dxa"/>
              <w:bottom w:w="0" w:type="dxa"/>
              <w:right w:w="20" w:type="dxa"/>
            </w:tcMar>
            <w:vAlign w:val="bottom"/>
          </w:tcPr>
          <w:p w14:paraId="098A9EEA" w14:textId="77777777" w:rsidR="00141CDF" w:rsidRDefault="00141CDF">
            <w:pPr>
              <w:rPr>
                <w:rFonts w:ascii="宋体"/>
              </w:rPr>
            </w:pPr>
          </w:p>
        </w:tc>
        <w:tc>
          <w:tcPr>
            <w:tcW w:w="0" w:type="auto"/>
            <w:shd w:val="clear" w:color="auto" w:fill="auto"/>
            <w:vAlign w:val="bottom"/>
          </w:tcPr>
          <w:p w14:paraId="098A9EEB" w14:textId="77777777" w:rsidR="00141CDF" w:rsidRDefault="00141CDF">
            <w:pPr>
              <w:rPr>
                <w:rFonts w:ascii="宋体"/>
                <w:vanish/>
              </w:rPr>
            </w:pPr>
          </w:p>
        </w:tc>
        <w:tc>
          <w:tcPr>
            <w:tcW w:w="0" w:type="auto"/>
            <w:shd w:val="clear" w:color="auto" w:fill="auto"/>
            <w:vAlign w:val="bottom"/>
          </w:tcPr>
          <w:p w14:paraId="098A9EEC" w14:textId="77777777" w:rsidR="00141CDF" w:rsidRDefault="00141CDF">
            <w:pPr>
              <w:rPr>
                <w:rFonts w:ascii="宋体"/>
                <w:vanish/>
              </w:rPr>
            </w:pPr>
          </w:p>
        </w:tc>
        <w:tc>
          <w:tcPr>
            <w:tcW w:w="0" w:type="auto"/>
            <w:shd w:val="clear" w:color="auto" w:fill="auto"/>
            <w:vAlign w:val="bottom"/>
          </w:tcPr>
          <w:p w14:paraId="098A9EED" w14:textId="77777777" w:rsidR="00141CDF" w:rsidRDefault="00141CDF">
            <w:pPr>
              <w:rPr>
                <w:rFonts w:ascii="宋体"/>
                <w:vanish/>
              </w:rPr>
            </w:pPr>
          </w:p>
        </w:tc>
        <w:tc>
          <w:tcPr>
            <w:tcW w:w="0" w:type="auto"/>
            <w:shd w:val="clear" w:color="auto" w:fill="auto"/>
            <w:vAlign w:val="bottom"/>
          </w:tcPr>
          <w:p w14:paraId="098A9EEE" w14:textId="77777777" w:rsidR="00141CDF" w:rsidRDefault="00141CDF">
            <w:pPr>
              <w:rPr>
                <w:rFonts w:ascii="宋体"/>
                <w:vanish/>
              </w:rPr>
            </w:pPr>
          </w:p>
        </w:tc>
        <w:tc>
          <w:tcPr>
            <w:tcW w:w="0" w:type="auto"/>
            <w:shd w:val="clear" w:color="auto" w:fill="auto"/>
            <w:vAlign w:val="bottom"/>
          </w:tcPr>
          <w:p w14:paraId="098A9EEF" w14:textId="77777777" w:rsidR="00141CDF" w:rsidRDefault="00141CDF">
            <w:pPr>
              <w:rPr>
                <w:rFonts w:ascii="宋体"/>
                <w:vanish/>
              </w:rPr>
            </w:pPr>
          </w:p>
        </w:tc>
        <w:tc>
          <w:tcPr>
            <w:tcW w:w="0" w:type="auto"/>
            <w:gridSpan w:val="3"/>
            <w:shd w:val="clear" w:color="auto" w:fill="auto"/>
            <w:vAlign w:val="bottom"/>
          </w:tcPr>
          <w:p w14:paraId="098A9EF0" w14:textId="77777777" w:rsidR="00141CDF" w:rsidRDefault="00141CDF">
            <w:pPr>
              <w:rPr>
                <w:rFonts w:ascii="宋体"/>
                <w:vanish/>
              </w:rPr>
            </w:pPr>
          </w:p>
        </w:tc>
        <w:tc>
          <w:tcPr>
            <w:tcW w:w="0" w:type="auto"/>
            <w:gridSpan w:val="2"/>
            <w:shd w:val="clear" w:color="auto" w:fill="FFFFFF"/>
            <w:tcMar>
              <w:top w:w="40" w:type="dxa"/>
              <w:left w:w="20" w:type="dxa"/>
              <w:bottom w:w="40" w:type="dxa"/>
              <w:right w:w="0" w:type="dxa"/>
            </w:tcMar>
            <w:vAlign w:val="center"/>
          </w:tcPr>
          <w:p w14:paraId="098A9EF1" w14:textId="77777777" w:rsidR="00141CDF" w:rsidRDefault="00DF45E0">
            <w:pPr>
              <w:jc w:val="right"/>
              <w:textAlignment w:val="center"/>
            </w:pPr>
            <w:r>
              <w:rPr>
                <w:rFonts w:ascii="Times New Roman" w:eastAsia="宋体" w:hAnsi="Times New Roman"/>
                <w:color w:val="000000"/>
                <w:sz w:val="16"/>
                <w:szCs w:val="16"/>
              </w:rPr>
              <w:t>(7,492)</w:t>
            </w:r>
          </w:p>
        </w:tc>
        <w:tc>
          <w:tcPr>
            <w:tcW w:w="0" w:type="auto"/>
            <w:shd w:val="clear" w:color="auto" w:fill="FFFFFF"/>
            <w:tcMar>
              <w:top w:w="40" w:type="dxa"/>
              <w:left w:w="0" w:type="dxa"/>
              <w:bottom w:w="40" w:type="dxa"/>
              <w:right w:w="20" w:type="dxa"/>
            </w:tcMar>
            <w:vAlign w:val="center"/>
          </w:tcPr>
          <w:p w14:paraId="098A9EF2"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EF3"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EF4" w14:textId="77777777" w:rsidR="00141CDF" w:rsidRDefault="00DF45E0">
            <w:pPr>
              <w:jc w:val="right"/>
              <w:textAlignment w:val="center"/>
            </w:pPr>
            <w:r>
              <w:rPr>
                <w:rFonts w:ascii="Times New Roman" w:eastAsia="宋体" w:hAnsi="Times New Roman"/>
                <w:color w:val="000000"/>
                <w:sz w:val="16"/>
                <w:szCs w:val="16"/>
              </w:rPr>
              <w:t>(5,019)</w:t>
            </w:r>
          </w:p>
        </w:tc>
        <w:tc>
          <w:tcPr>
            <w:tcW w:w="0" w:type="auto"/>
            <w:shd w:val="clear" w:color="auto" w:fill="FFFFFF"/>
            <w:tcMar>
              <w:top w:w="40" w:type="dxa"/>
              <w:left w:w="0" w:type="dxa"/>
              <w:bottom w:w="40" w:type="dxa"/>
              <w:right w:w="20" w:type="dxa"/>
            </w:tcMar>
            <w:vAlign w:val="center"/>
          </w:tcPr>
          <w:p w14:paraId="098A9EF5" w14:textId="77777777" w:rsidR="00141CDF" w:rsidRDefault="00141CDF">
            <w:pPr>
              <w:jc w:val="right"/>
              <w:rPr>
                <w:rFonts w:ascii="宋体"/>
              </w:rPr>
            </w:pPr>
          </w:p>
        </w:tc>
      </w:tr>
      <w:tr w:rsidR="00141CDF" w14:paraId="098A9F06" w14:textId="77777777">
        <w:trPr>
          <w:jc w:val="center"/>
        </w:trPr>
        <w:tc>
          <w:tcPr>
            <w:tcW w:w="0" w:type="auto"/>
            <w:gridSpan w:val="3"/>
            <w:shd w:val="clear" w:color="auto" w:fill="CCEEFF"/>
            <w:tcMar>
              <w:top w:w="40" w:type="dxa"/>
              <w:left w:w="20" w:type="dxa"/>
              <w:bottom w:w="40" w:type="dxa"/>
              <w:right w:w="20" w:type="dxa"/>
            </w:tcMar>
            <w:vAlign w:val="center"/>
          </w:tcPr>
          <w:p w14:paraId="098A9EF7" w14:textId="77777777" w:rsidR="00141CDF" w:rsidRDefault="00DF45E0">
            <w:pPr>
              <w:textAlignment w:val="center"/>
            </w:pPr>
            <w:r>
              <w:rPr>
                <w:rFonts w:ascii="Times New Roman" w:eastAsia="宋体" w:hAnsi="Times New Roman"/>
                <w:b/>
                <w:bCs/>
                <w:color w:val="000000"/>
                <w:sz w:val="16"/>
                <w:szCs w:val="16"/>
              </w:rPr>
              <w:t>Free cash flow</w:t>
            </w:r>
          </w:p>
        </w:tc>
        <w:tc>
          <w:tcPr>
            <w:tcW w:w="0" w:type="auto"/>
            <w:gridSpan w:val="3"/>
            <w:shd w:val="clear" w:color="auto" w:fill="CCEEFF"/>
            <w:tcMar>
              <w:top w:w="0" w:type="dxa"/>
              <w:left w:w="20" w:type="dxa"/>
              <w:bottom w:w="0" w:type="dxa"/>
              <w:right w:w="20" w:type="dxa"/>
            </w:tcMar>
            <w:vAlign w:val="bottom"/>
          </w:tcPr>
          <w:p w14:paraId="098A9EF8" w14:textId="77777777" w:rsidR="00141CDF" w:rsidRDefault="00141CDF">
            <w:pPr>
              <w:rPr>
                <w:rFonts w:ascii="宋体"/>
              </w:rPr>
            </w:pPr>
          </w:p>
        </w:tc>
        <w:tc>
          <w:tcPr>
            <w:tcW w:w="0" w:type="auto"/>
            <w:shd w:val="clear" w:color="auto" w:fill="auto"/>
            <w:vAlign w:val="bottom"/>
          </w:tcPr>
          <w:p w14:paraId="098A9EF9" w14:textId="77777777" w:rsidR="00141CDF" w:rsidRDefault="00141CDF">
            <w:pPr>
              <w:rPr>
                <w:rFonts w:ascii="宋体"/>
                <w:vanish/>
              </w:rPr>
            </w:pPr>
          </w:p>
        </w:tc>
        <w:tc>
          <w:tcPr>
            <w:tcW w:w="0" w:type="auto"/>
            <w:shd w:val="clear" w:color="auto" w:fill="auto"/>
            <w:vAlign w:val="bottom"/>
          </w:tcPr>
          <w:p w14:paraId="098A9EFA" w14:textId="77777777" w:rsidR="00141CDF" w:rsidRDefault="00141CDF">
            <w:pPr>
              <w:rPr>
                <w:rFonts w:ascii="宋体"/>
                <w:vanish/>
              </w:rPr>
            </w:pPr>
          </w:p>
        </w:tc>
        <w:tc>
          <w:tcPr>
            <w:tcW w:w="0" w:type="auto"/>
            <w:shd w:val="clear" w:color="auto" w:fill="auto"/>
            <w:vAlign w:val="bottom"/>
          </w:tcPr>
          <w:p w14:paraId="098A9EFB" w14:textId="77777777" w:rsidR="00141CDF" w:rsidRDefault="00141CDF">
            <w:pPr>
              <w:rPr>
                <w:rFonts w:ascii="宋体"/>
                <w:vanish/>
              </w:rPr>
            </w:pPr>
          </w:p>
        </w:tc>
        <w:tc>
          <w:tcPr>
            <w:tcW w:w="0" w:type="auto"/>
            <w:shd w:val="clear" w:color="auto" w:fill="auto"/>
            <w:vAlign w:val="bottom"/>
          </w:tcPr>
          <w:p w14:paraId="098A9EFC" w14:textId="77777777" w:rsidR="00141CDF" w:rsidRDefault="00141CDF">
            <w:pPr>
              <w:rPr>
                <w:rFonts w:ascii="宋体"/>
                <w:vanish/>
              </w:rPr>
            </w:pPr>
          </w:p>
        </w:tc>
        <w:tc>
          <w:tcPr>
            <w:tcW w:w="0" w:type="auto"/>
            <w:shd w:val="clear" w:color="auto" w:fill="auto"/>
            <w:vAlign w:val="bottom"/>
          </w:tcPr>
          <w:p w14:paraId="098A9EFD" w14:textId="77777777" w:rsidR="00141CDF" w:rsidRDefault="00141CDF">
            <w:pPr>
              <w:rPr>
                <w:rFonts w:ascii="宋体"/>
                <w:vanish/>
              </w:rPr>
            </w:pPr>
          </w:p>
        </w:tc>
        <w:tc>
          <w:tcPr>
            <w:tcW w:w="0" w:type="auto"/>
            <w:gridSpan w:val="3"/>
            <w:shd w:val="clear" w:color="auto" w:fill="auto"/>
            <w:vAlign w:val="bottom"/>
          </w:tcPr>
          <w:p w14:paraId="098A9EFE" w14:textId="77777777" w:rsidR="00141CDF" w:rsidRDefault="00141CDF">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9EFF"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9F00" w14:textId="77777777" w:rsidR="00141CDF" w:rsidRDefault="00DF45E0">
            <w:pPr>
              <w:jc w:val="right"/>
              <w:textAlignment w:val="center"/>
            </w:pPr>
            <w:r>
              <w:rPr>
                <w:rFonts w:ascii="Times New Roman" w:eastAsia="宋体" w:hAnsi="Times New Roman"/>
                <w:color w:val="000000"/>
                <w:sz w:val="16"/>
                <w:szCs w:val="16"/>
              </w:rPr>
              <w:t>1,748 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F01"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F02"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9F03"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9F04" w14:textId="77777777" w:rsidR="00141CDF" w:rsidRDefault="00DF45E0">
            <w:pPr>
              <w:jc w:val="right"/>
              <w:textAlignment w:val="center"/>
            </w:pPr>
            <w:r>
              <w:rPr>
                <w:rFonts w:ascii="Times New Roman" w:eastAsia="宋体" w:hAnsi="Times New Roman"/>
                <w:color w:val="000000"/>
                <w:sz w:val="16"/>
                <w:szCs w:val="16"/>
              </w:rPr>
              <w:t>7,404 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F05" w14:textId="77777777" w:rsidR="00141CDF" w:rsidRDefault="00141CDF">
            <w:pPr>
              <w:jc w:val="right"/>
              <w:rPr>
                <w:rFonts w:ascii="宋体"/>
              </w:rPr>
            </w:pPr>
          </w:p>
        </w:tc>
      </w:tr>
      <w:tr w:rsidR="00141CDF" w14:paraId="098A9F12" w14:textId="77777777">
        <w:trPr>
          <w:trHeight w:val="220"/>
          <w:jc w:val="center"/>
        </w:trPr>
        <w:tc>
          <w:tcPr>
            <w:tcW w:w="0" w:type="auto"/>
            <w:gridSpan w:val="3"/>
            <w:shd w:val="clear" w:color="auto" w:fill="FFFFFF"/>
            <w:tcMar>
              <w:top w:w="0" w:type="dxa"/>
              <w:left w:w="20" w:type="dxa"/>
              <w:bottom w:w="0" w:type="dxa"/>
              <w:right w:w="20" w:type="dxa"/>
            </w:tcMar>
            <w:vAlign w:val="bottom"/>
          </w:tcPr>
          <w:p w14:paraId="098A9F07"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9F08" w14:textId="77777777" w:rsidR="00141CDF" w:rsidRDefault="00141CDF">
            <w:pPr>
              <w:rPr>
                <w:rFonts w:ascii="宋体"/>
              </w:rPr>
            </w:pPr>
          </w:p>
        </w:tc>
        <w:tc>
          <w:tcPr>
            <w:tcW w:w="0" w:type="auto"/>
            <w:shd w:val="clear" w:color="auto" w:fill="auto"/>
            <w:vAlign w:val="bottom"/>
          </w:tcPr>
          <w:p w14:paraId="098A9F09" w14:textId="77777777" w:rsidR="00141CDF" w:rsidRDefault="00141CDF">
            <w:pPr>
              <w:rPr>
                <w:rFonts w:ascii="宋体"/>
                <w:vanish/>
              </w:rPr>
            </w:pPr>
          </w:p>
        </w:tc>
        <w:tc>
          <w:tcPr>
            <w:tcW w:w="0" w:type="auto"/>
            <w:shd w:val="clear" w:color="auto" w:fill="auto"/>
            <w:vAlign w:val="bottom"/>
          </w:tcPr>
          <w:p w14:paraId="098A9F0A" w14:textId="77777777" w:rsidR="00141CDF" w:rsidRDefault="00141CDF">
            <w:pPr>
              <w:rPr>
                <w:rFonts w:ascii="宋体"/>
                <w:vanish/>
              </w:rPr>
            </w:pPr>
          </w:p>
        </w:tc>
        <w:tc>
          <w:tcPr>
            <w:tcW w:w="0" w:type="auto"/>
            <w:shd w:val="clear" w:color="auto" w:fill="auto"/>
            <w:vAlign w:val="bottom"/>
          </w:tcPr>
          <w:p w14:paraId="098A9F0B" w14:textId="77777777" w:rsidR="00141CDF" w:rsidRDefault="00141CDF">
            <w:pPr>
              <w:rPr>
                <w:rFonts w:ascii="宋体"/>
                <w:vanish/>
              </w:rPr>
            </w:pPr>
          </w:p>
        </w:tc>
        <w:tc>
          <w:tcPr>
            <w:tcW w:w="0" w:type="auto"/>
            <w:shd w:val="clear" w:color="auto" w:fill="auto"/>
            <w:vAlign w:val="bottom"/>
          </w:tcPr>
          <w:p w14:paraId="098A9F0C" w14:textId="77777777" w:rsidR="00141CDF" w:rsidRDefault="00141CDF">
            <w:pPr>
              <w:rPr>
                <w:rFonts w:ascii="宋体"/>
                <w:vanish/>
              </w:rPr>
            </w:pPr>
          </w:p>
        </w:tc>
        <w:tc>
          <w:tcPr>
            <w:tcW w:w="0" w:type="auto"/>
            <w:shd w:val="clear" w:color="auto" w:fill="auto"/>
            <w:vAlign w:val="bottom"/>
          </w:tcPr>
          <w:p w14:paraId="098A9F0D" w14:textId="77777777" w:rsidR="00141CDF" w:rsidRDefault="00141CDF">
            <w:pPr>
              <w:rPr>
                <w:rFonts w:ascii="宋体"/>
                <w:vanish/>
              </w:rPr>
            </w:pPr>
          </w:p>
        </w:tc>
        <w:tc>
          <w:tcPr>
            <w:tcW w:w="0" w:type="auto"/>
            <w:gridSpan w:val="3"/>
            <w:shd w:val="clear" w:color="auto" w:fill="auto"/>
            <w:vAlign w:val="bottom"/>
          </w:tcPr>
          <w:p w14:paraId="098A9F0E" w14:textId="77777777" w:rsidR="00141CDF" w:rsidRDefault="00141CDF">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98A9F0F"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9F10" w14:textId="77777777" w:rsidR="00141CDF" w:rsidRDefault="00141CD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98A9F11" w14:textId="77777777" w:rsidR="00141CDF" w:rsidRDefault="00141CDF">
            <w:pPr>
              <w:rPr>
                <w:rFonts w:ascii="宋体"/>
              </w:rPr>
            </w:pPr>
          </w:p>
        </w:tc>
      </w:tr>
      <w:tr w:rsidR="00141CDF" w14:paraId="098A9F22" w14:textId="77777777">
        <w:trPr>
          <w:jc w:val="center"/>
        </w:trPr>
        <w:tc>
          <w:tcPr>
            <w:tcW w:w="0" w:type="auto"/>
            <w:gridSpan w:val="3"/>
            <w:shd w:val="clear" w:color="auto" w:fill="CCEEFF"/>
            <w:tcMar>
              <w:top w:w="40" w:type="dxa"/>
              <w:left w:w="20" w:type="dxa"/>
              <w:bottom w:w="40" w:type="dxa"/>
              <w:right w:w="20" w:type="dxa"/>
            </w:tcMar>
            <w:vAlign w:val="center"/>
          </w:tcPr>
          <w:p w14:paraId="098A9F13" w14:textId="77777777" w:rsidR="00141CDF" w:rsidRDefault="00DF45E0">
            <w:pPr>
              <w:textAlignment w:val="center"/>
            </w:pPr>
            <w:r>
              <w:rPr>
                <w:rFonts w:ascii="Times New Roman" w:eastAsia="宋体" w:hAnsi="Times New Roman"/>
                <w:color w:val="000000"/>
                <w:sz w:val="16"/>
                <w:szCs w:val="16"/>
              </w:rPr>
              <w:t>Net cash (used in) provided by investing activities</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vAlign w:val="bottom"/>
          </w:tcPr>
          <w:p w14:paraId="098A9F14" w14:textId="77777777" w:rsidR="00141CDF" w:rsidRDefault="00141CDF">
            <w:pPr>
              <w:rPr>
                <w:rFonts w:ascii="宋体"/>
              </w:rPr>
            </w:pPr>
          </w:p>
        </w:tc>
        <w:tc>
          <w:tcPr>
            <w:tcW w:w="0" w:type="auto"/>
            <w:shd w:val="clear" w:color="auto" w:fill="auto"/>
            <w:vAlign w:val="bottom"/>
          </w:tcPr>
          <w:p w14:paraId="098A9F15" w14:textId="77777777" w:rsidR="00141CDF" w:rsidRDefault="00141CDF">
            <w:pPr>
              <w:rPr>
                <w:rFonts w:ascii="宋体"/>
                <w:vanish/>
              </w:rPr>
            </w:pPr>
          </w:p>
        </w:tc>
        <w:tc>
          <w:tcPr>
            <w:tcW w:w="0" w:type="auto"/>
            <w:shd w:val="clear" w:color="auto" w:fill="auto"/>
            <w:vAlign w:val="bottom"/>
          </w:tcPr>
          <w:p w14:paraId="098A9F16" w14:textId="77777777" w:rsidR="00141CDF" w:rsidRDefault="00141CDF">
            <w:pPr>
              <w:rPr>
                <w:rFonts w:ascii="宋体"/>
                <w:vanish/>
              </w:rPr>
            </w:pPr>
          </w:p>
        </w:tc>
        <w:tc>
          <w:tcPr>
            <w:tcW w:w="0" w:type="auto"/>
            <w:shd w:val="clear" w:color="auto" w:fill="auto"/>
            <w:vAlign w:val="bottom"/>
          </w:tcPr>
          <w:p w14:paraId="098A9F17" w14:textId="77777777" w:rsidR="00141CDF" w:rsidRDefault="00141CDF">
            <w:pPr>
              <w:rPr>
                <w:rFonts w:ascii="宋体"/>
                <w:vanish/>
              </w:rPr>
            </w:pPr>
          </w:p>
        </w:tc>
        <w:tc>
          <w:tcPr>
            <w:tcW w:w="0" w:type="auto"/>
            <w:shd w:val="clear" w:color="auto" w:fill="auto"/>
            <w:vAlign w:val="bottom"/>
          </w:tcPr>
          <w:p w14:paraId="098A9F18" w14:textId="77777777" w:rsidR="00141CDF" w:rsidRDefault="00141CDF">
            <w:pPr>
              <w:rPr>
                <w:rFonts w:ascii="宋体"/>
                <w:vanish/>
              </w:rPr>
            </w:pPr>
          </w:p>
        </w:tc>
        <w:tc>
          <w:tcPr>
            <w:tcW w:w="0" w:type="auto"/>
            <w:shd w:val="clear" w:color="auto" w:fill="auto"/>
            <w:vAlign w:val="bottom"/>
          </w:tcPr>
          <w:p w14:paraId="098A9F19" w14:textId="77777777" w:rsidR="00141CDF" w:rsidRDefault="00141CDF">
            <w:pPr>
              <w:rPr>
                <w:rFonts w:ascii="宋体"/>
                <w:vanish/>
              </w:rPr>
            </w:pPr>
          </w:p>
        </w:tc>
        <w:tc>
          <w:tcPr>
            <w:tcW w:w="0" w:type="auto"/>
            <w:gridSpan w:val="3"/>
            <w:shd w:val="clear" w:color="auto" w:fill="auto"/>
            <w:vAlign w:val="bottom"/>
          </w:tcPr>
          <w:p w14:paraId="098A9F1A" w14:textId="77777777" w:rsidR="00141CDF" w:rsidRDefault="00141CDF">
            <w:pPr>
              <w:rPr>
                <w:rFonts w:ascii="宋体"/>
                <w:vanish/>
              </w:rPr>
            </w:pPr>
          </w:p>
        </w:tc>
        <w:tc>
          <w:tcPr>
            <w:tcW w:w="0" w:type="auto"/>
            <w:shd w:val="clear" w:color="auto" w:fill="CCEEFF"/>
            <w:tcMar>
              <w:top w:w="40" w:type="dxa"/>
              <w:left w:w="20" w:type="dxa"/>
              <w:bottom w:w="40" w:type="dxa"/>
              <w:right w:w="0" w:type="dxa"/>
            </w:tcMar>
            <w:vAlign w:val="center"/>
          </w:tcPr>
          <w:p w14:paraId="098A9F1B"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9F1C" w14:textId="77777777" w:rsidR="00141CDF" w:rsidRDefault="00DF45E0">
            <w:pPr>
              <w:jc w:val="right"/>
              <w:textAlignment w:val="center"/>
            </w:pPr>
            <w:r>
              <w:rPr>
                <w:rFonts w:ascii="Times New Roman" w:eastAsia="宋体" w:hAnsi="Times New Roman"/>
                <w:color w:val="000000"/>
                <w:sz w:val="16"/>
                <w:szCs w:val="16"/>
              </w:rPr>
              <w:t>(8,584)</w:t>
            </w:r>
          </w:p>
        </w:tc>
        <w:tc>
          <w:tcPr>
            <w:tcW w:w="0" w:type="auto"/>
            <w:shd w:val="clear" w:color="auto" w:fill="CCEEFF"/>
            <w:tcMar>
              <w:top w:w="40" w:type="dxa"/>
              <w:left w:w="0" w:type="dxa"/>
              <w:bottom w:w="40" w:type="dxa"/>
              <w:right w:w="20" w:type="dxa"/>
            </w:tcMar>
            <w:vAlign w:val="center"/>
          </w:tcPr>
          <w:p w14:paraId="098A9F1D"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F1E"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9F1F"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9F20" w14:textId="77777777" w:rsidR="00141CDF" w:rsidRDefault="00DF45E0">
            <w:pPr>
              <w:jc w:val="right"/>
              <w:textAlignment w:val="center"/>
            </w:pPr>
            <w:r>
              <w:rPr>
                <w:rFonts w:ascii="Times New Roman" w:eastAsia="宋体" w:hAnsi="Times New Roman"/>
                <w:color w:val="000000"/>
                <w:sz w:val="16"/>
                <w:szCs w:val="16"/>
              </w:rPr>
              <w:t>2,402 </w:t>
            </w:r>
          </w:p>
        </w:tc>
        <w:tc>
          <w:tcPr>
            <w:tcW w:w="0" w:type="auto"/>
            <w:shd w:val="clear" w:color="auto" w:fill="CCEEFF"/>
            <w:tcMar>
              <w:top w:w="40" w:type="dxa"/>
              <w:left w:w="0" w:type="dxa"/>
              <w:bottom w:w="40" w:type="dxa"/>
              <w:right w:w="20" w:type="dxa"/>
            </w:tcMar>
            <w:vAlign w:val="center"/>
          </w:tcPr>
          <w:p w14:paraId="098A9F21" w14:textId="77777777" w:rsidR="00141CDF" w:rsidRDefault="00141CDF">
            <w:pPr>
              <w:jc w:val="right"/>
              <w:rPr>
                <w:rFonts w:ascii="宋体"/>
              </w:rPr>
            </w:pPr>
          </w:p>
        </w:tc>
      </w:tr>
      <w:tr w:rsidR="00141CDF" w14:paraId="098A9F30" w14:textId="77777777">
        <w:trPr>
          <w:jc w:val="center"/>
        </w:trPr>
        <w:tc>
          <w:tcPr>
            <w:tcW w:w="0" w:type="auto"/>
            <w:gridSpan w:val="3"/>
            <w:shd w:val="clear" w:color="auto" w:fill="FFFFFF"/>
            <w:tcMar>
              <w:top w:w="40" w:type="dxa"/>
              <w:left w:w="20" w:type="dxa"/>
              <w:bottom w:w="40" w:type="dxa"/>
              <w:right w:w="20" w:type="dxa"/>
            </w:tcMar>
            <w:vAlign w:val="center"/>
          </w:tcPr>
          <w:p w14:paraId="098A9F23" w14:textId="77777777" w:rsidR="00141CDF" w:rsidRDefault="00DF45E0">
            <w:pPr>
              <w:textAlignment w:val="center"/>
            </w:pPr>
            <w:r>
              <w:rPr>
                <w:rFonts w:ascii="Times New Roman" w:eastAsia="宋体" w:hAnsi="Times New Roman"/>
                <w:color w:val="000000"/>
                <w:sz w:val="16"/>
                <w:szCs w:val="16"/>
              </w:rPr>
              <w:t>Net cash used in financing activities</w:t>
            </w:r>
          </w:p>
        </w:tc>
        <w:tc>
          <w:tcPr>
            <w:tcW w:w="0" w:type="auto"/>
            <w:gridSpan w:val="3"/>
            <w:shd w:val="clear" w:color="auto" w:fill="FFFFFF"/>
            <w:tcMar>
              <w:top w:w="0" w:type="dxa"/>
              <w:left w:w="20" w:type="dxa"/>
              <w:bottom w:w="0" w:type="dxa"/>
              <w:right w:w="20" w:type="dxa"/>
            </w:tcMar>
            <w:vAlign w:val="bottom"/>
          </w:tcPr>
          <w:p w14:paraId="098A9F24" w14:textId="77777777" w:rsidR="00141CDF" w:rsidRDefault="00141CDF">
            <w:pPr>
              <w:rPr>
                <w:rFonts w:ascii="宋体"/>
              </w:rPr>
            </w:pPr>
          </w:p>
        </w:tc>
        <w:tc>
          <w:tcPr>
            <w:tcW w:w="0" w:type="auto"/>
            <w:shd w:val="clear" w:color="auto" w:fill="auto"/>
            <w:vAlign w:val="bottom"/>
          </w:tcPr>
          <w:p w14:paraId="098A9F25" w14:textId="77777777" w:rsidR="00141CDF" w:rsidRDefault="00141CDF">
            <w:pPr>
              <w:rPr>
                <w:rFonts w:ascii="宋体"/>
                <w:vanish/>
              </w:rPr>
            </w:pPr>
          </w:p>
        </w:tc>
        <w:tc>
          <w:tcPr>
            <w:tcW w:w="0" w:type="auto"/>
            <w:shd w:val="clear" w:color="auto" w:fill="auto"/>
            <w:vAlign w:val="bottom"/>
          </w:tcPr>
          <w:p w14:paraId="098A9F26" w14:textId="77777777" w:rsidR="00141CDF" w:rsidRDefault="00141CDF">
            <w:pPr>
              <w:rPr>
                <w:rFonts w:ascii="宋体"/>
                <w:vanish/>
              </w:rPr>
            </w:pPr>
          </w:p>
        </w:tc>
        <w:tc>
          <w:tcPr>
            <w:tcW w:w="0" w:type="auto"/>
            <w:shd w:val="clear" w:color="auto" w:fill="auto"/>
            <w:vAlign w:val="bottom"/>
          </w:tcPr>
          <w:p w14:paraId="098A9F27" w14:textId="77777777" w:rsidR="00141CDF" w:rsidRDefault="00141CDF">
            <w:pPr>
              <w:rPr>
                <w:rFonts w:ascii="宋体"/>
                <w:vanish/>
              </w:rPr>
            </w:pPr>
          </w:p>
        </w:tc>
        <w:tc>
          <w:tcPr>
            <w:tcW w:w="0" w:type="auto"/>
            <w:shd w:val="clear" w:color="auto" w:fill="auto"/>
            <w:vAlign w:val="bottom"/>
          </w:tcPr>
          <w:p w14:paraId="098A9F28" w14:textId="77777777" w:rsidR="00141CDF" w:rsidRDefault="00141CDF">
            <w:pPr>
              <w:rPr>
                <w:rFonts w:ascii="宋体"/>
                <w:vanish/>
              </w:rPr>
            </w:pPr>
          </w:p>
        </w:tc>
        <w:tc>
          <w:tcPr>
            <w:tcW w:w="0" w:type="auto"/>
            <w:shd w:val="clear" w:color="auto" w:fill="auto"/>
            <w:vAlign w:val="bottom"/>
          </w:tcPr>
          <w:p w14:paraId="098A9F29" w14:textId="77777777" w:rsidR="00141CDF" w:rsidRDefault="00141CDF">
            <w:pPr>
              <w:rPr>
                <w:rFonts w:ascii="宋体"/>
                <w:vanish/>
              </w:rPr>
            </w:pPr>
          </w:p>
        </w:tc>
        <w:tc>
          <w:tcPr>
            <w:tcW w:w="0" w:type="auto"/>
            <w:gridSpan w:val="3"/>
            <w:shd w:val="clear" w:color="auto" w:fill="auto"/>
            <w:vAlign w:val="bottom"/>
          </w:tcPr>
          <w:p w14:paraId="098A9F2A" w14:textId="77777777" w:rsidR="00141CDF" w:rsidRDefault="00141CDF">
            <w:pPr>
              <w:rPr>
                <w:rFonts w:ascii="宋体"/>
                <w:vanish/>
              </w:rPr>
            </w:pPr>
          </w:p>
        </w:tc>
        <w:tc>
          <w:tcPr>
            <w:tcW w:w="0" w:type="auto"/>
            <w:gridSpan w:val="2"/>
            <w:shd w:val="clear" w:color="auto" w:fill="FFFFFF"/>
            <w:tcMar>
              <w:top w:w="40" w:type="dxa"/>
              <w:left w:w="20" w:type="dxa"/>
              <w:bottom w:w="40" w:type="dxa"/>
              <w:right w:w="0" w:type="dxa"/>
            </w:tcMar>
            <w:vAlign w:val="center"/>
          </w:tcPr>
          <w:p w14:paraId="098A9F2B" w14:textId="77777777" w:rsidR="00141CDF" w:rsidRDefault="00DF45E0">
            <w:pPr>
              <w:jc w:val="right"/>
              <w:textAlignment w:val="center"/>
            </w:pPr>
            <w:r>
              <w:rPr>
                <w:rFonts w:ascii="Times New Roman" w:eastAsia="宋体" w:hAnsi="Times New Roman"/>
                <w:color w:val="000000"/>
                <w:sz w:val="16"/>
                <w:szCs w:val="16"/>
              </w:rPr>
              <w:t>(1,400)</w:t>
            </w:r>
          </w:p>
        </w:tc>
        <w:tc>
          <w:tcPr>
            <w:tcW w:w="0" w:type="auto"/>
            <w:shd w:val="clear" w:color="auto" w:fill="FFFFFF"/>
            <w:tcMar>
              <w:top w:w="40" w:type="dxa"/>
              <w:left w:w="0" w:type="dxa"/>
              <w:bottom w:w="40" w:type="dxa"/>
              <w:right w:w="20" w:type="dxa"/>
            </w:tcMar>
            <w:vAlign w:val="center"/>
          </w:tcPr>
          <w:p w14:paraId="098A9F2C"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F2D"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F2E" w14:textId="77777777" w:rsidR="00141CDF" w:rsidRDefault="00DF45E0">
            <w:pPr>
              <w:jc w:val="right"/>
              <w:textAlignment w:val="center"/>
            </w:pPr>
            <w:r>
              <w:rPr>
                <w:rFonts w:ascii="Times New Roman" w:eastAsia="宋体" w:hAnsi="Times New Roman"/>
                <w:color w:val="000000"/>
                <w:sz w:val="16"/>
                <w:szCs w:val="16"/>
              </w:rPr>
              <w:t>(11,559)</w:t>
            </w:r>
          </w:p>
        </w:tc>
        <w:tc>
          <w:tcPr>
            <w:tcW w:w="0" w:type="auto"/>
            <w:shd w:val="clear" w:color="auto" w:fill="FFFFFF"/>
            <w:tcMar>
              <w:top w:w="40" w:type="dxa"/>
              <w:left w:w="0" w:type="dxa"/>
              <w:bottom w:w="40" w:type="dxa"/>
              <w:right w:w="20" w:type="dxa"/>
            </w:tcMar>
            <w:vAlign w:val="center"/>
          </w:tcPr>
          <w:p w14:paraId="098A9F2F" w14:textId="77777777" w:rsidR="00141CDF" w:rsidRDefault="00141CDF">
            <w:pPr>
              <w:jc w:val="right"/>
              <w:rPr>
                <w:rFonts w:ascii="宋体"/>
              </w:rPr>
            </w:pPr>
          </w:p>
        </w:tc>
      </w:tr>
    </w:tbl>
    <w:p w14:paraId="098A9F31" w14:textId="77777777" w:rsidR="00141CDF" w:rsidRDefault="00DF45E0">
      <w:pPr>
        <w:ind w:hanging="180"/>
      </w:pPr>
      <w:r>
        <w:rPr>
          <w:rFonts w:ascii="Times New Roman" w:eastAsia="宋体" w:hAnsi="Times New Roman"/>
          <w:color w:val="000000"/>
          <w:sz w:val="10"/>
          <w:szCs w:val="10"/>
        </w:rPr>
        <w:t>(1)</w:t>
      </w:r>
      <w:r>
        <w:rPr>
          <w:rFonts w:ascii="Times New Roman" w:eastAsia="宋体" w:hAnsi="Times New Roman"/>
          <w:color w:val="000000"/>
          <w:sz w:val="16"/>
          <w:szCs w:val="16"/>
        </w:rPr>
        <w:t xml:space="preserve"> "Net cash (used in) provided by investing activities" includes payments for property and equipment, which is also included in our computation of free cash flow.</w:t>
      </w:r>
    </w:p>
    <w:p w14:paraId="098A9F32" w14:textId="77777777" w:rsidR="00141CDF" w:rsidRDefault="00DF45E0">
      <w:pPr>
        <w:jc w:val="center"/>
      </w:pPr>
      <w:r>
        <w:rPr>
          <w:rFonts w:ascii="Times New Roman" w:eastAsia="宋体" w:hAnsi="Times New Roman"/>
          <w:color w:val="000000"/>
          <w:sz w:val="20"/>
          <w:szCs w:val="20"/>
        </w:rPr>
        <w:t>19</w:t>
      </w:r>
    </w:p>
    <w:p w14:paraId="098A9F33" w14:textId="77777777" w:rsidR="00141CDF" w:rsidRDefault="00DF45E0">
      <w:r>
        <w:pict w14:anchorId="098AA661">
          <v:rect id="_x0000_i1043" style="width:415.3pt;height:1.5pt" o:hralign="center" o:hrstd="t" o:hr="t" fillcolor="#a0a0a0" stroked="f"/>
        </w:pict>
      </w:r>
    </w:p>
    <w:p w14:paraId="098A9F34" w14:textId="77777777" w:rsidR="00141CDF" w:rsidRDefault="00DF45E0">
      <w:hyperlink r:id="rId80" w:anchor="i24a2f296795646fa8b5ba32fd1359591_7" w:history="1">
        <w:r>
          <w:rPr>
            <w:rStyle w:val="a5"/>
            <w:rFonts w:ascii="Times New Roman" w:eastAsia="宋体" w:hAnsi="Times New Roman"/>
            <w:sz w:val="20"/>
            <w:szCs w:val="20"/>
          </w:rPr>
          <w:t xml:space="preserve">Table of </w:t>
        </w:r>
      </w:hyperlink>
      <w:hyperlink r:id="rId81" w:anchor="i24a2f296795646fa8b5ba32fd1359591_7" w:history="1">
        <w:r>
          <w:rPr>
            <w:rStyle w:val="a5"/>
            <w:rFonts w:ascii="Times New Roman" w:eastAsia="宋体" w:hAnsi="Times New Roman"/>
            <w:sz w:val="20"/>
            <w:szCs w:val="20"/>
          </w:rPr>
          <w:t>Contents</w:t>
        </w:r>
      </w:hyperlink>
    </w:p>
    <w:p w14:paraId="098A9F35" w14:textId="77777777" w:rsidR="00141CDF" w:rsidRDefault="00DF45E0">
      <w:r>
        <w:rPr>
          <w:rFonts w:ascii="Times New Roman" w:eastAsia="宋体" w:hAnsi="Times New Roman"/>
          <w:b/>
          <w:bCs/>
          <w:color w:val="000000"/>
          <w:sz w:val="20"/>
          <w:szCs w:val="20"/>
        </w:rPr>
        <w:t>Results of Operations</w:t>
      </w:r>
    </w:p>
    <w:p w14:paraId="098A9F36" w14:textId="77777777" w:rsidR="00141CDF" w:rsidRDefault="00DF45E0">
      <w:pPr>
        <w:spacing w:before="180"/>
      </w:pPr>
      <w:r>
        <w:rPr>
          <w:rFonts w:ascii="Times New Roman" w:eastAsia="宋体" w:hAnsi="Times New Roman"/>
          <w:b/>
          <w:bCs/>
          <w:i/>
          <w:iCs/>
          <w:color w:val="000000"/>
          <w:sz w:val="20"/>
          <w:szCs w:val="20"/>
        </w:rPr>
        <w:t>Consolidated 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4160"/>
        <w:gridCol w:w="38"/>
        <w:gridCol w:w="36"/>
        <w:gridCol w:w="36"/>
        <w:gridCol w:w="36"/>
        <w:gridCol w:w="100"/>
        <w:gridCol w:w="809"/>
        <w:gridCol w:w="36"/>
        <w:gridCol w:w="36"/>
        <w:gridCol w:w="36"/>
        <w:gridCol w:w="36"/>
        <w:gridCol w:w="100"/>
        <w:gridCol w:w="730"/>
        <w:gridCol w:w="36"/>
        <w:gridCol w:w="36"/>
        <w:gridCol w:w="36"/>
        <w:gridCol w:w="36"/>
        <w:gridCol w:w="100"/>
        <w:gridCol w:w="732"/>
        <w:gridCol w:w="154"/>
        <w:gridCol w:w="36"/>
        <w:gridCol w:w="36"/>
        <w:gridCol w:w="36"/>
        <w:gridCol w:w="100"/>
        <w:gridCol w:w="734"/>
        <w:gridCol w:w="36"/>
      </w:tblGrid>
      <w:tr w:rsidR="00141CDF" w14:paraId="098A9F52" w14:textId="77777777">
        <w:tc>
          <w:tcPr>
            <w:tcW w:w="50" w:type="pct"/>
            <w:shd w:val="clear" w:color="auto" w:fill="auto"/>
            <w:vAlign w:val="bottom"/>
          </w:tcPr>
          <w:p w14:paraId="098A9F37" w14:textId="77777777" w:rsidR="00141CDF" w:rsidRDefault="00141CDF">
            <w:pPr>
              <w:rPr>
                <w:rFonts w:ascii="宋体"/>
              </w:rPr>
            </w:pPr>
          </w:p>
        </w:tc>
        <w:tc>
          <w:tcPr>
            <w:tcW w:w="2540" w:type="pct"/>
            <w:shd w:val="clear" w:color="auto" w:fill="auto"/>
            <w:vAlign w:val="bottom"/>
          </w:tcPr>
          <w:p w14:paraId="098A9F38" w14:textId="77777777" w:rsidR="00141CDF" w:rsidRDefault="00141CDF">
            <w:pPr>
              <w:rPr>
                <w:rFonts w:ascii="宋体"/>
              </w:rPr>
            </w:pPr>
          </w:p>
        </w:tc>
        <w:tc>
          <w:tcPr>
            <w:tcW w:w="5" w:type="pct"/>
            <w:shd w:val="clear" w:color="auto" w:fill="auto"/>
            <w:vAlign w:val="bottom"/>
          </w:tcPr>
          <w:p w14:paraId="098A9F39" w14:textId="77777777" w:rsidR="00141CDF" w:rsidRDefault="00141CDF">
            <w:pPr>
              <w:rPr>
                <w:rFonts w:ascii="宋体"/>
              </w:rPr>
            </w:pPr>
          </w:p>
        </w:tc>
        <w:tc>
          <w:tcPr>
            <w:tcW w:w="5" w:type="pct"/>
            <w:shd w:val="clear" w:color="auto" w:fill="auto"/>
            <w:vAlign w:val="bottom"/>
          </w:tcPr>
          <w:p w14:paraId="098A9F3A" w14:textId="77777777" w:rsidR="00141CDF" w:rsidRDefault="00141CDF">
            <w:pPr>
              <w:rPr>
                <w:rFonts w:ascii="宋体"/>
              </w:rPr>
            </w:pPr>
          </w:p>
        </w:tc>
        <w:tc>
          <w:tcPr>
            <w:tcW w:w="19" w:type="pct"/>
            <w:shd w:val="clear" w:color="auto" w:fill="auto"/>
            <w:vAlign w:val="bottom"/>
          </w:tcPr>
          <w:p w14:paraId="098A9F3B" w14:textId="77777777" w:rsidR="00141CDF" w:rsidRDefault="00141CDF">
            <w:pPr>
              <w:rPr>
                <w:rFonts w:ascii="宋体"/>
              </w:rPr>
            </w:pPr>
          </w:p>
        </w:tc>
        <w:tc>
          <w:tcPr>
            <w:tcW w:w="5" w:type="pct"/>
            <w:shd w:val="clear" w:color="auto" w:fill="auto"/>
            <w:vAlign w:val="bottom"/>
          </w:tcPr>
          <w:p w14:paraId="098A9F3C" w14:textId="77777777" w:rsidR="00141CDF" w:rsidRDefault="00141CDF">
            <w:pPr>
              <w:rPr>
                <w:rFonts w:ascii="宋体"/>
              </w:rPr>
            </w:pPr>
          </w:p>
        </w:tc>
        <w:tc>
          <w:tcPr>
            <w:tcW w:w="50" w:type="pct"/>
            <w:shd w:val="clear" w:color="auto" w:fill="auto"/>
            <w:vAlign w:val="bottom"/>
          </w:tcPr>
          <w:p w14:paraId="098A9F3D" w14:textId="77777777" w:rsidR="00141CDF" w:rsidRDefault="00141CDF">
            <w:pPr>
              <w:rPr>
                <w:rFonts w:ascii="宋体"/>
              </w:rPr>
            </w:pPr>
          </w:p>
        </w:tc>
        <w:tc>
          <w:tcPr>
            <w:tcW w:w="522" w:type="pct"/>
            <w:shd w:val="clear" w:color="auto" w:fill="auto"/>
            <w:vAlign w:val="bottom"/>
          </w:tcPr>
          <w:p w14:paraId="098A9F3E" w14:textId="77777777" w:rsidR="00141CDF" w:rsidRDefault="00141CDF">
            <w:pPr>
              <w:rPr>
                <w:rFonts w:ascii="宋体"/>
              </w:rPr>
            </w:pPr>
          </w:p>
        </w:tc>
        <w:tc>
          <w:tcPr>
            <w:tcW w:w="5" w:type="pct"/>
            <w:shd w:val="clear" w:color="auto" w:fill="auto"/>
            <w:vAlign w:val="bottom"/>
          </w:tcPr>
          <w:p w14:paraId="098A9F3F" w14:textId="77777777" w:rsidR="00141CDF" w:rsidRDefault="00141CDF">
            <w:pPr>
              <w:rPr>
                <w:rFonts w:ascii="宋体"/>
              </w:rPr>
            </w:pPr>
          </w:p>
        </w:tc>
        <w:tc>
          <w:tcPr>
            <w:tcW w:w="5" w:type="pct"/>
            <w:shd w:val="clear" w:color="auto" w:fill="auto"/>
            <w:vAlign w:val="bottom"/>
          </w:tcPr>
          <w:p w14:paraId="098A9F40" w14:textId="77777777" w:rsidR="00141CDF" w:rsidRDefault="00141CDF">
            <w:pPr>
              <w:rPr>
                <w:rFonts w:ascii="宋体"/>
              </w:rPr>
            </w:pPr>
          </w:p>
        </w:tc>
        <w:tc>
          <w:tcPr>
            <w:tcW w:w="26" w:type="pct"/>
            <w:shd w:val="clear" w:color="auto" w:fill="auto"/>
            <w:vAlign w:val="bottom"/>
          </w:tcPr>
          <w:p w14:paraId="098A9F41" w14:textId="77777777" w:rsidR="00141CDF" w:rsidRDefault="00141CDF">
            <w:pPr>
              <w:rPr>
                <w:rFonts w:ascii="宋体"/>
              </w:rPr>
            </w:pPr>
          </w:p>
        </w:tc>
        <w:tc>
          <w:tcPr>
            <w:tcW w:w="5" w:type="pct"/>
            <w:shd w:val="clear" w:color="auto" w:fill="auto"/>
            <w:vAlign w:val="bottom"/>
          </w:tcPr>
          <w:p w14:paraId="098A9F42" w14:textId="77777777" w:rsidR="00141CDF" w:rsidRDefault="00141CDF">
            <w:pPr>
              <w:rPr>
                <w:rFonts w:ascii="宋体"/>
              </w:rPr>
            </w:pPr>
          </w:p>
        </w:tc>
        <w:tc>
          <w:tcPr>
            <w:tcW w:w="50" w:type="pct"/>
            <w:shd w:val="clear" w:color="auto" w:fill="auto"/>
            <w:vAlign w:val="bottom"/>
          </w:tcPr>
          <w:p w14:paraId="098A9F43" w14:textId="77777777" w:rsidR="00141CDF" w:rsidRDefault="00141CDF">
            <w:pPr>
              <w:rPr>
                <w:rFonts w:ascii="宋体"/>
              </w:rPr>
            </w:pPr>
          </w:p>
        </w:tc>
        <w:tc>
          <w:tcPr>
            <w:tcW w:w="507" w:type="pct"/>
            <w:shd w:val="clear" w:color="auto" w:fill="auto"/>
            <w:vAlign w:val="bottom"/>
          </w:tcPr>
          <w:p w14:paraId="098A9F44" w14:textId="77777777" w:rsidR="00141CDF" w:rsidRDefault="00141CDF">
            <w:pPr>
              <w:rPr>
                <w:rFonts w:ascii="宋体"/>
              </w:rPr>
            </w:pPr>
          </w:p>
        </w:tc>
        <w:tc>
          <w:tcPr>
            <w:tcW w:w="5" w:type="pct"/>
            <w:shd w:val="clear" w:color="auto" w:fill="auto"/>
            <w:vAlign w:val="bottom"/>
          </w:tcPr>
          <w:p w14:paraId="098A9F45" w14:textId="77777777" w:rsidR="00141CDF" w:rsidRDefault="00141CDF">
            <w:pPr>
              <w:rPr>
                <w:rFonts w:ascii="宋体"/>
              </w:rPr>
            </w:pPr>
          </w:p>
        </w:tc>
        <w:tc>
          <w:tcPr>
            <w:tcW w:w="5" w:type="pct"/>
            <w:shd w:val="clear" w:color="auto" w:fill="auto"/>
            <w:vAlign w:val="bottom"/>
          </w:tcPr>
          <w:p w14:paraId="098A9F46" w14:textId="77777777" w:rsidR="00141CDF" w:rsidRDefault="00141CDF">
            <w:pPr>
              <w:rPr>
                <w:rFonts w:ascii="宋体"/>
              </w:rPr>
            </w:pPr>
          </w:p>
        </w:tc>
        <w:tc>
          <w:tcPr>
            <w:tcW w:w="26" w:type="pct"/>
            <w:shd w:val="clear" w:color="auto" w:fill="auto"/>
            <w:vAlign w:val="bottom"/>
          </w:tcPr>
          <w:p w14:paraId="098A9F47" w14:textId="77777777" w:rsidR="00141CDF" w:rsidRDefault="00141CDF">
            <w:pPr>
              <w:rPr>
                <w:rFonts w:ascii="宋体"/>
              </w:rPr>
            </w:pPr>
          </w:p>
        </w:tc>
        <w:tc>
          <w:tcPr>
            <w:tcW w:w="5" w:type="pct"/>
            <w:shd w:val="clear" w:color="auto" w:fill="auto"/>
            <w:vAlign w:val="bottom"/>
          </w:tcPr>
          <w:p w14:paraId="098A9F48" w14:textId="77777777" w:rsidR="00141CDF" w:rsidRDefault="00141CDF">
            <w:pPr>
              <w:rPr>
                <w:rFonts w:ascii="宋体"/>
              </w:rPr>
            </w:pPr>
          </w:p>
        </w:tc>
        <w:tc>
          <w:tcPr>
            <w:tcW w:w="50" w:type="pct"/>
            <w:shd w:val="clear" w:color="auto" w:fill="auto"/>
            <w:vAlign w:val="bottom"/>
          </w:tcPr>
          <w:p w14:paraId="098A9F49" w14:textId="77777777" w:rsidR="00141CDF" w:rsidRDefault="00141CDF">
            <w:pPr>
              <w:rPr>
                <w:rFonts w:ascii="宋体"/>
              </w:rPr>
            </w:pPr>
          </w:p>
        </w:tc>
        <w:tc>
          <w:tcPr>
            <w:tcW w:w="507" w:type="pct"/>
            <w:shd w:val="clear" w:color="auto" w:fill="auto"/>
            <w:vAlign w:val="bottom"/>
          </w:tcPr>
          <w:p w14:paraId="098A9F4A" w14:textId="77777777" w:rsidR="00141CDF" w:rsidRDefault="00141CDF">
            <w:pPr>
              <w:rPr>
                <w:rFonts w:ascii="宋体"/>
              </w:rPr>
            </w:pPr>
          </w:p>
        </w:tc>
        <w:tc>
          <w:tcPr>
            <w:tcW w:w="5" w:type="pct"/>
            <w:shd w:val="clear" w:color="auto" w:fill="auto"/>
            <w:vAlign w:val="bottom"/>
          </w:tcPr>
          <w:p w14:paraId="098A9F4B" w14:textId="77777777" w:rsidR="00141CDF" w:rsidRDefault="00141CDF">
            <w:pPr>
              <w:rPr>
                <w:rFonts w:ascii="宋体"/>
              </w:rPr>
            </w:pPr>
          </w:p>
        </w:tc>
        <w:tc>
          <w:tcPr>
            <w:tcW w:w="5" w:type="pct"/>
            <w:shd w:val="clear" w:color="auto" w:fill="auto"/>
            <w:vAlign w:val="bottom"/>
          </w:tcPr>
          <w:p w14:paraId="098A9F4C" w14:textId="77777777" w:rsidR="00141CDF" w:rsidRDefault="00141CDF">
            <w:pPr>
              <w:rPr>
                <w:rFonts w:ascii="宋体"/>
              </w:rPr>
            </w:pPr>
          </w:p>
        </w:tc>
        <w:tc>
          <w:tcPr>
            <w:tcW w:w="26" w:type="pct"/>
            <w:shd w:val="clear" w:color="auto" w:fill="auto"/>
            <w:vAlign w:val="bottom"/>
          </w:tcPr>
          <w:p w14:paraId="098A9F4D" w14:textId="77777777" w:rsidR="00141CDF" w:rsidRDefault="00141CDF">
            <w:pPr>
              <w:rPr>
                <w:rFonts w:ascii="宋体"/>
              </w:rPr>
            </w:pPr>
          </w:p>
        </w:tc>
        <w:tc>
          <w:tcPr>
            <w:tcW w:w="5" w:type="pct"/>
            <w:shd w:val="clear" w:color="auto" w:fill="auto"/>
            <w:vAlign w:val="bottom"/>
          </w:tcPr>
          <w:p w14:paraId="098A9F4E" w14:textId="77777777" w:rsidR="00141CDF" w:rsidRDefault="00141CDF">
            <w:pPr>
              <w:rPr>
                <w:rFonts w:ascii="宋体"/>
              </w:rPr>
            </w:pPr>
          </w:p>
        </w:tc>
        <w:tc>
          <w:tcPr>
            <w:tcW w:w="50" w:type="pct"/>
            <w:shd w:val="clear" w:color="auto" w:fill="auto"/>
            <w:vAlign w:val="bottom"/>
          </w:tcPr>
          <w:p w14:paraId="098A9F4F" w14:textId="77777777" w:rsidR="00141CDF" w:rsidRDefault="00141CDF">
            <w:pPr>
              <w:rPr>
                <w:rFonts w:ascii="宋体"/>
              </w:rPr>
            </w:pPr>
          </w:p>
        </w:tc>
        <w:tc>
          <w:tcPr>
            <w:tcW w:w="508" w:type="pct"/>
            <w:shd w:val="clear" w:color="auto" w:fill="auto"/>
            <w:vAlign w:val="bottom"/>
          </w:tcPr>
          <w:p w14:paraId="098A9F50" w14:textId="77777777" w:rsidR="00141CDF" w:rsidRDefault="00141CDF">
            <w:pPr>
              <w:rPr>
                <w:rFonts w:ascii="宋体"/>
              </w:rPr>
            </w:pPr>
          </w:p>
        </w:tc>
        <w:tc>
          <w:tcPr>
            <w:tcW w:w="5" w:type="pct"/>
            <w:shd w:val="clear" w:color="auto" w:fill="auto"/>
            <w:vAlign w:val="bottom"/>
          </w:tcPr>
          <w:p w14:paraId="098A9F51" w14:textId="77777777" w:rsidR="00141CDF" w:rsidRDefault="00141CDF">
            <w:pPr>
              <w:rPr>
                <w:rFonts w:ascii="宋体"/>
              </w:rPr>
            </w:pPr>
          </w:p>
        </w:tc>
      </w:tr>
      <w:tr w:rsidR="00141CDF" w14:paraId="098A9F58" w14:textId="77777777">
        <w:tc>
          <w:tcPr>
            <w:tcW w:w="0" w:type="auto"/>
            <w:gridSpan w:val="3"/>
            <w:shd w:val="clear" w:color="auto" w:fill="auto"/>
            <w:tcMar>
              <w:top w:w="0" w:type="dxa"/>
              <w:left w:w="20" w:type="dxa"/>
              <w:bottom w:w="0" w:type="dxa"/>
              <w:right w:w="20" w:type="dxa"/>
            </w:tcMar>
            <w:vAlign w:val="bottom"/>
          </w:tcPr>
          <w:p w14:paraId="098A9F53"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9F54" w14:textId="77777777" w:rsidR="00141CDF" w:rsidRDefault="00141CDF">
            <w:pPr>
              <w:rPr>
                <w:rFonts w:ascii="宋体"/>
              </w:rPr>
            </w:pPr>
          </w:p>
        </w:tc>
        <w:tc>
          <w:tcPr>
            <w:tcW w:w="0" w:type="auto"/>
            <w:gridSpan w:val="9"/>
            <w:shd w:val="clear" w:color="auto" w:fill="auto"/>
            <w:tcMar>
              <w:top w:w="40" w:type="dxa"/>
              <w:left w:w="20" w:type="dxa"/>
              <w:bottom w:w="40" w:type="dxa"/>
              <w:right w:w="20" w:type="dxa"/>
            </w:tcMar>
            <w:vAlign w:val="bottom"/>
          </w:tcPr>
          <w:p w14:paraId="098A9F55" w14:textId="77777777" w:rsidR="00141CDF" w:rsidRDefault="00DF45E0">
            <w:pPr>
              <w:jc w:val="center"/>
              <w:textAlignment w:val="bottom"/>
            </w:pPr>
            <w:r>
              <w:rPr>
                <w:rFonts w:ascii="Times New Roman" w:eastAsia="宋体" w:hAnsi="Times New Roman"/>
                <w:b/>
                <w:bCs/>
                <w:color w:val="000000"/>
                <w:sz w:val="16"/>
                <w:szCs w:val="16"/>
              </w:rPr>
              <w:t>Three Months Ended July 31,</w:t>
            </w:r>
          </w:p>
        </w:tc>
        <w:tc>
          <w:tcPr>
            <w:tcW w:w="0" w:type="auto"/>
            <w:gridSpan w:val="3"/>
            <w:shd w:val="clear" w:color="auto" w:fill="auto"/>
            <w:tcMar>
              <w:top w:w="0" w:type="dxa"/>
              <w:left w:w="20" w:type="dxa"/>
              <w:bottom w:w="0" w:type="dxa"/>
              <w:right w:w="20" w:type="dxa"/>
            </w:tcMar>
            <w:vAlign w:val="bottom"/>
          </w:tcPr>
          <w:p w14:paraId="098A9F56" w14:textId="77777777" w:rsidR="00141CDF" w:rsidRDefault="00141CDF">
            <w:pPr>
              <w:rPr>
                <w:rFonts w:ascii="宋体"/>
              </w:rPr>
            </w:pPr>
          </w:p>
        </w:tc>
        <w:tc>
          <w:tcPr>
            <w:tcW w:w="0" w:type="auto"/>
            <w:gridSpan w:val="9"/>
            <w:shd w:val="clear" w:color="auto" w:fill="auto"/>
            <w:tcMar>
              <w:top w:w="40" w:type="dxa"/>
              <w:left w:w="20" w:type="dxa"/>
              <w:bottom w:w="40" w:type="dxa"/>
              <w:right w:w="20" w:type="dxa"/>
            </w:tcMar>
            <w:vAlign w:val="bottom"/>
          </w:tcPr>
          <w:p w14:paraId="098A9F57" w14:textId="77777777" w:rsidR="00141CDF" w:rsidRDefault="00DF45E0">
            <w:pPr>
              <w:jc w:val="center"/>
              <w:textAlignment w:val="bottom"/>
            </w:pPr>
            <w:r>
              <w:rPr>
                <w:rFonts w:ascii="Times New Roman" w:eastAsia="宋体" w:hAnsi="Times New Roman"/>
                <w:b/>
                <w:bCs/>
                <w:color w:val="000000"/>
                <w:sz w:val="16"/>
                <w:szCs w:val="16"/>
              </w:rPr>
              <w:t>Six Months Ended July 31,</w:t>
            </w:r>
          </w:p>
        </w:tc>
      </w:tr>
      <w:tr w:rsidR="00141CDF" w14:paraId="098A9F62" w14:textId="77777777">
        <w:tc>
          <w:tcPr>
            <w:tcW w:w="0" w:type="auto"/>
            <w:gridSpan w:val="3"/>
            <w:shd w:val="clear" w:color="auto" w:fill="auto"/>
            <w:tcMar>
              <w:top w:w="40" w:type="dxa"/>
              <w:left w:w="20" w:type="dxa"/>
              <w:bottom w:w="40" w:type="dxa"/>
              <w:right w:w="20" w:type="dxa"/>
            </w:tcMar>
            <w:vAlign w:val="bottom"/>
          </w:tcPr>
          <w:p w14:paraId="098A9F59" w14:textId="77777777" w:rsidR="00141CDF" w:rsidRDefault="00DF45E0">
            <w:pPr>
              <w:textAlignment w:val="bottom"/>
            </w:pPr>
            <w:r>
              <w:rPr>
                <w:rFonts w:ascii="Times New Roman" w:eastAsia="宋体" w:hAnsi="Times New Roman"/>
                <w:i/>
                <w:iCs/>
                <w:color w:val="000000"/>
                <w:sz w:val="16"/>
                <w:szCs w:val="16"/>
              </w:rPr>
              <w:t>(Amounts in millions, except unit counts)</w:t>
            </w:r>
          </w:p>
        </w:tc>
        <w:tc>
          <w:tcPr>
            <w:tcW w:w="0" w:type="auto"/>
            <w:gridSpan w:val="3"/>
            <w:shd w:val="clear" w:color="auto" w:fill="auto"/>
            <w:tcMar>
              <w:top w:w="0" w:type="dxa"/>
              <w:left w:w="20" w:type="dxa"/>
              <w:bottom w:w="0" w:type="dxa"/>
              <w:right w:w="20" w:type="dxa"/>
            </w:tcMar>
            <w:vAlign w:val="bottom"/>
          </w:tcPr>
          <w:p w14:paraId="098A9F5A"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98A9F5B" w14:textId="77777777" w:rsidR="00141CDF" w:rsidRDefault="00DF45E0">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9F5C"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98A9F5D" w14:textId="77777777" w:rsidR="00141CDF" w:rsidRDefault="00DF45E0">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098A9F5E"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98A9F5F" w14:textId="77777777" w:rsidR="00141CDF" w:rsidRDefault="00DF45E0">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9F60"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98A9F61" w14:textId="77777777" w:rsidR="00141CDF" w:rsidRDefault="00DF45E0">
            <w:pPr>
              <w:jc w:val="center"/>
              <w:textAlignment w:val="bottom"/>
            </w:pPr>
            <w:r>
              <w:rPr>
                <w:rFonts w:ascii="Times New Roman" w:eastAsia="宋体" w:hAnsi="Times New Roman"/>
                <w:b/>
                <w:bCs/>
                <w:color w:val="000000"/>
                <w:sz w:val="16"/>
                <w:szCs w:val="16"/>
              </w:rPr>
              <w:t>2021</w:t>
            </w:r>
          </w:p>
        </w:tc>
      </w:tr>
      <w:tr w:rsidR="00141CDF" w14:paraId="098A9F74" w14:textId="77777777">
        <w:tc>
          <w:tcPr>
            <w:tcW w:w="0" w:type="auto"/>
            <w:gridSpan w:val="3"/>
            <w:shd w:val="clear" w:color="auto" w:fill="CCEEFF"/>
            <w:tcMar>
              <w:top w:w="40" w:type="dxa"/>
              <w:left w:w="20" w:type="dxa"/>
              <w:bottom w:w="40" w:type="dxa"/>
              <w:right w:w="20" w:type="dxa"/>
            </w:tcMar>
            <w:vAlign w:val="center"/>
          </w:tcPr>
          <w:p w14:paraId="098A9F63" w14:textId="77777777" w:rsidR="00141CDF" w:rsidRDefault="00DF45E0">
            <w:pPr>
              <w:textAlignment w:val="center"/>
            </w:pPr>
            <w:r>
              <w:rPr>
                <w:rFonts w:ascii="Times New Roman" w:eastAsia="宋体" w:hAnsi="Times New Roman"/>
                <w:color w:val="000000"/>
                <w:sz w:val="16"/>
                <w:szCs w:val="16"/>
              </w:rPr>
              <w:t>Total revenues</w:t>
            </w:r>
          </w:p>
        </w:tc>
        <w:tc>
          <w:tcPr>
            <w:tcW w:w="0" w:type="auto"/>
            <w:gridSpan w:val="3"/>
            <w:shd w:val="clear" w:color="auto" w:fill="CCEEFF"/>
            <w:tcMar>
              <w:top w:w="0" w:type="dxa"/>
              <w:left w:w="20" w:type="dxa"/>
              <w:bottom w:w="0" w:type="dxa"/>
              <w:right w:w="20" w:type="dxa"/>
            </w:tcMar>
            <w:vAlign w:val="bottom"/>
          </w:tcPr>
          <w:p w14:paraId="098A9F64"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9F65"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9F66" w14:textId="77777777" w:rsidR="00141CDF" w:rsidRDefault="00DF45E0">
            <w:pPr>
              <w:jc w:val="right"/>
              <w:textAlignment w:val="center"/>
            </w:pPr>
            <w:r>
              <w:rPr>
                <w:rFonts w:ascii="Times New Roman" w:eastAsia="宋体" w:hAnsi="Times New Roman"/>
                <w:color w:val="000000"/>
                <w:sz w:val="16"/>
                <w:szCs w:val="16"/>
              </w:rPr>
              <w:t>152,859 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F67"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F68"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9F69"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9F6A" w14:textId="77777777" w:rsidR="00141CDF" w:rsidRDefault="00DF45E0">
            <w:pPr>
              <w:jc w:val="right"/>
              <w:textAlignment w:val="center"/>
            </w:pPr>
            <w:r>
              <w:rPr>
                <w:rFonts w:ascii="Times New Roman" w:eastAsia="宋体" w:hAnsi="Times New Roman"/>
                <w:color w:val="000000"/>
                <w:sz w:val="16"/>
                <w:szCs w:val="16"/>
              </w:rPr>
              <w:t>141,048 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F6B"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F6C"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9F6D"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9F6E" w14:textId="77777777" w:rsidR="00141CDF" w:rsidRDefault="00DF45E0">
            <w:pPr>
              <w:jc w:val="right"/>
              <w:textAlignment w:val="center"/>
            </w:pPr>
            <w:r>
              <w:rPr>
                <w:rFonts w:ascii="Times New Roman" w:eastAsia="宋体" w:hAnsi="Times New Roman"/>
                <w:color w:val="000000"/>
                <w:sz w:val="16"/>
                <w:szCs w:val="16"/>
              </w:rPr>
              <w:t>294,428 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F6F"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F70"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9F71"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9F72" w14:textId="77777777" w:rsidR="00141CDF" w:rsidRDefault="00DF45E0">
            <w:pPr>
              <w:jc w:val="right"/>
              <w:textAlignment w:val="center"/>
            </w:pPr>
            <w:r>
              <w:rPr>
                <w:rFonts w:ascii="Times New Roman" w:eastAsia="宋体" w:hAnsi="Times New Roman"/>
                <w:color w:val="000000"/>
                <w:sz w:val="16"/>
                <w:szCs w:val="16"/>
              </w:rPr>
              <w:t>279,358 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9F73" w14:textId="77777777" w:rsidR="00141CDF" w:rsidRDefault="00141CDF">
            <w:pPr>
              <w:jc w:val="right"/>
              <w:rPr>
                <w:rFonts w:ascii="宋体"/>
              </w:rPr>
            </w:pPr>
          </w:p>
        </w:tc>
      </w:tr>
      <w:tr w:rsidR="00141CDF" w14:paraId="098A9F7F" w14:textId="77777777">
        <w:tc>
          <w:tcPr>
            <w:tcW w:w="0" w:type="auto"/>
            <w:gridSpan w:val="3"/>
            <w:shd w:val="clear" w:color="auto" w:fill="FFFFFF"/>
            <w:tcMar>
              <w:top w:w="40" w:type="dxa"/>
              <w:left w:w="20" w:type="dxa"/>
              <w:bottom w:w="40" w:type="dxa"/>
              <w:right w:w="20" w:type="dxa"/>
            </w:tcMar>
            <w:vAlign w:val="center"/>
          </w:tcPr>
          <w:p w14:paraId="098A9F75" w14:textId="77777777" w:rsidR="00141CDF" w:rsidRDefault="00DF45E0">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vAlign w:val="bottom"/>
          </w:tcPr>
          <w:p w14:paraId="098A9F76" w14:textId="77777777" w:rsidR="00141CDF" w:rsidRDefault="00141CDF">
            <w:pPr>
              <w:rPr>
                <w:rFonts w:ascii="宋体"/>
              </w:rPr>
            </w:pPr>
          </w:p>
        </w:tc>
        <w:tc>
          <w:tcPr>
            <w:tcW w:w="0" w:type="auto"/>
            <w:gridSpan w:val="3"/>
            <w:shd w:val="clear" w:color="auto" w:fill="FFFFFF"/>
            <w:tcMar>
              <w:top w:w="40" w:type="dxa"/>
              <w:left w:w="20" w:type="dxa"/>
              <w:bottom w:w="40" w:type="dxa"/>
              <w:right w:w="140" w:type="dxa"/>
            </w:tcMar>
            <w:vAlign w:val="center"/>
          </w:tcPr>
          <w:p w14:paraId="098A9F77" w14:textId="77777777" w:rsidR="00141CDF" w:rsidRDefault="00DF45E0">
            <w:pPr>
              <w:jc w:val="right"/>
              <w:textAlignment w:val="center"/>
            </w:pPr>
            <w:r>
              <w:rPr>
                <w:rFonts w:ascii="Times New Roman" w:eastAsia="宋体" w:hAnsi="Times New Roman"/>
                <w:color w:val="000000"/>
                <w:sz w:val="16"/>
                <w:szCs w:val="16"/>
              </w:rPr>
              <w:t>8.4%</w:t>
            </w:r>
          </w:p>
        </w:tc>
        <w:tc>
          <w:tcPr>
            <w:tcW w:w="0" w:type="auto"/>
            <w:gridSpan w:val="3"/>
            <w:shd w:val="clear" w:color="auto" w:fill="FFFFFF"/>
            <w:tcMar>
              <w:top w:w="0" w:type="dxa"/>
              <w:left w:w="20" w:type="dxa"/>
              <w:bottom w:w="0" w:type="dxa"/>
              <w:right w:w="20" w:type="dxa"/>
            </w:tcMar>
            <w:vAlign w:val="bottom"/>
          </w:tcPr>
          <w:p w14:paraId="098A9F78" w14:textId="77777777" w:rsidR="00141CDF" w:rsidRDefault="00141CDF">
            <w:pPr>
              <w:rPr>
                <w:rFonts w:ascii="宋体"/>
              </w:rPr>
            </w:pPr>
          </w:p>
        </w:tc>
        <w:tc>
          <w:tcPr>
            <w:tcW w:w="0" w:type="auto"/>
            <w:gridSpan w:val="3"/>
            <w:shd w:val="clear" w:color="auto" w:fill="FFFFFF"/>
            <w:tcMar>
              <w:top w:w="40" w:type="dxa"/>
              <w:left w:w="20" w:type="dxa"/>
              <w:bottom w:w="40" w:type="dxa"/>
              <w:right w:w="140" w:type="dxa"/>
            </w:tcMar>
            <w:vAlign w:val="center"/>
          </w:tcPr>
          <w:p w14:paraId="098A9F79" w14:textId="77777777" w:rsidR="00141CDF" w:rsidRDefault="00DF45E0">
            <w:pPr>
              <w:jc w:val="right"/>
              <w:textAlignment w:val="center"/>
            </w:pPr>
            <w:r>
              <w:rPr>
                <w:rFonts w:ascii="Times New Roman" w:eastAsia="宋体" w:hAnsi="Times New Roman"/>
                <w:color w:val="000000"/>
                <w:sz w:val="16"/>
                <w:szCs w:val="16"/>
              </w:rPr>
              <w:t>2.4%</w:t>
            </w:r>
          </w:p>
        </w:tc>
        <w:tc>
          <w:tcPr>
            <w:tcW w:w="0" w:type="auto"/>
            <w:gridSpan w:val="3"/>
            <w:shd w:val="clear" w:color="auto" w:fill="FFFFFF"/>
            <w:tcMar>
              <w:top w:w="0" w:type="dxa"/>
              <w:left w:w="20" w:type="dxa"/>
              <w:bottom w:w="0" w:type="dxa"/>
              <w:right w:w="20" w:type="dxa"/>
            </w:tcMar>
            <w:vAlign w:val="bottom"/>
          </w:tcPr>
          <w:p w14:paraId="098A9F7A"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F7B" w14:textId="77777777" w:rsidR="00141CDF" w:rsidRDefault="00DF45E0">
            <w:pPr>
              <w:jc w:val="right"/>
              <w:textAlignment w:val="center"/>
            </w:pPr>
            <w:r>
              <w:rPr>
                <w:rFonts w:ascii="Times New Roman" w:eastAsia="宋体" w:hAnsi="Times New Roman"/>
                <w:color w:val="000000"/>
                <w:sz w:val="16"/>
                <w:szCs w:val="16"/>
              </w:rPr>
              <w:t>5.4 </w:t>
            </w:r>
          </w:p>
        </w:tc>
        <w:tc>
          <w:tcPr>
            <w:tcW w:w="0" w:type="auto"/>
            <w:shd w:val="clear" w:color="auto" w:fill="FFFFFF"/>
            <w:tcMar>
              <w:top w:w="40" w:type="dxa"/>
              <w:left w:w="0" w:type="dxa"/>
              <w:bottom w:w="40" w:type="dxa"/>
              <w:right w:w="20" w:type="dxa"/>
            </w:tcMar>
            <w:vAlign w:val="center"/>
          </w:tcPr>
          <w:p w14:paraId="098A9F7C"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098A9F7D" w14:textId="77777777" w:rsidR="00141CDF" w:rsidRDefault="00141CDF">
            <w:pPr>
              <w:rPr>
                <w:rFonts w:ascii="宋体"/>
              </w:rPr>
            </w:pPr>
          </w:p>
        </w:tc>
        <w:tc>
          <w:tcPr>
            <w:tcW w:w="0" w:type="auto"/>
            <w:gridSpan w:val="3"/>
            <w:shd w:val="clear" w:color="auto" w:fill="FFFFFF"/>
            <w:tcMar>
              <w:top w:w="40" w:type="dxa"/>
              <w:left w:w="20" w:type="dxa"/>
              <w:bottom w:w="40" w:type="dxa"/>
              <w:right w:w="140" w:type="dxa"/>
            </w:tcMar>
            <w:vAlign w:val="center"/>
          </w:tcPr>
          <w:p w14:paraId="098A9F7E" w14:textId="77777777" w:rsidR="00141CDF" w:rsidRDefault="00DF45E0">
            <w:pPr>
              <w:jc w:val="right"/>
              <w:textAlignment w:val="center"/>
            </w:pPr>
            <w:r>
              <w:rPr>
                <w:rFonts w:ascii="Times New Roman" w:eastAsia="宋体" w:hAnsi="Times New Roman"/>
                <w:color w:val="000000"/>
                <w:sz w:val="16"/>
                <w:szCs w:val="16"/>
              </w:rPr>
              <w:t>2.6%</w:t>
            </w:r>
          </w:p>
        </w:tc>
      </w:tr>
      <w:tr w:rsidR="00141CDF" w14:paraId="098A9F91" w14:textId="77777777">
        <w:tc>
          <w:tcPr>
            <w:tcW w:w="0" w:type="auto"/>
            <w:gridSpan w:val="3"/>
            <w:shd w:val="clear" w:color="auto" w:fill="CCEEFF"/>
            <w:tcMar>
              <w:top w:w="40" w:type="dxa"/>
              <w:left w:w="20" w:type="dxa"/>
              <w:bottom w:w="40" w:type="dxa"/>
              <w:right w:w="20" w:type="dxa"/>
            </w:tcMar>
            <w:vAlign w:val="center"/>
          </w:tcPr>
          <w:p w14:paraId="098A9F80" w14:textId="77777777" w:rsidR="00141CDF" w:rsidRDefault="00DF45E0">
            <w:pPr>
              <w:textAlignment w:val="center"/>
            </w:pPr>
            <w:r>
              <w:rPr>
                <w:rFonts w:ascii="Times New Roman" w:eastAsia="宋体" w:hAnsi="Times New Roman"/>
                <w:color w:val="000000"/>
                <w:sz w:val="16"/>
                <w:szCs w:val="16"/>
              </w:rPr>
              <w:t>Ne</w:t>
            </w:r>
            <w:r>
              <w:rPr>
                <w:rFonts w:ascii="Times New Roman" w:eastAsia="宋体" w:hAnsi="Times New Roman"/>
                <w:color w:val="000000"/>
                <w:sz w:val="16"/>
                <w:szCs w:val="16"/>
              </w:rPr>
              <w:t>t sales</w:t>
            </w:r>
          </w:p>
        </w:tc>
        <w:tc>
          <w:tcPr>
            <w:tcW w:w="0" w:type="auto"/>
            <w:gridSpan w:val="3"/>
            <w:shd w:val="clear" w:color="auto" w:fill="CCEEFF"/>
            <w:tcMar>
              <w:top w:w="0" w:type="dxa"/>
              <w:left w:w="20" w:type="dxa"/>
              <w:bottom w:w="0" w:type="dxa"/>
              <w:right w:w="20" w:type="dxa"/>
            </w:tcMar>
            <w:vAlign w:val="bottom"/>
          </w:tcPr>
          <w:p w14:paraId="098A9F81"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9F82"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9F83" w14:textId="77777777" w:rsidR="00141CDF" w:rsidRDefault="00DF45E0">
            <w:pPr>
              <w:jc w:val="right"/>
              <w:textAlignment w:val="center"/>
            </w:pPr>
            <w:r>
              <w:rPr>
                <w:rFonts w:ascii="Times New Roman" w:eastAsia="宋体" w:hAnsi="Times New Roman"/>
                <w:color w:val="000000"/>
                <w:sz w:val="16"/>
                <w:szCs w:val="16"/>
              </w:rPr>
              <w:t>151,381 </w:t>
            </w:r>
          </w:p>
        </w:tc>
        <w:tc>
          <w:tcPr>
            <w:tcW w:w="0" w:type="auto"/>
            <w:shd w:val="clear" w:color="auto" w:fill="CCEEFF"/>
            <w:tcMar>
              <w:top w:w="40" w:type="dxa"/>
              <w:left w:w="0" w:type="dxa"/>
              <w:bottom w:w="40" w:type="dxa"/>
              <w:right w:w="20" w:type="dxa"/>
            </w:tcMar>
            <w:vAlign w:val="center"/>
          </w:tcPr>
          <w:p w14:paraId="098A9F84"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F85"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9F86"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9F87" w14:textId="77777777" w:rsidR="00141CDF" w:rsidRDefault="00DF45E0">
            <w:pPr>
              <w:jc w:val="right"/>
              <w:textAlignment w:val="center"/>
            </w:pPr>
            <w:r>
              <w:rPr>
                <w:rFonts w:ascii="Times New Roman" w:eastAsia="宋体" w:hAnsi="Times New Roman"/>
                <w:color w:val="000000"/>
                <w:sz w:val="16"/>
                <w:szCs w:val="16"/>
              </w:rPr>
              <w:t>139,871 </w:t>
            </w:r>
          </w:p>
        </w:tc>
        <w:tc>
          <w:tcPr>
            <w:tcW w:w="0" w:type="auto"/>
            <w:shd w:val="clear" w:color="auto" w:fill="CCEEFF"/>
            <w:tcMar>
              <w:top w:w="40" w:type="dxa"/>
              <w:left w:w="0" w:type="dxa"/>
              <w:bottom w:w="40" w:type="dxa"/>
              <w:right w:w="20" w:type="dxa"/>
            </w:tcMar>
            <w:vAlign w:val="center"/>
          </w:tcPr>
          <w:p w14:paraId="098A9F88"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F89"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9F8A"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9F8B" w14:textId="77777777" w:rsidR="00141CDF" w:rsidRDefault="00DF45E0">
            <w:pPr>
              <w:jc w:val="right"/>
              <w:textAlignment w:val="center"/>
            </w:pPr>
            <w:r>
              <w:rPr>
                <w:rFonts w:ascii="Times New Roman" w:eastAsia="宋体" w:hAnsi="Times New Roman"/>
                <w:color w:val="000000"/>
                <w:sz w:val="16"/>
                <w:szCs w:val="16"/>
              </w:rPr>
              <w:t>291,669 </w:t>
            </w:r>
          </w:p>
        </w:tc>
        <w:tc>
          <w:tcPr>
            <w:tcW w:w="0" w:type="auto"/>
            <w:shd w:val="clear" w:color="auto" w:fill="CCEEFF"/>
            <w:tcMar>
              <w:top w:w="40" w:type="dxa"/>
              <w:left w:w="0" w:type="dxa"/>
              <w:bottom w:w="40" w:type="dxa"/>
              <w:right w:w="20" w:type="dxa"/>
            </w:tcMar>
            <w:vAlign w:val="center"/>
          </w:tcPr>
          <w:p w14:paraId="098A9F8C"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F8D"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9F8E"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9F8F" w14:textId="77777777" w:rsidR="00141CDF" w:rsidRDefault="00DF45E0">
            <w:pPr>
              <w:jc w:val="right"/>
              <w:textAlignment w:val="center"/>
            </w:pPr>
            <w:r>
              <w:rPr>
                <w:rFonts w:ascii="Times New Roman" w:eastAsia="宋体" w:hAnsi="Times New Roman"/>
                <w:color w:val="000000"/>
                <w:sz w:val="16"/>
                <w:szCs w:val="16"/>
              </w:rPr>
              <w:t>277,030 </w:t>
            </w:r>
          </w:p>
        </w:tc>
        <w:tc>
          <w:tcPr>
            <w:tcW w:w="0" w:type="auto"/>
            <w:shd w:val="clear" w:color="auto" w:fill="CCEEFF"/>
            <w:tcMar>
              <w:top w:w="40" w:type="dxa"/>
              <w:left w:w="0" w:type="dxa"/>
              <w:bottom w:w="40" w:type="dxa"/>
              <w:right w:w="20" w:type="dxa"/>
            </w:tcMar>
            <w:vAlign w:val="center"/>
          </w:tcPr>
          <w:p w14:paraId="098A9F90" w14:textId="77777777" w:rsidR="00141CDF" w:rsidRDefault="00141CDF">
            <w:pPr>
              <w:jc w:val="right"/>
              <w:rPr>
                <w:rFonts w:ascii="宋体"/>
              </w:rPr>
            </w:pPr>
          </w:p>
        </w:tc>
      </w:tr>
      <w:tr w:rsidR="00141CDF" w14:paraId="098A9F9C" w14:textId="77777777">
        <w:tc>
          <w:tcPr>
            <w:tcW w:w="0" w:type="auto"/>
            <w:gridSpan w:val="3"/>
            <w:shd w:val="clear" w:color="auto" w:fill="FFFFFF"/>
            <w:tcMar>
              <w:top w:w="40" w:type="dxa"/>
              <w:left w:w="20" w:type="dxa"/>
              <w:bottom w:w="40" w:type="dxa"/>
              <w:right w:w="20" w:type="dxa"/>
            </w:tcMar>
            <w:vAlign w:val="center"/>
          </w:tcPr>
          <w:p w14:paraId="098A9F92" w14:textId="77777777" w:rsidR="00141CDF" w:rsidRDefault="00DF45E0">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vAlign w:val="bottom"/>
          </w:tcPr>
          <w:p w14:paraId="098A9F93" w14:textId="77777777" w:rsidR="00141CDF" w:rsidRDefault="00141CDF">
            <w:pPr>
              <w:rPr>
                <w:rFonts w:ascii="宋体"/>
              </w:rPr>
            </w:pPr>
          </w:p>
        </w:tc>
        <w:tc>
          <w:tcPr>
            <w:tcW w:w="0" w:type="auto"/>
            <w:gridSpan w:val="3"/>
            <w:shd w:val="clear" w:color="auto" w:fill="FFFFFF"/>
            <w:tcMar>
              <w:top w:w="40" w:type="dxa"/>
              <w:left w:w="20" w:type="dxa"/>
              <w:bottom w:w="40" w:type="dxa"/>
              <w:right w:w="140" w:type="dxa"/>
            </w:tcMar>
            <w:vAlign w:val="center"/>
          </w:tcPr>
          <w:p w14:paraId="098A9F94" w14:textId="77777777" w:rsidR="00141CDF" w:rsidRDefault="00DF45E0">
            <w:pPr>
              <w:jc w:val="right"/>
              <w:textAlignment w:val="center"/>
            </w:pPr>
            <w:r>
              <w:rPr>
                <w:rFonts w:ascii="Times New Roman" w:eastAsia="宋体" w:hAnsi="Times New Roman"/>
                <w:color w:val="000000"/>
                <w:sz w:val="16"/>
                <w:szCs w:val="16"/>
              </w:rPr>
              <w:t>8.2%</w:t>
            </w:r>
          </w:p>
        </w:tc>
        <w:tc>
          <w:tcPr>
            <w:tcW w:w="0" w:type="auto"/>
            <w:gridSpan w:val="3"/>
            <w:shd w:val="clear" w:color="auto" w:fill="FFFFFF"/>
            <w:tcMar>
              <w:top w:w="0" w:type="dxa"/>
              <w:left w:w="20" w:type="dxa"/>
              <w:bottom w:w="0" w:type="dxa"/>
              <w:right w:w="20" w:type="dxa"/>
            </w:tcMar>
            <w:vAlign w:val="bottom"/>
          </w:tcPr>
          <w:p w14:paraId="098A9F95" w14:textId="77777777" w:rsidR="00141CDF" w:rsidRDefault="00141CDF">
            <w:pPr>
              <w:rPr>
                <w:rFonts w:ascii="宋体"/>
              </w:rPr>
            </w:pPr>
          </w:p>
        </w:tc>
        <w:tc>
          <w:tcPr>
            <w:tcW w:w="0" w:type="auto"/>
            <w:gridSpan w:val="3"/>
            <w:shd w:val="clear" w:color="auto" w:fill="FFFFFF"/>
            <w:tcMar>
              <w:top w:w="40" w:type="dxa"/>
              <w:left w:w="20" w:type="dxa"/>
              <w:bottom w:w="40" w:type="dxa"/>
              <w:right w:w="140" w:type="dxa"/>
            </w:tcMar>
            <w:vAlign w:val="center"/>
          </w:tcPr>
          <w:p w14:paraId="098A9F96" w14:textId="77777777" w:rsidR="00141CDF" w:rsidRDefault="00DF45E0">
            <w:pPr>
              <w:jc w:val="right"/>
              <w:textAlignment w:val="center"/>
            </w:pPr>
            <w:r>
              <w:rPr>
                <w:rFonts w:ascii="Times New Roman" w:eastAsia="宋体" w:hAnsi="Times New Roman"/>
                <w:color w:val="000000"/>
                <w:sz w:val="16"/>
                <w:szCs w:val="16"/>
              </w:rPr>
              <w:t>2.2%</w:t>
            </w:r>
          </w:p>
        </w:tc>
        <w:tc>
          <w:tcPr>
            <w:tcW w:w="0" w:type="auto"/>
            <w:gridSpan w:val="3"/>
            <w:shd w:val="clear" w:color="auto" w:fill="FFFFFF"/>
            <w:tcMar>
              <w:top w:w="0" w:type="dxa"/>
              <w:left w:w="20" w:type="dxa"/>
              <w:bottom w:w="0" w:type="dxa"/>
              <w:right w:w="20" w:type="dxa"/>
            </w:tcMar>
            <w:vAlign w:val="bottom"/>
          </w:tcPr>
          <w:p w14:paraId="098A9F97"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F98" w14:textId="77777777" w:rsidR="00141CDF" w:rsidRDefault="00DF45E0">
            <w:pPr>
              <w:jc w:val="right"/>
              <w:textAlignment w:val="center"/>
            </w:pPr>
            <w:r>
              <w:rPr>
                <w:rFonts w:ascii="Times New Roman" w:eastAsia="宋体" w:hAnsi="Times New Roman"/>
                <w:color w:val="000000"/>
                <w:sz w:val="16"/>
                <w:szCs w:val="16"/>
              </w:rPr>
              <w:t>5.3 </w:t>
            </w:r>
          </w:p>
        </w:tc>
        <w:tc>
          <w:tcPr>
            <w:tcW w:w="0" w:type="auto"/>
            <w:shd w:val="clear" w:color="auto" w:fill="FFFFFF"/>
            <w:tcMar>
              <w:top w:w="40" w:type="dxa"/>
              <w:left w:w="0" w:type="dxa"/>
              <w:bottom w:w="40" w:type="dxa"/>
              <w:right w:w="20" w:type="dxa"/>
            </w:tcMar>
            <w:vAlign w:val="center"/>
          </w:tcPr>
          <w:p w14:paraId="098A9F99"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098A9F9A" w14:textId="77777777" w:rsidR="00141CDF" w:rsidRDefault="00141CDF">
            <w:pPr>
              <w:rPr>
                <w:rFonts w:ascii="宋体"/>
              </w:rPr>
            </w:pPr>
          </w:p>
        </w:tc>
        <w:tc>
          <w:tcPr>
            <w:tcW w:w="0" w:type="auto"/>
            <w:gridSpan w:val="3"/>
            <w:shd w:val="clear" w:color="auto" w:fill="FFFFFF"/>
            <w:tcMar>
              <w:top w:w="40" w:type="dxa"/>
              <w:left w:w="20" w:type="dxa"/>
              <w:bottom w:w="40" w:type="dxa"/>
              <w:right w:w="140" w:type="dxa"/>
            </w:tcMar>
            <w:vAlign w:val="center"/>
          </w:tcPr>
          <w:p w14:paraId="098A9F9B" w14:textId="77777777" w:rsidR="00141CDF" w:rsidRDefault="00DF45E0">
            <w:pPr>
              <w:jc w:val="right"/>
              <w:textAlignment w:val="center"/>
            </w:pPr>
            <w:r>
              <w:rPr>
                <w:rFonts w:ascii="Times New Roman" w:eastAsia="宋体" w:hAnsi="Times New Roman"/>
                <w:color w:val="000000"/>
                <w:sz w:val="16"/>
                <w:szCs w:val="16"/>
              </w:rPr>
              <w:t>2.4%</w:t>
            </w:r>
          </w:p>
        </w:tc>
      </w:tr>
      <w:tr w:rsidR="00141CDF" w14:paraId="098A9FA7" w14:textId="77777777">
        <w:tc>
          <w:tcPr>
            <w:tcW w:w="0" w:type="auto"/>
            <w:gridSpan w:val="3"/>
            <w:shd w:val="clear" w:color="auto" w:fill="CCEEFF"/>
            <w:tcMar>
              <w:top w:w="40" w:type="dxa"/>
              <w:left w:w="20" w:type="dxa"/>
              <w:bottom w:w="40" w:type="dxa"/>
              <w:right w:w="20" w:type="dxa"/>
            </w:tcMar>
            <w:vAlign w:val="center"/>
          </w:tcPr>
          <w:p w14:paraId="098A9F9D" w14:textId="77777777" w:rsidR="00141CDF" w:rsidRDefault="00DF45E0">
            <w:pPr>
              <w:textAlignment w:val="center"/>
            </w:pPr>
            <w:r>
              <w:rPr>
                <w:rFonts w:ascii="Times New Roman" w:eastAsia="宋体" w:hAnsi="Times New Roman"/>
                <w:color w:val="000000"/>
                <w:sz w:val="16"/>
                <w:szCs w:val="16"/>
              </w:rPr>
              <w:t>Total U.S. calendar comparable sales increase</w:t>
            </w:r>
          </w:p>
        </w:tc>
        <w:tc>
          <w:tcPr>
            <w:tcW w:w="0" w:type="auto"/>
            <w:gridSpan w:val="3"/>
            <w:shd w:val="clear" w:color="auto" w:fill="CCEEFF"/>
            <w:tcMar>
              <w:top w:w="0" w:type="dxa"/>
              <w:left w:w="20" w:type="dxa"/>
              <w:bottom w:w="0" w:type="dxa"/>
              <w:right w:w="20" w:type="dxa"/>
            </w:tcMar>
            <w:vAlign w:val="bottom"/>
          </w:tcPr>
          <w:p w14:paraId="098A9F9E" w14:textId="77777777" w:rsidR="00141CDF" w:rsidRDefault="00141CDF">
            <w:pPr>
              <w:rPr>
                <w:rFonts w:ascii="宋体"/>
              </w:rPr>
            </w:pPr>
          </w:p>
        </w:tc>
        <w:tc>
          <w:tcPr>
            <w:tcW w:w="0" w:type="auto"/>
            <w:gridSpan w:val="3"/>
            <w:shd w:val="clear" w:color="auto" w:fill="CCEEFF"/>
            <w:tcMar>
              <w:top w:w="40" w:type="dxa"/>
              <w:left w:w="20" w:type="dxa"/>
              <w:bottom w:w="40" w:type="dxa"/>
              <w:right w:w="140" w:type="dxa"/>
            </w:tcMar>
            <w:vAlign w:val="center"/>
          </w:tcPr>
          <w:p w14:paraId="098A9F9F" w14:textId="77777777" w:rsidR="00141CDF" w:rsidRDefault="00DF45E0">
            <w:pPr>
              <w:jc w:val="right"/>
              <w:textAlignment w:val="center"/>
            </w:pPr>
            <w:r>
              <w:rPr>
                <w:rFonts w:ascii="Times New Roman" w:eastAsia="宋体" w:hAnsi="Times New Roman"/>
                <w:color w:val="000000"/>
                <w:sz w:val="16"/>
                <w:szCs w:val="16"/>
              </w:rPr>
              <w:t>8.7%</w:t>
            </w:r>
          </w:p>
        </w:tc>
        <w:tc>
          <w:tcPr>
            <w:tcW w:w="0" w:type="auto"/>
            <w:gridSpan w:val="3"/>
            <w:shd w:val="clear" w:color="auto" w:fill="CCEEFF"/>
            <w:tcMar>
              <w:top w:w="0" w:type="dxa"/>
              <w:left w:w="20" w:type="dxa"/>
              <w:bottom w:w="0" w:type="dxa"/>
              <w:right w:w="20" w:type="dxa"/>
            </w:tcMar>
            <w:vAlign w:val="bottom"/>
          </w:tcPr>
          <w:p w14:paraId="098A9FA0" w14:textId="77777777" w:rsidR="00141CDF" w:rsidRDefault="00141CDF">
            <w:pPr>
              <w:rPr>
                <w:rFonts w:ascii="宋体"/>
              </w:rPr>
            </w:pPr>
          </w:p>
        </w:tc>
        <w:tc>
          <w:tcPr>
            <w:tcW w:w="0" w:type="auto"/>
            <w:gridSpan w:val="3"/>
            <w:shd w:val="clear" w:color="auto" w:fill="CCEEFF"/>
            <w:tcMar>
              <w:top w:w="40" w:type="dxa"/>
              <w:left w:w="20" w:type="dxa"/>
              <w:bottom w:w="40" w:type="dxa"/>
              <w:right w:w="140" w:type="dxa"/>
            </w:tcMar>
            <w:vAlign w:val="center"/>
          </w:tcPr>
          <w:p w14:paraId="098A9FA1" w14:textId="77777777" w:rsidR="00141CDF" w:rsidRDefault="00DF45E0">
            <w:pPr>
              <w:jc w:val="right"/>
              <w:textAlignment w:val="center"/>
            </w:pPr>
            <w:r>
              <w:rPr>
                <w:rFonts w:ascii="Times New Roman" w:eastAsia="宋体" w:hAnsi="Times New Roman"/>
                <w:color w:val="000000"/>
                <w:sz w:val="16"/>
                <w:szCs w:val="16"/>
              </w:rPr>
              <w:t>6.7%</w:t>
            </w:r>
          </w:p>
        </w:tc>
        <w:tc>
          <w:tcPr>
            <w:tcW w:w="0" w:type="auto"/>
            <w:gridSpan w:val="3"/>
            <w:shd w:val="clear" w:color="auto" w:fill="CCEEFF"/>
            <w:tcMar>
              <w:top w:w="0" w:type="dxa"/>
              <w:left w:w="20" w:type="dxa"/>
              <w:bottom w:w="0" w:type="dxa"/>
              <w:right w:w="20" w:type="dxa"/>
            </w:tcMar>
            <w:vAlign w:val="bottom"/>
          </w:tcPr>
          <w:p w14:paraId="098A9FA2"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9FA3" w14:textId="77777777" w:rsidR="00141CDF" w:rsidRDefault="00DF45E0">
            <w:pPr>
              <w:jc w:val="right"/>
              <w:textAlignment w:val="center"/>
            </w:pPr>
            <w:r>
              <w:rPr>
                <w:rFonts w:ascii="Times New Roman" w:eastAsia="宋体" w:hAnsi="Times New Roman"/>
                <w:color w:val="000000"/>
                <w:sz w:val="16"/>
                <w:szCs w:val="16"/>
              </w:rPr>
              <w:t>7.</w:t>
            </w:r>
            <w:r>
              <w:rPr>
                <w:rFonts w:ascii="Times New Roman" w:eastAsia="宋体" w:hAnsi="Times New Roman"/>
                <w:color w:val="000000"/>
                <w:sz w:val="16"/>
                <w:szCs w:val="16"/>
              </w:rPr>
              <w:t>4 </w:t>
            </w:r>
          </w:p>
        </w:tc>
        <w:tc>
          <w:tcPr>
            <w:tcW w:w="0" w:type="auto"/>
            <w:shd w:val="clear" w:color="auto" w:fill="CCEEFF"/>
            <w:tcMar>
              <w:top w:w="40" w:type="dxa"/>
              <w:left w:w="0" w:type="dxa"/>
              <w:bottom w:w="40" w:type="dxa"/>
              <w:right w:w="20" w:type="dxa"/>
            </w:tcMar>
            <w:vAlign w:val="center"/>
          </w:tcPr>
          <w:p w14:paraId="098A9FA4"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098A9FA5" w14:textId="77777777" w:rsidR="00141CDF" w:rsidRDefault="00141CDF">
            <w:pPr>
              <w:rPr>
                <w:rFonts w:ascii="宋体"/>
              </w:rPr>
            </w:pPr>
          </w:p>
        </w:tc>
        <w:tc>
          <w:tcPr>
            <w:tcW w:w="0" w:type="auto"/>
            <w:gridSpan w:val="3"/>
            <w:shd w:val="clear" w:color="auto" w:fill="CCEEFF"/>
            <w:tcMar>
              <w:top w:w="40" w:type="dxa"/>
              <w:left w:w="20" w:type="dxa"/>
              <w:bottom w:w="40" w:type="dxa"/>
              <w:right w:w="140" w:type="dxa"/>
            </w:tcMar>
            <w:vAlign w:val="center"/>
          </w:tcPr>
          <w:p w14:paraId="098A9FA6" w14:textId="77777777" w:rsidR="00141CDF" w:rsidRDefault="00DF45E0">
            <w:pPr>
              <w:jc w:val="right"/>
              <w:textAlignment w:val="center"/>
            </w:pPr>
            <w:r>
              <w:rPr>
                <w:rFonts w:ascii="Times New Roman" w:eastAsia="宋体" w:hAnsi="Times New Roman"/>
                <w:color w:val="000000"/>
                <w:sz w:val="16"/>
                <w:szCs w:val="16"/>
              </w:rPr>
              <w:t>6.4%</w:t>
            </w:r>
          </w:p>
        </w:tc>
      </w:tr>
      <w:tr w:rsidR="00141CDF" w14:paraId="098A9FB2" w14:textId="77777777">
        <w:tc>
          <w:tcPr>
            <w:tcW w:w="0" w:type="auto"/>
            <w:gridSpan w:val="3"/>
            <w:shd w:val="clear" w:color="auto" w:fill="FFFFFF"/>
            <w:tcMar>
              <w:top w:w="40" w:type="dxa"/>
              <w:left w:w="20" w:type="dxa"/>
              <w:bottom w:w="40" w:type="dxa"/>
              <w:right w:w="20" w:type="dxa"/>
            </w:tcMar>
            <w:vAlign w:val="center"/>
          </w:tcPr>
          <w:p w14:paraId="098A9FA8" w14:textId="77777777" w:rsidR="00141CDF" w:rsidRDefault="00DF45E0">
            <w:pPr>
              <w:textAlignment w:val="center"/>
            </w:pPr>
            <w:r>
              <w:rPr>
                <w:rFonts w:ascii="Times New Roman" w:eastAsia="宋体" w:hAnsi="Times New Roman"/>
                <w:color w:val="000000"/>
                <w:sz w:val="16"/>
                <w:szCs w:val="16"/>
              </w:rPr>
              <w:t>Gr</w:t>
            </w:r>
            <w:r>
              <w:rPr>
                <w:rFonts w:ascii="Times New Roman" w:eastAsia="宋体" w:hAnsi="Times New Roman"/>
                <w:color w:val="000000"/>
                <w:sz w:val="16"/>
                <w:szCs w:val="16"/>
              </w:rPr>
              <w:t>oss profit margin as a percentage of net sales</w:t>
            </w:r>
          </w:p>
        </w:tc>
        <w:tc>
          <w:tcPr>
            <w:tcW w:w="0" w:type="auto"/>
            <w:gridSpan w:val="3"/>
            <w:shd w:val="clear" w:color="auto" w:fill="FFFFFF"/>
            <w:tcMar>
              <w:top w:w="0" w:type="dxa"/>
              <w:left w:w="20" w:type="dxa"/>
              <w:bottom w:w="0" w:type="dxa"/>
              <w:right w:w="20" w:type="dxa"/>
            </w:tcMar>
            <w:vAlign w:val="bottom"/>
          </w:tcPr>
          <w:p w14:paraId="098A9FA9" w14:textId="77777777" w:rsidR="00141CDF" w:rsidRDefault="00141CDF">
            <w:pPr>
              <w:rPr>
                <w:rFonts w:ascii="宋体"/>
              </w:rPr>
            </w:pPr>
          </w:p>
        </w:tc>
        <w:tc>
          <w:tcPr>
            <w:tcW w:w="0" w:type="auto"/>
            <w:gridSpan w:val="3"/>
            <w:shd w:val="clear" w:color="auto" w:fill="FFFFFF"/>
            <w:tcMar>
              <w:top w:w="40" w:type="dxa"/>
              <w:left w:w="20" w:type="dxa"/>
              <w:bottom w:w="40" w:type="dxa"/>
              <w:right w:w="140" w:type="dxa"/>
            </w:tcMar>
            <w:vAlign w:val="center"/>
          </w:tcPr>
          <w:p w14:paraId="098A9FAA" w14:textId="77777777" w:rsidR="00141CDF" w:rsidRDefault="00DF45E0">
            <w:pPr>
              <w:jc w:val="right"/>
              <w:textAlignment w:val="center"/>
            </w:pPr>
            <w:r>
              <w:rPr>
                <w:rFonts w:ascii="Times New Roman" w:eastAsia="宋体" w:hAnsi="Times New Roman"/>
                <w:color w:val="000000"/>
                <w:sz w:val="16"/>
                <w:szCs w:val="16"/>
              </w:rPr>
              <w:t>23.5%</w:t>
            </w:r>
          </w:p>
        </w:tc>
        <w:tc>
          <w:tcPr>
            <w:tcW w:w="0" w:type="auto"/>
            <w:gridSpan w:val="3"/>
            <w:shd w:val="clear" w:color="auto" w:fill="FFFFFF"/>
            <w:tcMar>
              <w:top w:w="0" w:type="dxa"/>
              <w:left w:w="20" w:type="dxa"/>
              <w:bottom w:w="0" w:type="dxa"/>
              <w:right w:w="20" w:type="dxa"/>
            </w:tcMar>
            <w:vAlign w:val="bottom"/>
          </w:tcPr>
          <w:p w14:paraId="098A9FAB" w14:textId="77777777" w:rsidR="00141CDF" w:rsidRDefault="00141CDF">
            <w:pPr>
              <w:rPr>
                <w:rFonts w:ascii="宋体"/>
              </w:rPr>
            </w:pPr>
          </w:p>
        </w:tc>
        <w:tc>
          <w:tcPr>
            <w:tcW w:w="0" w:type="auto"/>
            <w:gridSpan w:val="3"/>
            <w:shd w:val="clear" w:color="auto" w:fill="FFFFFF"/>
            <w:tcMar>
              <w:top w:w="40" w:type="dxa"/>
              <w:left w:w="20" w:type="dxa"/>
              <w:bottom w:w="40" w:type="dxa"/>
              <w:right w:w="140" w:type="dxa"/>
            </w:tcMar>
            <w:vAlign w:val="center"/>
          </w:tcPr>
          <w:p w14:paraId="098A9FAC" w14:textId="77777777" w:rsidR="00141CDF" w:rsidRDefault="00DF45E0">
            <w:pPr>
              <w:jc w:val="right"/>
              <w:textAlignment w:val="center"/>
            </w:pPr>
            <w:r>
              <w:rPr>
                <w:rFonts w:ascii="Times New Roman" w:eastAsia="宋体" w:hAnsi="Times New Roman"/>
                <w:color w:val="000000"/>
                <w:sz w:val="16"/>
                <w:szCs w:val="16"/>
              </w:rPr>
              <w:t>24.8%</w:t>
            </w:r>
          </w:p>
        </w:tc>
        <w:tc>
          <w:tcPr>
            <w:tcW w:w="0" w:type="auto"/>
            <w:gridSpan w:val="3"/>
            <w:shd w:val="clear" w:color="auto" w:fill="FFFFFF"/>
            <w:tcMar>
              <w:top w:w="0" w:type="dxa"/>
              <w:left w:w="20" w:type="dxa"/>
              <w:bottom w:w="0" w:type="dxa"/>
              <w:right w:w="20" w:type="dxa"/>
            </w:tcMar>
            <w:vAlign w:val="bottom"/>
          </w:tcPr>
          <w:p w14:paraId="098A9FAD"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FAE" w14:textId="77777777" w:rsidR="00141CDF" w:rsidRDefault="00DF45E0">
            <w:pPr>
              <w:jc w:val="right"/>
              <w:textAlignment w:val="center"/>
            </w:pPr>
            <w:r>
              <w:rPr>
                <w:rFonts w:ascii="Times New Roman" w:eastAsia="宋体" w:hAnsi="Times New Roman"/>
                <w:color w:val="000000"/>
                <w:sz w:val="16"/>
                <w:szCs w:val="16"/>
              </w:rPr>
              <w:t>23.7 </w:t>
            </w:r>
          </w:p>
        </w:tc>
        <w:tc>
          <w:tcPr>
            <w:tcW w:w="0" w:type="auto"/>
            <w:shd w:val="clear" w:color="auto" w:fill="FFFFFF"/>
            <w:tcMar>
              <w:top w:w="40" w:type="dxa"/>
              <w:left w:w="0" w:type="dxa"/>
              <w:bottom w:w="40" w:type="dxa"/>
              <w:right w:w="20" w:type="dxa"/>
            </w:tcMar>
            <w:vAlign w:val="center"/>
          </w:tcPr>
          <w:p w14:paraId="098A9FAF"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098A9FB0" w14:textId="77777777" w:rsidR="00141CDF" w:rsidRDefault="00141CDF">
            <w:pPr>
              <w:rPr>
                <w:rFonts w:ascii="宋体"/>
              </w:rPr>
            </w:pPr>
          </w:p>
        </w:tc>
        <w:tc>
          <w:tcPr>
            <w:tcW w:w="0" w:type="auto"/>
            <w:gridSpan w:val="3"/>
            <w:shd w:val="clear" w:color="auto" w:fill="FFFFFF"/>
            <w:tcMar>
              <w:top w:w="40" w:type="dxa"/>
              <w:left w:w="20" w:type="dxa"/>
              <w:bottom w:w="40" w:type="dxa"/>
              <w:right w:w="140" w:type="dxa"/>
            </w:tcMar>
            <w:vAlign w:val="center"/>
          </w:tcPr>
          <w:p w14:paraId="098A9FB1" w14:textId="77777777" w:rsidR="00141CDF" w:rsidRDefault="00DF45E0">
            <w:pPr>
              <w:jc w:val="right"/>
              <w:textAlignment w:val="center"/>
            </w:pPr>
            <w:r>
              <w:rPr>
                <w:rFonts w:ascii="Times New Roman" w:eastAsia="宋体" w:hAnsi="Times New Roman"/>
                <w:color w:val="000000"/>
                <w:sz w:val="16"/>
                <w:szCs w:val="16"/>
              </w:rPr>
              <w:t>24.8%</w:t>
            </w:r>
          </w:p>
        </w:tc>
      </w:tr>
      <w:tr w:rsidR="00141CDF" w14:paraId="098A9FC4" w14:textId="77777777">
        <w:tc>
          <w:tcPr>
            <w:tcW w:w="0" w:type="auto"/>
            <w:gridSpan w:val="3"/>
            <w:shd w:val="clear" w:color="auto" w:fill="CCEEFF"/>
            <w:tcMar>
              <w:top w:w="40" w:type="dxa"/>
              <w:left w:w="20" w:type="dxa"/>
              <w:bottom w:w="40" w:type="dxa"/>
              <w:right w:w="20" w:type="dxa"/>
            </w:tcMar>
            <w:vAlign w:val="center"/>
          </w:tcPr>
          <w:p w14:paraId="098A9FB3" w14:textId="77777777" w:rsidR="00141CDF" w:rsidRDefault="00DF45E0">
            <w:pPr>
              <w:textAlignment w:val="center"/>
            </w:pPr>
            <w:r>
              <w:rPr>
                <w:rFonts w:ascii="Times New Roman" w:eastAsia="宋体" w:hAnsi="Times New Roman"/>
                <w:color w:val="000000"/>
                <w:sz w:val="16"/>
                <w:szCs w:val="16"/>
              </w:rPr>
              <w:t>Operating income</w:t>
            </w:r>
          </w:p>
        </w:tc>
        <w:tc>
          <w:tcPr>
            <w:tcW w:w="0" w:type="auto"/>
            <w:gridSpan w:val="3"/>
            <w:shd w:val="clear" w:color="auto" w:fill="CCEEFF"/>
            <w:tcMar>
              <w:top w:w="0" w:type="dxa"/>
              <w:left w:w="20" w:type="dxa"/>
              <w:bottom w:w="0" w:type="dxa"/>
              <w:right w:w="20" w:type="dxa"/>
            </w:tcMar>
            <w:vAlign w:val="bottom"/>
          </w:tcPr>
          <w:p w14:paraId="098A9FB4"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9FB5"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9FB6" w14:textId="77777777" w:rsidR="00141CDF" w:rsidRDefault="00DF45E0">
            <w:pPr>
              <w:jc w:val="right"/>
              <w:textAlignment w:val="center"/>
            </w:pPr>
            <w:r>
              <w:rPr>
                <w:rFonts w:ascii="Times New Roman" w:eastAsia="宋体" w:hAnsi="Times New Roman"/>
                <w:color w:val="000000"/>
                <w:sz w:val="16"/>
                <w:szCs w:val="16"/>
              </w:rPr>
              <w:t>6,854 </w:t>
            </w:r>
          </w:p>
        </w:tc>
        <w:tc>
          <w:tcPr>
            <w:tcW w:w="0" w:type="auto"/>
            <w:shd w:val="clear" w:color="auto" w:fill="CCEEFF"/>
            <w:tcMar>
              <w:top w:w="40" w:type="dxa"/>
              <w:left w:w="0" w:type="dxa"/>
              <w:bottom w:w="40" w:type="dxa"/>
              <w:right w:w="20" w:type="dxa"/>
            </w:tcMar>
            <w:vAlign w:val="center"/>
          </w:tcPr>
          <w:p w14:paraId="098A9FB7"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FB8"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9FB9"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9FBA" w14:textId="77777777" w:rsidR="00141CDF" w:rsidRDefault="00DF45E0">
            <w:pPr>
              <w:jc w:val="right"/>
              <w:textAlignment w:val="center"/>
            </w:pPr>
            <w:r>
              <w:rPr>
                <w:rFonts w:ascii="Times New Roman" w:eastAsia="宋体" w:hAnsi="Times New Roman"/>
                <w:color w:val="000000"/>
                <w:sz w:val="16"/>
                <w:szCs w:val="16"/>
              </w:rPr>
              <w:t>7,354 </w:t>
            </w:r>
          </w:p>
        </w:tc>
        <w:tc>
          <w:tcPr>
            <w:tcW w:w="0" w:type="auto"/>
            <w:shd w:val="clear" w:color="auto" w:fill="CCEEFF"/>
            <w:tcMar>
              <w:top w:w="40" w:type="dxa"/>
              <w:left w:w="0" w:type="dxa"/>
              <w:bottom w:w="40" w:type="dxa"/>
              <w:right w:w="20" w:type="dxa"/>
            </w:tcMar>
            <w:vAlign w:val="center"/>
          </w:tcPr>
          <w:p w14:paraId="098A9FBB"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FBC"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9FBD"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9FBE" w14:textId="77777777" w:rsidR="00141CDF" w:rsidRDefault="00DF45E0">
            <w:pPr>
              <w:jc w:val="right"/>
              <w:textAlignment w:val="center"/>
            </w:pPr>
            <w:r>
              <w:rPr>
                <w:rFonts w:ascii="Times New Roman" w:eastAsia="宋体" w:hAnsi="Times New Roman"/>
                <w:color w:val="000000"/>
                <w:sz w:val="16"/>
                <w:szCs w:val="16"/>
              </w:rPr>
              <w:t>12,172 </w:t>
            </w:r>
          </w:p>
        </w:tc>
        <w:tc>
          <w:tcPr>
            <w:tcW w:w="0" w:type="auto"/>
            <w:shd w:val="clear" w:color="auto" w:fill="CCEEFF"/>
            <w:tcMar>
              <w:top w:w="40" w:type="dxa"/>
              <w:left w:w="0" w:type="dxa"/>
              <w:bottom w:w="40" w:type="dxa"/>
              <w:right w:w="20" w:type="dxa"/>
            </w:tcMar>
            <w:vAlign w:val="center"/>
          </w:tcPr>
          <w:p w14:paraId="098A9FBF"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FC0"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9FC1"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9FC2" w14:textId="77777777" w:rsidR="00141CDF" w:rsidRDefault="00DF45E0">
            <w:pPr>
              <w:jc w:val="right"/>
              <w:textAlignment w:val="center"/>
            </w:pPr>
            <w:r>
              <w:rPr>
                <w:rFonts w:ascii="Times New Roman" w:eastAsia="宋体" w:hAnsi="Times New Roman"/>
                <w:color w:val="000000"/>
                <w:sz w:val="16"/>
                <w:szCs w:val="16"/>
              </w:rPr>
              <w:t>14,263 </w:t>
            </w:r>
          </w:p>
        </w:tc>
        <w:tc>
          <w:tcPr>
            <w:tcW w:w="0" w:type="auto"/>
            <w:shd w:val="clear" w:color="auto" w:fill="CCEEFF"/>
            <w:tcMar>
              <w:top w:w="40" w:type="dxa"/>
              <w:left w:w="0" w:type="dxa"/>
              <w:bottom w:w="40" w:type="dxa"/>
              <w:right w:w="20" w:type="dxa"/>
            </w:tcMar>
            <w:vAlign w:val="center"/>
          </w:tcPr>
          <w:p w14:paraId="098A9FC3" w14:textId="77777777" w:rsidR="00141CDF" w:rsidRDefault="00141CDF">
            <w:pPr>
              <w:jc w:val="right"/>
              <w:rPr>
                <w:rFonts w:ascii="宋体"/>
              </w:rPr>
            </w:pPr>
          </w:p>
        </w:tc>
      </w:tr>
      <w:tr w:rsidR="00141CDF" w14:paraId="098A9FCF" w14:textId="77777777">
        <w:tc>
          <w:tcPr>
            <w:tcW w:w="0" w:type="auto"/>
            <w:gridSpan w:val="3"/>
            <w:shd w:val="clear" w:color="auto" w:fill="FFFFFF"/>
            <w:tcMar>
              <w:top w:w="40" w:type="dxa"/>
              <w:left w:w="20" w:type="dxa"/>
              <w:bottom w:w="40" w:type="dxa"/>
              <w:right w:w="20" w:type="dxa"/>
            </w:tcMar>
            <w:vAlign w:val="center"/>
          </w:tcPr>
          <w:p w14:paraId="098A9FC5" w14:textId="77777777" w:rsidR="00141CDF" w:rsidRDefault="00DF45E0">
            <w:pPr>
              <w:textAlignment w:val="center"/>
            </w:pPr>
            <w:r>
              <w:rPr>
                <w:rFonts w:ascii="Times New Roman" w:eastAsia="宋体" w:hAnsi="Times New Roman"/>
                <w:color w:val="000000"/>
                <w:sz w:val="16"/>
                <w:szCs w:val="16"/>
              </w:rPr>
              <w:t>Operating income as a percentage of net sales</w:t>
            </w:r>
          </w:p>
        </w:tc>
        <w:tc>
          <w:tcPr>
            <w:tcW w:w="0" w:type="auto"/>
            <w:gridSpan w:val="3"/>
            <w:shd w:val="clear" w:color="auto" w:fill="FFFFFF"/>
            <w:tcMar>
              <w:top w:w="0" w:type="dxa"/>
              <w:left w:w="20" w:type="dxa"/>
              <w:bottom w:w="0" w:type="dxa"/>
              <w:right w:w="20" w:type="dxa"/>
            </w:tcMar>
            <w:vAlign w:val="bottom"/>
          </w:tcPr>
          <w:p w14:paraId="098A9FC6" w14:textId="77777777" w:rsidR="00141CDF" w:rsidRDefault="00141CDF">
            <w:pPr>
              <w:rPr>
                <w:rFonts w:ascii="宋体"/>
              </w:rPr>
            </w:pPr>
          </w:p>
        </w:tc>
        <w:tc>
          <w:tcPr>
            <w:tcW w:w="0" w:type="auto"/>
            <w:gridSpan w:val="3"/>
            <w:shd w:val="clear" w:color="auto" w:fill="FFFFFF"/>
            <w:tcMar>
              <w:top w:w="40" w:type="dxa"/>
              <w:left w:w="20" w:type="dxa"/>
              <w:bottom w:w="40" w:type="dxa"/>
              <w:right w:w="140" w:type="dxa"/>
            </w:tcMar>
            <w:vAlign w:val="center"/>
          </w:tcPr>
          <w:p w14:paraId="098A9FC7" w14:textId="77777777" w:rsidR="00141CDF" w:rsidRDefault="00DF45E0">
            <w:pPr>
              <w:jc w:val="right"/>
              <w:textAlignment w:val="center"/>
            </w:pPr>
            <w:r>
              <w:rPr>
                <w:rFonts w:ascii="Times New Roman" w:eastAsia="宋体" w:hAnsi="Times New Roman"/>
                <w:color w:val="000000"/>
                <w:sz w:val="16"/>
                <w:szCs w:val="16"/>
              </w:rPr>
              <w:t>4.5%</w:t>
            </w:r>
          </w:p>
        </w:tc>
        <w:tc>
          <w:tcPr>
            <w:tcW w:w="0" w:type="auto"/>
            <w:gridSpan w:val="3"/>
            <w:shd w:val="clear" w:color="auto" w:fill="FFFFFF"/>
            <w:tcMar>
              <w:top w:w="0" w:type="dxa"/>
              <w:left w:w="20" w:type="dxa"/>
              <w:bottom w:w="0" w:type="dxa"/>
              <w:right w:w="20" w:type="dxa"/>
            </w:tcMar>
            <w:vAlign w:val="bottom"/>
          </w:tcPr>
          <w:p w14:paraId="098A9FC8" w14:textId="77777777" w:rsidR="00141CDF" w:rsidRDefault="00141CDF">
            <w:pPr>
              <w:rPr>
                <w:rFonts w:ascii="宋体"/>
              </w:rPr>
            </w:pPr>
          </w:p>
        </w:tc>
        <w:tc>
          <w:tcPr>
            <w:tcW w:w="0" w:type="auto"/>
            <w:gridSpan w:val="3"/>
            <w:shd w:val="clear" w:color="auto" w:fill="FFFFFF"/>
            <w:tcMar>
              <w:top w:w="40" w:type="dxa"/>
              <w:left w:w="20" w:type="dxa"/>
              <w:bottom w:w="40" w:type="dxa"/>
              <w:right w:w="140" w:type="dxa"/>
            </w:tcMar>
            <w:vAlign w:val="center"/>
          </w:tcPr>
          <w:p w14:paraId="098A9FC9" w14:textId="77777777" w:rsidR="00141CDF" w:rsidRDefault="00DF45E0">
            <w:pPr>
              <w:jc w:val="right"/>
              <w:textAlignment w:val="center"/>
            </w:pPr>
            <w:r>
              <w:rPr>
                <w:rFonts w:ascii="Times New Roman" w:eastAsia="宋体" w:hAnsi="Times New Roman"/>
                <w:color w:val="000000"/>
                <w:sz w:val="16"/>
                <w:szCs w:val="16"/>
              </w:rPr>
              <w:t>5.3%</w:t>
            </w:r>
          </w:p>
        </w:tc>
        <w:tc>
          <w:tcPr>
            <w:tcW w:w="0" w:type="auto"/>
            <w:gridSpan w:val="3"/>
            <w:shd w:val="clear" w:color="auto" w:fill="FFFFFF"/>
            <w:tcMar>
              <w:top w:w="0" w:type="dxa"/>
              <w:left w:w="20" w:type="dxa"/>
              <w:bottom w:w="0" w:type="dxa"/>
              <w:right w:w="20" w:type="dxa"/>
            </w:tcMar>
            <w:vAlign w:val="bottom"/>
          </w:tcPr>
          <w:p w14:paraId="098A9FCA"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9FCB" w14:textId="77777777" w:rsidR="00141CDF" w:rsidRDefault="00DF45E0">
            <w:pPr>
              <w:jc w:val="right"/>
              <w:textAlignment w:val="center"/>
            </w:pPr>
            <w:r>
              <w:rPr>
                <w:rFonts w:ascii="Times New Roman" w:eastAsia="宋体" w:hAnsi="Times New Roman"/>
                <w:color w:val="000000"/>
                <w:sz w:val="16"/>
                <w:szCs w:val="16"/>
              </w:rPr>
              <w:t>4.2 </w:t>
            </w:r>
          </w:p>
        </w:tc>
        <w:tc>
          <w:tcPr>
            <w:tcW w:w="0" w:type="auto"/>
            <w:shd w:val="clear" w:color="auto" w:fill="FFFFFF"/>
            <w:tcMar>
              <w:top w:w="40" w:type="dxa"/>
              <w:left w:w="0" w:type="dxa"/>
              <w:bottom w:w="40" w:type="dxa"/>
              <w:right w:w="20" w:type="dxa"/>
            </w:tcMar>
            <w:vAlign w:val="center"/>
          </w:tcPr>
          <w:p w14:paraId="098A9FCC"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098A9FCD" w14:textId="77777777" w:rsidR="00141CDF" w:rsidRDefault="00141CDF">
            <w:pPr>
              <w:rPr>
                <w:rFonts w:ascii="宋体"/>
              </w:rPr>
            </w:pPr>
          </w:p>
        </w:tc>
        <w:tc>
          <w:tcPr>
            <w:tcW w:w="0" w:type="auto"/>
            <w:gridSpan w:val="3"/>
            <w:shd w:val="clear" w:color="auto" w:fill="FFFFFF"/>
            <w:tcMar>
              <w:top w:w="40" w:type="dxa"/>
              <w:left w:w="20" w:type="dxa"/>
              <w:bottom w:w="40" w:type="dxa"/>
              <w:right w:w="140" w:type="dxa"/>
            </w:tcMar>
            <w:vAlign w:val="center"/>
          </w:tcPr>
          <w:p w14:paraId="098A9FCE" w14:textId="77777777" w:rsidR="00141CDF" w:rsidRDefault="00DF45E0">
            <w:pPr>
              <w:jc w:val="right"/>
              <w:textAlignment w:val="center"/>
            </w:pPr>
            <w:r>
              <w:rPr>
                <w:rFonts w:ascii="Times New Roman" w:eastAsia="宋体" w:hAnsi="Times New Roman"/>
                <w:color w:val="000000"/>
                <w:sz w:val="16"/>
                <w:szCs w:val="16"/>
              </w:rPr>
              <w:t>5.1%</w:t>
            </w:r>
          </w:p>
        </w:tc>
      </w:tr>
      <w:tr w:rsidR="00141CDF" w14:paraId="098A9FD9" w14:textId="77777777">
        <w:trPr>
          <w:hidden/>
        </w:trPr>
        <w:tc>
          <w:tcPr>
            <w:tcW w:w="0" w:type="auto"/>
            <w:gridSpan w:val="3"/>
            <w:shd w:val="clear" w:color="auto" w:fill="auto"/>
            <w:vAlign w:val="bottom"/>
          </w:tcPr>
          <w:p w14:paraId="098A9FD0" w14:textId="77777777" w:rsidR="00141CDF" w:rsidRDefault="00141CDF">
            <w:pPr>
              <w:rPr>
                <w:rFonts w:ascii="宋体"/>
                <w:vanish/>
              </w:rPr>
            </w:pPr>
          </w:p>
        </w:tc>
        <w:tc>
          <w:tcPr>
            <w:tcW w:w="0" w:type="auto"/>
            <w:gridSpan w:val="3"/>
            <w:shd w:val="clear" w:color="auto" w:fill="auto"/>
            <w:vAlign w:val="bottom"/>
          </w:tcPr>
          <w:p w14:paraId="098A9FD1" w14:textId="77777777" w:rsidR="00141CDF" w:rsidRDefault="00141CDF">
            <w:pPr>
              <w:rPr>
                <w:rFonts w:ascii="宋体"/>
                <w:vanish/>
              </w:rPr>
            </w:pPr>
          </w:p>
        </w:tc>
        <w:tc>
          <w:tcPr>
            <w:tcW w:w="0" w:type="auto"/>
            <w:gridSpan w:val="3"/>
            <w:shd w:val="clear" w:color="auto" w:fill="auto"/>
            <w:vAlign w:val="bottom"/>
          </w:tcPr>
          <w:p w14:paraId="098A9FD2" w14:textId="77777777" w:rsidR="00141CDF" w:rsidRDefault="00141CDF">
            <w:pPr>
              <w:rPr>
                <w:rFonts w:ascii="宋体"/>
                <w:vanish/>
              </w:rPr>
            </w:pPr>
          </w:p>
        </w:tc>
        <w:tc>
          <w:tcPr>
            <w:tcW w:w="0" w:type="auto"/>
            <w:gridSpan w:val="3"/>
            <w:shd w:val="clear" w:color="auto" w:fill="auto"/>
            <w:vAlign w:val="bottom"/>
          </w:tcPr>
          <w:p w14:paraId="098A9FD3" w14:textId="77777777" w:rsidR="00141CDF" w:rsidRDefault="00141CDF">
            <w:pPr>
              <w:rPr>
                <w:rFonts w:ascii="宋体"/>
                <w:vanish/>
              </w:rPr>
            </w:pPr>
          </w:p>
        </w:tc>
        <w:tc>
          <w:tcPr>
            <w:tcW w:w="0" w:type="auto"/>
            <w:gridSpan w:val="3"/>
            <w:shd w:val="clear" w:color="auto" w:fill="auto"/>
            <w:vAlign w:val="bottom"/>
          </w:tcPr>
          <w:p w14:paraId="098A9FD4" w14:textId="77777777" w:rsidR="00141CDF" w:rsidRDefault="00141CDF">
            <w:pPr>
              <w:rPr>
                <w:rFonts w:ascii="宋体"/>
                <w:vanish/>
              </w:rPr>
            </w:pPr>
          </w:p>
        </w:tc>
        <w:tc>
          <w:tcPr>
            <w:tcW w:w="0" w:type="auto"/>
            <w:gridSpan w:val="3"/>
            <w:shd w:val="clear" w:color="auto" w:fill="auto"/>
            <w:vAlign w:val="bottom"/>
          </w:tcPr>
          <w:p w14:paraId="098A9FD5" w14:textId="77777777" w:rsidR="00141CDF" w:rsidRDefault="00141CDF">
            <w:pPr>
              <w:rPr>
                <w:rFonts w:ascii="宋体"/>
                <w:vanish/>
              </w:rPr>
            </w:pPr>
          </w:p>
        </w:tc>
        <w:tc>
          <w:tcPr>
            <w:tcW w:w="0" w:type="auto"/>
            <w:gridSpan w:val="3"/>
            <w:shd w:val="clear" w:color="auto" w:fill="auto"/>
            <w:vAlign w:val="bottom"/>
          </w:tcPr>
          <w:p w14:paraId="098A9FD6" w14:textId="77777777" w:rsidR="00141CDF" w:rsidRDefault="00141CDF">
            <w:pPr>
              <w:rPr>
                <w:rFonts w:ascii="宋体"/>
                <w:vanish/>
              </w:rPr>
            </w:pPr>
          </w:p>
        </w:tc>
        <w:tc>
          <w:tcPr>
            <w:tcW w:w="0" w:type="auto"/>
            <w:gridSpan w:val="3"/>
            <w:shd w:val="clear" w:color="auto" w:fill="auto"/>
            <w:vAlign w:val="bottom"/>
          </w:tcPr>
          <w:p w14:paraId="098A9FD7" w14:textId="77777777" w:rsidR="00141CDF" w:rsidRDefault="00141CDF">
            <w:pPr>
              <w:rPr>
                <w:rFonts w:ascii="宋体"/>
                <w:vanish/>
              </w:rPr>
            </w:pPr>
          </w:p>
        </w:tc>
        <w:tc>
          <w:tcPr>
            <w:tcW w:w="0" w:type="auto"/>
            <w:gridSpan w:val="3"/>
            <w:shd w:val="clear" w:color="auto" w:fill="auto"/>
            <w:vAlign w:val="bottom"/>
          </w:tcPr>
          <w:p w14:paraId="098A9FD8" w14:textId="77777777" w:rsidR="00141CDF" w:rsidRDefault="00141CDF">
            <w:pPr>
              <w:rPr>
                <w:rFonts w:ascii="宋体"/>
                <w:vanish/>
              </w:rPr>
            </w:pPr>
          </w:p>
        </w:tc>
      </w:tr>
      <w:tr w:rsidR="00141CDF" w14:paraId="098A9FEB" w14:textId="77777777">
        <w:tc>
          <w:tcPr>
            <w:tcW w:w="0" w:type="auto"/>
            <w:gridSpan w:val="3"/>
            <w:shd w:val="clear" w:color="auto" w:fill="CCEEFF"/>
            <w:tcMar>
              <w:top w:w="40" w:type="dxa"/>
              <w:left w:w="20" w:type="dxa"/>
              <w:bottom w:w="40" w:type="dxa"/>
              <w:right w:w="20" w:type="dxa"/>
            </w:tcMar>
            <w:vAlign w:val="center"/>
          </w:tcPr>
          <w:p w14:paraId="098A9FDA" w14:textId="77777777" w:rsidR="00141CDF" w:rsidRDefault="00DF45E0">
            <w:pPr>
              <w:textAlignment w:val="center"/>
            </w:pPr>
            <w:r>
              <w:rPr>
                <w:rFonts w:ascii="Times New Roman" w:eastAsia="宋体" w:hAnsi="Times New Roman"/>
                <w:color w:val="000000"/>
                <w:sz w:val="16"/>
                <w:szCs w:val="16"/>
              </w:rPr>
              <w:t>Other (gains) and losses</w:t>
            </w:r>
          </w:p>
        </w:tc>
        <w:tc>
          <w:tcPr>
            <w:tcW w:w="0" w:type="auto"/>
            <w:gridSpan w:val="3"/>
            <w:shd w:val="clear" w:color="auto" w:fill="CCEEFF"/>
            <w:tcMar>
              <w:top w:w="0" w:type="dxa"/>
              <w:left w:w="20" w:type="dxa"/>
              <w:bottom w:w="0" w:type="dxa"/>
              <w:right w:w="20" w:type="dxa"/>
            </w:tcMar>
            <w:vAlign w:val="bottom"/>
          </w:tcPr>
          <w:p w14:paraId="098A9FDB" w14:textId="77777777" w:rsidR="00141CDF" w:rsidRDefault="00141CDF">
            <w:pPr>
              <w:rPr>
                <w:rFonts w:ascii="宋体"/>
              </w:rPr>
            </w:pPr>
          </w:p>
        </w:tc>
        <w:tc>
          <w:tcPr>
            <w:tcW w:w="0" w:type="auto"/>
            <w:shd w:val="clear" w:color="auto" w:fill="CCEEFF"/>
            <w:tcMar>
              <w:top w:w="40" w:type="dxa"/>
              <w:left w:w="20" w:type="dxa"/>
              <w:bottom w:w="40" w:type="dxa"/>
              <w:right w:w="0" w:type="dxa"/>
            </w:tcMar>
          </w:tcPr>
          <w:p w14:paraId="098A9FDC" w14:textId="77777777" w:rsidR="00141CDF" w:rsidRDefault="00DF45E0">
            <w:pPr>
              <w:textAlignment w:val="top"/>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tcPr>
          <w:p w14:paraId="098A9FDD" w14:textId="77777777" w:rsidR="00141CDF" w:rsidRDefault="00DF45E0">
            <w:pPr>
              <w:jc w:val="right"/>
              <w:textAlignment w:val="top"/>
            </w:pPr>
            <w:r>
              <w:rPr>
                <w:rFonts w:ascii="Times New Roman" w:eastAsia="宋体" w:hAnsi="Times New Roman"/>
                <w:color w:val="000000"/>
                <w:sz w:val="16"/>
                <w:szCs w:val="16"/>
              </w:rPr>
              <w:t>(238)</w:t>
            </w:r>
          </w:p>
        </w:tc>
        <w:tc>
          <w:tcPr>
            <w:tcW w:w="0" w:type="auto"/>
            <w:shd w:val="clear" w:color="auto" w:fill="CCEEFF"/>
            <w:tcMar>
              <w:top w:w="40" w:type="dxa"/>
              <w:left w:w="0" w:type="dxa"/>
              <w:bottom w:w="40" w:type="dxa"/>
              <w:right w:w="20" w:type="dxa"/>
            </w:tcMar>
          </w:tcPr>
          <w:p w14:paraId="098A9FDE"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FDF" w14:textId="77777777" w:rsidR="00141CDF" w:rsidRDefault="00141CDF">
            <w:pPr>
              <w:rPr>
                <w:rFonts w:ascii="宋体"/>
              </w:rPr>
            </w:pPr>
          </w:p>
        </w:tc>
        <w:tc>
          <w:tcPr>
            <w:tcW w:w="0" w:type="auto"/>
            <w:shd w:val="clear" w:color="auto" w:fill="CCEEFF"/>
            <w:tcMar>
              <w:top w:w="40" w:type="dxa"/>
              <w:left w:w="20" w:type="dxa"/>
              <w:bottom w:w="40" w:type="dxa"/>
              <w:right w:w="0" w:type="dxa"/>
            </w:tcMar>
          </w:tcPr>
          <w:p w14:paraId="098A9FE0" w14:textId="77777777" w:rsidR="00141CDF" w:rsidRDefault="00DF45E0">
            <w:pPr>
              <w:textAlignment w:val="top"/>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tcPr>
          <w:p w14:paraId="098A9FE1" w14:textId="77777777" w:rsidR="00141CDF" w:rsidRDefault="00DF45E0">
            <w:pPr>
              <w:jc w:val="right"/>
              <w:textAlignment w:val="top"/>
            </w:pPr>
            <w:r>
              <w:rPr>
                <w:rFonts w:ascii="Times New Roman" w:eastAsia="宋体" w:hAnsi="Times New Roman"/>
                <w:color w:val="000000"/>
                <w:sz w:val="16"/>
                <w:szCs w:val="16"/>
              </w:rPr>
              <w:t>953 </w:t>
            </w:r>
          </w:p>
        </w:tc>
        <w:tc>
          <w:tcPr>
            <w:tcW w:w="0" w:type="auto"/>
            <w:shd w:val="clear" w:color="auto" w:fill="CCEEFF"/>
            <w:tcMar>
              <w:top w:w="40" w:type="dxa"/>
              <w:left w:w="0" w:type="dxa"/>
              <w:bottom w:w="40" w:type="dxa"/>
              <w:right w:w="20" w:type="dxa"/>
            </w:tcMar>
          </w:tcPr>
          <w:p w14:paraId="098A9FE2"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FE3"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9FE4"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9FE5" w14:textId="77777777" w:rsidR="00141CDF" w:rsidRDefault="00DF45E0">
            <w:pPr>
              <w:jc w:val="right"/>
              <w:textAlignment w:val="center"/>
            </w:pPr>
            <w:r>
              <w:rPr>
                <w:rFonts w:ascii="Times New Roman" w:eastAsia="宋体" w:hAnsi="Times New Roman"/>
                <w:color w:val="000000"/>
                <w:sz w:val="16"/>
                <w:szCs w:val="16"/>
              </w:rPr>
              <w:t>1,760 </w:t>
            </w:r>
          </w:p>
        </w:tc>
        <w:tc>
          <w:tcPr>
            <w:tcW w:w="0" w:type="auto"/>
            <w:shd w:val="clear" w:color="auto" w:fill="CCEEFF"/>
            <w:tcMar>
              <w:top w:w="40" w:type="dxa"/>
              <w:left w:w="0" w:type="dxa"/>
              <w:bottom w:w="40" w:type="dxa"/>
              <w:right w:w="20" w:type="dxa"/>
            </w:tcMar>
            <w:vAlign w:val="center"/>
          </w:tcPr>
          <w:p w14:paraId="098A9FE6"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9FE7"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9FE8"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9FE9" w14:textId="77777777" w:rsidR="00141CDF" w:rsidRDefault="00DF45E0">
            <w:pPr>
              <w:jc w:val="right"/>
              <w:textAlignment w:val="center"/>
            </w:pPr>
            <w:r>
              <w:rPr>
                <w:rFonts w:ascii="Times New Roman" w:eastAsia="宋体" w:hAnsi="Times New Roman"/>
                <w:color w:val="000000"/>
                <w:sz w:val="16"/>
                <w:szCs w:val="16"/>
              </w:rPr>
              <w:t>3,482 </w:t>
            </w:r>
          </w:p>
        </w:tc>
        <w:tc>
          <w:tcPr>
            <w:tcW w:w="0" w:type="auto"/>
            <w:shd w:val="clear" w:color="auto" w:fill="CCEEFF"/>
            <w:tcMar>
              <w:top w:w="40" w:type="dxa"/>
              <w:left w:w="0" w:type="dxa"/>
              <w:bottom w:w="40" w:type="dxa"/>
              <w:right w:w="20" w:type="dxa"/>
            </w:tcMar>
            <w:vAlign w:val="center"/>
          </w:tcPr>
          <w:p w14:paraId="098A9FEA" w14:textId="77777777" w:rsidR="00141CDF" w:rsidRDefault="00141CDF">
            <w:pPr>
              <w:jc w:val="right"/>
              <w:rPr>
                <w:rFonts w:ascii="宋体"/>
              </w:rPr>
            </w:pPr>
          </w:p>
        </w:tc>
      </w:tr>
      <w:tr w:rsidR="00141CDF" w14:paraId="098A9FFD" w14:textId="77777777">
        <w:tc>
          <w:tcPr>
            <w:tcW w:w="0" w:type="auto"/>
            <w:gridSpan w:val="3"/>
            <w:shd w:val="clear" w:color="auto" w:fill="FFFFFF"/>
            <w:tcMar>
              <w:top w:w="40" w:type="dxa"/>
              <w:left w:w="20" w:type="dxa"/>
              <w:bottom w:w="40" w:type="dxa"/>
              <w:right w:w="20" w:type="dxa"/>
            </w:tcMar>
            <w:vAlign w:val="center"/>
          </w:tcPr>
          <w:p w14:paraId="098A9FEC" w14:textId="77777777" w:rsidR="00141CDF" w:rsidRDefault="00DF45E0">
            <w:pPr>
              <w:textAlignment w:val="center"/>
            </w:pPr>
            <w:r>
              <w:rPr>
                <w:rFonts w:ascii="Times New Roman" w:eastAsia="宋体" w:hAnsi="Times New Roman"/>
                <w:color w:val="000000"/>
                <w:sz w:val="16"/>
                <w:szCs w:val="16"/>
              </w:rPr>
              <w:t>Consolidated net income</w:t>
            </w:r>
          </w:p>
        </w:tc>
        <w:tc>
          <w:tcPr>
            <w:tcW w:w="0" w:type="auto"/>
            <w:gridSpan w:val="3"/>
            <w:shd w:val="clear" w:color="auto" w:fill="FFFFFF"/>
            <w:tcMar>
              <w:top w:w="0" w:type="dxa"/>
              <w:left w:w="20" w:type="dxa"/>
              <w:bottom w:w="0" w:type="dxa"/>
              <w:right w:w="20" w:type="dxa"/>
            </w:tcMar>
            <w:vAlign w:val="bottom"/>
          </w:tcPr>
          <w:p w14:paraId="098A9FED" w14:textId="77777777" w:rsidR="00141CDF" w:rsidRDefault="00141CDF">
            <w:pPr>
              <w:rPr>
                <w:rFonts w:ascii="宋体"/>
              </w:rPr>
            </w:pPr>
          </w:p>
        </w:tc>
        <w:tc>
          <w:tcPr>
            <w:tcW w:w="0" w:type="auto"/>
            <w:shd w:val="clear" w:color="auto" w:fill="FFFFFF"/>
            <w:tcMar>
              <w:top w:w="40" w:type="dxa"/>
              <w:left w:w="20" w:type="dxa"/>
              <w:bottom w:w="40" w:type="dxa"/>
              <w:right w:w="0" w:type="dxa"/>
            </w:tcMar>
            <w:vAlign w:val="center"/>
          </w:tcPr>
          <w:p w14:paraId="098A9FEE"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098A9FEF" w14:textId="77777777" w:rsidR="00141CDF" w:rsidRDefault="00DF45E0">
            <w:pPr>
              <w:jc w:val="right"/>
              <w:textAlignment w:val="center"/>
            </w:pPr>
            <w:r>
              <w:rPr>
                <w:rFonts w:ascii="Times New Roman" w:eastAsia="宋体" w:hAnsi="Times New Roman"/>
                <w:color w:val="000000"/>
                <w:sz w:val="16"/>
                <w:szCs w:val="16"/>
              </w:rPr>
              <w:t>5,147 </w:t>
            </w:r>
          </w:p>
        </w:tc>
        <w:tc>
          <w:tcPr>
            <w:tcW w:w="0" w:type="auto"/>
            <w:shd w:val="clear" w:color="auto" w:fill="FFFFFF"/>
            <w:tcMar>
              <w:top w:w="40" w:type="dxa"/>
              <w:left w:w="0" w:type="dxa"/>
              <w:bottom w:w="40" w:type="dxa"/>
              <w:right w:w="20" w:type="dxa"/>
            </w:tcMar>
            <w:vAlign w:val="center"/>
          </w:tcPr>
          <w:p w14:paraId="098A9FF0"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FF1" w14:textId="77777777" w:rsidR="00141CDF" w:rsidRDefault="00141CDF">
            <w:pPr>
              <w:rPr>
                <w:rFonts w:ascii="宋体"/>
              </w:rPr>
            </w:pPr>
          </w:p>
        </w:tc>
        <w:tc>
          <w:tcPr>
            <w:tcW w:w="0" w:type="auto"/>
            <w:shd w:val="clear" w:color="auto" w:fill="FFFFFF"/>
            <w:tcMar>
              <w:top w:w="40" w:type="dxa"/>
              <w:left w:w="20" w:type="dxa"/>
              <w:bottom w:w="40" w:type="dxa"/>
              <w:right w:w="0" w:type="dxa"/>
            </w:tcMar>
            <w:vAlign w:val="center"/>
          </w:tcPr>
          <w:p w14:paraId="098A9FF2"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098A9FF3" w14:textId="77777777" w:rsidR="00141CDF" w:rsidRDefault="00DF45E0">
            <w:pPr>
              <w:jc w:val="right"/>
              <w:textAlignment w:val="center"/>
            </w:pPr>
            <w:r>
              <w:rPr>
                <w:rFonts w:ascii="Times New Roman" w:eastAsia="宋体" w:hAnsi="Times New Roman"/>
                <w:color w:val="000000"/>
                <w:sz w:val="16"/>
                <w:szCs w:val="16"/>
              </w:rPr>
              <w:t>4,364 </w:t>
            </w:r>
          </w:p>
        </w:tc>
        <w:tc>
          <w:tcPr>
            <w:tcW w:w="0" w:type="auto"/>
            <w:shd w:val="clear" w:color="auto" w:fill="FFFFFF"/>
            <w:tcMar>
              <w:top w:w="40" w:type="dxa"/>
              <w:left w:w="0" w:type="dxa"/>
              <w:bottom w:w="40" w:type="dxa"/>
              <w:right w:w="20" w:type="dxa"/>
            </w:tcMar>
            <w:vAlign w:val="center"/>
          </w:tcPr>
          <w:p w14:paraId="098A9FF4"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FF5" w14:textId="77777777" w:rsidR="00141CDF" w:rsidRDefault="00141CDF">
            <w:pPr>
              <w:rPr>
                <w:rFonts w:ascii="宋体"/>
              </w:rPr>
            </w:pPr>
          </w:p>
        </w:tc>
        <w:tc>
          <w:tcPr>
            <w:tcW w:w="0" w:type="auto"/>
            <w:shd w:val="clear" w:color="auto" w:fill="FFFFFF"/>
            <w:tcMar>
              <w:top w:w="40" w:type="dxa"/>
              <w:left w:w="20" w:type="dxa"/>
              <w:bottom w:w="40" w:type="dxa"/>
              <w:right w:w="0" w:type="dxa"/>
            </w:tcMar>
            <w:vAlign w:val="center"/>
          </w:tcPr>
          <w:p w14:paraId="098A9FF6"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098A9FF7" w14:textId="77777777" w:rsidR="00141CDF" w:rsidRDefault="00DF45E0">
            <w:pPr>
              <w:jc w:val="right"/>
              <w:textAlignment w:val="center"/>
            </w:pPr>
            <w:r>
              <w:rPr>
                <w:rFonts w:ascii="Times New Roman" w:eastAsia="宋体" w:hAnsi="Times New Roman"/>
                <w:color w:val="000000"/>
                <w:sz w:val="16"/>
                <w:szCs w:val="16"/>
              </w:rPr>
              <w:t>7,250 </w:t>
            </w:r>
          </w:p>
        </w:tc>
        <w:tc>
          <w:tcPr>
            <w:tcW w:w="0" w:type="auto"/>
            <w:shd w:val="clear" w:color="auto" w:fill="FFFFFF"/>
            <w:tcMar>
              <w:top w:w="40" w:type="dxa"/>
              <w:left w:w="0" w:type="dxa"/>
              <w:bottom w:w="40" w:type="dxa"/>
              <w:right w:w="20" w:type="dxa"/>
            </w:tcMar>
            <w:vAlign w:val="center"/>
          </w:tcPr>
          <w:p w14:paraId="098A9FF8"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9FF9" w14:textId="77777777" w:rsidR="00141CDF" w:rsidRDefault="00141CDF">
            <w:pPr>
              <w:rPr>
                <w:rFonts w:ascii="宋体"/>
              </w:rPr>
            </w:pPr>
          </w:p>
        </w:tc>
        <w:tc>
          <w:tcPr>
            <w:tcW w:w="0" w:type="auto"/>
            <w:shd w:val="clear" w:color="auto" w:fill="FFFFFF"/>
            <w:tcMar>
              <w:top w:w="40" w:type="dxa"/>
              <w:left w:w="20" w:type="dxa"/>
              <w:bottom w:w="40" w:type="dxa"/>
              <w:right w:w="0" w:type="dxa"/>
            </w:tcMar>
            <w:vAlign w:val="center"/>
          </w:tcPr>
          <w:p w14:paraId="098A9FFA"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098A9FFB" w14:textId="77777777" w:rsidR="00141CDF" w:rsidRDefault="00DF45E0">
            <w:pPr>
              <w:jc w:val="right"/>
              <w:textAlignment w:val="center"/>
            </w:pPr>
            <w:r>
              <w:rPr>
                <w:rFonts w:ascii="Times New Roman" w:eastAsia="宋体" w:hAnsi="Times New Roman"/>
                <w:color w:val="000000"/>
                <w:sz w:val="16"/>
                <w:szCs w:val="16"/>
              </w:rPr>
              <w:t>7,175 </w:t>
            </w:r>
          </w:p>
        </w:tc>
        <w:tc>
          <w:tcPr>
            <w:tcW w:w="0" w:type="auto"/>
            <w:shd w:val="clear" w:color="auto" w:fill="FFFFFF"/>
            <w:tcMar>
              <w:top w:w="40" w:type="dxa"/>
              <w:left w:w="0" w:type="dxa"/>
              <w:bottom w:w="40" w:type="dxa"/>
              <w:right w:w="20" w:type="dxa"/>
            </w:tcMar>
            <w:vAlign w:val="center"/>
          </w:tcPr>
          <w:p w14:paraId="098A9FFC" w14:textId="77777777" w:rsidR="00141CDF" w:rsidRDefault="00141CDF">
            <w:pPr>
              <w:jc w:val="right"/>
              <w:rPr>
                <w:rFonts w:ascii="宋体"/>
              </w:rPr>
            </w:pPr>
          </w:p>
        </w:tc>
      </w:tr>
      <w:tr w:rsidR="00141CDF" w14:paraId="098AA00B" w14:textId="77777777">
        <w:tc>
          <w:tcPr>
            <w:tcW w:w="0" w:type="auto"/>
            <w:gridSpan w:val="3"/>
            <w:shd w:val="clear" w:color="auto" w:fill="CCEEFF"/>
            <w:tcMar>
              <w:top w:w="40" w:type="dxa"/>
              <w:left w:w="20" w:type="dxa"/>
              <w:bottom w:w="40" w:type="dxa"/>
              <w:right w:w="20" w:type="dxa"/>
            </w:tcMar>
            <w:vAlign w:val="center"/>
          </w:tcPr>
          <w:p w14:paraId="098A9FFE" w14:textId="77777777" w:rsidR="00141CDF" w:rsidRDefault="00DF45E0">
            <w:pPr>
              <w:textAlignment w:val="center"/>
            </w:pPr>
            <w:r>
              <w:rPr>
                <w:rFonts w:ascii="Times New Roman" w:eastAsia="宋体" w:hAnsi="Times New Roman"/>
                <w:color w:val="000000"/>
                <w:sz w:val="16"/>
                <w:szCs w:val="16"/>
              </w:rPr>
              <w:t>Unit counts at period end</w:t>
            </w:r>
          </w:p>
        </w:tc>
        <w:tc>
          <w:tcPr>
            <w:tcW w:w="0" w:type="auto"/>
            <w:gridSpan w:val="3"/>
            <w:shd w:val="clear" w:color="auto" w:fill="CCEEFF"/>
            <w:tcMar>
              <w:top w:w="0" w:type="dxa"/>
              <w:left w:w="20" w:type="dxa"/>
              <w:bottom w:w="0" w:type="dxa"/>
              <w:right w:w="20" w:type="dxa"/>
            </w:tcMar>
            <w:vAlign w:val="bottom"/>
          </w:tcPr>
          <w:p w14:paraId="098A9FFF"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A000" w14:textId="77777777" w:rsidR="00141CDF" w:rsidRDefault="00DF45E0">
            <w:pPr>
              <w:jc w:val="right"/>
              <w:textAlignment w:val="center"/>
            </w:pPr>
            <w:r>
              <w:rPr>
                <w:rFonts w:ascii="Times New Roman" w:eastAsia="宋体" w:hAnsi="Times New Roman"/>
                <w:color w:val="000000"/>
                <w:sz w:val="16"/>
                <w:szCs w:val="16"/>
              </w:rPr>
              <w:t>10,585 </w:t>
            </w:r>
          </w:p>
        </w:tc>
        <w:tc>
          <w:tcPr>
            <w:tcW w:w="0" w:type="auto"/>
            <w:shd w:val="clear" w:color="auto" w:fill="CCEEFF"/>
            <w:tcMar>
              <w:top w:w="40" w:type="dxa"/>
              <w:left w:w="0" w:type="dxa"/>
              <w:bottom w:w="40" w:type="dxa"/>
              <w:right w:w="20" w:type="dxa"/>
            </w:tcMar>
            <w:vAlign w:val="center"/>
          </w:tcPr>
          <w:p w14:paraId="098AA001"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A002"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A003" w14:textId="77777777" w:rsidR="00141CDF" w:rsidRDefault="00DF45E0">
            <w:pPr>
              <w:jc w:val="right"/>
              <w:textAlignment w:val="center"/>
            </w:pPr>
            <w:r>
              <w:rPr>
                <w:rFonts w:ascii="Times New Roman" w:eastAsia="宋体" w:hAnsi="Times New Roman"/>
                <w:color w:val="000000"/>
                <w:sz w:val="16"/>
                <w:szCs w:val="16"/>
              </w:rPr>
              <w:t>10,524 </w:t>
            </w:r>
          </w:p>
        </w:tc>
        <w:tc>
          <w:tcPr>
            <w:tcW w:w="0" w:type="auto"/>
            <w:shd w:val="clear" w:color="auto" w:fill="CCEEFF"/>
            <w:tcMar>
              <w:top w:w="40" w:type="dxa"/>
              <w:left w:w="0" w:type="dxa"/>
              <w:bottom w:w="40" w:type="dxa"/>
              <w:right w:w="20" w:type="dxa"/>
            </w:tcMar>
            <w:vAlign w:val="center"/>
          </w:tcPr>
          <w:p w14:paraId="098AA004"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A005"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A006" w14:textId="77777777" w:rsidR="00141CDF" w:rsidRDefault="00DF45E0">
            <w:pPr>
              <w:jc w:val="right"/>
              <w:textAlignment w:val="center"/>
            </w:pPr>
            <w:r>
              <w:rPr>
                <w:rFonts w:ascii="Times New Roman" w:eastAsia="宋体" w:hAnsi="Times New Roman"/>
                <w:color w:val="000000"/>
                <w:sz w:val="16"/>
                <w:szCs w:val="16"/>
              </w:rPr>
              <w:t>10,585 </w:t>
            </w:r>
          </w:p>
        </w:tc>
        <w:tc>
          <w:tcPr>
            <w:tcW w:w="0" w:type="auto"/>
            <w:shd w:val="clear" w:color="auto" w:fill="CCEEFF"/>
            <w:tcMar>
              <w:top w:w="40" w:type="dxa"/>
              <w:left w:w="0" w:type="dxa"/>
              <w:bottom w:w="40" w:type="dxa"/>
              <w:right w:w="20" w:type="dxa"/>
            </w:tcMar>
            <w:vAlign w:val="center"/>
          </w:tcPr>
          <w:p w14:paraId="098AA007"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A008"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A009" w14:textId="77777777" w:rsidR="00141CDF" w:rsidRDefault="00DF45E0">
            <w:pPr>
              <w:jc w:val="right"/>
              <w:textAlignment w:val="center"/>
            </w:pPr>
            <w:r>
              <w:rPr>
                <w:rFonts w:ascii="Times New Roman" w:eastAsia="宋体" w:hAnsi="Times New Roman"/>
                <w:color w:val="000000"/>
                <w:sz w:val="16"/>
                <w:szCs w:val="16"/>
              </w:rPr>
              <w:t>10,524 </w:t>
            </w:r>
          </w:p>
        </w:tc>
        <w:tc>
          <w:tcPr>
            <w:tcW w:w="0" w:type="auto"/>
            <w:shd w:val="clear" w:color="auto" w:fill="CCEEFF"/>
            <w:tcMar>
              <w:top w:w="40" w:type="dxa"/>
              <w:left w:w="0" w:type="dxa"/>
              <w:bottom w:w="40" w:type="dxa"/>
              <w:right w:w="20" w:type="dxa"/>
            </w:tcMar>
            <w:vAlign w:val="center"/>
          </w:tcPr>
          <w:p w14:paraId="098AA00A" w14:textId="77777777" w:rsidR="00141CDF" w:rsidRDefault="00141CDF">
            <w:pPr>
              <w:jc w:val="right"/>
              <w:rPr>
                <w:rFonts w:ascii="宋体"/>
              </w:rPr>
            </w:pPr>
          </w:p>
        </w:tc>
      </w:tr>
      <w:tr w:rsidR="00141CDF" w14:paraId="098AA019" w14:textId="77777777">
        <w:tc>
          <w:tcPr>
            <w:tcW w:w="0" w:type="auto"/>
            <w:gridSpan w:val="3"/>
            <w:shd w:val="clear" w:color="auto" w:fill="FFFFFF"/>
            <w:tcMar>
              <w:top w:w="40" w:type="dxa"/>
              <w:left w:w="20" w:type="dxa"/>
              <w:bottom w:w="40" w:type="dxa"/>
              <w:right w:w="20" w:type="dxa"/>
            </w:tcMar>
            <w:vAlign w:val="center"/>
          </w:tcPr>
          <w:p w14:paraId="098AA00C" w14:textId="77777777" w:rsidR="00141CDF" w:rsidRDefault="00DF45E0">
            <w:pPr>
              <w:textAlignment w:val="center"/>
            </w:pPr>
            <w:r>
              <w:rPr>
                <w:rFonts w:ascii="Times New Roman" w:eastAsia="宋体" w:hAnsi="Times New Roman"/>
                <w:color w:val="000000"/>
                <w:sz w:val="16"/>
                <w:szCs w:val="16"/>
              </w:rPr>
              <w:t>Retail square feet at period end</w:t>
            </w:r>
          </w:p>
        </w:tc>
        <w:tc>
          <w:tcPr>
            <w:tcW w:w="0" w:type="auto"/>
            <w:gridSpan w:val="3"/>
            <w:shd w:val="clear" w:color="auto" w:fill="FFFFFF"/>
            <w:tcMar>
              <w:top w:w="0" w:type="dxa"/>
              <w:left w:w="20" w:type="dxa"/>
              <w:bottom w:w="0" w:type="dxa"/>
              <w:right w:w="20" w:type="dxa"/>
            </w:tcMar>
            <w:vAlign w:val="bottom"/>
          </w:tcPr>
          <w:p w14:paraId="098AA00D"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A00E" w14:textId="77777777" w:rsidR="00141CDF" w:rsidRDefault="00DF45E0">
            <w:pPr>
              <w:jc w:val="right"/>
              <w:textAlignment w:val="center"/>
            </w:pPr>
            <w:r>
              <w:rPr>
                <w:rFonts w:ascii="Times New Roman" w:eastAsia="宋体" w:hAnsi="Times New Roman"/>
                <w:color w:val="000000"/>
                <w:sz w:val="16"/>
                <w:szCs w:val="16"/>
              </w:rPr>
              <w:t>1,057 </w:t>
            </w:r>
          </w:p>
        </w:tc>
        <w:tc>
          <w:tcPr>
            <w:tcW w:w="0" w:type="auto"/>
            <w:shd w:val="clear" w:color="auto" w:fill="FFFFFF"/>
            <w:tcMar>
              <w:top w:w="40" w:type="dxa"/>
              <w:left w:w="0" w:type="dxa"/>
              <w:bottom w:w="40" w:type="dxa"/>
              <w:right w:w="20" w:type="dxa"/>
            </w:tcMar>
            <w:vAlign w:val="center"/>
          </w:tcPr>
          <w:p w14:paraId="098AA00F"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A010"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A011" w14:textId="77777777" w:rsidR="00141CDF" w:rsidRDefault="00DF45E0">
            <w:pPr>
              <w:jc w:val="right"/>
              <w:textAlignment w:val="center"/>
            </w:pPr>
            <w:r>
              <w:rPr>
                <w:rFonts w:ascii="Times New Roman" w:eastAsia="宋体" w:hAnsi="Times New Roman"/>
                <w:color w:val="000000"/>
                <w:sz w:val="16"/>
                <w:szCs w:val="16"/>
              </w:rPr>
              <w:t>1,063 </w:t>
            </w:r>
          </w:p>
        </w:tc>
        <w:tc>
          <w:tcPr>
            <w:tcW w:w="0" w:type="auto"/>
            <w:shd w:val="clear" w:color="auto" w:fill="FFFFFF"/>
            <w:tcMar>
              <w:top w:w="40" w:type="dxa"/>
              <w:left w:w="0" w:type="dxa"/>
              <w:bottom w:w="40" w:type="dxa"/>
              <w:right w:w="20" w:type="dxa"/>
            </w:tcMar>
            <w:vAlign w:val="center"/>
          </w:tcPr>
          <w:p w14:paraId="098AA012"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A013"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A014" w14:textId="77777777" w:rsidR="00141CDF" w:rsidRDefault="00DF45E0">
            <w:pPr>
              <w:jc w:val="right"/>
              <w:textAlignment w:val="center"/>
            </w:pPr>
            <w:r>
              <w:rPr>
                <w:rFonts w:ascii="Times New Roman" w:eastAsia="宋体" w:hAnsi="Times New Roman"/>
                <w:color w:val="000000"/>
                <w:sz w:val="16"/>
                <w:szCs w:val="16"/>
              </w:rPr>
              <w:t>1,057 </w:t>
            </w:r>
          </w:p>
        </w:tc>
        <w:tc>
          <w:tcPr>
            <w:tcW w:w="0" w:type="auto"/>
            <w:shd w:val="clear" w:color="auto" w:fill="FFFFFF"/>
            <w:tcMar>
              <w:top w:w="40" w:type="dxa"/>
              <w:left w:w="0" w:type="dxa"/>
              <w:bottom w:w="40" w:type="dxa"/>
              <w:right w:w="20" w:type="dxa"/>
            </w:tcMar>
            <w:vAlign w:val="center"/>
          </w:tcPr>
          <w:p w14:paraId="098AA015"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A016"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A017" w14:textId="77777777" w:rsidR="00141CDF" w:rsidRDefault="00DF45E0">
            <w:pPr>
              <w:jc w:val="right"/>
              <w:textAlignment w:val="center"/>
            </w:pPr>
            <w:r>
              <w:rPr>
                <w:rFonts w:ascii="Times New Roman" w:eastAsia="宋体" w:hAnsi="Times New Roman"/>
                <w:color w:val="000000"/>
                <w:sz w:val="16"/>
                <w:szCs w:val="16"/>
              </w:rPr>
              <w:t>1,063 </w:t>
            </w:r>
          </w:p>
        </w:tc>
        <w:tc>
          <w:tcPr>
            <w:tcW w:w="0" w:type="auto"/>
            <w:shd w:val="clear" w:color="auto" w:fill="FFFFFF"/>
            <w:tcMar>
              <w:top w:w="40" w:type="dxa"/>
              <w:left w:w="0" w:type="dxa"/>
              <w:bottom w:w="40" w:type="dxa"/>
              <w:right w:w="20" w:type="dxa"/>
            </w:tcMar>
            <w:vAlign w:val="center"/>
          </w:tcPr>
          <w:p w14:paraId="098AA018" w14:textId="77777777" w:rsidR="00141CDF" w:rsidRDefault="00141CDF">
            <w:pPr>
              <w:jc w:val="right"/>
              <w:rPr>
                <w:rFonts w:ascii="宋体"/>
              </w:rPr>
            </w:pPr>
          </w:p>
        </w:tc>
      </w:tr>
    </w:tbl>
    <w:p w14:paraId="098AA01A" w14:textId="77777777" w:rsidR="00141CDF" w:rsidRDefault="00DF45E0">
      <w:pPr>
        <w:spacing w:before="100"/>
      </w:pPr>
      <w:r>
        <w:rPr>
          <w:rFonts w:ascii="Times New Roman" w:eastAsia="宋体" w:hAnsi="Times New Roman"/>
          <w:color w:val="000000"/>
          <w:sz w:val="20"/>
          <w:szCs w:val="20"/>
        </w:rPr>
        <w:t>Our total revenues, which are mostly comprised of net sales, bu</w:t>
      </w:r>
      <w:r>
        <w:rPr>
          <w:rFonts w:ascii="Times New Roman" w:eastAsia="宋体" w:hAnsi="Times New Roman"/>
          <w:color w:val="000000"/>
          <w:sz w:val="20"/>
          <w:szCs w:val="20"/>
        </w:rPr>
        <w:t xml:space="preserve">t also include membership and other income, </w:t>
      </w:r>
      <w:r>
        <w:rPr>
          <w:rFonts w:ascii="Times New Roman" w:eastAsia="宋体" w:hAnsi="Times New Roman"/>
          <w:color w:val="000000"/>
          <w:sz w:val="20"/>
          <w:szCs w:val="20"/>
          <w:shd w:val="clear" w:color="auto" w:fill="FFFFFF"/>
        </w:rPr>
        <w:t>increased</w:t>
      </w:r>
      <w:r>
        <w:rPr>
          <w:rFonts w:ascii="Times New Roman" w:eastAsia="宋体" w:hAnsi="Times New Roman"/>
          <w:color w:val="000000"/>
          <w:sz w:val="20"/>
          <w:szCs w:val="20"/>
        </w:rPr>
        <w:t xml:space="preserve"> $11.8 billion or 8.4% and $15.1 billion or 5.4% for the three and six months ended July 31, 2022, respectively, when compared to the same periods in the previous fiscal year. The increases in revenues w</w:t>
      </w:r>
      <w:r>
        <w:rPr>
          <w:rFonts w:ascii="Times New Roman" w:eastAsia="宋体" w:hAnsi="Times New Roman"/>
          <w:color w:val="000000"/>
          <w:sz w:val="20"/>
          <w:szCs w:val="20"/>
        </w:rPr>
        <w:t>ere primarily due to strong positive comparable sales for the Walmart U.S. and Sam's Club segments which were impacted by higher inflation, along with positive comparable sales in most of our international markets. For the six months ended July 31, 2022, t</w:t>
      </w:r>
      <w:r>
        <w:rPr>
          <w:rFonts w:ascii="Times New Roman" w:eastAsia="宋体" w:hAnsi="Times New Roman"/>
          <w:color w:val="000000"/>
          <w:sz w:val="20"/>
          <w:szCs w:val="20"/>
        </w:rPr>
        <w:t>hese increases were partially offset by a net sales decrease of $5.0 billion related to the divestiture of our operations in the U.K. and Japan, which closed in the first quarter of fiscal 2022. Net sales were negatively impacted by $1.0 billion and $1.3 b</w:t>
      </w:r>
      <w:r>
        <w:rPr>
          <w:rFonts w:ascii="Times New Roman" w:eastAsia="宋体" w:hAnsi="Times New Roman"/>
          <w:color w:val="000000"/>
          <w:sz w:val="20"/>
          <w:szCs w:val="20"/>
        </w:rPr>
        <w:t>illion of fluctuations in currency exchange rates for the three and six months ended July 31, 2022, respectively.</w:t>
      </w:r>
    </w:p>
    <w:p w14:paraId="098AA01B" w14:textId="77777777" w:rsidR="00141CDF" w:rsidRDefault="00DF45E0">
      <w:pPr>
        <w:spacing w:before="100"/>
      </w:pPr>
      <w:r>
        <w:rPr>
          <w:rFonts w:ascii="Times New Roman" w:eastAsia="宋体" w:hAnsi="Times New Roman"/>
          <w:color w:val="000000"/>
          <w:sz w:val="20"/>
          <w:szCs w:val="20"/>
        </w:rPr>
        <w:t>Gross profit as a percentage of net sales ("gross profit rate") decreased 132 and 110 basis points respectively for the three and six months ended July 31, 2022, when compared to the same periods in the previous fiscal year. The decrease for the three mont</w:t>
      </w:r>
      <w:r>
        <w:rPr>
          <w:rFonts w:ascii="Times New Roman" w:eastAsia="宋体" w:hAnsi="Times New Roman"/>
          <w:color w:val="000000"/>
          <w:sz w:val="20"/>
          <w:szCs w:val="20"/>
        </w:rPr>
        <w:t>hs ended July 31, 2022 was primarily due to markdowns and mix of sales in the U.S., as well as an inflation related LIFO charge in the Sam's Club segment. The decrease for the six months ended July 31, 2022 was primarily due to mix of sales and markdowns i</w:t>
      </w:r>
      <w:r>
        <w:rPr>
          <w:rFonts w:ascii="Times New Roman" w:eastAsia="宋体" w:hAnsi="Times New Roman"/>
          <w:color w:val="000000"/>
          <w:sz w:val="20"/>
          <w:szCs w:val="20"/>
        </w:rPr>
        <w:t xml:space="preserve">n the U.S. and higher supply chain costs. </w:t>
      </w:r>
    </w:p>
    <w:p w14:paraId="098AA01C" w14:textId="77777777" w:rsidR="00141CDF" w:rsidRDefault="00DF45E0">
      <w:pPr>
        <w:spacing w:before="100"/>
      </w:pPr>
      <w:r>
        <w:rPr>
          <w:rFonts w:ascii="Times New Roman" w:eastAsia="宋体" w:hAnsi="Times New Roman"/>
          <w:color w:val="000000"/>
          <w:sz w:val="20"/>
          <w:szCs w:val="20"/>
        </w:rPr>
        <w:t>Operating expenses as a percentage of net sales decreased 45 and 3 basis points for the three and six months ended July 31, 2022, respectively, when compared to the same periods in the previous fiscal year. The de</w:t>
      </w:r>
      <w:r>
        <w:rPr>
          <w:rFonts w:ascii="Times New Roman" w:eastAsia="宋体" w:hAnsi="Times New Roman"/>
          <w:color w:val="000000"/>
          <w:sz w:val="20"/>
          <w:szCs w:val="20"/>
        </w:rPr>
        <w:t xml:space="preserve">crease for the three months ended July 31, 2022 was primarily driven by growth in net sales, partially offset by increased wage costs in the Walmart U.S. segment. The slight decrease for the six months ended July 31, 2022 was primarily driven by growth in </w:t>
      </w:r>
      <w:r>
        <w:rPr>
          <w:rFonts w:ascii="Times New Roman" w:eastAsia="宋体" w:hAnsi="Times New Roman"/>
          <w:color w:val="000000"/>
          <w:sz w:val="20"/>
          <w:szCs w:val="20"/>
        </w:rPr>
        <w:t xml:space="preserve">net sales and lower incremental COVID-19 costs, partially offset by increased wage costs in the Walmart U.S. segment. </w:t>
      </w:r>
    </w:p>
    <w:p w14:paraId="098AA01D" w14:textId="77777777" w:rsidR="00141CDF" w:rsidRDefault="00DF45E0">
      <w:pPr>
        <w:spacing w:before="100"/>
      </w:pPr>
      <w:r>
        <w:rPr>
          <w:rFonts w:ascii="Times New Roman" w:eastAsia="宋体" w:hAnsi="Times New Roman"/>
          <w:color w:val="000000"/>
          <w:sz w:val="20"/>
          <w:szCs w:val="20"/>
        </w:rPr>
        <w:t>Other gains and losses consist of certain non-operating items, such as the change in the fair value of our investments and gains or losse</w:t>
      </w:r>
      <w:r>
        <w:rPr>
          <w:rFonts w:ascii="Times New Roman" w:eastAsia="宋体" w:hAnsi="Times New Roman"/>
          <w:color w:val="000000"/>
          <w:sz w:val="20"/>
          <w:szCs w:val="20"/>
        </w:rPr>
        <w:t>s on business dispositions, which by their nature can fluctuate from period to period. The net increase of $1.2 billion in other gains for the three months ended July 31, 2022, when compared to the same period in the previous fiscal year, was primarily due</w:t>
      </w:r>
      <w:r>
        <w:rPr>
          <w:rFonts w:ascii="Times New Roman" w:eastAsia="宋体" w:hAnsi="Times New Roman"/>
          <w:color w:val="000000"/>
          <w:sz w:val="20"/>
          <w:szCs w:val="20"/>
        </w:rPr>
        <w:t xml:space="preserve"> to: a net gain of $0.6 billion from changes in fair value of our equity and other investments; a gain of $0.4 billion recognized on the sale of our remaining equity method investment in Brazil; and a $0.2 billion dividend from one of our investments. The </w:t>
      </w:r>
      <w:r>
        <w:rPr>
          <w:rFonts w:ascii="Times New Roman" w:eastAsia="宋体" w:hAnsi="Times New Roman"/>
          <w:color w:val="000000"/>
          <w:sz w:val="20"/>
          <w:szCs w:val="20"/>
        </w:rPr>
        <w:t>net decrease of $1.7 billion in other losses for the six months ended July 31, 2022, when compared to the same period in the previous fiscal year, was primarily due to: a net gain of $0.6 billion from changes in fair value of our equity and other investmen</w:t>
      </w:r>
      <w:r>
        <w:rPr>
          <w:rFonts w:ascii="Times New Roman" w:eastAsia="宋体" w:hAnsi="Times New Roman"/>
          <w:color w:val="000000"/>
          <w:sz w:val="20"/>
          <w:szCs w:val="20"/>
        </w:rPr>
        <w:t xml:space="preserve">ts; lapping $0.4 billion in incremental losses associated with the divestiture of our operations in the U.K. and Japan upon closing of the transactions during the first quarter of fiscal 2022; a gain of $0.4 billion recognized on the sale of our remaining </w:t>
      </w:r>
      <w:r>
        <w:rPr>
          <w:rFonts w:ascii="Times New Roman" w:eastAsia="宋体" w:hAnsi="Times New Roman"/>
          <w:color w:val="000000"/>
          <w:sz w:val="20"/>
          <w:szCs w:val="20"/>
        </w:rPr>
        <w:t>equity method investment in Brazil during the second quarter of fiscal 2023; and a $0.2 billion dividend from one of our investments in the second quarter of fiscal 2023.</w:t>
      </w:r>
    </w:p>
    <w:p w14:paraId="098AA01E" w14:textId="77777777" w:rsidR="00141CDF" w:rsidRDefault="00DF45E0">
      <w:pPr>
        <w:spacing w:before="100"/>
      </w:pPr>
      <w:r>
        <w:rPr>
          <w:rFonts w:ascii="Times New Roman" w:eastAsia="宋体" w:hAnsi="Times New Roman"/>
          <w:color w:val="000000"/>
          <w:sz w:val="20"/>
          <w:szCs w:val="20"/>
        </w:rPr>
        <w:t xml:space="preserve">Our effective income tax rate was 22.5% and 24.0% for the three and six months ended </w:t>
      </w:r>
      <w:r>
        <w:rPr>
          <w:rFonts w:ascii="Times New Roman" w:eastAsia="宋体" w:hAnsi="Times New Roman"/>
          <w:color w:val="000000"/>
          <w:sz w:val="20"/>
          <w:szCs w:val="20"/>
        </w:rPr>
        <w:t>July 31, 2022, respectively, compared to 26.3% and 26.5% for the same periods in the previous fiscal year. The decrease in effective tax rate includes the gain recognized on the sale of our remaining equity method investment in Brazil which provided minima</w:t>
      </w:r>
      <w:r>
        <w:rPr>
          <w:rFonts w:ascii="Times New Roman" w:eastAsia="宋体" w:hAnsi="Times New Roman"/>
          <w:color w:val="000000"/>
          <w:sz w:val="20"/>
          <w:szCs w:val="20"/>
        </w:rPr>
        <w:t>l realizable tax expense and a discrete tax item recognized during the second quarter of fiscal 2023. Our effective income tax rate may fluctuate from quarter to quarter as a result of factors including changes in our assessment of certain tax contingencie</w:t>
      </w:r>
      <w:r>
        <w:rPr>
          <w:rFonts w:ascii="Times New Roman" w:eastAsia="宋体" w:hAnsi="Times New Roman"/>
          <w:color w:val="000000"/>
          <w:sz w:val="20"/>
          <w:szCs w:val="20"/>
        </w:rPr>
        <w:t>s, valuation allowances, changes in tax law, outcomes of administrative audits, the impact of discrete items and the mix and size of earnings among our U.S. operations and international operations, which are subject to statutory rates that may be different</w:t>
      </w:r>
      <w:r>
        <w:rPr>
          <w:rFonts w:ascii="Times New Roman" w:eastAsia="宋体" w:hAnsi="Times New Roman"/>
          <w:color w:val="000000"/>
          <w:sz w:val="20"/>
          <w:szCs w:val="20"/>
        </w:rPr>
        <w:t xml:space="preserve"> than the U.S. statutory rate. </w:t>
      </w:r>
    </w:p>
    <w:p w14:paraId="098AA01F" w14:textId="77777777" w:rsidR="00141CDF" w:rsidRDefault="00DF45E0">
      <w:pPr>
        <w:jc w:val="center"/>
      </w:pPr>
      <w:r>
        <w:rPr>
          <w:rFonts w:ascii="Times New Roman" w:eastAsia="宋体" w:hAnsi="Times New Roman"/>
          <w:color w:val="000000"/>
          <w:sz w:val="20"/>
          <w:szCs w:val="20"/>
        </w:rPr>
        <w:t>20</w:t>
      </w:r>
    </w:p>
    <w:p w14:paraId="098AA020" w14:textId="77777777" w:rsidR="00141CDF" w:rsidRDefault="00DF45E0">
      <w:r>
        <w:pict w14:anchorId="098AA662">
          <v:rect id="_x0000_i1044" style="width:415.3pt;height:1.5pt" o:hralign="center" o:hrstd="t" o:hr="t" fillcolor="#a0a0a0" stroked="f"/>
        </w:pict>
      </w:r>
    </w:p>
    <w:p w14:paraId="098AA021" w14:textId="77777777" w:rsidR="00141CDF" w:rsidRDefault="00DF45E0">
      <w:hyperlink r:id="rId82" w:anchor="i24a2f296795646fa8b5ba32fd1359591_7" w:history="1">
        <w:r>
          <w:rPr>
            <w:rStyle w:val="a5"/>
            <w:rFonts w:ascii="Times New Roman" w:eastAsia="宋体" w:hAnsi="Times New Roman"/>
            <w:sz w:val="20"/>
            <w:szCs w:val="20"/>
          </w:rPr>
          <w:t xml:space="preserve">Table of </w:t>
        </w:r>
      </w:hyperlink>
      <w:hyperlink r:id="rId83" w:anchor="i24a2f296795646fa8b5ba32fd1359591_7" w:history="1">
        <w:r>
          <w:rPr>
            <w:rStyle w:val="a5"/>
            <w:rFonts w:ascii="Times New Roman" w:eastAsia="宋体" w:hAnsi="Times New Roman"/>
            <w:sz w:val="20"/>
            <w:szCs w:val="20"/>
          </w:rPr>
          <w:t>Contents</w:t>
        </w:r>
      </w:hyperlink>
    </w:p>
    <w:p w14:paraId="098AA022" w14:textId="77777777" w:rsidR="00141CDF" w:rsidRDefault="00DF45E0">
      <w:pPr>
        <w:spacing w:before="100"/>
      </w:pPr>
      <w:r>
        <w:rPr>
          <w:rFonts w:ascii="Times New Roman" w:eastAsia="宋体" w:hAnsi="Times New Roman"/>
          <w:color w:val="000000"/>
          <w:sz w:val="20"/>
          <w:szCs w:val="20"/>
        </w:rPr>
        <w:t xml:space="preserve">As a result of the factors discussed above, as well as a benefit in membership and other income related to an insurance settlement for Walmart </w:t>
      </w:r>
      <w:r>
        <w:rPr>
          <w:rFonts w:ascii="Times New Roman" w:eastAsia="宋体" w:hAnsi="Times New Roman"/>
          <w:color w:val="000000"/>
          <w:sz w:val="20"/>
          <w:szCs w:val="20"/>
        </w:rPr>
        <w:t>Chile, consolidated net income increased $0.8 billion and $0.1 billion for the three and six months ended July 31, 2022, respectively, when compared to the same periods in the previous fiscal year. Accordingly, diluted net income per common share attributa</w:t>
      </w:r>
      <w:r>
        <w:rPr>
          <w:rFonts w:ascii="Times New Roman" w:eastAsia="宋体" w:hAnsi="Times New Roman"/>
          <w:color w:val="000000"/>
          <w:sz w:val="20"/>
          <w:szCs w:val="20"/>
        </w:rPr>
        <w:t>ble to Walmart was $1.88 and $2.61 for the three and six months ended July 31, 2022, respectively, which represents respective increases of $0.36 and $0.13 when compared to the same periods in the previous fiscal year.</w:t>
      </w:r>
    </w:p>
    <w:p w14:paraId="098AA023" w14:textId="77777777" w:rsidR="00141CDF" w:rsidRDefault="00DF45E0">
      <w:pPr>
        <w:spacing w:before="240"/>
      </w:pPr>
      <w:r>
        <w:rPr>
          <w:rFonts w:ascii="Times New Roman" w:eastAsia="宋体" w:hAnsi="Times New Roman"/>
          <w:b/>
          <w:bCs/>
          <w:i/>
          <w:iCs/>
          <w:color w:val="000000"/>
          <w:sz w:val="20"/>
          <w:szCs w:val="20"/>
        </w:rPr>
        <w:t>Walmart U.S. Segment</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973"/>
        <w:gridCol w:w="37"/>
        <w:gridCol w:w="36"/>
        <w:gridCol w:w="36"/>
        <w:gridCol w:w="36"/>
        <w:gridCol w:w="100"/>
        <w:gridCol w:w="691"/>
        <w:gridCol w:w="154"/>
        <w:gridCol w:w="36"/>
        <w:gridCol w:w="36"/>
        <w:gridCol w:w="36"/>
        <w:gridCol w:w="100"/>
        <w:gridCol w:w="715"/>
        <w:gridCol w:w="154"/>
        <w:gridCol w:w="36"/>
        <w:gridCol w:w="36"/>
        <w:gridCol w:w="36"/>
        <w:gridCol w:w="100"/>
        <w:gridCol w:w="716"/>
        <w:gridCol w:w="154"/>
        <w:gridCol w:w="36"/>
        <w:gridCol w:w="36"/>
        <w:gridCol w:w="36"/>
        <w:gridCol w:w="100"/>
        <w:gridCol w:w="718"/>
        <w:gridCol w:w="154"/>
      </w:tblGrid>
      <w:tr w:rsidR="00141CDF" w14:paraId="098AA03F" w14:textId="77777777">
        <w:trPr>
          <w:jc w:val="center"/>
        </w:trPr>
        <w:tc>
          <w:tcPr>
            <w:tcW w:w="50" w:type="pct"/>
            <w:shd w:val="clear" w:color="auto" w:fill="auto"/>
            <w:vAlign w:val="bottom"/>
          </w:tcPr>
          <w:p w14:paraId="098AA024" w14:textId="77777777" w:rsidR="00141CDF" w:rsidRDefault="00141CDF">
            <w:pPr>
              <w:rPr>
                <w:rFonts w:ascii="宋体"/>
              </w:rPr>
            </w:pPr>
          </w:p>
        </w:tc>
        <w:tc>
          <w:tcPr>
            <w:tcW w:w="2510" w:type="pct"/>
            <w:shd w:val="clear" w:color="auto" w:fill="auto"/>
            <w:vAlign w:val="bottom"/>
          </w:tcPr>
          <w:p w14:paraId="098AA025" w14:textId="77777777" w:rsidR="00141CDF" w:rsidRDefault="00141CDF">
            <w:pPr>
              <w:rPr>
                <w:rFonts w:ascii="宋体"/>
              </w:rPr>
            </w:pPr>
          </w:p>
        </w:tc>
        <w:tc>
          <w:tcPr>
            <w:tcW w:w="5" w:type="pct"/>
            <w:shd w:val="clear" w:color="auto" w:fill="auto"/>
            <w:vAlign w:val="bottom"/>
          </w:tcPr>
          <w:p w14:paraId="098AA026" w14:textId="77777777" w:rsidR="00141CDF" w:rsidRDefault="00141CDF">
            <w:pPr>
              <w:rPr>
                <w:rFonts w:ascii="宋体"/>
              </w:rPr>
            </w:pPr>
          </w:p>
        </w:tc>
        <w:tc>
          <w:tcPr>
            <w:tcW w:w="5" w:type="pct"/>
            <w:shd w:val="clear" w:color="auto" w:fill="auto"/>
            <w:vAlign w:val="bottom"/>
          </w:tcPr>
          <w:p w14:paraId="098AA027" w14:textId="77777777" w:rsidR="00141CDF" w:rsidRDefault="00141CDF">
            <w:pPr>
              <w:rPr>
                <w:rFonts w:ascii="宋体"/>
              </w:rPr>
            </w:pPr>
          </w:p>
        </w:tc>
        <w:tc>
          <w:tcPr>
            <w:tcW w:w="63" w:type="pct"/>
            <w:shd w:val="clear" w:color="auto" w:fill="auto"/>
            <w:vAlign w:val="bottom"/>
          </w:tcPr>
          <w:p w14:paraId="098AA028" w14:textId="77777777" w:rsidR="00141CDF" w:rsidRDefault="00141CDF">
            <w:pPr>
              <w:rPr>
                <w:rFonts w:ascii="宋体"/>
              </w:rPr>
            </w:pPr>
          </w:p>
        </w:tc>
        <w:tc>
          <w:tcPr>
            <w:tcW w:w="5" w:type="pct"/>
            <w:shd w:val="clear" w:color="auto" w:fill="auto"/>
            <w:vAlign w:val="bottom"/>
          </w:tcPr>
          <w:p w14:paraId="098AA029" w14:textId="77777777" w:rsidR="00141CDF" w:rsidRDefault="00141CDF">
            <w:pPr>
              <w:rPr>
                <w:rFonts w:ascii="宋体"/>
              </w:rPr>
            </w:pPr>
          </w:p>
        </w:tc>
        <w:tc>
          <w:tcPr>
            <w:tcW w:w="50" w:type="pct"/>
            <w:shd w:val="clear" w:color="auto" w:fill="auto"/>
            <w:vAlign w:val="bottom"/>
          </w:tcPr>
          <w:p w14:paraId="098AA02A" w14:textId="77777777" w:rsidR="00141CDF" w:rsidRDefault="00141CDF">
            <w:pPr>
              <w:rPr>
                <w:rFonts w:ascii="宋体"/>
              </w:rPr>
            </w:pPr>
          </w:p>
        </w:tc>
        <w:tc>
          <w:tcPr>
            <w:tcW w:w="529" w:type="pct"/>
            <w:shd w:val="clear" w:color="auto" w:fill="auto"/>
            <w:vAlign w:val="bottom"/>
          </w:tcPr>
          <w:p w14:paraId="098AA02B" w14:textId="77777777" w:rsidR="00141CDF" w:rsidRDefault="00141CDF">
            <w:pPr>
              <w:rPr>
                <w:rFonts w:ascii="宋体"/>
              </w:rPr>
            </w:pPr>
          </w:p>
        </w:tc>
        <w:tc>
          <w:tcPr>
            <w:tcW w:w="5" w:type="pct"/>
            <w:shd w:val="clear" w:color="auto" w:fill="auto"/>
            <w:vAlign w:val="bottom"/>
          </w:tcPr>
          <w:p w14:paraId="098AA02C" w14:textId="77777777" w:rsidR="00141CDF" w:rsidRDefault="00141CDF">
            <w:pPr>
              <w:rPr>
                <w:rFonts w:ascii="宋体"/>
              </w:rPr>
            </w:pPr>
          </w:p>
        </w:tc>
        <w:tc>
          <w:tcPr>
            <w:tcW w:w="5" w:type="pct"/>
            <w:shd w:val="clear" w:color="auto" w:fill="auto"/>
            <w:vAlign w:val="bottom"/>
          </w:tcPr>
          <w:p w14:paraId="098AA02D" w14:textId="77777777" w:rsidR="00141CDF" w:rsidRDefault="00141CDF">
            <w:pPr>
              <w:rPr>
                <w:rFonts w:ascii="宋体"/>
              </w:rPr>
            </w:pPr>
          </w:p>
        </w:tc>
        <w:tc>
          <w:tcPr>
            <w:tcW w:w="19" w:type="pct"/>
            <w:shd w:val="clear" w:color="auto" w:fill="auto"/>
            <w:vAlign w:val="bottom"/>
          </w:tcPr>
          <w:p w14:paraId="098AA02E" w14:textId="77777777" w:rsidR="00141CDF" w:rsidRDefault="00141CDF">
            <w:pPr>
              <w:rPr>
                <w:rFonts w:ascii="宋体"/>
              </w:rPr>
            </w:pPr>
          </w:p>
        </w:tc>
        <w:tc>
          <w:tcPr>
            <w:tcW w:w="5" w:type="pct"/>
            <w:shd w:val="clear" w:color="auto" w:fill="auto"/>
            <w:vAlign w:val="bottom"/>
          </w:tcPr>
          <w:p w14:paraId="098AA02F" w14:textId="77777777" w:rsidR="00141CDF" w:rsidRDefault="00141CDF">
            <w:pPr>
              <w:rPr>
                <w:rFonts w:ascii="宋体"/>
              </w:rPr>
            </w:pPr>
          </w:p>
        </w:tc>
        <w:tc>
          <w:tcPr>
            <w:tcW w:w="50" w:type="pct"/>
            <w:shd w:val="clear" w:color="auto" w:fill="auto"/>
            <w:vAlign w:val="bottom"/>
          </w:tcPr>
          <w:p w14:paraId="098AA030" w14:textId="77777777" w:rsidR="00141CDF" w:rsidRDefault="00141CDF">
            <w:pPr>
              <w:rPr>
                <w:rFonts w:ascii="宋体"/>
              </w:rPr>
            </w:pPr>
          </w:p>
        </w:tc>
        <w:tc>
          <w:tcPr>
            <w:tcW w:w="507" w:type="pct"/>
            <w:shd w:val="clear" w:color="auto" w:fill="auto"/>
            <w:vAlign w:val="bottom"/>
          </w:tcPr>
          <w:p w14:paraId="098AA031" w14:textId="77777777" w:rsidR="00141CDF" w:rsidRDefault="00141CDF">
            <w:pPr>
              <w:rPr>
                <w:rFonts w:ascii="宋体"/>
              </w:rPr>
            </w:pPr>
          </w:p>
        </w:tc>
        <w:tc>
          <w:tcPr>
            <w:tcW w:w="5" w:type="pct"/>
            <w:shd w:val="clear" w:color="auto" w:fill="auto"/>
            <w:vAlign w:val="bottom"/>
          </w:tcPr>
          <w:p w14:paraId="098AA032" w14:textId="77777777" w:rsidR="00141CDF" w:rsidRDefault="00141CDF">
            <w:pPr>
              <w:rPr>
                <w:rFonts w:ascii="宋体"/>
              </w:rPr>
            </w:pPr>
          </w:p>
        </w:tc>
        <w:tc>
          <w:tcPr>
            <w:tcW w:w="5" w:type="pct"/>
            <w:shd w:val="clear" w:color="auto" w:fill="auto"/>
            <w:vAlign w:val="bottom"/>
          </w:tcPr>
          <w:p w14:paraId="098AA033" w14:textId="77777777" w:rsidR="00141CDF" w:rsidRDefault="00141CDF">
            <w:pPr>
              <w:rPr>
                <w:rFonts w:ascii="宋体"/>
              </w:rPr>
            </w:pPr>
          </w:p>
        </w:tc>
        <w:tc>
          <w:tcPr>
            <w:tcW w:w="19" w:type="pct"/>
            <w:shd w:val="clear" w:color="auto" w:fill="auto"/>
            <w:vAlign w:val="bottom"/>
          </w:tcPr>
          <w:p w14:paraId="098AA034" w14:textId="77777777" w:rsidR="00141CDF" w:rsidRDefault="00141CDF">
            <w:pPr>
              <w:rPr>
                <w:rFonts w:ascii="宋体"/>
              </w:rPr>
            </w:pPr>
          </w:p>
        </w:tc>
        <w:tc>
          <w:tcPr>
            <w:tcW w:w="5" w:type="pct"/>
            <w:shd w:val="clear" w:color="auto" w:fill="auto"/>
            <w:vAlign w:val="bottom"/>
          </w:tcPr>
          <w:p w14:paraId="098AA035" w14:textId="77777777" w:rsidR="00141CDF" w:rsidRDefault="00141CDF">
            <w:pPr>
              <w:rPr>
                <w:rFonts w:ascii="宋体"/>
              </w:rPr>
            </w:pPr>
          </w:p>
        </w:tc>
        <w:tc>
          <w:tcPr>
            <w:tcW w:w="50" w:type="pct"/>
            <w:shd w:val="clear" w:color="auto" w:fill="auto"/>
            <w:vAlign w:val="bottom"/>
          </w:tcPr>
          <w:p w14:paraId="098AA036" w14:textId="77777777" w:rsidR="00141CDF" w:rsidRDefault="00141CDF">
            <w:pPr>
              <w:rPr>
                <w:rFonts w:ascii="宋体"/>
              </w:rPr>
            </w:pPr>
          </w:p>
        </w:tc>
        <w:tc>
          <w:tcPr>
            <w:tcW w:w="507" w:type="pct"/>
            <w:shd w:val="clear" w:color="auto" w:fill="auto"/>
            <w:vAlign w:val="bottom"/>
          </w:tcPr>
          <w:p w14:paraId="098AA037" w14:textId="77777777" w:rsidR="00141CDF" w:rsidRDefault="00141CDF">
            <w:pPr>
              <w:rPr>
                <w:rFonts w:ascii="宋体"/>
              </w:rPr>
            </w:pPr>
          </w:p>
        </w:tc>
        <w:tc>
          <w:tcPr>
            <w:tcW w:w="5" w:type="pct"/>
            <w:shd w:val="clear" w:color="auto" w:fill="auto"/>
            <w:vAlign w:val="bottom"/>
          </w:tcPr>
          <w:p w14:paraId="098AA038" w14:textId="77777777" w:rsidR="00141CDF" w:rsidRDefault="00141CDF">
            <w:pPr>
              <w:rPr>
                <w:rFonts w:ascii="宋体"/>
              </w:rPr>
            </w:pPr>
          </w:p>
        </w:tc>
        <w:tc>
          <w:tcPr>
            <w:tcW w:w="5" w:type="pct"/>
            <w:shd w:val="clear" w:color="auto" w:fill="auto"/>
            <w:vAlign w:val="bottom"/>
          </w:tcPr>
          <w:p w14:paraId="098AA039" w14:textId="77777777" w:rsidR="00141CDF" w:rsidRDefault="00141CDF">
            <w:pPr>
              <w:rPr>
                <w:rFonts w:ascii="宋体"/>
              </w:rPr>
            </w:pPr>
          </w:p>
        </w:tc>
        <w:tc>
          <w:tcPr>
            <w:tcW w:w="19" w:type="pct"/>
            <w:shd w:val="clear" w:color="auto" w:fill="auto"/>
            <w:vAlign w:val="bottom"/>
          </w:tcPr>
          <w:p w14:paraId="098AA03A" w14:textId="77777777" w:rsidR="00141CDF" w:rsidRDefault="00141CDF">
            <w:pPr>
              <w:rPr>
                <w:rFonts w:ascii="宋体"/>
              </w:rPr>
            </w:pPr>
          </w:p>
        </w:tc>
        <w:tc>
          <w:tcPr>
            <w:tcW w:w="5" w:type="pct"/>
            <w:shd w:val="clear" w:color="auto" w:fill="auto"/>
            <w:vAlign w:val="bottom"/>
          </w:tcPr>
          <w:p w14:paraId="098AA03B" w14:textId="77777777" w:rsidR="00141CDF" w:rsidRDefault="00141CDF">
            <w:pPr>
              <w:rPr>
                <w:rFonts w:ascii="宋体"/>
              </w:rPr>
            </w:pPr>
          </w:p>
        </w:tc>
        <w:tc>
          <w:tcPr>
            <w:tcW w:w="50" w:type="pct"/>
            <w:shd w:val="clear" w:color="auto" w:fill="auto"/>
            <w:vAlign w:val="bottom"/>
          </w:tcPr>
          <w:p w14:paraId="098AA03C" w14:textId="77777777" w:rsidR="00141CDF" w:rsidRDefault="00141CDF">
            <w:pPr>
              <w:rPr>
                <w:rFonts w:ascii="宋体"/>
              </w:rPr>
            </w:pPr>
          </w:p>
        </w:tc>
        <w:tc>
          <w:tcPr>
            <w:tcW w:w="508" w:type="pct"/>
            <w:shd w:val="clear" w:color="auto" w:fill="auto"/>
            <w:vAlign w:val="bottom"/>
          </w:tcPr>
          <w:p w14:paraId="098AA03D" w14:textId="77777777" w:rsidR="00141CDF" w:rsidRDefault="00141CDF">
            <w:pPr>
              <w:rPr>
                <w:rFonts w:ascii="宋体"/>
              </w:rPr>
            </w:pPr>
          </w:p>
        </w:tc>
        <w:tc>
          <w:tcPr>
            <w:tcW w:w="5" w:type="pct"/>
            <w:shd w:val="clear" w:color="auto" w:fill="auto"/>
            <w:vAlign w:val="bottom"/>
          </w:tcPr>
          <w:p w14:paraId="098AA03E" w14:textId="77777777" w:rsidR="00141CDF" w:rsidRDefault="00141CDF">
            <w:pPr>
              <w:rPr>
                <w:rFonts w:ascii="宋体"/>
              </w:rPr>
            </w:pPr>
          </w:p>
        </w:tc>
      </w:tr>
      <w:tr w:rsidR="00141CDF" w14:paraId="098AA045" w14:textId="77777777">
        <w:trPr>
          <w:jc w:val="center"/>
        </w:trPr>
        <w:tc>
          <w:tcPr>
            <w:tcW w:w="0" w:type="auto"/>
            <w:gridSpan w:val="3"/>
            <w:shd w:val="clear" w:color="auto" w:fill="auto"/>
            <w:tcMar>
              <w:top w:w="40" w:type="dxa"/>
              <w:left w:w="20" w:type="dxa"/>
              <w:bottom w:w="40" w:type="dxa"/>
              <w:right w:w="20" w:type="dxa"/>
            </w:tcMar>
            <w:vAlign w:val="center"/>
          </w:tcPr>
          <w:p w14:paraId="098AA040" w14:textId="77777777" w:rsidR="00141CDF" w:rsidRDefault="00DF45E0">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098AA041" w14:textId="77777777" w:rsidR="00141CDF" w:rsidRDefault="00141CDF">
            <w:pPr>
              <w:rPr>
                <w:rFonts w:ascii="宋体"/>
              </w:rPr>
            </w:pPr>
          </w:p>
        </w:tc>
        <w:tc>
          <w:tcPr>
            <w:tcW w:w="0" w:type="auto"/>
            <w:gridSpan w:val="9"/>
            <w:shd w:val="clear" w:color="auto" w:fill="auto"/>
            <w:tcMar>
              <w:top w:w="40" w:type="dxa"/>
              <w:left w:w="20" w:type="dxa"/>
              <w:bottom w:w="40" w:type="dxa"/>
              <w:right w:w="20" w:type="dxa"/>
            </w:tcMar>
            <w:vAlign w:val="center"/>
          </w:tcPr>
          <w:p w14:paraId="098AA042" w14:textId="77777777" w:rsidR="00141CDF" w:rsidRDefault="00DF45E0">
            <w:pPr>
              <w:jc w:val="center"/>
              <w:textAlignment w:val="center"/>
            </w:pPr>
            <w:r>
              <w:rPr>
                <w:rFonts w:ascii="Times New Roman" w:eastAsia="宋体" w:hAnsi="Times New Roman"/>
                <w:b/>
                <w:bCs/>
                <w:color w:val="000000"/>
                <w:sz w:val="16"/>
                <w:szCs w:val="16"/>
              </w:rPr>
              <w:t>Three Months Ended July 31,</w:t>
            </w:r>
          </w:p>
        </w:tc>
        <w:tc>
          <w:tcPr>
            <w:tcW w:w="0" w:type="auto"/>
            <w:gridSpan w:val="3"/>
            <w:shd w:val="clear" w:color="auto" w:fill="auto"/>
            <w:tcMar>
              <w:top w:w="0" w:type="dxa"/>
              <w:left w:w="20" w:type="dxa"/>
              <w:bottom w:w="0" w:type="dxa"/>
              <w:right w:w="20" w:type="dxa"/>
            </w:tcMar>
            <w:vAlign w:val="bottom"/>
          </w:tcPr>
          <w:p w14:paraId="098AA043" w14:textId="77777777" w:rsidR="00141CDF" w:rsidRDefault="00141CDF">
            <w:pPr>
              <w:rPr>
                <w:rFonts w:ascii="宋体"/>
              </w:rPr>
            </w:pPr>
          </w:p>
        </w:tc>
        <w:tc>
          <w:tcPr>
            <w:tcW w:w="0" w:type="auto"/>
            <w:gridSpan w:val="9"/>
            <w:shd w:val="clear" w:color="auto" w:fill="auto"/>
            <w:tcMar>
              <w:top w:w="40" w:type="dxa"/>
              <w:left w:w="20" w:type="dxa"/>
              <w:bottom w:w="40" w:type="dxa"/>
              <w:right w:w="20" w:type="dxa"/>
            </w:tcMar>
            <w:vAlign w:val="center"/>
          </w:tcPr>
          <w:p w14:paraId="098AA044" w14:textId="77777777" w:rsidR="00141CDF" w:rsidRDefault="00DF45E0">
            <w:pPr>
              <w:jc w:val="center"/>
              <w:textAlignment w:val="center"/>
            </w:pPr>
            <w:r>
              <w:rPr>
                <w:rFonts w:ascii="Times New Roman" w:eastAsia="宋体" w:hAnsi="Times New Roman"/>
                <w:b/>
                <w:bCs/>
                <w:color w:val="000000"/>
                <w:sz w:val="16"/>
                <w:szCs w:val="16"/>
              </w:rPr>
              <w:t>Six Months Ended July 31,</w:t>
            </w:r>
          </w:p>
        </w:tc>
      </w:tr>
      <w:tr w:rsidR="00141CDF" w14:paraId="098AA04F" w14:textId="77777777">
        <w:trPr>
          <w:jc w:val="center"/>
        </w:trPr>
        <w:tc>
          <w:tcPr>
            <w:tcW w:w="0" w:type="auto"/>
            <w:gridSpan w:val="3"/>
            <w:shd w:val="clear" w:color="auto" w:fill="auto"/>
            <w:tcMar>
              <w:top w:w="40" w:type="dxa"/>
              <w:left w:w="20" w:type="dxa"/>
              <w:bottom w:w="40" w:type="dxa"/>
              <w:right w:w="20" w:type="dxa"/>
            </w:tcMar>
            <w:vAlign w:val="center"/>
          </w:tcPr>
          <w:p w14:paraId="098AA046" w14:textId="77777777" w:rsidR="00141CDF" w:rsidRDefault="00DF45E0">
            <w:pPr>
              <w:textAlignment w:val="center"/>
            </w:pPr>
            <w:r>
              <w:rPr>
                <w:rFonts w:ascii="Times New Roman" w:eastAsia="宋体" w:hAnsi="Times New Roman"/>
                <w:i/>
                <w:iCs/>
                <w:color w:val="000000"/>
                <w:sz w:val="16"/>
                <w:szCs w:val="16"/>
              </w:rPr>
              <w:t>(Amounts in millions, except unit counts)</w:t>
            </w:r>
          </w:p>
        </w:tc>
        <w:tc>
          <w:tcPr>
            <w:tcW w:w="0" w:type="auto"/>
            <w:gridSpan w:val="3"/>
            <w:shd w:val="clear" w:color="auto" w:fill="auto"/>
            <w:tcMar>
              <w:top w:w="0" w:type="dxa"/>
              <w:left w:w="20" w:type="dxa"/>
              <w:bottom w:w="0" w:type="dxa"/>
              <w:right w:w="20" w:type="dxa"/>
            </w:tcMar>
            <w:vAlign w:val="bottom"/>
          </w:tcPr>
          <w:p w14:paraId="098AA047"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center"/>
          </w:tcPr>
          <w:p w14:paraId="098AA048" w14:textId="77777777" w:rsidR="00141CDF" w:rsidRDefault="00DF45E0">
            <w:pPr>
              <w:jc w:val="center"/>
              <w:textAlignment w:val="center"/>
            </w:pPr>
            <w:r>
              <w:rPr>
                <w:rFonts w:ascii="Times New Roman" w:eastAsia="宋体" w:hAnsi="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14:paraId="098AA049"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center"/>
          </w:tcPr>
          <w:p w14:paraId="098AA04A" w14:textId="77777777" w:rsidR="00141CDF" w:rsidRDefault="00DF45E0">
            <w:pPr>
              <w:jc w:val="center"/>
              <w:textAlignment w:val="center"/>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098AA04B"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center"/>
          </w:tcPr>
          <w:p w14:paraId="098AA04C" w14:textId="77777777" w:rsidR="00141CDF" w:rsidRDefault="00DF45E0">
            <w:pPr>
              <w:jc w:val="center"/>
              <w:textAlignment w:val="center"/>
            </w:pPr>
            <w:r>
              <w:rPr>
                <w:rFonts w:ascii="Times New Roman" w:eastAsia="宋体" w:hAnsi="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14:paraId="098AA04D"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center"/>
          </w:tcPr>
          <w:p w14:paraId="098AA04E" w14:textId="77777777" w:rsidR="00141CDF" w:rsidRDefault="00DF45E0">
            <w:pPr>
              <w:jc w:val="center"/>
              <w:textAlignment w:val="center"/>
            </w:pPr>
            <w:r>
              <w:rPr>
                <w:rFonts w:ascii="Times New Roman" w:eastAsia="宋体" w:hAnsi="Times New Roman"/>
                <w:b/>
                <w:bCs/>
                <w:color w:val="000000"/>
                <w:sz w:val="16"/>
                <w:szCs w:val="16"/>
              </w:rPr>
              <w:t>2021</w:t>
            </w:r>
          </w:p>
        </w:tc>
      </w:tr>
      <w:tr w:rsidR="00141CDF" w14:paraId="098AA061" w14:textId="77777777">
        <w:trPr>
          <w:jc w:val="center"/>
        </w:trPr>
        <w:tc>
          <w:tcPr>
            <w:tcW w:w="0" w:type="auto"/>
            <w:gridSpan w:val="3"/>
            <w:shd w:val="clear" w:color="auto" w:fill="CCEEFF"/>
            <w:tcMar>
              <w:top w:w="40" w:type="dxa"/>
              <w:left w:w="20" w:type="dxa"/>
              <w:bottom w:w="40" w:type="dxa"/>
              <w:right w:w="20" w:type="dxa"/>
            </w:tcMar>
            <w:vAlign w:val="center"/>
          </w:tcPr>
          <w:p w14:paraId="098AA050" w14:textId="77777777" w:rsidR="00141CDF" w:rsidRDefault="00DF45E0">
            <w:pPr>
              <w:textAlignment w:val="center"/>
            </w:pPr>
            <w:r>
              <w:rPr>
                <w:rFonts w:ascii="Times New Roman" w:eastAsia="宋体" w:hAnsi="Times New Roman"/>
                <w:color w:val="000000"/>
                <w:sz w:val="16"/>
                <w:szCs w:val="16"/>
              </w:rPr>
              <w:t>Net sales</w:t>
            </w:r>
          </w:p>
        </w:tc>
        <w:tc>
          <w:tcPr>
            <w:tcW w:w="0" w:type="auto"/>
            <w:gridSpan w:val="3"/>
            <w:shd w:val="clear" w:color="auto" w:fill="CCEEFF"/>
            <w:tcMar>
              <w:top w:w="0" w:type="dxa"/>
              <w:left w:w="20" w:type="dxa"/>
              <w:bottom w:w="0" w:type="dxa"/>
              <w:right w:w="20" w:type="dxa"/>
            </w:tcMar>
            <w:vAlign w:val="bottom"/>
          </w:tcPr>
          <w:p w14:paraId="098AA051"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A052"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A053" w14:textId="77777777" w:rsidR="00141CDF" w:rsidRDefault="00DF45E0">
            <w:pPr>
              <w:jc w:val="right"/>
              <w:textAlignment w:val="center"/>
            </w:pPr>
            <w:r>
              <w:rPr>
                <w:rFonts w:ascii="Times New Roman" w:eastAsia="宋体" w:hAnsi="Times New Roman"/>
                <w:color w:val="000000"/>
                <w:sz w:val="16"/>
                <w:szCs w:val="16"/>
              </w:rPr>
              <w:t>105,130 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A054"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A055"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A056"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A057" w14:textId="77777777" w:rsidR="00141CDF" w:rsidRDefault="00DF45E0">
            <w:pPr>
              <w:jc w:val="right"/>
              <w:textAlignment w:val="center"/>
            </w:pPr>
            <w:r>
              <w:rPr>
                <w:rFonts w:ascii="Times New Roman" w:eastAsia="宋体" w:hAnsi="Times New Roman"/>
                <w:color w:val="000000"/>
                <w:sz w:val="16"/>
                <w:szCs w:val="16"/>
              </w:rPr>
              <w:t>98,192 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A058"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A059"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A05A"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A05B" w14:textId="77777777" w:rsidR="00141CDF" w:rsidRDefault="00DF45E0">
            <w:pPr>
              <w:jc w:val="right"/>
              <w:textAlignment w:val="center"/>
            </w:pPr>
            <w:r>
              <w:rPr>
                <w:rFonts w:ascii="Times New Roman" w:eastAsia="宋体" w:hAnsi="Times New Roman"/>
                <w:color w:val="000000"/>
                <w:sz w:val="16"/>
                <w:szCs w:val="16"/>
              </w:rPr>
              <w:t>202,034 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A05C"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A05D"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A05E"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A05F" w14:textId="77777777" w:rsidR="00141CDF" w:rsidRDefault="00DF45E0">
            <w:pPr>
              <w:jc w:val="right"/>
              <w:textAlignment w:val="center"/>
            </w:pPr>
            <w:r>
              <w:rPr>
                <w:rFonts w:ascii="Times New Roman" w:eastAsia="宋体" w:hAnsi="Times New Roman"/>
                <w:color w:val="000000"/>
                <w:sz w:val="16"/>
                <w:szCs w:val="16"/>
              </w:rPr>
              <w:t>191,359 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A060" w14:textId="77777777" w:rsidR="00141CDF" w:rsidRDefault="00141CDF">
            <w:pPr>
              <w:jc w:val="right"/>
              <w:rPr>
                <w:rFonts w:ascii="宋体"/>
              </w:rPr>
            </w:pPr>
          </w:p>
        </w:tc>
      </w:tr>
      <w:tr w:rsidR="00141CDF" w14:paraId="098AA06F" w14:textId="77777777">
        <w:trPr>
          <w:jc w:val="center"/>
        </w:trPr>
        <w:tc>
          <w:tcPr>
            <w:tcW w:w="0" w:type="auto"/>
            <w:gridSpan w:val="3"/>
            <w:shd w:val="clear" w:color="auto" w:fill="FFFFFF"/>
            <w:tcMar>
              <w:top w:w="40" w:type="dxa"/>
              <w:left w:w="20" w:type="dxa"/>
              <w:bottom w:w="40" w:type="dxa"/>
              <w:right w:w="20" w:type="dxa"/>
            </w:tcMar>
            <w:vAlign w:val="center"/>
          </w:tcPr>
          <w:p w14:paraId="098AA062" w14:textId="77777777" w:rsidR="00141CDF" w:rsidRDefault="00DF45E0">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vAlign w:val="bottom"/>
          </w:tcPr>
          <w:p w14:paraId="098AA063"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A064" w14:textId="77777777" w:rsidR="00141CDF" w:rsidRDefault="00DF45E0">
            <w:pPr>
              <w:jc w:val="right"/>
              <w:textAlignment w:val="center"/>
            </w:pPr>
            <w:r>
              <w:rPr>
                <w:rFonts w:ascii="Times New Roman" w:eastAsia="宋体" w:hAnsi="Times New Roman"/>
                <w:color w:val="000000"/>
                <w:sz w:val="16"/>
                <w:szCs w:val="16"/>
              </w:rPr>
              <w:t>7.1 </w:t>
            </w:r>
          </w:p>
        </w:tc>
        <w:tc>
          <w:tcPr>
            <w:tcW w:w="0" w:type="auto"/>
            <w:shd w:val="clear" w:color="auto" w:fill="FFFFFF"/>
            <w:tcMar>
              <w:top w:w="40" w:type="dxa"/>
              <w:left w:w="0" w:type="dxa"/>
              <w:bottom w:w="40" w:type="dxa"/>
              <w:right w:w="20" w:type="dxa"/>
            </w:tcMar>
            <w:vAlign w:val="center"/>
          </w:tcPr>
          <w:p w14:paraId="098AA065"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098AA066"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A067" w14:textId="77777777" w:rsidR="00141CDF" w:rsidRDefault="00DF45E0">
            <w:pPr>
              <w:jc w:val="right"/>
              <w:textAlignment w:val="center"/>
            </w:pPr>
            <w:r>
              <w:rPr>
                <w:rFonts w:ascii="Times New Roman" w:eastAsia="宋体" w:hAnsi="Times New Roman"/>
                <w:color w:val="000000"/>
                <w:sz w:val="16"/>
                <w:szCs w:val="16"/>
              </w:rPr>
              <w:t>5.3 </w:t>
            </w:r>
          </w:p>
        </w:tc>
        <w:tc>
          <w:tcPr>
            <w:tcW w:w="0" w:type="auto"/>
            <w:shd w:val="clear" w:color="auto" w:fill="FFFFFF"/>
            <w:tcMar>
              <w:top w:w="40" w:type="dxa"/>
              <w:left w:w="0" w:type="dxa"/>
              <w:bottom w:w="40" w:type="dxa"/>
              <w:right w:w="20" w:type="dxa"/>
            </w:tcMar>
            <w:vAlign w:val="center"/>
          </w:tcPr>
          <w:p w14:paraId="098AA068"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098AA069"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A06A" w14:textId="77777777" w:rsidR="00141CDF" w:rsidRDefault="00DF45E0">
            <w:pPr>
              <w:jc w:val="right"/>
              <w:textAlignment w:val="center"/>
            </w:pPr>
            <w:r>
              <w:rPr>
                <w:rFonts w:ascii="Times New Roman" w:eastAsia="宋体" w:hAnsi="Times New Roman"/>
                <w:color w:val="000000"/>
                <w:sz w:val="16"/>
                <w:szCs w:val="16"/>
              </w:rPr>
              <w:t>5.6 </w:t>
            </w:r>
          </w:p>
        </w:tc>
        <w:tc>
          <w:tcPr>
            <w:tcW w:w="0" w:type="auto"/>
            <w:shd w:val="clear" w:color="auto" w:fill="FFFFFF"/>
            <w:tcMar>
              <w:top w:w="40" w:type="dxa"/>
              <w:left w:w="0" w:type="dxa"/>
              <w:bottom w:w="40" w:type="dxa"/>
              <w:right w:w="20" w:type="dxa"/>
            </w:tcMar>
            <w:vAlign w:val="center"/>
          </w:tcPr>
          <w:p w14:paraId="098AA06B"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098AA06C"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A06D" w14:textId="77777777" w:rsidR="00141CDF" w:rsidRDefault="00DF45E0">
            <w:pPr>
              <w:jc w:val="right"/>
              <w:textAlignment w:val="center"/>
            </w:pPr>
            <w:r>
              <w:rPr>
                <w:rFonts w:ascii="Times New Roman" w:eastAsia="宋体" w:hAnsi="Times New Roman"/>
                <w:color w:val="000000"/>
                <w:sz w:val="16"/>
                <w:szCs w:val="16"/>
              </w:rPr>
              <w:t>5.1 </w:t>
            </w:r>
          </w:p>
        </w:tc>
        <w:tc>
          <w:tcPr>
            <w:tcW w:w="0" w:type="auto"/>
            <w:shd w:val="clear" w:color="auto" w:fill="FFFFFF"/>
            <w:tcMar>
              <w:top w:w="40" w:type="dxa"/>
              <w:left w:w="0" w:type="dxa"/>
              <w:bottom w:w="40" w:type="dxa"/>
              <w:right w:w="20" w:type="dxa"/>
            </w:tcMar>
            <w:vAlign w:val="center"/>
          </w:tcPr>
          <w:p w14:paraId="098AA06E" w14:textId="77777777" w:rsidR="00141CDF" w:rsidRDefault="00DF45E0">
            <w:pPr>
              <w:jc w:val="right"/>
              <w:textAlignment w:val="center"/>
            </w:pPr>
            <w:r>
              <w:rPr>
                <w:rFonts w:ascii="Times New Roman" w:eastAsia="宋体" w:hAnsi="Times New Roman"/>
                <w:color w:val="000000"/>
                <w:sz w:val="16"/>
                <w:szCs w:val="16"/>
              </w:rPr>
              <w:t>%</w:t>
            </w:r>
          </w:p>
        </w:tc>
      </w:tr>
      <w:tr w:rsidR="00141CDF" w14:paraId="098AA07D" w14:textId="77777777">
        <w:trPr>
          <w:jc w:val="center"/>
        </w:trPr>
        <w:tc>
          <w:tcPr>
            <w:tcW w:w="0" w:type="auto"/>
            <w:gridSpan w:val="3"/>
            <w:shd w:val="clear" w:color="auto" w:fill="CCEEFF"/>
            <w:tcMar>
              <w:top w:w="40" w:type="dxa"/>
              <w:left w:w="20" w:type="dxa"/>
              <w:bottom w:w="40" w:type="dxa"/>
              <w:right w:w="20" w:type="dxa"/>
            </w:tcMar>
            <w:vAlign w:val="center"/>
          </w:tcPr>
          <w:p w14:paraId="098AA070" w14:textId="77777777" w:rsidR="00141CDF" w:rsidRDefault="00DF45E0">
            <w:pPr>
              <w:textAlignment w:val="center"/>
            </w:pPr>
            <w:r>
              <w:rPr>
                <w:rFonts w:ascii="Times New Roman" w:eastAsia="宋体" w:hAnsi="Times New Roman"/>
                <w:color w:val="000000"/>
                <w:sz w:val="16"/>
                <w:szCs w:val="16"/>
              </w:rPr>
              <w:t>Calendar comparable sales increase</w:t>
            </w:r>
          </w:p>
        </w:tc>
        <w:tc>
          <w:tcPr>
            <w:tcW w:w="0" w:type="auto"/>
            <w:gridSpan w:val="3"/>
            <w:shd w:val="clear" w:color="auto" w:fill="CCEEFF"/>
            <w:tcMar>
              <w:top w:w="0" w:type="dxa"/>
              <w:left w:w="20" w:type="dxa"/>
              <w:bottom w:w="0" w:type="dxa"/>
              <w:right w:w="20" w:type="dxa"/>
            </w:tcMar>
            <w:vAlign w:val="bottom"/>
          </w:tcPr>
          <w:p w14:paraId="098AA071"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A072" w14:textId="77777777" w:rsidR="00141CDF" w:rsidRDefault="00DF45E0">
            <w:pPr>
              <w:jc w:val="right"/>
              <w:textAlignment w:val="center"/>
            </w:pPr>
            <w:r>
              <w:rPr>
                <w:rFonts w:ascii="Times New Roman" w:eastAsia="宋体" w:hAnsi="Times New Roman"/>
                <w:color w:val="000000"/>
                <w:sz w:val="16"/>
                <w:szCs w:val="16"/>
              </w:rPr>
              <w:t>7.0 </w:t>
            </w:r>
          </w:p>
        </w:tc>
        <w:tc>
          <w:tcPr>
            <w:tcW w:w="0" w:type="auto"/>
            <w:shd w:val="clear" w:color="auto" w:fill="CCEEFF"/>
            <w:tcMar>
              <w:top w:w="40" w:type="dxa"/>
              <w:left w:w="0" w:type="dxa"/>
              <w:bottom w:w="40" w:type="dxa"/>
              <w:right w:w="20" w:type="dxa"/>
            </w:tcMar>
            <w:vAlign w:val="center"/>
          </w:tcPr>
          <w:p w14:paraId="098AA073"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098AA074"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A075" w14:textId="77777777" w:rsidR="00141CDF" w:rsidRDefault="00DF45E0">
            <w:pPr>
              <w:jc w:val="right"/>
              <w:textAlignment w:val="center"/>
            </w:pPr>
            <w:r>
              <w:rPr>
                <w:rFonts w:ascii="Times New Roman" w:eastAsia="宋体" w:hAnsi="Times New Roman"/>
                <w:color w:val="000000"/>
                <w:sz w:val="16"/>
                <w:szCs w:val="16"/>
              </w:rPr>
              <w:t>5.4 </w:t>
            </w:r>
          </w:p>
        </w:tc>
        <w:tc>
          <w:tcPr>
            <w:tcW w:w="0" w:type="auto"/>
            <w:shd w:val="clear" w:color="auto" w:fill="CCEEFF"/>
            <w:tcMar>
              <w:top w:w="40" w:type="dxa"/>
              <w:left w:w="0" w:type="dxa"/>
              <w:bottom w:w="40" w:type="dxa"/>
              <w:right w:w="20" w:type="dxa"/>
            </w:tcMar>
            <w:vAlign w:val="center"/>
          </w:tcPr>
          <w:p w14:paraId="098AA076"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098AA077"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A078" w14:textId="77777777" w:rsidR="00141CDF" w:rsidRDefault="00DF45E0">
            <w:pPr>
              <w:jc w:val="right"/>
              <w:textAlignment w:val="center"/>
            </w:pPr>
            <w:r>
              <w:rPr>
                <w:rFonts w:ascii="Times New Roman" w:eastAsia="宋体" w:hAnsi="Times New Roman"/>
                <w:color w:val="000000"/>
                <w:sz w:val="16"/>
                <w:szCs w:val="16"/>
              </w:rPr>
              <w:t>5.5 </w:t>
            </w:r>
          </w:p>
        </w:tc>
        <w:tc>
          <w:tcPr>
            <w:tcW w:w="0" w:type="auto"/>
            <w:shd w:val="clear" w:color="auto" w:fill="CCEEFF"/>
            <w:tcMar>
              <w:top w:w="40" w:type="dxa"/>
              <w:left w:w="0" w:type="dxa"/>
              <w:bottom w:w="40" w:type="dxa"/>
              <w:right w:w="20" w:type="dxa"/>
            </w:tcMar>
            <w:vAlign w:val="center"/>
          </w:tcPr>
          <w:p w14:paraId="098AA079"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098AA07A"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A07B" w14:textId="77777777" w:rsidR="00141CDF" w:rsidRDefault="00DF45E0">
            <w:pPr>
              <w:jc w:val="right"/>
              <w:textAlignment w:val="center"/>
            </w:pPr>
            <w:r>
              <w:rPr>
                <w:rFonts w:ascii="Times New Roman" w:eastAsia="宋体" w:hAnsi="Times New Roman"/>
                <w:color w:val="000000"/>
                <w:sz w:val="16"/>
                <w:szCs w:val="16"/>
              </w:rPr>
              <w:t>5.4 </w:t>
            </w:r>
          </w:p>
        </w:tc>
        <w:tc>
          <w:tcPr>
            <w:tcW w:w="0" w:type="auto"/>
            <w:shd w:val="clear" w:color="auto" w:fill="CCEEFF"/>
            <w:tcMar>
              <w:top w:w="40" w:type="dxa"/>
              <w:left w:w="0" w:type="dxa"/>
              <w:bottom w:w="40" w:type="dxa"/>
              <w:right w:w="20" w:type="dxa"/>
            </w:tcMar>
            <w:vAlign w:val="center"/>
          </w:tcPr>
          <w:p w14:paraId="098AA07C" w14:textId="77777777" w:rsidR="00141CDF" w:rsidRDefault="00DF45E0">
            <w:pPr>
              <w:jc w:val="right"/>
              <w:textAlignment w:val="center"/>
            </w:pPr>
            <w:r>
              <w:rPr>
                <w:rFonts w:ascii="Times New Roman" w:eastAsia="宋体" w:hAnsi="Times New Roman"/>
                <w:color w:val="000000"/>
                <w:sz w:val="16"/>
                <w:szCs w:val="16"/>
              </w:rPr>
              <w:t>%</w:t>
            </w:r>
          </w:p>
        </w:tc>
      </w:tr>
      <w:tr w:rsidR="00141CDF" w14:paraId="098AA08F" w14:textId="77777777">
        <w:trPr>
          <w:jc w:val="center"/>
        </w:trPr>
        <w:tc>
          <w:tcPr>
            <w:tcW w:w="0" w:type="auto"/>
            <w:gridSpan w:val="3"/>
            <w:shd w:val="clear" w:color="auto" w:fill="FFFFFF"/>
            <w:tcMar>
              <w:top w:w="40" w:type="dxa"/>
              <w:left w:w="20" w:type="dxa"/>
              <w:bottom w:w="40" w:type="dxa"/>
              <w:right w:w="20" w:type="dxa"/>
            </w:tcMar>
            <w:vAlign w:val="center"/>
          </w:tcPr>
          <w:p w14:paraId="098AA07E" w14:textId="77777777" w:rsidR="00141CDF" w:rsidRDefault="00DF45E0">
            <w:pPr>
              <w:textAlignment w:val="center"/>
            </w:pPr>
            <w:r>
              <w:rPr>
                <w:rFonts w:ascii="Times New Roman" w:eastAsia="宋体" w:hAnsi="Times New Roman"/>
                <w:color w:val="000000"/>
                <w:sz w:val="16"/>
                <w:szCs w:val="16"/>
              </w:rPr>
              <w:t>Operating income</w:t>
            </w:r>
          </w:p>
        </w:tc>
        <w:tc>
          <w:tcPr>
            <w:tcW w:w="0" w:type="auto"/>
            <w:gridSpan w:val="3"/>
            <w:shd w:val="clear" w:color="auto" w:fill="FFFFFF"/>
            <w:tcMar>
              <w:top w:w="0" w:type="dxa"/>
              <w:left w:w="20" w:type="dxa"/>
              <w:bottom w:w="0" w:type="dxa"/>
              <w:right w:w="20" w:type="dxa"/>
            </w:tcMar>
            <w:vAlign w:val="bottom"/>
          </w:tcPr>
          <w:p w14:paraId="098AA07F" w14:textId="77777777" w:rsidR="00141CDF" w:rsidRDefault="00141CDF">
            <w:pPr>
              <w:rPr>
                <w:rFonts w:ascii="宋体"/>
              </w:rPr>
            </w:pPr>
          </w:p>
        </w:tc>
        <w:tc>
          <w:tcPr>
            <w:tcW w:w="0" w:type="auto"/>
            <w:shd w:val="clear" w:color="auto" w:fill="FFFFFF"/>
            <w:tcMar>
              <w:top w:w="40" w:type="dxa"/>
              <w:left w:w="20" w:type="dxa"/>
              <w:bottom w:w="40" w:type="dxa"/>
              <w:right w:w="0" w:type="dxa"/>
            </w:tcMar>
            <w:vAlign w:val="center"/>
          </w:tcPr>
          <w:p w14:paraId="098AA080"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098AA081" w14:textId="77777777" w:rsidR="00141CDF" w:rsidRDefault="00DF45E0">
            <w:pPr>
              <w:jc w:val="right"/>
              <w:textAlignment w:val="center"/>
            </w:pPr>
            <w:r>
              <w:rPr>
                <w:rFonts w:ascii="Times New Roman" w:eastAsia="宋体" w:hAnsi="Times New Roman"/>
                <w:color w:val="000000"/>
                <w:sz w:val="16"/>
                <w:szCs w:val="16"/>
              </w:rPr>
              <w:t>5,683 </w:t>
            </w:r>
          </w:p>
        </w:tc>
        <w:tc>
          <w:tcPr>
            <w:tcW w:w="0" w:type="auto"/>
            <w:shd w:val="clear" w:color="auto" w:fill="FFFFFF"/>
            <w:tcMar>
              <w:top w:w="40" w:type="dxa"/>
              <w:left w:w="0" w:type="dxa"/>
              <w:bottom w:w="40" w:type="dxa"/>
              <w:right w:w="20" w:type="dxa"/>
            </w:tcMar>
            <w:vAlign w:val="center"/>
          </w:tcPr>
          <w:p w14:paraId="098AA082"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A083" w14:textId="77777777" w:rsidR="00141CDF" w:rsidRDefault="00141CDF">
            <w:pPr>
              <w:rPr>
                <w:rFonts w:ascii="宋体"/>
              </w:rPr>
            </w:pPr>
          </w:p>
        </w:tc>
        <w:tc>
          <w:tcPr>
            <w:tcW w:w="0" w:type="auto"/>
            <w:shd w:val="clear" w:color="auto" w:fill="FFFFFF"/>
            <w:tcMar>
              <w:top w:w="40" w:type="dxa"/>
              <w:left w:w="20" w:type="dxa"/>
              <w:bottom w:w="40" w:type="dxa"/>
              <w:right w:w="0" w:type="dxa"/>
            </w:tcMar>
            <w:vAlign w:val="center"/>
          </w:tcPr>
          <w:p w14:paraId="098AA084"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098AA085" w14:textId="77777777" w:rsidR="00141CDF" w:rsidRDefault="00DF45E0">
            <w:pPr>
              <w:jc w:val="right"/>
              <w:textAlignment w:val="center"/>
            </w:pPr>
            <w:r>
              <w:rPr>
                <w:rFonts w:ascii="Times New Roman" w:eastAsia="宋体" w:hAnsi="Times New Roman"/>
                <w:color w:val="000000"/>
                <w:sz w:val="16"/>
                <w:szCs w:val="16"/>
              </w:rPr>
              <w:t>6,089 </w:t>
            </w:r>
          </w:p>
        </w:tc>
        <w:tc>
          <w:tcPr>
            <w:tcW w:w="0" w:type="auto"/>
            <w:shd w:val="clear" w:color="auto" w:fill="FFFFFF"/>
            <w:tcMar>
              <w:top w:w="40" w:type="dxa"/>
              <w:left w:w="0" w:type="dxa"/>
              <w:bottom w:w="40" w:type="dxa"/>
              <w:right w:w="20" w:type="dxa"/>
            </w:tcMar>
            <w:vAlign w:val="center"/>
          </w:tcPr>
          <w:p w14:paraId="098AA086"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A087" w14:textId="77777777" w:rsidR="00141CDF" w:rsidRDefault="00141CDF">
            <w:pPr>
              <w:rPr>
                <w:rFonts w:ascii="宋体"/>
              </w:rPr>
            </w:pPr>
          </w:p>
        </w:tc>
        <w:tc>
          <w:tcPr>
            <w:tcW w:w="0" w:type="auto"/>
            <w:shd w:val="clear" w:color="auto" w:fill="FFFFFF"/>
            <w:tcMar>
              <w:top w:w="40" w:type="dxa"/>
              <w:left w:w="20" w:type="dxa"/>
              <w:bottom w:w="40" w:type="dxa"/>
              <w:right w:w="0" w:type="dxa"/>
            </w:tcMar>
            <w:vAlign w:val="center"/>
          </w:tcPr>
          <w:p w14:paraId="098AA088"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098AA089" w14:textId="77777777" w:rsidR="00141CDF" w:rsidRDefault="00DF45E0">
            <w:pPr>
              <w:jc w:val="right"/>
              <w:textAlignment w:val="center"/>
            </w:pPr>
            <w:r>
              <w:rPr>
                <w:rFonts w:ascii="Times New Roman" w:eastAsia="宋体" w:hAnsi="Times New Roman"/>
                <w:color w:val="000000"/>
                <w:sz w:val="16"/>
                <w:szCs w:val="16"/>
              </w:rPr>
              <w:t>10,145 </w:t>
            </w:r>
          </w:p>
        </w:tc>
        <w:tc>
          <w:tcPr>
            <w:tcW w:w="0" w:type="auto"/>
            <w:shd w:val="clear" w:color="auto" w:fill="FFFFFF"/>
            <w:tcMar>
              <w:top w:w="40" w:type="dxa"/>
              <w:left w:w="0" w:type="dxa"/>
              <w:bottom w:w="40" w:type="dxa"/>
              <w:right w:w="20" w:type="dxa"/>
            </w:tcMar>
            <w:vAlign w:val="center"/>
          </w:tcPr>
          <w:p w14:paraId="098AA08A"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A08B" w14:textId="77777777" w:rsidR="00141CDF" w:rsidRDefault="00141CDF">
            <w:pPr>
              <w:rPr>
                <w:rFonts w:ascii="宋体"/>
              </w:rPr>
            </w:pPr>
          </w:p>
        </w:tc>
        <w:tc>
          <w:tcPr>
            <w:tcW w:w="0" w:type="auto"/>
            <w:shd w:val="clear" w:color="auto" w:fill="FFFFFF"/>
            <w:tcMar>
              <w:top w:w="40" w:type="dxa"/>
              <w:left w:w="20" w:type="dxa"/>
              <w:bottom w:w="40" w:type="dxa"/>
              <w:right w:w="0" w:type="dxa"/>
            </w:tcMar>
            <w:vAlign w:val="center"/>
          </w:tcPr>
          <w:p w14:paraId="098AA08C"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098AA08D" w14:textId="77777777" w:rsidR="00141CDF" w:rsidRDefault="00DF45E0">
            <w:pPr>
              <w:jc w:val="right"/>
              <w:textAlignment w:val="center"/>
            </w:pPr>
            <w:r>
              <w:rPr>
                <w:rFonts w:ascii="Times New Roman" w:eastAsia="宋体" w:hAnsi="Times New Roman"/>
                <w:color w:val="000000"/>
                <w:sz w:val="16"/>
                <w:szCs w:val="16"/>
              </w:rPr>
              <w:t>11,544 </w:t>
            </w:r>
          </w:p>
        </w:tc>
        <w:tc>
          <w:tcPr>
            <w:tcW w:w="0" w:type="auto"/>
            <w:shd w:val="clear" w:color="auto" w:fill="FFFFFF"/>
            <w:tcMar>
              <w:top w:w="40" w:type="dxa"/>
              <w:left w:w="0" w:type="dxa"/>
              <w:bottom w:w="40" w:type="dxa"/>
              <w:right w:w="20" w:type="dxa"/>
            </w:tcMar>
            <w:vAlign w:val="center"/>
          </w:tcPr>
          <w:p w14:paraId="098AA08E" w14:textId="77777777" w:rsidR="00141CDF" w:rsidRDefault="00141CDF">
            <w:pPr>
              <w:jc w:val="right"/>
              <w:rPr>
                <w:rFonts w:ascii="宋体"/>
              </w:rPr>
            </w:pPr>
          </w:p>
        </w:tc>
      </w:tr>
      <w:tr w:rsidR="00141CDF" w14:paraId="098AA09D" w14:textId="77777777">
        <w:trPr>
          <w:jc w:val="center"/>
        </w:trPr>
        <w:tc>
          <w:tcPr>
            <w:tcW w:w="0" w:type="auto"/>
            <w:gridSpan w:val="3"/>
            <w:shd w:val="clear" w:color="auto" w:fill="CCEEFF"/>
            <w:tcMar>
              <w:top w:w="40" w:type="dxa"/>
              <w:left w:w="20" w:type="dxa"/>
              <w:bottom w:w="40" w:type="dxa"/>
              <w:right w:w="20" w:type="dxa"/>
            </w:tcMar>
            <w:vAlign w:val="center"/>
          </w:tcPr>
          <w:p w14:paraId="098AA090" w14:textId="77777777" w:rsidR="00141CDF" w:rsidRDefault="00DF45E0">
            <w:pPr>
              <w:textAlignment w:val="center"/>
            </w:pPr>
            <w:r>
              <w:rPr>
                <w:rFonts w:ascii="Times New Roman" w:eastAsia="宋体" w:hAnsi="Times New Roman"/>
                <w:color w:val="000000"/>
                <w:sz w:val="16"/>
                <w:szCs w:val="16"/>
              </w:rPr>
              <w:t>Operating income as a percentage of net sales</w:t>
            </w:r>
          </w:p>
        </w:tc>
        <w:tc>
          <w:tcPr>
            <w:tcW w:w="0" w:type="auto"/>
            <w:gridSpan w:val="3"/>
            <w:shd w:val="clear" w:color="auto" w:fill="CCEEFF"/>
            <w:tcMar>
              <w:top w:w="0" w:type="dxa"/>
              <w:left w:w="20" w:type="dxa"/>
              <w:bottom w:w="0" w:type="dxa"/>
              <w:right w:w="20" w:type="dxa"/>
            </w:tcMar>
            <w:vAlign w:val="bottom"/>
          </w:tcPr>
          <w:p w14:paraId="098AA091"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A092" w14:textId="77777777" w:rsidR="00141CDF" w:rsidRDefault="00DF45E0">
            <w:pPr>
              <w:jc w:val="right"/>
              <w:textAlignment w:val="center"/>
            </w:pPr>
            <w:r>
              <w:rPr>
                <w:rFonts w:ascii="Times New Roman" w:eastAsia="宋体" w:hAnsi="Times New Roman"/>
                <w:color w:val="000000"/>
                <w:sz w:val="16"/>
                <w:szCs w:val="16"/>
              </w:rPr>
              <w:t>5.4 </w:t>
            </w:r>
          </w:p>
        </w:tc>
        <w:tc>
          <w:tcPr>
            <w:tcW w:w="0" w:type="auto"/>
            <w:shd w:val="clear" w:color="auto" w:fill="CCEEFF"/>
            <w:tcMar>
              <w:top w:w="40" w:type="dxa"/>
              <w:left w:w="0" w:type="dxa"/>
              <w:bottom w:w="40" w:type="dxa"/>
              <w:right w:w="20" w:type="dxa"/>
            </w:tcMar>
            <w:vAlign w:val="center"/>
          </w:tcPr>
          <w:p w14:paraId="098AA093"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098AA094"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A095" w14:textId="77777777" w:rsidR="00141CDF" w:rsidRDefault="00DF45E0">
            <w:pPr>
              <w:jc w:val="right"/>
              <w:textAlignment w:val="center"/>
            </w:pPr>
            <w:r>
              <w:rPr>
                <w:rFonts w:ascii="Times New Roman" w:eastAsia="宋体" w:hAnsi="Times New Roman"/>
                <w:color w:val="000000"/>
                <w:sz w:val="16"/>
                <w:szCs w:val="16"/>
              </w:rPr>
              <w:t>6.2 </w:t>
            </w:r>
          </w:p>
        </w:tc>
        <w:tc>
          <w:tcPr>
            <w:tcW w:w="0" w:type="auto"/>
            <w:shd w:val="clear" w:color="auto" w:fill="CCEEFF"/>
            <w:tcMar>
              <w:top w:w="40" w:type="dxa"/>
              <w:left w:w="0" w:type="dxa"/>
              <w:bottom w:w="40" w:type="dxa"/>
              <w:right w:w="20" w:type="dxa"/>
            </w:tcMar>
            <w:vAlign w:val="center"/>
          </w:tcPr>
          <w:p w14:paraId="098AA096"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098AA097"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A098" w14:textId="77777777" w:rsidR="00141CDF" w:rsidRDefault="00DF45E0">
            <w:pPr>
              <w:jc w:val="right"/>
              <w:textAlignment w:val="center"/>
            </w:pPr>
            <w:r>
              <w:rPr>
                <w:rFonts w:ascii="Times New Roman" w:eastAsia="宋体" w:hAnsi="Times New Roman"/>
                <w:color w:val="000000"/>
                <w:sz w:val="16"/>
                <w:szCs w:val="16"/>
              </w:rPr>
              <w:t>5.0 </w:t>
            </w:r>
          </w:p>
        </w:tc>
        <w:tc>
          <w:tcPr>
            <w:tcW w:w="0" w:type="auto"/>
            <w:shd w:val="clear" w:color="auto" w:fill="CCEEFF"/>
            <w:tcMar>
              <w:top w:w="40" w:type="dxa"/>
              <w:left w:w="0" w:type="dxa"/>
              <w:bottom w:w="40" w:type="dxa"/>
              <w:right w:w="20" w:type="dxa"/>
            </w:tcMar>
            <w:vAlign w:val="center"/>
          </w:tcPr>
          <w:p w14:paraId="098AA099"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098AA09A"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A09B" w14:textId="77777777" w:rsidR="00141CDF" w:rsidRDefault="00DF45E0">
            <w:pPr>
              <w:jc w:val="right"/>
              <w:textAlignment w:val="center"/>
            </w:pPr>
            <w:r>
              <w:rPr>
                <w:rFonts w:ascii="Times New Roman" w:eastAsia="宋体" w:hAnsi="Times New Roman"/>
                <w:color w:val="000000"/>
                <w:sz w:val="16"/>
                <w:szCs w:val="16"/>
              </w:rPr>
              <w:t>6.0 </w:t>
            </w:r>
          </w:p>
        </w:tc>
        <w:tc>
          <w:tcPr>
            <w:tcW w:w="0" w:type="auto"/>
            <w:shd w:val="clear" w:color="auto" w:fill="CCEEFF"/>
            <w:tcMar>
              <w:top w:w="40" w:type="dxa"/>
              <w:left w:w="0" w:type="dxa"/>
              <w:bottom w:w="40" w:type="dxa"/>
              <w:right w:w="20" w:type="dxa"/>
            </w:tcMar>
            <w:vAlign w:val="center"/>
          </w:tcPr>
          <w:p w14:paraId="098AA09C" w14:textId="77777777" w:rsidR="00141CDF" w:rsidRDefault="00DF45E0">
            <w:pPr>
              <w:jc w:val="right"/>
              <w:textAlignment w:val="center"/>
            </w:pPr>
            <w:r>
              <w:rPr>
                <w:rFonts w:ascii="Times New Roman" w:eastAsia="宋体" w:hAnsi="Times New Roman"/>
                <w:color w:val="000000"/>
                <w:sz w:val="16"/>
                <w:szCs w:val="16"/>
              </w:rPr>
              <w:t>%</w:t>
            </w:r>
          </w:p>
        </w:tc>
      </w:tr>
      <w:tr w:rsidR="00141CDF" w14:paraId="098AA0AB" w14:textId="77777777">
        <w:trPr>
          <w:jc w:val="center"/>
        </w:trPr>
        <w:tc>
          <w:tcPr>
            <w:tcW w:w="0" w:type="auto"/>
            <w:gridSpan w:val="3"/>
            <w:shd w:val="clear" w:color="auto" w:fill="FFFFFF"/>
            <w:tcMar>
              <w:top w:w="40" w:type="dxa"/>
              <w:left w:w="20" w:type="dxa"/>
              <w:bottom w:w="40" w:type="dxa"/>
              <w:right w:w="20" w:type="dxa"/>
            </w:tcMar>
            <w:vAlign w:val="center"/>
          </w:tcPr>
          <w:p w14:paraId="098AA09E" w14:textId="77777777" w:rsidR="00141CDF" w:rsidRDefault="00DF45E0">
            <w:pPr>
              <w:textAlignment w:val="center"/>
            </w:pPr>
            <w:r>
              <w:rPr>
                <w:rFonts w:ascii="Times New Roman" w:eastAsia="宋体" w:hAnsi="Times New Roman"/>
                <w:color w:val="000000"/>
                <w:sz w:val="16"/>
                <w:szCs w:val="16"/>
              </w:rPr>
              <w:t>Unit counts at period end</w:t>
            </w:r>
          </w:p>
        </w:tc>
        <w:tc>
          <w:tcPr>
            <w:tcW w:w="0" w:type="auto"/>
            <w:gridSpan w:val="3"/>
            <w:shd w:val="clear" w:color="auto" w:fill="FFFFFF"/>
            <w:tcMar>
              <w:top w:w="0" w:type="dxa"/>
              <w:left w:w="20" w:type="dxa"/>
              <w:bottom w:w="0" w:type="dxa"/>
              <w:right w:w="20" w:type="dxa"/>
            </w:tcMar>
            <w:vAlign w:val="bottom"/>
          </w:tcPr>
          <w:p w14:paraId="098AA09F"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A0A0" w14:textId="77777777" w:rsidR="00141CDF" w:rsidRDefault="00DF45E0">
            <w:pPr>
              <w:jc w:val="right"/>
              <w:textAlignment w:val="center"/>
            </w:pPr>
            <w:r>
              <w:rPr>
                <w:rFonts w:ascii="Times New Roman" w:eastAsia="宋体" w:hAnsi="Times New Roman"/>
                <w:color w:val="000000"/>
                <w:sz w:val="16"/>
                <w:szCs w:val="16"/>
              </w:rPr>
              <w:t>4,735 </w:t>
            </w:r>
          </w:p>
        </w:tc>
        <w:tc>
          <w:tcPr>
            <w:tcW w:w="0" w:type="auto"/>
            <w:shd w:val="clear" w:color="auto" w:fill="FFFFFF"/>
            <w:tcMar>
              <w:top w:w="40" w:type="dxa"/>
              <w:left w:w="0" w:type="dxa"/>
              <w:bottom w:w="40" w:type="dxa"/>
              <w:right w:w="20" w:type="dxa"/>
            </w:tcMar>
            <w:vAlign w:val="center"/>
          </w:tcPr>
          <w:p w14:paraId="098AA0A1"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A0A2"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A0A3" w14:textId="77777777" w:rsidR="00141CDF" w:rsidRDefault="00DF45E0">
            <w:pPr>
              <w:jc w:val="right"/>
              <w:textAlignment w:val="center"/>
            </w:pPr>
            <w:r>
              <w:rPr>
                <w:rFonts w:ascii="Times New Roman" w:eastAsia="宋体" w:hAnsi="Times New Roman"/>
                <w:color w:val="000000"/>
                <w:sz w:val="16"/>
                <w:szCs w:val="16"/>
              </w:rPr>
              <w:t>4,740 </w:t>
            </w:r>
          </w:p>
        </w:tc>
        <w:tc>
          <w:tcPr>
            <w:tcW w:w="0" w:type="auto"/>
            <w:shd w:val="clear" w:color="auto" w:fill="FFFFFF"/>
            <w:tcMar>
              <w:top w:w="40" w:type="dxa"/>
              <w:left w:w="0" w:type="dxa"/>
              <w:bottom w:w="40" w:type="dxa"/>
              <w:right w:w="20" w:type="dxa"/>
            </w:tcMar>
            <w:vAlign w:val="center"/>
          </w:tcPr>
          <w:p w14:paraId="098AA0A4"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A0A5"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A0A6" w14:textId="77777777" w:rsidR="00141CDF" w:rsidRDefault="00DF45E0">
            <w:pPr>
              <w:jc w:val="right"/>
              <w:textAlignment w:val="center"/>
            </w:pPr>
            <w:r>
              <w:rPr>
                <w:rFonts w:ascii="Times New Roman" w:eastAsia="宋体" w:hAnsi="Times New Roman"/>
                <w:color w:val="000000"/>
                <w:sz w:val="16"/>
                <w:szCs w:val="16"/>
              </w:rPr>
              <w:t>4,735 </w:t>
            </w:r>
          </w:p>
        </w:tc>
        <w:tc>
          <w:tcPr>
            <w:tcW w:w="0" w:type="auto"/>
            <w:shd w:val="clear" w:color="auto" w:fill="FFFFFF"/>
            <w:tcMar>
              <w:top w:w="40" w:type="dxa"/>
              <w:left w:w="0" w:type="dxa"/>
              <w:bottom w:w="40" w:type="dxa"/>
              <w:right w:w="20" w:type="dxa"/>
            </w:tcMar>
            <w:vAlign w:val="center"/>
          </w:tcPr>
          <w:p w14:paraId="098AA0A7"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A0A8"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A0A9" w14:textId="77777777" w:rsidR="00141CDF" w:rsidRDefault="00DF45E0">
            <w:pPr>
              <w:jc w:val="right"/>
              <w:textAlignment w:val="center"/>
            </w:pPr>
            <w:r>
              <w:rPr>
                <w:rFonts w:ascii="Times New Roman" w:eastAsia="宋体" w:hAnsi="Times New Roman"/>
                <w:color w:val="000000"/>
                <w:sz w:val="16"/>
                <w:szCs w:val="16"/>
              </w:rPr>
              <w:t>4,740 </w:t>
            </w:r>
          </w:p>
        </w:tc>
        <w:tc>
          <w:tcPr>
            <w:tcW w:w="0" w:type="auto"/>
            <w:shd w:val="clear" w:color="auto" w:fill="FFFFFF"/>
            <w:tcMar>
              <w:top w:w="40" w:type="dxa"/>
              <w:left w:w="0" w:type="dxa"/>
              <w:bottom w:w="40" w:type="dxa"/>
              <w:right w:w="20" w:type="dxa"/>
            </w:tcMar>
            <w:vAlign w:val="center"/>
          </w:tcPr>
          <w:p w14:paraId="098AA0AA" w14:textId="77777777" w:rsidR="00141CDF" w:rsidRDefault="00141CDF">
            <w:pPr>
              <w:jc w:val="right"/>
              <w:rPr>
                <w:rFonts w:ascii="宋体"/>
              </w:rPr>
            </w:pPr>
          </w:p>
        </w:tc>
      </w:tr>
      <w:tr w:rsidR="00141CDF" w14:paraId="098AA0B9" w14:textId="77777777">
        <w:trPr>
          <w:jc w:val="center"/>
        </w:trPr>
        <w:tc>
          <w:tcPr>
            <w:tcW w:w="0" w:type="auto"/>
            <w:gridSpan w:val="3"/>
            <w:shd w:val="clear" w:color="auto" w:fill="CCEEFF"/>
            <w:tcMar>
              <w:top w:w="40" w:type="dxa"/>
              <w:left w:w="20" w:type="dxa"/>
              <w:bottom w:w="40" w:type="dxa"/>
              <w:right w:w="20" w:type="dxa"/>
            </w:tcMar>
            <w:vAlign w:val="center"/>
          </w:tcPr>
          <w:p w14:paraId="098AA0AC" w14:textId="77777777" w:rsidR="00141CDF" w:rsidRDefault="00DF45E0">
            <w:pPr>
              <w:textAlignment w:val="center"/>
            </w:pPr>
            <w:r>
              <w:rPr>
                <w:rFonts w:ascii="Times New Roman" w:eastAsia="宋体" w:hAnsi="Times New Roman"/>
                <w:color w:val="000000"/>
                <w:sz w:val="16"/>
                <w:szCs w:val="16"/>
              </w:rPr>
              <w:t>Retail square feet at period end</w:t>
            </w:r>
          </w:p>
        </w:tc>
        <w:tc>
          <w:tcPr>
            <w:tcW w:w="0" w:type="auto"/>
            <w:gridSpan w:val="3"/>
            <w:shd w:val="clear" w:color="auto" w:fill="CCEEFF"/>
            <w:tcMar>
              <w:top w:w="0" w:type="dxa"/>
              <w:left w:w="20" w:type="dxa"/>
              <w:bottom w:w="0" w:type="dxa"/>
              <w:right w:w="20" w:type="dxa"/>
            </w:tcMar>
            <w:vAlign w:val="bottom"/>
          </w:tcPr>
          <w:p w14:paraId="098AA0AD"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A0AE" w14:textId="77777777" w:rsidR="00141CDF" w:rsidRDefault="00DF45E0">
            <w:pPr>
              <w:jc w:val="right"/>
              <w:textAlignment w:val="center"/>
            </w:pPr>
            <w:r>
              <w:rPr>
                <w:rFonts w:ascii="Times New Roman" w:eastAsia="宋体" w:hAnsi="Times New Roman"/>
                <w:color w:val="000000"/>
                <w:sz w:val="16"/>
                <w:szCs w:val="16"/>
              </w:rPr>
              <w:t>702 </w:t>
            </w:r>
          </w:p>
        </w:tc>
        <w:tc>
          <w:tcPr>
            <w:tcW w:w="0" w:type="auto"/>
            <w:shd w:val="clear" w:color="auto" w:fill="CCEEFF"/>
            <w:tcMar>
              <w:top w:w="40" w:type="dxa"/>
              <w:left w:w="0" w:type="dxa"/>
              <w:bottom w:w="40" w:type="dxa"/>
              <w:right w:w="20" w:type="dxa"/>
            </w:tcMar>
            <w:vAlign w:val="center"/>
          </w:tcPr>
          <w:p w14:paraId="098AA0AF"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A0B0"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A0B1" w14:textId="77777777" w:rsidR="00141CDF" w:rsidRDefault="00DF45E0">
            <w:pPr>
              <w:jc w:val="right"/>
              <w:textAlignment w:val="center"/>
            </w:pPr>
            <w:r>
              <w:rPr>
                <w:rFonts w:ascii="Times New Roman" w:eastAsia="宋体" w:hAnsi="Times New Roman"/>
                <w:color w:val="000000"/>
                <w:sz w:val="16"/>
                <w:szCs w:val="16"/>
              </w:rPr>
              <w:t>703 </w:t>
            </w:r>
          </w:p>
        </w:tc>
        <w:tc>
          <w:tcPr>
            <w:tcW w:w="0" w:type="auto"/>
            <w:shd w:val="clear" w:color="auto" w:fill="CCEEFF"/>
            <w:tcMar>
              <w:top w:w="40" w:type="dxa"/>
              <w:left w:w="0" w:type="dxa"/>
              <w:bottom w:w="40" w:type="dxa"/>
              <w:right w:w="20" w:type="dxa"/>
            </w:tcMar>
            <w:vAlign w:val="center"/>
          </w:tcPr>
          <w:p w14:paraId="098AA0B2"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A0B3"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A0B4" w14:textId="77777777" w:rsidR="00141CDF" w:rsidRDefault="00DF45E0">
            <w:pPr>
              <w:jc w:val="right"/>
              <w:textAlignment w:val="center"/>
            </w:pPr>
            <w:r>
              <w:rPr>
                <w:rFonts w:ascii="Times New Roman" w:eastAsia="宋体" w:hAnsi="Times New Roman"/>
                <w:color w:val="000000"/>
                <w:sz w:val="16"/>
                <w:szCs w:val="16"/>
              </w:rPr>
              <w:t>702 </w:t>
            </w:r>
          </w:p>
        </w:tc>
        <w:tc>
          <w:tcPr>
            <w:tcW w:w="0" w:type="auto"/>
            <w:shd w:val="clear" w:color="auto" w:fill="CCEEFF"/>
            <w:tcMar>
              <w:top w:w="40" w:type="dxa"/>
              <w:left w:w="0" w:type="dxa"/>
              <w:bottom w:w="40" w:type="dxa"/>
              <w:right w:w="20" w:type="dxa"/>
            </w:tcMar>
            <w:vAlign w:val="center"/>
          </w:tcPr>
          <w:p w14:paraId="098AA0B5"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A0B6"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A0B7" w14:textId="77777777" w:rsidR="00141CDF" w:rsidRDefault="00DF45E0">
            <w:pPr>
              <w:jc w:val="right"/>
              <w:textAlignment w:val="center"/>
            </w:pPr>
            <w:r>
              <w:rPr>
                <w:rFonts w:ascii="Times New Roman" w:eastAsia="宋体" w:hAnsi="Times New Roman"/>
                <w:color w:val="000000"/>
                <w:sz w:val="16"/>
                <w:szCs w:val="16"/>
              </w:rPr>
              <w:t>703 </w:t>
            </w:r>
          </w:p>
        </w:tc>
        <w:tc>
          <w:tcPr>
            <w:tcW w:w="0" w:type="auto"/>
            <w:shd w:val="clear" w:color="auto" w:fill="CCEEFF"/>
            <w:tcMar>
              <w:top w:w="40" w:type="dxa"/>
              <w:left w:w="0" w:type="dxa"/>
              <w:bottom w:w="40" w:type="dxa"/>
              <w:right w:w="20" w:type="dxa"/>
            </w:tcMar>
            <w:vAlign w:val="center"/>
          </w:tcPr>
          <w:p w14:paraId="098AA0B8" w14:textId="77777777" w:rsidR="00141CDF" w:rsidRDefault="00141CDF">
            <w:pPr>
              <w:jc w:val="right"/>
              <w:rPr>
                <w:rFonts w:ascii="宋体"/>
              </w:rPr>
            </w:pPr>
          </w:p>
        </w:tc>
      </w:tr>
    </w:tbl>
    <w:p w14:paraId="098AA0BA" w14:textId="77777777" w:rsidR="00141CDF" w:rsidRDefault="00DF45E0">
      <w:pPr>
        <w:spacing w:before="100"/>
      </w:pPr>
      <w:r>
        <w:rPr>
          <w:rFonts w:ascii="Times New Roman" w:eastAsia="宋体" w:hAnsi="Times New Roman"/>
          <w:color w:val="000000"/>
          <w:sz w:val="20"/>
          <w:szCs w:val="20"/>
        </w:rPr>
        <w:t>Net sales for the Walmart U.S. segment increased $6.9 billion or 7.</w:t>
      </w:r>
      <w:r>
        <w:rPr>
          <w:rFonts w:ascii="Times New Roman" w:eastAsia="宋体" w:hAnsi="Times New Roman"/>
          <w:color w:val="000000"/>
          <w:sz w:val="20"/>
          <w:szCs w:val="20"/>
        </w:rPr>
        <w:t>1% and $10.7 billion or 5.6% for the three and six months ended July 31, 2022, when compared to the same periods in the previous fiscal year. The increases were due to comparable sales of 7.0% and 5.5% for the three and six months ended July 31, 2022, resp</w:t>
      </w:r>
      <w:r>
        <w:rPr>
          <w:rFonts w:ascii="Times New Roman" w:eastAsia="宋体" w:hAnsi="Times New Roman"/>
          <w:color w:val="000000"/>
          <w:sz w:val="20"/>
          <w:szCs w:val="20"/>
        </w:rPr>
        <w:t>ectively, driven by growth in average ticket, including strong food sales and higher inflation impacts in certain merchandise categories, as well as a slight increase in transactions. The Walmart U.S. segment's eCommerce sales positively contributed approx</w:t>
      </w:r>
      <w:r>
        <w:rPr>
          <w:rFonts w:ascii="Times New Roman" w:eastAsia="宋体" w:hAnsi="Times New Roman"/>
          <w:color w:val="000000"/>
          <w:sz w:val="20"/>
          <w:szCs w:val="20"/>
        </w:rPr>
        <w:t>imately 0.6% for the three months ended July 31, 2022, which was primarily driven by store pickup and delivery. For the six months ended July 31, 2022, eCommerce sales growth had a negligible impact on the Walmart U.S. segment total comparable sales growth</w:t>
      </w:r>
      <w:r>
        <w:rPr>
          <w:rFonts w:ascii="Times New Roman" w:eastAsia="宋体" w:hAnsi="Times New Roman"/>
          <w:color w:val="000000"/>
          <w:sz w:val="20"/>
          <w:szCs w:val="20"/>
        </w:rPr>
        <w:t>.</w:t>
      </w:r>
    </w:p>
    <w:p w14:paraId="098AA0BB" w14:textId="77777777" w:rsidR="00141CDF" w:rsidRDefault="00DF45E0">
      <w:pPr>
        <w:spacing w:before="100"/>
      </w:pPr>
      <w:r>
        <w:rPr>
          <w:rFonts w:ascii="Times New Roman" w:eastAsia="宋体" w:hAnsi="Times New Roman"/>
          <w:color w:val="000000"/>
          <w:sz w:val="20"/>
          <w:szCs w:val="20"/>
        </w:rPr>
        <w:t>Gross profit rate decreased 106 basis points for the three months ended July 31, 2022, when compared to the same period in the previous fiscal year, primarily driven by product mix shifts into lower margin categories and net markdowns, partially offset b</w:t>
      </w:r>
      <w:r>
        <w:rPr>
          <w:rFonts w:ascii="Times New Roman" w:eastAsia="宋体" w:hAnsi="Times New Roman"/>
          <w:color w:val="000000"/>
          <w:sz w:val="20"/>
          <w:szCs w:val="20"/>
        </w:rPr>
        <w:t>y price management impacts driven by higher inflation. For the six months ended July 31, 2022, gross profit rate decreased 74 basis points primarily due to product mix shifts into lower margin categories and increased supply chain costs, partially offset b</w:t>
      </w:r>
      <w:r>
        <w:rPr>
          <w:rFonts w:ascii="Times New Roman" w:eastAsia="宋体" w:hAnsi="Times New Roman"/>
          <w:color w:val="000000"/>
          <w:sz w:val="20"/>
          <w:szCs w:val="20"/>
        </w:rPr>
        <w:t xml:space="preserve">y price management impacts driven by higher inflation. </w:t>
      </w:r>
    </w:p>
    <w:p w14:paraId="098AA0BC" w14:textId="77777777" w:rsidR="00141CDF" w:rsidRDefault="00DF45E0">
      <w:pPr>
        <w:spacing w:before="100"/>
      </w:pPr>
      <w:r>
        <w:rPr>
          <w:rFonts w:ascii="Times New Roman" w:eastAsia="宋体" w:hAnsi="Times New Roman"/>
          <w:color w:val="000000"/>
          <w:sz w:val="20"/>
          <w:szCs w:val="20"/>
        </w:rPr>
        <w:t>Operating expenses as a percentage of net sales decreased 21 basis points for three months ended July 31, 2022, when compared to the same period in the previous fiscal year, primarily driven by strong</w:t>
      </w:r>
      <w:r>
        <w:rPr>
          <w:rFonts w:ascii="Times New Roman" w:eastAsia="宋体" w:hAnsi="Times New Roman"/>
          <w:color w:val="000000"/>
          <w:sz w:val="20"/>
          <w:szCs w:val="20"/>
        </w:rPr>
        <w:t xml:space="preserve"> sales growth and lower incremental COVID-19 costs, partially offset by increased wage costs. Operating expenses as a percentage of net sales increased 35 basis points for the six months ended July 31, 2022, when compared to the same period in the previous</w:t>
      </w:r>
      <w:r>
        <w:rPr>
          <w:rFonts w:ascii="Times New Roman" w:eastAsia="宋体" w:hAnsi="Times New Roman"/>
          <w:color w:val="000000"/>
          <w:sz w:val="20"/>
          <w:szCs w:val="20"/>
        </w:rPr>
        <w:t xml:space="preserve"> fiscal year, primarily driven by increased wage costs, partially offset by strong sales growth and lower incremental COVID-19 costs.</w:t>
      </w:r>
    </w:p>
    <w:p w14:paraId="098AA0BD" w14:textId="77777777" w:rsidR="00141CDF" w:rsidRDefault="00DF45E0">
      <w:pPr>
        <w:spacing w:before="100"/>
      </w:pPr>
      <w:r>
        <w:rPr>
          <w:rFonts w:ascii="Times New Roman" w:eastAsia="宋体" w:hAnsi="Times New Roman"/>
          <w:color w:val="000000"/>
          <w:sz w:val="20"/>
          <w:szCs w:val="20"/>
        </w:rPr>
        <w:t>As a result of the factors discussed above, operating income decreased $0.4 billion and $1.4 billion for the three and six</w:t>
      </w:r>
      <w:r>
        <w:rPr>
          <w:rFonts w:ascii="Times New Roman" w:eastAsia="宋体" w:hAnsi="Times New Roman"/>
          <w:color w:val="000000"/>
          <w:sz w:val="20"/>
          <w:szCs w:val="20"/>
        </w:rPr>
        <w:t xml:space="preserve"> months ended July 31, 2022, respectively, when compared to the same periods in the previous fiscal year. </w:t>
      </w:r>
    </w:p>
    <w:p w14:paraId="098AA0BE" w14:textId="77777777" w:rsidR="00141CDF" w:rsidRDefault="00DF45E0">
      <w:pPr>
        <w:spacing w:before="240"/>
      </w:pPr>
      <w:r>
        <w:rPr>
          <w:rFonts w:ascii="Times New Roman" w:eastAsia="宋体" w:hAnsi="Times New Roman"/>
          <w:b/>
          <w:bCs/>
          <w:i/>
          <w:iCs/>
          <w:color w:val="000000"/>
          <w:sz w:val="20"/>
          <w:szCs w:val="20"/>
        </w:rPr>
        <w:t>Walmart International Segment</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035"/>
        <w:gridCol w:w="37"/>
        <w:gridCol w:w="36"/>
        <w:gridCol w:w="36"/>
        <w:gridCol w:w="36"/>
        <w:gridCol w:w="100"/>
        <w:gridCol w:w="752"/>
        <w:gridCol w:w="154"/>
        <w:gridCol w:w="36"/>
        <w:gridCol w:w="36"/>
        <w:gridCol w:w="36"/>
        <w:gridCol w:w="100"/>
        <w:gridCol w:w="715"/>
        <w:gridCol w:w="154"/>
        <w:gridCol w:w="36"/>
        <w:gridCol w:w="36"/>
        <w:gridCol w:w="36"/>
        <w:gridCol w:w="100"/>
        <w:gridCol w:w="715"/>
        <w:gridCol w:w="154"/>
        <w:gridCol w:w="36"/>
        <w:gridCol w:w="36"/>
        <w:gridCol w:w="36"/>
        <w:gridCol w:w="100"/>
        <w:gridCol w:w="596"/>
        <w:gridCol w:w="154"/>
      </w:tblGrid>
      <w:tr w:rsidR="00141CDF" w14:paraId="098AA0DA" w14:textId="77777777">
        <w:trPr>
          <w:jc w:val="center"/>
        </w:trPr>
        <w:tc>
          <w:tcPr>
            <w:tcW w:w="50" w:type="pct"/>
            <w:shd w:val="clear" w:color="auto" w:fill="auto"/>
            <w:vAlign w:val="bottom"/>
          </w:tcPr>
          <w:p w14:paraId="098AA0BF" w14:textId="77777777" w:rsidR="00141CDF" w:rsidRDefault="00141CDF">
            <w:pPr>
              <w:rPr>
                <w:rFonts w:ascii="宋体"/>
              </w:rPr>
            </w:pPr>
          </w:p>
        </w:tc>
        <w:tc>
          <w:tcPr>
            <w:tcW w:w="2547" w:type="pct"/>
            <w:shd w:val="clear" w:color="auto" w:fill="auto"/>
            <w:vAlign w:val="bottom"/>
          </w:tcPr>
          <w:p w14:paraId="098AA0C0" w14:textId="77777777" w:rsidR="00141CDF" w:rsidRDefault="00141CDF">
            <w:pPr>
              <w:rPr>
                <w:rFonts w:ascii="宋体"/>
              </w:rPr>
            </w:pPr>
          </w:p>
        </w:tc>
        <w:tc>
          <w:tcPr>
            <w:tcW w:w="5" w:type="pct"/>
            <w:shd w:val="clear" w:color="auto" w:fill="auto"/>
            <w:vAlign w:val="bottom"/>
          </w:tcPr>
          <w:p w14:paraId="098AA0C1" w14:textId="77777777" w:rsidR="00141CDF" w:rsidRDefault="00141CDF">
            <w:pPr>
              <w:rPr>
                <w:rFonts w:ascii="宋体"/>
              </w:rPr>
            </w:pPr>
          </w:p>
        </w:tc>
        <w:tc>
          <w:tcPr>
            <w:tcW w:w="5" w:type="pct"/>
            <w:shd w:val="clear" w:color="auto" w:fill="auto"/>
            <w:vAlign w:val="bottom"/>
          </w:tcPr>
          <w:p w14:paraId="098AA0C2" w14:textId="77777777" w:rsidR="00141CDF" w:rsidRDefault="00141CDF">
            <w:pPr>
              <w:rPr>
                <w:rFonts w:ascii="宋体"/>
              </w:rPr>
            </w:pPr>
          </w:p>
        </w:tc>
        <w:tc>
          <w:tcPr>
            <w:tcW w:w="19" w:type="pct"/>
            <w:shd w:val="clear" w:color="auto" w:fill="auto"/>
            <w:vAlign w:val="bottom"/>
          </w:tcPr>
          <w:p w14:paraId="098AA0C3" w14:textId="77777777" w:rsidR="00141CDF" w:rsidRDefault="00141CDF">
            <w:pPr>
              <w:rPr>
                <w:rFonts w:ascii="宋体"/>
              </w:rPr>
            </w:pPr>
          </w:p>
        </w:tc>
        <w:tc>
          <w:tcPr>
            <w:tcW w:w="5" w:type="pct"/>
            <w:shd w:val="clear" w:color="auto" w:fill="auto"/>
            <w:vAlign w:val="bottom"/>
          </w:tcPr>
          <w:p w14:paraId="098AA0C4" w14:textId="77777777" w:rsidR="00141CDF" w:rsidRDefault="00141CDF">
            <w:pPr>
              <w:rPr>
                <w:rFonts w:ascii="宋体"/>
              </w:rPr>
            </w:pPr>
          </w:p>
        </w:tc>
        <w:tc>
          <w:tcPr>
            <w:tcW w:w="50" w:type="pct"/>
            <w:shd w:val="clear" w:color="auto" w:fill="auto"/>
            <w:vAlign w:val="bottom"/>
          </w:tcPr>
          <w:p w14:paraId="098AA0C5" w14:textId="77777777" w:rsidR="00141CDF" w:rsidRDefault="00141CDF">
            <w:pPr>
              <w:rPr>
                <w:rFonts w:ascii="宋体"/>
              </w:rPr>
            </w:pPr>
          </w:p>
        </w:tc>
        <w:tc>
          <w:tcPr>
            <w:tcW w:w="529" w:type="pct"/>
            <w:shd w:val="clear" w:color="auto" w:fill="auto"/>
            <w:vAlign w:val="bottom"/>
          </w:tcPr>
          <w:p w14:paraId="098AA0C6" w14:textId="77777777" w:rsidR="00141CDF" w:rsidRDefault="00141CDF">
            <w:pPr>
              <w:rPr>
                <w:rFonts w:ascii="宋体"/>
              </w:rPr>
            </w:pPr>
          </w:p>
        </w:tc>
        <w:tc>
          <w:tcPr>
            <w:tcW w:w="5" w:type="pct"/>
            <w:shd w:val="clear" w:color="auto" w:fill="auto"/>
            <w:vAlign w:val="bottom"/>
          </w:tcPr>
          <w:p w14:paraId="098AA0C7" w14:textId="77777777" w:rsidR="00141CDF" w:rsidRDefault="00141CDF">
            <w:pPr>
              <w:rPr>
                <w:rFonts w:ascii="宋体"/>
              </w:rPr>
            </w:pPr>
          </w:p>
        </w:tc>
        <w:tc>
          <w:tcPr>
            <w:tcW w:w="5" w:type="pct"/>
            <w:shd w:val="clear" w:color="auto" w:fill="auto"/>
            <w:vAlign w:val="bottom"/>
          </w:tcPr>
          <w:p w14:paraId="098AA0C8" w14:textId="77777777" w:rsidR="00141CDF" w:rsidRDefault="00141CDF">
            <w:pPr>
              <w:rPr>
                <w:rFonts w:ascii="宋体"/>
              </w:rPr>
            </w:pPr>
          </w:p>
        </w:tc>
        <w:tc>
          <w:tcPr>
            <w:tcW w:w="19" w:type="pct"/>
            <w:shd w:val="clear" w:color="auto" w:fill="auto"/>
            <w:vAlign w:val="bottom"/>
          </w:tcPr>
          <w:p w14:paraId="098AA0C9" w14:textId="77777777" w:rsidR="00141CDF" w:rsidRDefault="00141CDF">
            <w:pPr>
              <w:rPr>
                <w:rFonts w:ascii="宋体"/>
              </w:rPr>
            </w:pPr>
          </w:p>
        </w:tc>
        <w:tc>
          <w:tcPr>
            <w:tcW w:w="5" w:type="pct"/>
            <w:shd w:val="clear" w:color="auto" w:fill="auto"/>
            <w:vAlign w:val="bottom"/>
          </w:tcPr>
          <w:p w14:paraId="098AA0CA" w14:textId="77777777" w:rsidR="00141CDF" w:rsidRDefault="00141CDF">
            <w:pPr>
              <w:rPr>
                <w:rFonts w:ascii="宋体"/>
              </w:rPr>
            </w:pPr>
          </w:p>
        </w:tc>
        <w:tc>
          <w:tcPr>
            <w:tcW w:w="50" w:type="pct"/>
            <w:shd w:val="clear" w:color="auto" w:fill="auto"/>
            <w:vAlign w:val="bottom"/>
          </w:tcPr>
          <w:p w14:paraId="098AA0CB" w14:textId="77777777" w:rsidR="00141CDF" w:rsidRDefault="00141CDF">
            <w:pPr>
              <w:rPr>
                <w:rFonts w:ascii="宋体"/>
              </w:rPr>
            </w:pPr>
          </w:p>
        </w:tc>
        <w:tc>
          <w:tcPr>
            <w:tcW w:w="507" w:type="pct"/>
            <w:shd w:val="clear" w:color="auto" w:fill="auto"/>
            <w:vAlign w:val="bottom"/>
          </w:tcPr>
          <w:p w14:paraId="098AA0CC" w14:textId="77777777" w:rsidR="00141CDF" w:rsidRDefault="00141CDF">
            <w:pPr>
              <w:rPr>
                <w:rFonts w:ascii="宋体"/>
              </w:rPr>
            </w:pPr>
          </w:p>
        </w:tc>
        <w:tc>
          <w:tcPr>
            <w:tcW w:w="5" w:type="pct"/>
            <w:shd w:val="clear" w:color="auto" w:fill="auto"/>
            <w:vAlign w:val="bottom"/>
          </w:tcPr>
          <w:p w14:paraId="098AA0CD" w14:textId="77777777" w:rsidR="00141CDF" w:rsidRDefault="00141CDF">
            <w:pPr>
              <w:rPr>
                <w:rFonts w:ascii="宋体"/>
              </w:rPr>
            </w:pPr>
          </w:p>
        </w:tc>
        <w:tc>
          <w:tcPr>
            <w:tcW w:w="5" w:type="pct"/>
            <w:shd w:val="clear" w:color="auto" w:fill="auto"/>
            <w:vAlign w:val="bottom"/>
          </w:tcPr>
          <w:p w14:paraId="098AA0CE" w14:textId="77777777" w:rsidR="00141CDF" w:rsidRDefault="00141CDF">
            <w:pPr>
              <w:rPr>
                <w:rFonts w:ascii="宋体"/>
              </w:rPr>
            </w:pPr>
          </w:p>
        </w:tc>
        <w:tc>
          <w:tcPr>
            <w:tcW w:w="19" w:type="pct"/>
            <w:shd w:val="clear" w:color="auto" w:fill="auto"/>
            <w:vAlign w:val="bottom"/>
          </w:tcPr>
          <w:p w14:paraId="098AA0CF" w14:textId="77777777" w:rsidR="00141CDF" w:rsidRDefault="00141CDF">
            <w:pPr>
              <w:rPr>
                <w:rFonts w:ascii="宋体"/>
              </w:rPr>
            </w:pPr>
          </w:p>
        </w:tc>
        <w:tc>
          <w:tcPr>
            <w:tcW w:w="5" w:type="pct"/>
            <w:shd w:val="clear" w:color="auto" w:fill="auto"/>
            <w:vAlign w:val="bottom"/>
          </w:tcPr>
          <w:p w14:paraId="098AA0D0" w14:textId="77777777" w:rsidR="00141CDF" w:rsidRDefault="00141CDF">
            <w:pPr>
              <w:rPr>
                <w:rFonts w:ascii="宋体"/>
              </w:rPr>
            </w:pPr>
          </w:p>
        </w:tc>
        <w:tc>
          <w:tcPr>
            <w:tcW w:w="50" w:type="pct"/>
            <w:shd w:val="clear" w:color="auto" w:fill="auto"/>
            <w:vAlign w:val="bottom"/>
          </w:tcPr>
          <w:p w14:paraId="098AA0D1" w14:textId="77777777" w:rsidR="00141CDF" w:rsidRDefault="00141CDF">
            <w:pPr>
              <w:rPr>
                <w:rFonts w:ascii="宋体"/>
              </w:rPr>
            </w:pPr>
          </w:p>
        </w:tc>
        <w:tc>
          <w:tcPr>
            <w:tcW w:w="507" w:type="pct"/>
            <w:shd w:val="clear" w:color="auto" w:fill="auto"/>
            <w:vAlign w:val="bottom"/>
          </w:tcPr>
          <w:p w14:paraId="098AA0D2" w14:textId="77777777" w:rsidR="00141CDF" w:rsidRDefault="00141CDF">
            <w:pPr>
              <w:rPr>
                <w:rFonts w:ascii="宋体"/>
              </w:rPr>
            </w:pPr>
          </w:p>
        </w:tc>
        <w:tc>
          <w:tcPr>
            <w:tcW w:w="5" w:type="pct"/>
            <w:shd w:val="clear" w:color="auto" w:fill="auto"/>
            <w:vAlign w:val="bottom"/>
          </w:tcPr>
          <w:p w14:paraId="098AA0D3" w14:textId="77777777" w:rsidR="00141CDF" w:rsidRDefault="00141CDF">
            <w:pPr>
              <w:rPr>
                <w:rFonts w:ascii="宋体"/>
              </w:rPr>
            </w:pPr>
          </w:p>
        </w:tc>
        <w:tc>
          <w:tcPr>
            <w:tcW w:w="5" w:type="pct"/>
            <w:shd w:val="clear" w:color="auto" w:fill="auto"/>
            <w:vAlign w:val="bottom"/>
          </w:tcPr>
          <w:p w14:paraId="098AA0D4" w14:textId="77777777" w:rsidR="00141CDF" w:rsidRDefault="00141CDF">
            <w:pPr>
              <w:rPr>
                <w:rFonts w:ascii="宋体"/>
              </w:rPr>
            </w:pPr>
          </w:p>
        </w:tc>
        <w:tc>
          <w:tcPr>
            <w:tcW w:w="26" w:type="pct"/>
            <w:shd w:val="clear" w:color="auto" w:fill="auto"/>
            <w:vAlign w:val="bottom"/>
          </w:tcPr>
          <w:p w14:paraId="098AA0D5" w14:textId="77777777" w:rsidR="00141CDF" w:rsidRDefault="00141CDF">
            <w:pPr>
              <w:rPr>
                <w:rFonts w:ascii="宋体"/>
              </w:rPr>
            </w:pPr>
          </w:p>
        </w:tc>
        <w:tc>
          <w:tcPr>
            <w:tcW w:w="5" w:type="pct"/>
            <w:shd w:val="clear" w:color="auto" w:fill="auto"/>
            <w:vAlign w:val="bottom"/>
          </w:tcPr>
          <w:p w14:paraId="098AA0D6" w14:textId="77777777" w:rsidR="00141CDF" w:rsidRDefault="00141CDF">
            <w:pPr>
              <w:rPr>
                <w:rFonts w:ascii="宋体"/>
              </w:rPr>
            </w:pPr>
          </w:p>
        </w:tc>
        <w:tc>
          <w:tcPr>
            <w:tcW w:w="50" w:type="pct"/>
            <w:shd w:val="clear" w:color="auto" w:fill="auto"/>
            <w:vAlign w:val="bottom"/>
          </w:tcPr>
          <w:p w14:paraId="098AA0D7" w14:textId="77777777" w:rsidR="00141CDF" w:rsidRDefault="00141CDF">
            <w:pPr>
              <w:rPr>
                <w:rFonts w:ascii="宋体"/>
              </w:rPr>
            </w:pPr>
          </w:p>
        </w:tc>
        <w:tc>
          <w:tcPr>
            <w:tcW w:w="508" w:type="pct"/>
            <w:shd w:val="clear" w:color="auto" w:fill="auto"/>
            <w:vAlign w:val="bottom"/>
          </w:tcPr>
          <w:p w14:paraId="098AA0D8" w14:textId="77777777" w:rsidR="00141CDF" w:rsidRDefault="00141CDF">
            <w:pPr>
              <w:rPr>
                <w:rFonts w:ascii="宋体"/>
              </w:rPr>
            </w:pPr>
          </w:p>
        </w:tc>
        <w:tc>
          <w:tcPr>
            <w:tcW w:w="5" w:type="pct"/>
            <w:shd w:val="clear" w:color="auto" w:fill="auto"/>
            <w:vAlign w:val="bottom"/>
          </w:tcPr>
          <w:p w14:paraId="098AA0D9" w14:textId="77777777" w:rsidR="00141CDF" w:rsidRDefault="00141CDF">
            <w:pPr>
              <w:rPr>
                <w:rFonts w:ascii="宋体"/>
              </w:rPr>
            </w:pPr>
          </w:p>
        </w:tc>
      </w:tr>
      <w:tr w:rsidR="00141CDF" w14:paraId="098AA0E0" w14:textId="77777777">
        <w:trPr>
          <w:jc w:val="center"/>
        </w:trPr>
        <w:tc>
          <w:tcPr>
            <w:tcW w:w="0" w:type="auto"/>
            <w:gridSpan w:val="3"/>
            <w:shd w:val="clear" w:color="auto" w:fill="auto"/>
            <w:tcMar>
              <w:top w:w="40" w:type="dxa"/>
              <w:left w:w="20" w:type="dxa"/>
              <w:bottom w:w="40" w:type="dxa"/>
              <w:right w:w="20" w:type="dxa"/>
            </w:tcMar>
            <w:vAlign w:val="center"/>
          </w:tcPr>
          <w:p w14:paraId="098AA0DB" w14:textId="77777777" w:rsidR="00141CDF" w:rsidRDefault="00DF45E0">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098AA0DC" w14:textId="77777777" w:rsidR="00141CDF" w:rsidRDefault="00141CDF">
            <w:pPr>
              <w:rPr>
                <w:rFonts w:ascii="宋体"/>
              </w:rPr>
            </w:pPr>
          </w:p>
        </w:tc>
        <w:tc>
          <w:tcPr>
            <w:tcW w:w="0" w:type="auto"/>
            <w:gridSpan w:val="9"/>
            <w:shd w:val="clear" w:color="auto" w:fill="auto"/>
            <w:tcMar>
              <w:top w:w="40" w:type="dxa"/>
              <w:left w:w="20" w:type="dxa"/>
              <w:bottom w:w="40" w:type="dxa"/>
              <w:right w:w="20" w:type="dxa"/>
            </w:tcMar>
            <w:vAlign w:val="center"/>
          </w:tcPr>
          <w:p w14:paraId="098AA0DD" w14:textId="77777777" w:rsidR="00141CDF" w:rsidRDefault="00DF45E0">
            <w:pPr>
              <w:jc w:val="center"/>
              <w:textAlignment w:val="center"/>
            </w:pPr>
            <w:r>
              <w:rPr>
                <w:rFonts w:ascii="Times New Roman" w:eastAsia="宋体" w:hAnsi="Times New Roman"/>
                <w:b/>
                <w:bCs/>
                <w:color w:val="000000"/>
                <w:sz w:val="16"/>
                <w:szCs w:val="16"/>
              </w:rPr>
              <w:t>Three Months Ended July 31,</w:t>
            </w:r>
          </w:p>
        </w:tc>
        <w:tc>
          <w:tcPr>
            <w:tcW w:w="0" w:type="auto"/>
            <w:gridSpan w:val="3"/>
            <w:shd w:val="clear" w:color="auto" w:fill="auto"/>
            <w:tcMar>
              <w:top w:w="0" w:type="dxa"/>
              <w:left w:w="20" w:type="dxa"/>
              <w:bottom w:w="0" w:type="dxa"/>
              <w:right w:w="20" w:type="dxa"/>
            </w:tcMar>
            <w:vAlign w:val="bottom"/>
          </w:tcPr>
          <w:p w14:paraId="098AA0DE" w14:textId="77777777" w:rsidR="00141CDF" w:rsidRDefault="00141CDF">
            <w:pPr>
              <w:rPr>
                <w:rFonts w:ascii="宋体"/>
              </w:rPr>
            </w:pPr>
          </w:p>
        </w:tc>
        <w:tc>
          <w:tcPr>
            <w:tcW w:w="0" w:type="auto"/>
            <w:gridSpan w:val="9"/>
            <w:shd w:val="clear" w:color="auto" w:fill="auto"/>
            <w:tcMar>
              <w:top w:w="40" w:type="dxa"/>
              <w:left w:w="20" w:type="dxa"/>
              <w:bottom w:w="40" w:type="dxa"/>
              <w:right w:w="20" w:type="dxa"/>
            </w:tcMar>
            <w:vAlign w:val="center"/>
          </w:tcPr>
          <w:p w14:paraId="098AA0DF" w14:textId="77777777" w:rsidR="00141CDF" w:rsidRDefault="00DF45E0">
            <w:pPr>
              <w:jc w:val="center"/>
              <w:textAlignment w:val="center"/>
            </w:pPr>
            <w:r>
              <w:rPr>
                <w:rFonts w:ascii="Times New Roman" w:eastAsia="宋体" w:hAnsi="Times New Roman"/>
                <w:b/>
                <w:bCs/>
                <w:color w:val="000000"/>
                <w:sz w:val="16"/>
                <w:szCs w:val="16"/>
              </w:rPr>
              <w:t>Six Months Ended July 31,</w:t>
            </w:r>
          </w:p>
        </w:tc>
      </w:tr>
      <w:tr w:rsidR="00141CDF" w14:paraId="098AA0EA" w14:textId="77777777">
        <w:trPr>
          <w:jc w:val="center"/>
        </w:trPr>
        <w:tc>
          <w:tcPr>
            <w:tcW w:w="0" w:type="auto"/>
            <w:gridSpan w:val="3"/>
            <w:shd w:val="clear" w:color="auto" w:fill="auto"/>
            <w:tcMar>
              <w:top w:w="40" w:type="dxa"/>
              <w:left w:w="20" w:type="dxa"/>
              <w:bottom w:w="40" w:type="dxa"/>
              <w:right w:w="20" w:type="dxa"/>
            </w:tcMar>
            <w:vAlign w:val="center"/>
          </w:tcPr>
          <w:p w14:paraId="098AA0E1" w14:textId="77777777" w:rsidR="00141CDF" w:rsidRDefault="00DF45E0">
            <w:pPr>
              <w:textAlignment w:val="center"/>
            </w:pPr>
            <w:r>
              <w:rPr>
                <w:rFonts w:ascii="Times New Roman" w:eastAsia="宋体" w:hAnsi="Times New Roman"/>
                <w:i/>
                <w:iCs/>
                <w:color w:val="000000"/>
                <w:sz w:val="16"/>
                <w:szCs w:val="16"/>
              </w:rPr>
              <w:t>(Amounts in millions, except unit counts)</w:t>
            </w:r>
          </w:p>
        </w:tc>
        <w:tc>
          <w:tcPr>
            <w:tcW w:w="0" w:type="auto"/>
            <w:gridSpan w:val="3"/>
            <w:shd w:val="clear" w:color="auto" w:fill="auto"/>
            <w:tcMar>
              <w:top w:w="0" w:type="dxa"/>
              <w:left w:w="20" w:type="dxa"/>
              <w:bottom w:w="0" w:type="dxa"/>
              <w:right w:w="20" w:type="dxa"/>
            </w:tcMar>
            <w:vAlign w:val="bottom"/>
          </w:tcPr>
          <w:p w14:paraId="098AA0E2"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98AA0E3" w14:textId="77777777" w:rsidR="00141CDF" w:rsidRDefault="00DF45E0">
            <w:pPr>
              <w:jc w:val="center"/>
              <w:textAlignment w:val="center"/>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A0E4"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98AA0E5" w14:textId="77777777" w:rsidR="00141CDF" w:rsidRDefault="00DF45E0">
            <w:pPr>
              <w:jc w:val="center"/>
              <w:textAlignment w:val="center"/>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098AA0E6"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98AA0E7" w14:textId="77777777" w:rsidR="00141CDF" w:rsidRDefault="00DF45E0">
            <w:pPr>
              <w:jc w:val="center"/>
              <w:textAlignment w:val="center"/>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A0E8"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98AA0E9" w14:textId="77777777" w:rsidR="00141CDF" w:rsidRDefault="00DF45E0">
            <w:pPr>
              <w:jc w:val="center"/>
              <w:textAlignment w:val="center"/>
            </w:pPr>
            <w:r>
              <w:rPr>
                <w:rFonts w:ascii="Times New Roman" w:eastAsia="宋体" w:hAnsi="Times New Roman"/>
                <w:b/>
                <w:bCs/>
                <w:color w:val="000000"/>
                <w:sz w:val="16"/>
                <w:szCs w:val="16"/>
              </w:rPr>
              <w:t>2021</w:t>
            </w:r>
          </w:p>
        </w:tc>
      </w:tr>
      <w:tr w:rsidR="00141CDF" w14:paraId="098AA0FC" w14:textId="77777777">
        <w:trPr>
          <w:jc w:val="center"/>
        </w:trPr>
        <w:tc>
          <w:tcPr>
            <w:tcW w:w="0" w:type="auto"/>
            <w:gridSpan w:val="3"/>
            <w:shd w:val="clear" w:color="auto" w:fill="CCEEFF"/>
            <w:tcMar>
              <w:top w:w="40" w:type="dxa"/>
              <w:left w:w="20" w:type="dxa"/>
              <w:bottom w:w="40" w:type="dxa"/>
              <w:right w:w="20" w:type="dxa"/>
            </w:tcMar>
            <w:vAlign w:val="center"/>
          </w:tcPr>
          <w:p w14:paraId="098AA0EB" w14:textId="77777777" w:rsidR="00141CDF" w:rsidRDefault="00DF45E0">
            <w:pPr>
              <w:textAlignment w:val="center"/>
            </w:pPr>
            <w:r>
              <w:rPr>
                <w:rFonts w:ascii="Times New Roman" w:eastAsia="宋体" w:hAnsi="Times New Roman"/>
                <w:color w:val="000000"/>
                <w:sz w:val="16"/>
                <w:szCs w:val="16"/>
              </w:rPr>
              <w:t>Net sales</w:t>
            </w:r>
          </w:p>
        </w:tc>
        <w:tc>
          <w:tcPr>
            <w:tcW w:w="0" w:type="auto"/>
            <w:gridSpan w:val="3"/>
            <w:shd w:val="clear" w:color="auto" w:fill="CCEEFF"/>
            <w:tcMar>
              <w:top w:w="0" w:type="dxa"/>
              <w:left w:w="20" w:type="dxa"/>
              <w:bottom w:w="0" w:type="dxa"/>
              <w:right w:w="20" w:type="dxa"/>
            </w:tcMar>
            <w:vAlign w:val="bottom"/>
          </w:tcPr>
          <w:p w14:paraId="098AA0EC"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A0ED"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A0EE" w14:textId="77777777" w:rsidR="00141CDF" w:rsidRDefault="00DF45E0">
            <w:pPr>
              <w:jc w:val="right"/>
              <w:textAlignment w:val="center"/>
            </w:pPr>
            <w:r>
              <w:rPr>
                <w:rFonts w:ascii="Times New Roman" w:eastAsia="宋体" w:hAnsi="Times New Roman"/>
                <w:color w:val="000000"/>
                <w:sz w:val="16"/>
                <w:szCs w:val="16"/>
              </w:rPr>
              <w:t>24,350 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A0EF"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A0F0"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A0F1"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A0F2" w14:textId="77777777" w:rsidR="00141CDF" w:rsidRDefault="00DF45E0">
            <w:pPr>
              <w:jc w:val="right"/>
              <w:textAlignment w:val="center"/>
            </w:pPr>
            <w:r>
              <w:rPr>
                <w:rFonts w:ascii="Times New Roman" w:eastAsia="宋体" w:hAnsi="Times New Roman"/>
                <w:color w:val="000000"/>
                <w:sz w:val="16"/>
                <w:szCs w:val="16"/>
              </w:rPr>
              <w:t>23,035 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A0F3"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A0F4"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A0F5"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A0F6" w14:textId="77777777" w:rsidR="00141CDF" w:rsidRDefault="00DF45E0">
            <w:pPr>
              <w:jc w:val="right"/>
              <w:textAlignment w:val="center"/>
            </w:pPr>
            <w:r>
              <w:rPr>
                <w:rFonts w:ascii="Times New Roman" w:eastAsia="宋体" w:hAnsi="Times New Roman"/>
                <w:color w:val="000000"/>
                <w:sz w:val="16"/>
                <w:szCs w:val="16"/>
              </w:rPr>
              <w:t>48,113 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A0F7"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A0F8"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A0F9"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A0FA" w14:textId="77777777" w:rsidR="00141CDF" w:rsidRDefault="00DF45E0">
            <w:pPr>
              <w:jc w:val="right"/>
              <w:textAlignment w:val="center"/>
            </w:pPr>
            <w:r>
              <w:rPr>
                <w:rFonts w:ascii="Times New Roman" w:eastAsia="宋体" w:hAnsi="Times New Roman"/>
                <w:color w:val="000000"/>
                <w:sz w:val="16"/>
                <w:szCs w:val="16"/>
              </w:rPr>
              <w:t>50,335 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A0FB" w14:textId="77777777" w:rsidR="00141CDF" w:rsidRDefault="00141CDF">
            <w:pPr>
              <w:jc w:val="right"/>
              <w:rPr>
                <w:rFonts w:ascii="宋体"/>
              </w:rPr>
            </w:pPr>
          </w:p>
        </w:tc>
      </w:tr>
      <w:tr w:rsidR="00141CDF" w14:paraId="098AA10A" w14:textId="77777777">
        <w:trPr>
          <w:jc w:val="center"/>
        </w:trPr>
        <w:tc>
          <w:tcPr>
            <w:tcW w:w="0" w:type="auto"/>
            <w:gridSpan w:val="3"/>
            <w:shd w:val="clear" w:color="auto" w:fill="FFFFFF"/>
            <w:tcMar>
              <w:top w:w="40" w:type="dxa"/>
              <w:left w:w="20" w:type="dxa"/>
              <w:bottom w:w="40" w:type="dxa"/>
              <w:right w:w="20" w:type="dxa"/>
            </w:tcMar>
            <w:vAlign w:val="center"/>
          </w:tcPr>
          <w:p w14:paraId="098AA0FD" w14:textId="77777777" w:rsidR="00141CDF" w:rsidRDefault="00DF45E0">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vAlign w:val="bottom"/>
          </w:tcPr>
          <w:p w14:paraId="098AA0FE"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A0FF" w14:textId="77777777" w:rsidR="00141CDF" w:rsidRDefault="00DF45E0">
            <w:pPr>
              <w:jc w:val="right"/>
              <w:textAlignment w:val="center"/>
            </w:pPr>
            <w:r>
              <w:rPr>
                <w:rFonts w:ascii="Times New Roman" w:eastAsia="宋体" w:hAnsi="Times New Roman"/>
                <w:color w:val="000000"/>
                <w:sz w:val="16"/>
                <w:szCs w:val="16"/>
              </w:rPr>
              <w:t>5.7 </w:t>
            </w:r>
          </w:p>
        </w:tc>
        <w:tc>
          <w:tcPr>
            <w:tcW w:w="0" w:type="auto"/>
            <w:shd w:val="clear" w:color="auto" w:fill="FFFFFF"/>
            <w:tcMar>
              <w:top w:w="40" w:type="dxa"/>
              <w:left w:w="0" w:type="dxa"/>
              <w:bottom w:w="40" w:type="dxa"/>
              <w:right w:w="20" w:type="dxa"/>
            </w:tcMar>
            <w:vAlign w:val="center"/>
          </w:tcPr>
          <w:p w14:paraId="098AA100"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098AA101"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A102" w14:textId="77777777" w:rsidR="00141CDF" w:rsidRDefault="00DF45E0">
            <w:pPr>
              <w:jc w:val="right"/>
              <w:textAlignment w:val="center"/>
            </w:pPr>
            <w:r>
              <w:rPr>
                <w:rFonts w:ascii="Times New Roman" w:eastAsia="宋体" w:hAnsi="Times New Roman"/>
                <w:color w:val="000000"/>
                <w:sz w:val="16"/>
                <w:szCs w:val="16"/>
              </w:rPr>
              <w:t>(15.2)</w:t>
            </w:r>
          </w:p>
        </w:tc>
        <w:tc>
          <w:tcPr>
            <w:tcW w:w="0" w:type="auto"/>
            <w:shd w:val="clear" w:color="auto" w:fill="FFFFFF"/>
            <w:tcMar>
              <w:top w:w="40" w:type="dxa"/>
              <w:left w:w="0" w:type="dxa"/>
              <w:bottom w:w="40" w:type="dxa"/>
              <w:right w:w="20" w:type="dxa"/>
            </w:tcMar>
            <w:vAlign w:val="center"/>
          </w:tcPr>
          <w:p w14:paraId="098AA103"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098AA104"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A105" w14:textId="77777777" w:rsidR="00141CDF" w:rsidRDefault="00DF45E0">
            <w:pPr>
              <w:jc w:val="right"/>
              <w:textAlignment w:val="center"/>
            </w:pPr>
            <w:r>
              <w:rPr>
                <w:rFonts w:ascii="Times New Roman" w:eastAsia="宋体" w:hAnsi="Times New Roman"/>
                <w:color w:val="000000"/>
                <w:sz w:val="16"/>
                <w:szCs w:val="16"/>
              </w:rPr>
              <w:t>(4.4)</w:t>
            </w:r>
          </w:p>
        </w:tc>
        <w:tc>
          <w:tcPr>
            <w:tcW w:w="0" w:type="auto"/>
            <w:shd w:val="clear" w:color="auto" w:fill="FFFFFF"/>
            <w:tcMar>
              <w:top w:w="40" w:type="dxa"/>
              <w:left w:w="0" w:type="dxa"/>
              <w:bottom w:w="40" w:type="dxa"/>
              <w:right w:w="20" w:type="dxa"/>
            </w:tcMar>
            <w:vAlign w:val="center"/>
          </w:tcPr>
          <w:p w14:paraId="098AA106"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098AA107"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A108" w14:textId="77777777" w:rsidR="00141CDF" w:rsidRDefault="00DF45E0">
            <w:pPr>
              <w:jc w:val="right"/>
              <w:textAlignment w:val="center"/>
            </w:pPr>
            <w:r>
              <w:rPr>
                <w:rFonts w:ascii="Times New Roman" w:eastAsia="宋体" w:hAnsi="Times New Roman"/>
                <w:color w:val="000000"/>
                <w:sz w:val="16"/>
                <w:szCs w:val="16"/>
              </w:rPr>
              <w:t>(11.6)</w:t>
            </w:r>
          </w:p>
        </w:tc>
        <w:tc>
          <w:tcPr>
            <w:tcW w:w="0" w:type="auto"/>
            <w:shd w:val="clear" w:color="auto" w:fill="FFFFFF"/>
            <w:tcMar>
              <w:top w:w="40" w:type="dxa"/>
              <w:left w:w="0" w:type="dxa"/>
              <w:bottom w:w="40" w:type="dxa"/>
              <w:right w:w="20" w:type="dxa"/>
            </w:tcMar>
            <w:vAlign w:val="center"/>
          </w:tcPr>
          <w:p w14:paraId="098AA109" w14:textId="77777777" w:rsidR="00141CDF" w:rsidRDefault="00DF45E0">
            <w:pPr>
              <w:jc w:val="right"/>
              <w:textAlignment w:val="center"/>
            </w:pPr>
            <w:r>
              <w:rPr>
                <w:rFonts w:ascii="Times New Roman" w:eastAsia="宋体" w:hAnsi="Times New Roman"/>
                <w:color w:val="000000"/>
                <w:sz w:val="16"/>
                <w:szCs w:val="16"/>
              </w:rPr>
              <w:t>%</w:t>
            </w:r>
          </w:p>
        </w:tc>
      </w:tr>
      <w:tr w:rsidR="00141CDF" w14:paraId="098AA11C" w14:textId="77777777">
        <w:trPr>
          <w:jc w:val="center"/>
        </w:trPr>
        <w:tc>
          <w:tcPr>
            <w:tcW w:w="0" w:type="auto"/>
            <w:gridSpan w:val="3"/>
            <w:shd w:val="clear" w:color="auto" w:fill="CCEEFF"/>
            <w:tcMar>
              <w:top w:w="40" w:type="dxa"/>
              <w:left w:w="20" w:type="dxa"/>
              <w:bottom w:w="40" w:type="dxa"/>
              <w:right w:w="20" w:type="dxa"/>
            </w:tcMar>
            <w:vAlign w:val="center"/>
          </w:tcPr>
          <w:p w14:paraId="098AA10B" w14:textId="77777777" w:rsidR="00141CDF" w:rsidRDefault="00DF45E0">
            <w:pPr>
              <w:textAlignment w:val="center"/>
            </w:pPr>
            <w:r>
              <w:rPr>
                <w:rFonts w:ascii="Times New Roman" w:eastAsia="宋体" w:hAnsi="Times New Roman"/>
                <w:color w:val="000000"/>
                <w:sz w:val="16"/>
                <w:szCs w:val="16"/>
              </w:rPr>
              <w:t>Operating income</w:t>
            </w:r>
          </w:p>
        </w:tc>
        <w:tc>
          <w:tcPr>
            <w:tcW w:w="0" w:type="auto"/>
            <w:gridSpan w:val="3"/>
            <w:shd w:val="clear" w:color="auto" w:fill="CCEEFF"/>
            <w:tcMar>
              <w:top w:w="0" w:type="dxa"/>
              <w:left w:w="20" w:type="dxa"/>
              <w:bottom w:w="0" w:type="dxa"/>
              <w:right w:w="20" w:type="dxa"/>
            </w:tcMar>
            <w:vAlign w:val="bottom"/>
          </w:tcPr>
          <w:p w14:paraId="098AA10C"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A10D"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A10E" w14:textId="77777777" w:rsidR="00141CDF" w:rsidRDefault="00DF45E0">
            <w:pPr>
              <w:jc w:val="right"/>
              <w:textAlignment w:val="center"/>
            </w:pPr>
            <w:r>
              <w:rPr>
                <w:rFonts w:ascii="Times New Roman" w:eastAsia="宋体" w:hAnsi="Times New Roman"/>
                <w:color w:val="000000"/>
                <w:sz w:val="16"/>
                <w:szCs w:val="16"/>
              </w:rPr>
              <w:t>1,043 </w:t>
            </w:r>
          </w:p>
        </w:tc>
        <w:tc>
          <w:tcPr>
            <w:tcW w:w="0" w:type="auto"/>
            <w:shd w:val="clear" w:color="auto" w:fill="CCEEFF"/>
            <w:tcMar>
              <w:top w:w="40" w:type="dxa"/>
              <w:left w:w="0" w:type="dxa"/>
              <w:bottom w:w="40" w:type="dxa"/>
              <w:right w:w="20" w:type="dxa"/>
            </w:tcMar>
            <w:vAlign w:val="center"/>
          </w:tcPr>
          <w:p w14:paraId="098AA10F"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A110"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A111"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A112" w14:textId="77777777" w:rsidR="00141CDF" w:rsidRDefault="00DF45E0">
            <w:pPr>
              <w:jc w:val="right"/>
              <w:textAlignment w:val="center"/>
            </w:pPr>
            <w:r>
              <w:rPr>
                <w:rFonts w:ascii="Times New Roman" w:eastAsia="宋体" w:hAnsi="Times New Roman"/>
                <w:color w:val="000000"/>
                <w:sz w:val="16"/>
                <w:szCs w:val="16"/>
              </w:rPr>
              <w:t>861 </w:t>
            </w:r>
          </w:p>
        </w:tc>
        <w:tc>
          <w:tcPr>
            <w:tcW w:w="0" w:type="auto"/>
            <w:shd w:val="clear" w:color="auto" w:fill="CCEEFF"/>
            <w:tcMar>
              <w:top w:w="40" w:type="dxa"/>
              <w:left w:w="0" w:type="dxa"/>
              <w:bottom w:w="40" w:type="dxa"/>
              <w:right w:w="20" w:type="dxa"/>
            </w:tcMar>
            <w:vAlign w:val="center"/>
          </w:tcPr>
          <w:p w14:paraId="098AA113"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A114"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A115"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A116" w14:textId="77777777" w:rsidR="00141CDF" w:rsidRDefault="00DF45E0">
            <w:pPr>
              <w:jc w:val="right"/>
              <w:textAlignment w:val="center"/>
            </w:pPr>
            <w:r>
              <w:rPr>
                <w:rFonts w:ascii="Times New Roman" w:eastAsia="宋体" w:hAnsi="Times New Roman"/>
                <w:color w:val="000000"/>
                <w:sz w:val="16"/>
                <w:szCs w:val="16"/>
              </w:rPr>
              <w:t>1,815 </w:t>
            </w:r>
          </w:p>
        </w:tc>
        <w:tc>
          <w:tcPr>
            <w:tcW w:w="0" w:type="auto"/>
            <w:shd w:val="clear" w:color="auto" w:fill="CCEEFF"/>
            <w:tcMar>
              <w:top w:w="40" w:type="dxa"/>
              <w:left w:w="0" w:type="dxa"/>
              <w:bottom w:w="40" w:type="dxa"/>
              <w:right w:w="20" w:type="dxa"/>
            </w:tcMar>
            <w:vAlign w:val="center"/>
          </w:tcPr>
          <w:p w14:paraId="098AA117"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A118"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A119"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A11A" w14:textId="77777777" w:rsidR="00141CDF" w:rsidRDefault="00DF45E0">
            <w:pPr>
              <w:jc w:val="right"/>
              <w:textAlignment w:val="center"/>
            </w:pPr>
            <w:r>
              <w:rPr>
                <w:rFonts w:ascii="Times New Roman" w:eastAsia="宋体" w:hAnsi="Times New Roman"/>
                <w:color w:val="000000"/>
                <w:sz w:val="16"/>
                <w:szCs w:val="16"/>
              </w:rPr>
              <w:t>2,055 </w:t>
            </w:r>
          </w:p>
        </w:tc>
        <w:tc>
          <w:tcPr>
            <w:tcW w:w="0" w:type="auto"/>
            <w:shd w:val="clear" w:color="auto" w:fill="CCEEFF"/>
            <w:tcMar>
              <w:top w:w="40" w:type="dxa"/>
              <w:left w:w="0" w:type="dxa"/>
              <w:bottom w:w="40" w:type="dxa"/>
              <w:right w:w="20" w:type="dxa"/>
            </w:tcMar>
            <w:vAlign w:val="center"/>
          </w:tcPr>
          <w:p w14:paraId="098AA11B" w14:textId="77777777" w:rsidR="00141CDF" w:rsidRDefault="00141CDF">
            <w:pPr>
              <w:jc w:val="right"/>
              <w:rPr>
                <w:rFonts w:ascii="宋体"/>
              </w:rPr>
            </w:pPr>
          </w:p>
        </w:tc>
      </w:tr>
      <w:tr w:rsidR="00141CDF" w14:paraId="098AA12A" w14:textId="77777777">
        <w:trPr>
          <w:jc w:val="center"/>
        </w:trPr>
        <w:tc>
          <w:tcPr>
            <w:tcW w:w="0" w:type="auto"/>
            <w:gridSpan w:val="3"/>
            <w:shd w:val="clear" w:color="auto" w:fill="FFFFFF"/>
            <w:tcMar>
              <w:top w:w="40" w:type="dxa"/>
              <w:left w:w="20" w:type="dxa"/>
              <w:bottom w:w="40" w:type="dxa"/>
              <w:right w:w="20" w:type="dxa"/>
            </w:tcMar>
            <w:vAlign w:val="center"/>
          </w:tcPr>
          <w:p w14:paraId="098AA11D" w14:textId="77777777" w:rsidR="00141CDF" w:rsidRDefault="00DF45E0">
            <w:pPr>
              <w:textAlignment w:val="center"/>
            </w:pPr>
            <w:r>
              <w:rPr>
                <w:rFonts w:ascii="Times New Roman" w:eastAsia="宋体" w:hAnsi="Times New Roman"/>
                <w:color w:val="000000"/>
                <w:sz w:val="16"/>
                <w:szCs w:val="16"/>
              </w:rPr>
              <w:t>Operating income as a percentage of net sales</w:t>
            </w:r>
          </w:p>
        </w:tc>
        <w:tc>
          <w:tcPr>
            <w:tcW w:w="0" w:type="auto"/>
            <w:gridSpan w:val="3"/>
            <w:shd w:val="clear" w:color="auto" w:fill="FFFFFF"/>
            <w:tcMar>
              <w:top w:w="0" w:type="dxa"/>
              <w:left w:w="20" w:type="dxa"/>
              <w:bottom w:w="0" w:type="dxa"/>
              <w:right w:w="20" w:type="dxa"/>
            </w:tcMar>
            <w:vAlign w:val="bottom"/>
          </w:tcPr>
          <w:p w14:paraId="098AA11E"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A11F" w14:textId="77777777" w:rsidR="00141CDF" w:rsidRDefault="00DF45E0">
            <w:pPr>
              <w:jc w:val="right"/>
              <w:textAlignment w:val="center"/>
            </w:pPr>
            <w:r>
              <w:rPr>
                <w:rFonts w:ascii="Times New Roman" w:eastAsia="宋体" w:hAnsi="Times New Roman"/>
                <w:color w:val="000000"/>
                <w:sz w:val="16"/>
                <w:szCs w:val="16"/>
              </w:rPr>
              <w:t>4.3 </w:t>
            </w:r>
          </w:p>
        </w:tc>
        <w:tc>
          <w:tcPr>
            <w:tcW w:w="0" w:type="auto"/>
            <w:shd w:val="clear" w:color="auto" w:fill="FFFFFF"/>
            <w:tcMar>
              <w:top w:w="40" w:type="dxa"/>
              <w:left w:w="0" w:type="dxa"/>
              <w:bottom w:w="40" w:type="dxa"/>
              <w:right w:w="20" w:type="dxa"/>
            </w:tcMar>
            <w:vAlign w:val="center"/>
          </w:tcPr>
          <w:p w14:paraId="098AA120"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098AA121"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A122" w14:textId="77777777" w:rsidR="00141CDF" w:rsidRDefault="00DF45E0">
            <w:pPr>
              <w:jc w:val="right"/>
              <w:textAlignment w:val="center"/>
            </w:pPr>
            <w:r>
              <w:rPr>
                <w:rFonts w:ascii="Times New Roman" w:eastAsia="宋体" w:hAnsi="Times New Roman"/>
                <w:color w:val="000000"/>
                <w:sz w:val="16"/>
                <w:szCs w:val="16"/>
              </w:rPr>
              <w:t>3.7 </w:t>
            </w:r>
          </w:p>
        </w:tc>
        <w:tc>
          <w:tcPr>
            <w:tcW w:w="0" w:type="auto"/>
            <w:shd w:val="clear" w:color="auto" w:fill="FFFFFF"/>
            <w:tcMar>
              <w:top w:w="40" w:type="dxa"/>
              <w:left w:w="0" w:type="dxa"/>
              <w:bottom w:w="40" w:type="dxa"/>
              <w:right w:w="20" w:type="dxa"/>
            </w:tcMar>
            <w:vAlign w:val="center"/>
          </w:tcPr>
          <w:p w14:paraId="098AA123"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098AA124"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A125" w14:textId="77777777" w:rsidR="00141CDF" w:rsidRDefault="00DF45E0">
            <w:pPr>
              <w:jc w:val="right"/>
              <w:textAlignment w:val="center"/>
            </w:pPr>
            <w:r>
              <w:rPr>
                <w:rFonts w:ascii="Times New Roman" w:eastAsia="宋体" w:hAnsi="Times New Roman"/>
                <w:color w:val="000000"/>
                <w:sz w:val="16"/>
                <w:szCs w:val="16"/>
              </w:rPr>
              <w:t>3.8 </w:t>
            </w:r>
          </w:p>
        </w:tc>
        <w:tc>
          <w:tcPr>
            <w:tcW w:w="0" w:type="auto"/>
            <w:shd w:val="clear" w:color="auto" w:fill="FFFFFF"/>
            <w:tcMar>
              <w:top w:w="40" w:type="dxa"/>
              <w:left w:w="0" w:type="dxa"/>
              <w:bottom w:w="40" w:type="dxa"/>
              <w:right w:w="20" w:type="dxa"/>
            </w:tcMar>
            <w:vAlign w:val="center"/>
          </w:tcPr>
          <w:p w14:paraId="098AA126"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098AA127"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A128" w14:textId="77777777" w:rsidR="00141CDF" w:rsidRDefault="00DF45E0">
            <w:pPr>
              <w:jc w:val="right"/>
              <w:textAlignment w:val="center"/>
            </w:pPr>
            <w:r>
              <w:rPr>
                <w:rFonts w:ascii="Times New Roman" w:eastAsia="宋体" w:hAnsi="Times New Roman"/>
                <w:color w:val="000000"/>
                <w:sz w:val="16"/>
                <w:szCs w:val="16"/>
              </w:rPr>
              <w:t>4.1 </w:t>
            </w:r>
          </w:p>
        </w:tc>
        <w:tc>
          <w:tcPr>
            <w:tcW w:w="0" w:type="auto"/>
            <w:shd w:val="clear" w:color="auto" w:fill="FFFFFF"/>
            <w:tcMar>
              <w:top w:w="40" w:type="dxa"/>
              <w:left w:w="0" w:type="dxa"/>
              <w:bottom w:w="40" w:type="dxa"/>
              <w:right w:w="20" w:type="dxa"/>
            </w:tcMar>
            <w:vAlign w:val="center"/>
          </w:tcPr>
          <w:p w14:paraId="098AA129" w14:textId="77777777" w:rsidR="00141CDF" w:rsidRDefault="00DF45E0">
            <w:pPr>
              <w:jc w:val="right"/>
              <w:textAlignment w:val="center"/>
            </w:pPr>
            <w:r>
              <w:rPr>
                <w:rFonts w:ascii="Times New Roman" w:eastAsia="宋体" w:hAnsi="Times New Roman"/>
                <w:color w:val="000000"/>
                <w:sz w:val="16"/>
                <w:szCs w:val="16"/>
              </w:rPr>
              <w:t>%</w:t>
            </w:r>
          </w:p>
        </w:tc>
      </w:tr>
      <w:tr w:rsidR="00141CDF" w14:paraId="098AA138" w14:textId="77777777">
        <w:trPr>
          <w:jc w:val="center"/>
        </w:trPr>
        <w:tc>
          <w:tcPr>
            <w:tcW w:w="0" w:type="auto"/>
            <w:gridSpan w:val="3"/>
            <w:shd w:val="clear" w:color="auto" w:fill="CCEEFF"/>
            <w:tcMar>
              <w:top w:w="40" w:type="dxa"/>
              <w:left w:w="20" w:type="dxa"/>
              <w:bottom w:w="40" w:type="dxa"/>
              <w:right w:w="20" w:type="dxa"/>
            </w:tcMar>
            <w:vAlign w:val="center"/>
          </w:tcPr>
          <w:p w14:paraId="098AA12B" w14:textId="77777777" w:rsidR="00141CDF" w:rsidRDefault="00DF45E0">
            <w:pPr>
              <w:textAlignment w:val="center"/>
            </w:pPr>
            <w:r>
              <w:rPr>
                <w:rFonts w:ascii="Times New Roman" w:eastAsia="宋体" w:hAnsi="Times New Roman"/>
                <w:color w:val="000000"/>
                <w:sz w:val="16"/>
                <w:szCs w:val="16"/>
              </w:rPr>
              <w:t>Unit counts at period end</w:t>
            </w:r>
          </w:p>
        </w:tc>
        <w:tc>
          <w:tcPr>
            <w:tcW w:w="0" w:type="auto"/>
            <w:gridSpan w:val="3"/>
            <w:shd w:val="clear" w:color="auto" w:fill="CCEEFF"/>
            <w:tcMar>
              <w:top w:w="0" w:type="dxa"/>
              <w:left w:w="20" w:type="dxa"/>
              <w:bottom w:w="0" w:type="dxa"/>
              <w:right w:w="20" w:type="dxa"/>
            </w:tcMar>
            <w:vAlign w:val="bottom"/>
          </w:tcPr>
          <w:p w14:paraId="098AA12C"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A12D" w14:textId="77777777" w:rsidR="00141CDF" w:rsidRDefault="00DF45E0">
            <w:pPr>
              <w:jc w:val="right"/>
              <w:textAlignment w:val="center"/>
            </w:pPr>
            <w:r>
              <w:rPr>
                <w:rFonts w:ascii="Times New Roman" w:eastAsia="宋体" w:hAnsi="Times New Roman"/>
                <w:color w:val="000000"/>
                <w:sz w:val="16"/>
                <w:szCs w:val="16"/>
              </w:rPr>
              <w:t>5,250 </w:t>
            </w:r>
          </w:p>
        </w:tc>
        <w:tc>
          <w:tcPr>
            <w:tcW w:w="0" w:type="auto"/>
            <w:shd w:val="clear" w:color="auto" w:fill="CCEEFF"/>
            <w:tcMar>
              <w:top w:w="40" w:type="dxa"/>
              <w:left w:w="0" w:type="dxa"/>
              <w:bottom w:w="40" w:type="dxa"/>
              <w:right w:w="20" w:type="dxa"/>
            </w:tcMar>
            <w:vAlign w:val="center"/>
          </w:tcPr>
          <w:p w14:paraId="098AA12E"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A12F"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A130" w14:textId="77777777" w:rsidR="00141CDF" w:rsidRDefault="00DF45E0">
            <w:pPr>
              <w:jc w:val="right"/>
              <w:textAlignment w:val="center"/>
            </w:pPr>
            <w:r>
              <w:rPr>
                <w:rFonts w:ascii="Times New Roman" w:eastAsia="宋体" w:hAnsi="Times New Roman"/>
                <w:color w:val="000000"/>
                <w:sz w:val="16"/>
                <w:szCs w:val="16"/>
              </w:rPr>
              <w:t>5,185 </w:t>
            </w:r>
          </w:p>
        </w:tc>
        <w:tc>
          <w:tcPr>
            <w:tcW w:w="0" w:type="auto"/>
            <w:shd w:val="clear" w:color="auto" w:fill="CCEEFF"/>
            <w:tcMar>
              <w:top w:w="40" w:type="dxa"/>
              <w:left w:w="0" w:type="dxa"/>
              <w:bottom w:w="40" w:type="dxa"/>
              <w:right w:w="20" w:type="dxa"/>
            </w:tcMar>
            <w:vAlign w:val="center"/>
          </w:tcPr>
          <w:p w14:paraId="098AA131"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A132"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A133" w14:textId="77777777" w:rsidR="00141CDF" w:rsidRDefault="00DF45E0">
            <w:pPr>
              <w:jc w:val="right"/>
              <w:textAlignment w:val="center"/>
            </w:pPr>
            <w:r>
              <w:rPr>
                <w:rFonts w:ascii="Times New Roman" w:eastAsia="宋体" w:hAnsi="Times New Roman"/>
                <w:color w:val="000000"/>
                <w:sz w:val="16"/>
                <w:szCs w:val="16"/>
              </w:rPr>
              <w:t>5,250 </w:t>
            </w:r>
          </w:p>
        </w:tc>
        <w:tc>
          <w:tcPr>
            <w:tcW w:w="0" w:type="auto"/>
            <w:shd w:val="clear" w:color="auto" w:fill="CCEEFF"/>
            <w:tcMar>
              <w:top w:w="40" w:type="dxa"/>
              <w:left w:w="0" w:type="dxa"/>
              <w:bottom w:w="40" w:type="dxa"/>
              <w:right w:w="20" w:type="dxa"/>
            </w:tcMar>
            <w:vAlign w:val="center"/>
          </w:tcPr>
          <w:p w14:paraId="098AA134"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A135"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A136" w14:textId="77777777" w:rsidR="00141CDF" w:rsidRDefault="00DF45E0">
            <w:pPr>
              <w:jc w:val="right"/>
              <w:textAlignment w:val="center"/>
            </w:pPr>
            <w:r>
              <w:rPr>
                <w:rFonts w:ascii="Times New Roman" w:eastAsia="宋体" w:hAnsi="Times New Roman"/>
                <w:color w:val="000000"/>
                <w:sz w:val="16"/>
                <w:szCs w:val="16"/>
              </w:rPr>
              <w:t>5,185 </w:t>
            </w:r>
          </w:p>
        </w:tc>
        <w:tc>
          <w:tcPr>
            <w:tcW w:w="0" w:type="auto"/>
            <w:shd w:val="clear" w:color="auto" w:fill="CCEEFF"/>
            <w:tcMar>
              <w:top w:w="40" w:type="dxa"/>
              <w:left w:w="0" w:type="dxa"/>
              <w:bottom w:w="40" w:type="dxa"/>
              <w:right w:w="20" w:type="dxa"/>
            </w:tcMar>
            <w:vAlign w:val="center"/>
          </w:tcPr>
          <w:p w14:paraId="098AA137" w14:textId="77777777" w:rsidR="00141CDF" w:rsidRDefault="00141CDF">
            <w:pPr>
              <w:jc w:val="right"/>
              <w:rPr>
                <w:rFonts w:ascii="宋体"/>
              </w:rPr>
            </w:pPr>
          </w:p>
        </w:tc>
      </w:tr>
      <w:tr w:rsidR="00141CDF" w14:paraId="098AA146" w14:textId="77777777">
        <w:trPr>
          <w:jc w:val="center"/>
        </w:trPr>
        <w:tc>
          <w:tcPr>
            <w:tcW w:w="0" w:type="auto"/>
            <w:gridSpan w:val="3"/>
            <w:shd w:val="clear" w:color="auto" w:fill="FFFFFF"/>
            <w:tcMar>
              <w:top w:w="40" w:type="dxa"/>
              <w:left w:w="20" w:type="dxa"/>
              <w:bottom w:w="40" w:type="dxa"/>
              <w:right w:w="20" w:type="dxa"/>
            </w:tcMar>
            <w:vAlign w:val="center"/>
          </w:tcPr>
          <w:p w14:paraId="098AA139" w14:textId="77777777" w:rsidR="00141CDF" w:rsidRDefault="00DF45E0">
            <w:pPr>
              <w:textAlignment w:val="center"/>
            </w:pPr>
            <w:r>
              <w:rPr>
                <w:rFonts w:ascii="Times New Roman" w:eastAsia="宋体" w:hAnsi="Times New Roman"/>
                <w:color w:val="000000"/>
                <w:sz w:val="16"/>
                <w:szCs w:val="16"/>
              </w:rPr>
              <w:t>Retail square feet at period end</w:t>
            </w:r>
          </w:p>
        </w:tc>
        <w:tc>
          <w:tcPr>
            <w:tcW w:w="0" w:type="auto"/>
            <w:gridSpan w:val="3"/>
            <w:shd w:val="clear" w:color="auto" w:fill="FFFFFF"/>
            <w:tcMar>
              <w:top w:w="0" w:type="dxa"/>
              <w:left w:w="20" w:type="dxa"/>
              <w:bottom w:w="0" w:type="dxa"/>
              <w:right w:w="20" w:type="dxa"/>
            </w:tcMar>
            <w:vAlign w:val="bottom"/>
          </w:tcPr>
          <w:p w14:paraId="098AA13A"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A13B" w14:textId="77777777" w:rsidR="00141CDF" w:rsidRDefault="00DF45E0">
            <w:pPr>
              <w:jc w:val="right"/>
              <w:textAlignment w:val="center"/>
            </w:pPr>
            <w:r>
              <w:rPr>
                <w:rFonts w:ascii="Times New Roman" w:eastAsia="宋体" w:hAnsi="Times New Roman"/>
                <w:color w:val="000000"/>
                <w:sz w:val="16"/>
                <w:szCs w:val="16"/>
              </w:rPr>
              <w:t>274 </w:t>
            </w:r>
          </w:p>
        </w:tc>
        <w:tc>
          <w:tcPr>
            <w:tcW w:w="0" w:type="auto"/>
            <w:shd w:val="clear" w:color="auto" w:fill="FFFFFF"/>
            <w:tcMar>
              <w:top w:w="40" w:type="dxa"/>
              <w:left w:w="0" w:type="dxa"/>
              <w:bottom w:w="40" w:type="dxa"/>
              <w:right w:w="20" w:type="dxa"/>
            </w:tcMar>
            <w:vAlign w:val="center"/>
          </w:tcPr>
          <w:p w14:paraId="098AA13C"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A13D"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A13E" w14:textId="77777777" w:rsidR="00141CDF" w:rsidRDefault="00DF45E0">
            <w:pPr>
              <w:jc w:val="right"/>
              <w:textAlignment w:val="center"/>
            </w:pPr>
            <w:r>
              <w:rPr>
                <w:rFonts w:ascii="Times New Roman" w:eastAsia="宋体" w:hAnsi="Times New Roman"/>
                <w:color w:val="000000"/>
                <w:sz w:val="16"/>
                <w:szCs w:val="16"/>
              </w:rPr>
              <w:t>280 </w:t>
            </w:r>
          </w:p>
        </w:tc>
        <w:tc>
          <w:tcPr>
            <w:tcW w:w="0" w:type="auto"/>
            <w:shd w:val="clear" w:color="auto" w:fill="FFFFFF"/>
            <w:tcMar>
              <w:top w:w="40" w:type="dxa"/>
              <w:left w:w="0" w:type="dxa"/>
              <w:bottom w:w="40" w:type="dxa"/>
              <w:right w:w="20" w:type="dxa"/>
            </w:tcMar>
            <w:vAlign w:val="center"/>
          </w:tcPr>
          <w:p w14:paraId="098AA13F"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A140"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A141" w14:textId="77777777" w:rsidR="00141CDF" w:rsidRDefault="00DF45E0">
            <w:pPr>
              <w:jc w:val="right"/>
              <w:textAlignment w:val="center"/>
            </w:pPr>
            <w:r>
              <w:rPr>
                <w:rFonts w:ascii="Times New Roman" w:eastAsia="宋体" w:hAnsi="Times New Roman"/>
                <w:color w:val="000000"/>
                <w:sz w:val="16"/>
                <w:szCs w:val="16"/>
              </w:rPr>
              <w:t>274 </w:t>
            </w:r>
          </w:p>
        </w:tc>
        <w:tc>
          <w:tcPr>
            <w:tcW w:w="0" w:type="auto"/>
            <w:shd w:val="clear" w:color="auto" w:fill="FFFFFF"/>
            <w:tcMar>
              <w:top w:w="40" w:type="dxa"/>
              <w:left w:w="0" w:type="dxa"/>
              <w:bottom w:w="40" w:type="dxa"/>
              <w:right w:w="20" w:type="dxa"/>
            </w:tcMar>
            <w:vAlign w:val="center"/>
          </w:tcPr>
          <w:p w14:paraId="098AA142"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A143"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A144" w14:textId="77777777" w:rsidR="00141CDF" w:rsidRDefault="00DF45E0">
            <w:pPr>
              <w:jc w:val="right"/>
              <w:textAlignment w:val="center"/>
            </w:pPr>
            <w:r>
              <w:rPr>
                <w:rFonts w:ascii="Times New Roman" w:eastAsia="宋体" w:hAnsi="Times New Roman"/>
                <w:color w:val="000000"/>
                <w:sz w:val="16"/>
                <w:szCs w:val="16"/>
              </w:rPr>
              <w:t>280 </w:t>
            </w:r>
          </w:p>
        </w:tc>
        <w:tc>
          <w:tcPr>
            <w:tcW w:w="0" w:type="auto"/>
            <w:shd w:val="clear" w:color="auto" w:fill="FFFFFF"/>
            <w:tcMar>
              <w:top w:w="40" w:type="dxa"/>
              <w:left w:w="0" w:type="dxa"/>
              <w:bottom w:w="40" w:type="dxa"/>
              <w:right w:w="20" w:type="dxa"/>
            </w:tcMar>
            <w:vAlign w:val="center"/>
          </w:tcPr>
          <w:p w14:paraId="098AA145" w14:textId="77777777" w:rsidR="00141CDF" w:rsidRDefault="00141CDF">
            <w:pPr>
              <w:jc w:val="right"/>
              <w:rPr>
                <w:rFonts w:ascii="宋体"/>
              </w:rPr>
            </w:pPr>
          </w:p>
        </w:tc>
      </w:tr>
    </w:tbl>
    <w:p w14:paraId="098AA147" w14:textId="77777777" w:rsidR="00141CDF" w:rsidRDefault="00DF45E0">
      <w:pPr>
        <w:spacing w:before="100"/>
      </w:pPr>
      <w:r>
        <w:rPr>
          <w:rFonts w:ascii="Times New Roman" w:eastAsia="宋体" w:hAnsi="Times New Roman"/>
          <w:color w:val="000000"/>
          <w:sz w:val="20"/>
          <w:szCs w:val="20"/>
        </w:rPr>
        <w:t xml:space="preserve">Net sales for the Walmart International segment increased $1.3 billion or 5.7% and decreased $2.2 billion or 4.4% for the three and six months ended July 31, 2022, respectively, when compared </w:t>
      </w:r>
      <w:r>
        <w:rPr>
          <w:rFonts w:ascii="Times New Roman" w:eastAsia="宋体" w:hAnsi="Times New Roman"/>
          <w:color w:val="000000"/>
          <w:sz w:val="20"/>
          <w:szCs w:val="20"/>
        </w:rPr>
        <w:t>to the same periods in the previous fiscal year. For the three months ended July 31, 2022, the increase was primarily due to positive comparable sales in most of our international markets, partially offset by negative fluctuations in currency exchange rate</w:t>
      </w:r>
      <w:r>
        <w:rPr>
          <w:rFonts w:ascii="Times New Roman" w:eastAsia="宋体" w:hAnsi="Times New Roman"/>
          <w:color w:val="000000"/>
          <w:sz w:val="20"/>
          <w:szCs w:val="20"/>
        </w:rPr>
        <w:t>s of $1.0 billion. For the six months ended July 31, 2022, the reduction in net sales was due to a $5.0 billion decrease related to the divestiture of our operations in the U.K. and Japan during the first quarter of fiscal 2022, as well as negative fluctua</w:t>
      </w:r>
      <w:r>
        <w:rPr>
          <w:rFonts w:ascii="Times New Roman" w:eastAsia="宋体" w:hAnsi="Times New Roman"/>
          <w:color w:val="000000"/>
          <w:sz w:val="20"/>
          <w:szCs w:val="20"/>
        </w:rPr>
        <w:t xml:space="preserve">tions in currency exchange rates of $1.3 billion, partially offset by positive comparable sales in each of our remaining markets. </w:t>
      </w:r>
    </w:p>
    <w:p w14:paraId="098AA148" w14:textId="77777777" w:rsidR="00141CDF" w:rsidRDefault="00DF45E0">
      <w:pPr>
        <w:spacing w:before="100"/>
      </w:pPr>
      <w:r>
        <w:rPr>
          <w:rFonts w:ascii="Times New Roman" w:eastAsia="宋体" w:hAnsi="Times New Roman"/>
          <w:color w:val="000000"/>
          <w:sz w:val="20"/>
          <w:szCs w:val="20"/>
        </w:rPr>
        <w:t>Gross profit rate decreased 18 basis points and 63 basis points for the three and six months ended July 31, 2022, respectivel</w:t>
      </w:r>
      <w:r>
        <w:rPr>
          <w:rFonts w:ascii="Times New Roman" w:eastAsia="宋体" w:hAnsi="Times New Roman"/>
          <w:color w:val="000000"/>
          <w:sz w:val="20"/>
          <w:szCs w:val="20"/>
        </w:rPr>
        <w:t xml:space="preserve">y, when compared to the same periods in the previous fiscal year, primarily driven by shifts into lower margin formats and </w:t>
      </w:r>
    </w:p>
    <w:p w14:paraId="098AA149" w14:textId="77777777" w:rsidR="00141CDF" w:rsidRDefault="00DF45E0">
      <w:pPr>
        <w:jc w:val="center"/>
      </w:pPr>
      <w:r>
        <w:rPr>
          <w:rFonts w:ascii="Times New Roman" w:eastAsia="宋体" w:hAnsi="Times New Roman"/>
          <w:color w:val="000000"/>
          <w:sz w:val="20"/>
          <w:szCs w:val="20"/>
        </w:rPr>
        <w:t>21</w:t>
      </w:r>
    </w:p>
    <w:p w14:paraId="098AA14A" w14:textId="77777777" w:rsidR="00141CDF" w:rsidRDefault="00DF45E0">
      <w:r>
        <w:pict w14:anchorId="098AA663">
          <v:rect id="_x0000_i1045" style="width:415.3pt;height:1.5pt" o:hralign="center" o:hrstd="t" o:hr="t" fillcolor="#a0a0a0" stroked="f"/>
        </w:pict>
      </w:r>
    </w:p>
    <w:p w14:paraId="098AA14B" w14:textId="77777777" w:rsidR="00141CDF" w:rsidRDefault="00DF45E0">
      <w:hyperlink r:id="rId84" w:anchor="i24a2f296795646fa8b5ba32fd1359591_7" w:history="1">
        <w:r>
          <w:rPr>
            <w:rStyle w:val="a5"/>
            <w:rFonts w:ascii="Times New Roman" w:eastAsia="宋体" w:hAnsi="Times New Roman"/>
            <w:sz w:val="20"/>
            <w:szCs w:val="20"/>
          </w:rPr>
          <w:t xml:space="preserve">Table of </w:t>
        </w:r>
      </w:hyperlink>
      <w:hyperlink r:id="rId85" w:anchor="i24a2f296795646fa8b5ba32fd1359591_7" w:history="1">
        <w:r>
          <w:rPr>
            <w:rStyle w:val="a5"/>
            <w:rFonts w:ascii="Times New Roman" w:eastAsia="宋体" w:hAnsi="Times New Roman"/>
            <w:sz w:val="20"/>
            <w:szCs w:val="20"/>
          </w:rPr>
          <w:t>Contents</w:t>
        </w:r>
      </w:hyperlink>
    </w:p>
    <w:p w14:paraId="098AA14C" w14:textId="77777777" w:rsidR="00141CDF" w:rsidRDefault="00DF45E0">
      <w:pPr>
        <w:spacing w:before="100"/>
      </w:pPr>
      <w:r>
        <w:rPr>
          <w:rFonts w:ascii="Times New Roman" w:eastAsia="宋体" w:hAnsi="Times New Roman"/>
          <w:color w:val="000000"/>
          <w:sz w:val="20"/>
          <w:szCs w:val="20"/>
        </w:rPr>
        <w:t>channels in China and category mix shifts into lower margin categories. Divested markets furthe</w:t>
      </w:r>
      <w:r>
        <w:rPr>
          <w:rFonts w:ascii="Times New Roman" w:eastAsia="宋体" w:hAnsi="Times New Roman"/>
          <w:color w:val="000000"/>
          <w:sz w:val="20"/>
          <w:szCs w:val="20"/>
        </w:rPr>
        <w:t>r impacted the gross profit rate for the six months ended July 31, 2022.</w:t>
      </w:r>
    </w:p>
    <w:p w14:paraId="098AA14D" w14:textId="77777777" w:rsidR="00141CDF" w:rsidRDefault="00DF45E0">
      <w:pPr>
        <w:spacing w:before="100"/>
      </w:pPr>
      <w:r>
        <w:rPr>
          <w:rFonts w:ascii="Times New Roman" w:eastAsia="宋体" w:hAnsi="Times New Roman"/>
          <w:color w:val="000000"/>
          <w:sz w:val="20"/>
          <w:szCs w:val="20"/>
        </w:rPr>
        <w:t xml:space="preserve">Operating expenses as a percentage of net sales decreased 7 basis points and increased 6 basis points for the three and six months ended July 31, 2022, respectively, when compared to </w:t>
      </w:r>
      <w:r>
        <w:rPr>
          <w:rFonts w:ascii="Times New Roman" w:eastAsia="宋体" w:hAnsi="Times New Roman"/>
          <w:color w:val="000000"/>
          <w:sz w:val="20"/>
          <w:szCs w:val="20"/>
        </w:rPr>
        <w:t>the same periods in the previous fiscal year. For the three months ended July 31, 2022, the decrease was primarily driven by strong sales growth, partially offset by planned strategic investments. For the six months ended July 31, 2022, the increase was pr</w:t>
      </w:r>
      <w:r>
        <w:rPr>
          <w:rFonts w:ascii="Times New Roman" w:eastAsia="宋体" w:hAnsi="Times New Roman"/>
          <w:color w:val="000000"/>
          <w:sz w:val="20"/>
          <w:szCs w:val="20"/>
        </w:rPr>
        <w:t xml:space="preserve">imarily due to impacts from the divested markets, partially offset by strong sales growth. </w:t>
      </w:r>
    </w:p>
    <w:p w14:paraId="098AA14E" w14:textId="77777777" w:rsidR="00141CDF" w:rsidRDefault="00DF45E0">
      <w:pPr>
        <w:spacing w:before="100"/>
      </w:pPr>
      <w:r>
        <w:rPr>
          <w:rFonts w:ascii="Times New Roman" w:eastAsia="宋体" w:hAnsi="Times New Roman"/>
          <w:color w:val="000000"/>
          <w:sz w:val="20"/>
          <w:szCs w:val="20"/>
        </w:rPr>
        <w:t>As a result of the factors discussed above, as well as a benefit of $0.2 billion related to an insurance settlement for Walmart Chile recorded in membership and oth</w:t>
      </w:r>
      <w:r>
        <w:rPr>
          <w:rFonts w:ascii="Times New Roman" w:eastAsia="宋体" w:hAnsi="Times New Roman"/>
          <w:color w:val="000000"/>
          <w:sz w:val="20"/>
          <w:szCs w:val="20"/>
        </w:rPr>
        <w:t xml:space="preserve">er income, operating income increased $0.2 billion and decreased $0.2 billion for the three and six months ended July 31, 2022, respectively, when compared to the same periods in the previous fiscal year. </w:t>
      </w:r>
    </w:p>
    <w:p w14:paraId="098AA14F" w14:textId="77777777" w:rsidR="00141CDF" w:rsidRDefault="00DF45E0">
      <w:pPr>
        <w:spacing w:before="240"/>
      </w:pPr>
      <w:r>
        <w:rPr>
          <w:rFonts w:ascii="Times New Roman" w:eastAsia="宋体" w:hAnsi="Times New Roman"/>
          <w:b/>
          <w:bCs/>
          <w:i/>
          <w:iCs/>
          <w:color w:val="000000"/>
          <w:sz w:val="20"/>
          <w:szCs w:val="20"/>
        </w:rPr>
        <w:t>Sam's Club Segment</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078"/>
        <w:gridCol w:w="37"/>
        <w:gridCol w:w="36"/>
        <w:gridCol w:w="36"/>
        <w:gridCol w:w="36"/>
        <w:gridCol w:w="100"/>
        <w:gridCol w:w="711"/>
        <w:gridCol w:w="154"/>
        <w:gridCol w:w="36"/>
        <w:gridCol w:w="36"/>
        <w:gridCol w:w="36"/>
        <w:gridCol w:w="100"/>
        <w:gridCol w:w="674"/>
        <w:gridCol w:w="154"/>
        <w:gridCol w:w="36"/>
        <w:gridCol w:w="36"/>
        <w:gridCol w:w="36"/>
        <w:gridCol w:w="100"/>
        <w:gridCol w:w="674"/>
        <w:gridCol w:w="154"/>
        <w:gridCol w:w="36"/>
        <w:gridCol w:w="36"/>
        <w:gridCol w:w="36"/>
        <w:gridCol w:w="100"/>
        <w:gridCol w:w="676"/>
        <w:gridCol w:w="154"/>
      </w:tblGrid>
      <w:tr w:rsidR="00141CDF" w14:paraId="098AA16B" w14:textId="77777777">
        <w:trPr>
          <w:jc w:val="center"/>
        </w:trPr>
        <w:tc>
          <w:tcPr>
            <w:tcW w:w="50" w:type="pct"/>
            <w:shd w:val="clear" w:color="auto" w:fill="auto"/>
            <w:vAlign w:val="bottom"/>
          </w:tcPr>
          <w:p w14:paraId="098AA150" w14:textId="77777777" w:rsidR="00141CDF" w:rsidRDefault="00141CDF">
            <w:pPr>
              <w:rPr>
                <w:rFonts w:ascii="宋体"/>
              </w:rPr>
            </w:pPr>
          </w:p>
        </w:tc>
        <w:tc>
          <w:tcPr>
            <w:tcW w:w="2525" w:type="pct"/>
            <w:shd w:val="clear" w:color="auto" w:fill="auto"/>
            <w:vAlign w:val="bottom"/>
          </w:tcPr>
          <w:p w14:paraId="098AA151" w14:textId="77777777" w:rsidR="00141CDF" w:rsidRDefault="00141CDF">
            <w:pPr>
              <w:rPr>
                <w:rFonts w:ascii="宋体"/>
              </w:rPr>
            </w:pPr>
          </w:p>
        </w:tc>
        <w:tc>
          <w:tcPr>
            <w:tcW w:w="5" w:type="pct"/>
            <w:shd w:val="clear" w:color="auto" w:fill="auto"/>
            <w:vAlign w:val="bottom"/>
          </w:tcPr>
          <w:p w14:paraId="098AA152" w14:textId="77777777" w:rsidR="00141CDF" w:rsidRDefault="00141CDF">
            <w:pPr>
              <w:rPr>
                <w:rFonts w:ascii="宋体"/>
              </w:rPr>
            </w:pPr>
          </w:p>
        </w:tc>
        <w:tc>
          <w:tcPr>
            <w:tcW w:w="5" w:type="pct"/>
            <w:shd w:val="clear" w:color="auto" w:fill="auto"/>
            <w:vAlign w:val="bottom"/>
          </w:tcPr>
          <w:p w14:paraId="098AA153" w14:textId="77777777" w:rsidR="00141CDF" w:rsidRDefault="00141CDF">
            <w:pPr>
              <w:rPr>
                <w:rFonts w:ascii="宋体"/>
              </w:rPr>
            </w:pPr>
          </w:p>
        </w:tc>
        <w:tc>
          <w:tcPr>
            <w:tcW w:w="26" w:type="pct"/>
            <w:shd w:val="clear" w:color="auto" w:fill="auto"/>
            <w:vAlign w:val="bottom"/>
          </w:tcPr>
          <w:p w14:paraId="098AA154" w14:textId="77777777" w:rsidR="00141CDF" w:rsidRDefault="00141CDF">
            <w:pPr>
              <w:rPr>
                <w:rFonts w:ascii="宋体"/>
              </w:rPr>
            </w:pPr>
          </w:p>
        </w:tc>
        <w:tc>
          <w:tcPr>
            <w:tcW w:w="5" w:type="pct"/>
            <w:shd w:val="clear" w:color="auto" w:fill="auto"/>
            <w:vAlign w:val="bottom"/>
          </w:tcPr>
          <w:p w14:paraId="098AA155" w14:textId="77777777" w:rsidR="00141CDF" w:rsidRDefault="00141CDF">
            <w:pPr>
              <w:rPr>
                <w:rFonts w:ascii="宋体"/>
              </w:rPr>
            </w:pPr>
          </w:p>
        </w:tc>
        <w:tc>
          <w:tcPr>
            <w:tcW w:w="50" w:type="pct"/>
            <w:shd w:val="clear" w:color="auto" w:fill="auto"/>
            <w:vAlign w:val="bottom"/>
          </w:tcPr>
          <w:p w14:paraId="098AA156" w14:textId="77777777" w:rsidR="00141CDF" w:rsidRDefault="00141CDF">
            <w:pPr>
              <w:rPr>
                <w:rFonts w:ascii="宋体"/>
              </w:rPr>
            </w:pPr>
          </w:p>
        </w:tc>
        <w:tc>
          <w:tcPr>
            <w:tcW w:w="529" w:type="pct"/>
            <w:shd w:val="clear" w:color="auto" w:fill="auto"/>
            <w:vAlign w:val="bottom"/>
          </w:tcPr>
          <w:p w14:paraId="098AA157" w14:textId="77777777" w:rsidR="00141CDF" w:rsidRDefault="00141CDF">
            <w:pPr>
              <w:rPr>
                <w:rFonts w:ascii="宋体"/>
              </w:rPr>
            </w:pPr>
          </w:p>
        </w:tc>
        <w:tc>
          <w:tcPr>
            <w:tcW w:w="5" w:type="pct"/>
            <w:shd w:val="clear" w:color="auto" w:fill="auto"/>
            <w:vAlign w:val="bottom"/>
          </w:tcPr>
          <w:p w14:paraId="098AA158" w14:textId="77777777" w:rsidR="00141CDF" w:rsidRDefault="00141CDF">
            <w:pPr>
              <w:rPr>
                <w:rFonts w:ascii="宋体"/>
              </w:rPr>
            </w:pPr>
          </w:p>
        </w:tc>
        <w:tc>
          <w:tcPr>
            <w:tcW w:w="5" w:type="pct"/>
            <w:shd w:val="clear" w:color="auto" w:fill="auto"/>
            <w:vAlign w:val="bottom"/>
          </w:tcPr>
          <w:p w14:paraId="098AA159" w14:textId="77777777" w:rsidR="00141CDF" w:rsidRDefault="00141CDF">
            <w:pPr>
              <w:rPr>
                <w:rFonts w:ascii="宋体"/>
              </w:rPr>
            </w:pPr>
          </w:p>
        </w:tc>
        <w:tc>
          <w:tcPr>
            <w:tcW w:w="26" w:type="pct"/>
            <w:shd w:val="clear" w:color="auto" w:fill="auto"/>
            <w:vAlign w:val="bottom"/>
          </w:tcPr>
          <w:p w14:paraId="098AA15A" w14:textId="77777777" w:rsidR="00141CDF" w:rsidRDefault="00141CDF">
            <w:pPr>
              <w:rPr>
                <w:rFonts w:ascii="宋体"/>
              </w:rPr>
            </w:pPr>
          </w:p>
        </w:tc>
        <w:tc>
          <w:tcPr>
            <w:tcW w:w="5" w:type="pct"/>
            <w:shd w:val="clear" w:color="auto" w:fill="auto"/>
            <w:vAlign w:val="bottom"/>
          </w:tcPr>
          <w:p w14:paraId="098AA15B" w14:textId="77777777" w:rsidR="00141CDF" w:rsidRDefault="00141CDF">
            <w:pPr>
              <w:rPr>
                <w:rFonts w:ascii="宋体"/>
              </w:rPr>
            </w:pPr>
          </w:p>
        </w:tc>
        <w:tc>
          <w:tcPr>
            <w:tcW w:w="50" w:type="pct"/>
            <w:shd w:val="clear" w:color="auto" w:fill="auto"/>
            <w:vAlign w:val="bottom"/>
          </w:tcPr>
          <w:p w14:paraId="098AA15C" w14:textId="77777777" w:rsidR="00141CDF" w:rsidRDefault="00141CDF">
            <w:pPr>
              <w:rPr>
                <w:rFonts w:ascii="宋体"/>
              </w:rPr>
            </w:pPr>
          </w:p>
        </w:tc>
        <w:tc>
          <w:tcPr>
            <w:tcW w:w="507" w:type="pct"/>
            <w:shd w:val="clear" w:color="auto" w:fill="auto"/>
            <w:vAlign w:val="bottom"/>
          </w:tcPr>
          <w:p w14:paraId="098AA15D" w14:textId="77777777" w:rsidR="00141CDF" w:rsidRDefault="00141CDF">
            <w:pPr>
              <w:rPr>
                <w:rFonts w:ascii="宋体"/>
              </w:rPr>
            </w:pPr>
          </w:p>
        </w:tc>
        <w:tc>
          <w:tcPr>
            <w:tcW w:w="5" w:type="pct"/>
            <w:shd w:val="clear" w:color="auto" w:fill="auto"/>
            <w:vAlign w:val="bottom"/>
          </w:tcPr>
          <w:p w14:paraId="098AA15E" w14:textId="77777777" w:rsidR="00141CDF" w:rsidRDefault="00141CDF">
            <w:pPr>
              <w:rPr>
                <w:rFonts w:ascii="宋体"/>
              </w:rPr>
            </w:pPr>
          </w:p>
        </w:tc>
        <w:tc>
          <w:tcPr>
            <w:tcW w:w="5" w:type="pct"/>
            <w:shd w:val="clear" w:color="auto" w:fill="auto"/>
            <w:vAlign w:val="bottom"/>
          </w:tcPr>
          <w:p w14:paraId="098AA15F" w14:textId="77777777" w:rsidR="00141CDF" w:rsidRDefault="00141CDF">
            <w:pPr>
              <w:rPr>
                <w:rFonts w:ascii="宋体"/>
              </w:rPr>
            </w:pPr>
          </w:p>
        </w:tc>
        <w:tc>
          <w:tcPr>
            <w:tcW w:w="26" w:type="pct"/>
            <w:shd w:val="clear" w:color="auto" w:fill="auto"/>
            <w:vAlign w:val="bottom"/>
          </w:tcPr>
          <w:p w14:paraId="098AA160" w14:textId="77777777" w:rsidR="00141CDF" w:rsidRDefault="00141CDF">
            <w:pPr>
              <w:rPr>
                <w:rFonts w:ascii="宋体"/>
              </w:rPr>
            </w:pPr>
          </w:p>
        </w:tc>
        <w:tc>
          <w:tcPr>
            <w:tcW w:w="5" w:type="pct"/>
            <w:shd w:val="clear" w:color="auto" w:fill="auto"/>
            <w:vAlign w:val="bottom"/>
          </w:tcPr>
          <w:p w14:paraId="098AA161" w14:textId="77777777" w:rsidR="00141CDF" w:rsidRDefault="00141CDF">
            <w:pPr>
              <w:rPr>
                <w:rFonts w:ascii="宋体"/>
              </w:rPr>
            </w:pPr>
          </w:p>
        </w:tc>
        <w:tc>
          <w:tcPr>
            <w:tcW w:w="50" w:type="pct"/>
            <w:shd w:val="clear" w:color="auto" w:fill="auto"/>
            <w:vAlign w:val="bottom"/>
          </w:tcPr>
          <w:p w14:paraId="098AA162" w14:textId="77777777" w:rsidR="00141CDF" w:rsidRDefault="00141CDF">
            <w:pPr>
              <w:rPr>
                <w:rFonts w:ascii="宋体"/>
              </w:rPr>
            </w:pPr>
          </w:p>
        </w:tc>
        <w:tc>
          <w:tcPr>
            <w:tcW w:w="507" w:type="pct"/>
            <w:shd w:val="clear" w:color="auto" w:fill="auto"/>
            <w:vAlign w:val="bottom"/>
          </w:tcPr>
          <w:p w14:paraId="098AA163" w14:textId="77777777" w:rsidR="00141CDF" w:rsidRDefault="00141CDF">
            <w:pPr>
              <w:rPr>
                <w:rFonts w:ascii="宋体"/>
              </w:rPr>
            </w:pPr>
          </w:p>
        </w:tc>
        <w:tc>
          <w:tcPr>
            <w:tcW w:w="5" w:type="pct"/>
            <w:shd w:val="clear" w:color="auto" w:fill="auto"/>
            <w:vAlign w:val="bottom"/>
          </w:tcPr>
          <w:p w14:paraId="098AA164" w14:textId="77777777" w:rsidR="00141CDF" w:rsidRDefault="00141CDF">
            <w:pPr>
              <w:rPr>
                <w:rFonts w:ascii="宋体"/>
              </w:rPr>
            </w:pPr>
          </w:p>
        </w:tc>
        <w:tc>
          <w:tcPr>
            <w:tcW w:w="5" w:type="pct"/>
            <w:shd w:val="clear" w:color="auto" w:fill="auto"/>
            <w:vAlign w:val="bottom"/>
          </w:tcPr>
          <w:p w14:paraId="098AA165" w14:textId="77777777" w:rsidR="00141CDF" w:rsidRDefault="00141CDF">
            <w:pPr>
              <w:rPr>
                <w:rFonts w:ascii="宋体"/>
              </w:rPr>
            </w:pPr>
          </w:p>
        </w:tc>
        <w:tc>
          <w:tcPr>
            <w:tcW w:w="26" w:type="pct"/>
            <w:shd w:val="clear" w:color="auto" w:fill="auto"/>
            <w:vAlign w:val="bottom"/>
          </w:tcPr>
          <w:p w14:paraId="098AA166" w14:textId="77777777" w:rsidR="00141CDF" w:rsidRDefault="00141CDF">
            <w:pPr>
              <w:rPr>
                <w:rFonts w:ascii="宋体"/>
              </w:rPr>
            </w:pPr>
          </w:p>
        </w:tc>
        <w:tc>
          <w:tcPr>
            <w:tcW w:w="5" w:type="pct"/>
            <w:shd w:val="clear" w:color="auto" w:fill="auto"/>
            <w:vAlign w:val="bottom"/>
          </w:tcPr>
          <w:p w14:paraId="098AA167" w14:textId="77777777" w:rsidR="00141CDF" w:rsidRDefault="00141CDF">
            <w:pPr>
              <w:rPr>
                <w:rFonts w:ascii="宋体"/>
              </w:rPr>
            </w:pPr>
          </w:p>
        </w:tc>
        <w:tc>
          <w:tcPr>
            <w:tcW w:w="50" w:type="pct"/>
            <w:shd w:val="clear" w:color="auto" w:fill="auto"/>
            <w:vAlign w:val="bottom"/>
          </w:tcPr>
          <w:p w14:paraId="098AA168" w14:textId="77777777" w:rsidR="00141CDF" w:rsidRDefault="00141CDF">
            <w:pPr>
              <w:rPr>
                <w:rFonts w:ascii="宋体"/>
              </w:rPr>
            </w:pPr>
          </w:p>
        </w:tc>
        <w:tc>
          <w:tcPr>
            <w:tcW w:w="508" w:type="pct"/>
            <w:shd w:val="clear" w:color="auto" w:fill="auto"/>
            <w:vAlign w:val="bottom"/>
          </w:tcPr>
          <w:p w14:paraId="098AA169" w14:textId="77777777" w:rsidR="00141CDF" w:rsidRDefault="00141CDF">
            <w:pPr>
              <w:rPr>
                <w:rFonts w:ascii="宋体"/>
              </w:rPr>
            </w:pPr>
          </w:p>
        </w:tc>
        <w:tc>
          <w:tcPr>
            <w:tcW w:w="5" w:type="pct"/>
            <w:shd w:val="clear" w:color="auto" w:fill="auto"/>
            <w:vAlign w:val="bottom"/>
          </w:tcPr>
          <w:p w14:paraId="098AA16A" w14:textId="77777777" w:rsidR="00141CDF" w:rsidRDefault="00141CDF">
            <w:pPr>
              <w:rPr>
                <w:rFonts w:ascii="宋体"/>
              </w:rPr>
            </w:pPr>
          </w:p>
        </w:tc>
      </w:tr>
      <w:tr w:rsidR="00141CDF" w14:paraId="098AA171" w14:textId="77777777">
        <w:trPr>
          <w:jc w:val="center"/>
        </w:trPr>
        <w:tc>
          <w:tcPr>
            <w:tcW w:w="0" w:type="auto"/>
            <w:gridSpan w:val="3"/>
            <w:shd w:val="clear" w:color="auto" w:fill="auto"/>
            <w:tcMar>
              <w:top w:w="40" w:type="dxa"/>
              <w:left w:w="20" w:type="dxa"/>
              <w:bottom w:w="40" w:type="dxa"/>
              <w:right w:w="20" w:type="dxa"/>
            </w:tcMar>
            <w:vAlign w:val="bottom"/>
          </w:tcPr>
          <w:p w14:paraId="098AA16C" w14:textId="77777777" w:rsidR="00141CDF" w:rsidRDefault="00DF45E0">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098AA16D" w14:textId="77777777" w:rsidR="00141CDF" w:rsidRDefault="00141CDF">
            <w:pPr>
              <w:rPr>
                <w:rFonts w:ascii="宋体"/>
              </w:rPr>
            </w:pPr>
          </w:p>
        </w:tc>
        <w:tc>
          <w:tcPr>
            <w:tcW w:w="0" w:type="auto"/>
            <w:gridSpan w:val="9"/>
            <w:shd w:val="clear" w:color="auto" w:fill="auto"/>
            <w:tcMar>
              <w:top w:w="40" w:type="dxa"/>
              <w:left w:w="20" w:type="dxa"/>
              <w:bottom w:w="40" w:type="dxa"/>
              <w:right w:w="20" w:type="dxa"/>
            </w:tcMar>
            <w:vAlign w:val="center"/>
          </w:tcPr>
          <w:p w14:paraId="098AA16E" w14:textId="77777777" w:rsidR="00141CDF" w:rsidRDefault="00DF45E0">
            <w:pPr>
              <w:jc w:val="center"/>
              <w:textAlignment w:val="center"/>
            </w:pPr>
            <w:r>
              <w:rPr>
                <w:rFonts w:ascii="Times New Roman" w:eastAsia="宋体" w:hAnsi="Times New Roman"/>
                <w:b/>
                <w:bCs/>
                <w:color w:val="000000"/>
                <w:sz w:val="16"/>
                <w:szCs w:val="16"/>
              </w:rPr>
              <w:t>Three Months Ended July 31,</w:t>
            </w:r>
          </w:p>
        </w:tc>
        <w:tc>
          <w:tcPr>
            <w:tcW w:w="0" w:type="auto"/>
            <w:gridSpan w:val="3"/>
            <w:shd w:val="clear" w:color="auto" w:fill="auto"/>
            <w:tcMar>
              <w:top w:w="0" w:type="dxa"/>
              <w:left w:w="20" w:type="dxa"/>
              <w:bottom w:w="0" w:type="dxa"/>
              <w:right w:w="20" w:type="dxa"/>
            </w:tcMar>
            <w:vAlign w:val="bottom"/>
          </w:tcPr>
          <w:p w14:paraId="098AA16F" w14:textId="77777777" w:rsidR="00141CDF" w:rsidRDefault="00141CDF">
            <w:pPr>
              <w:rPr>
                <w:rFonts w:ascii="宋体"/>
              </w:rPr>
            </w:pPr>
          </w:p>
        </w:tc>
        <w:tc>
          <w:tcPr>
            <w:tcW w:w="0" w:type="auto"/>
            <w:gridSpan w:val="9"/>
            <w:shd w:val="clear" w:color="auto" w:fill="auto"/>
            <w:tcMar>
              <w:top w:w="40" w:type="dxa"/>
              <w:left w:w="20" w:type="dxa"/>
              <w:bottom w:w="40" w:type="dxa"/>
              <w:right w:w="20" w:type="dxa"/>
            </w:tcMar>
            <w:vAlign w:val="center"/>
          </w:tcPr>
          <w:p w14:paraId="098AA170" w14:textId="77777777" w:rsidR="00141CDF" w:rsidRDefault="00DF45E0">
            <w:pPr>
              <w:jc w:val="center"/>
              <w:textAlignment w:val="center"/>
            </w:pPr>
            <w:r>
              <w:rPr>
                <w:rFonts w:ascii="Times New Roman" w:eastAsia="宋体" w:hAnsi="Times New Roman"/>
                <w:b/>
                <w:bCs/>
                <w:color w:val="000000"/>
                <w:sz w:val="16"/>
                <w:szCs w:val="16"/>
              </w:rPr>
              <w:t>Six Months Ended July 31,</w:t>
            </w:r>
          </w:p>
        </w:tc>
      </w:tr>
      <w:tr w:rsidR="00141CDF" w14:paraId="098AA17B" w14:textId="77777777">
        <w:trPr>
          <w:jc w:val="center"/>
        </w:trPr>
        <w:tc>
          <w:tcPr>
            <w:tcW w:w="0" w:type="auto"/>
            <w:gridSpan w:val="3"/>
            <w:shd w:val="clear" w:color="auto" w:fill="auto"/>
            <w:tcMar>
              <w:top w:w="40" w:type="dxa"/>
              <w:left w:w="20" w:type="dxa"/>
              <w:bottom w:w="40" w:type="dxa"/>
              <w:right w:w="20" w:type="dxa"/>
            </w:tcMar>
            <w:vAlign w:val="bottom"/>
          </w:tcPr>
          <w:p w14:paraId="098AA172" w14:textId="77777777" w:rsidR="00141CDF" w:rsidRDefault="00DF45E0">
            <w:pPr>
              <w:textAlignment w:val="bottom"/>
            </w:pPr>
            <w:r>
              <w:rPr>
                <w:rFonts w:ascii="Times New Roman" w:eastAsia="宋体" w:hAnsi="Times New Roman"/>
                <w:i/>
                <w:iCs/>
                <w:color w:val="000000"/>
                <w:sz w:val="16"/>
                <w:szCs w:val="16"/>
              </w:rPr>
              <w:t>(Amounts in millions, except unit counts)</w:t>
            </w:r>
          </w:p>
        </w:tc>
        <w:tc>
          <w:tcPr>
            <w:tcW w:w="0" w:type="auto"/>
            <w:gridSpan w:val="3"/>
            <w:shd w:val="clear" w:color="auto" w:fill="auto"/>
            <w:tcMar>
              <w:top w:w="0" w:type="dxa"/>
              <w:left w:w="20" w:type="dxa"/>
              <w:bottom w:w="0" w:type="dxa"/>
              <w:right w:w="20" w:type="dxa"/>
            </w:tcMar>
            <w:vAlign w:val="bottom"/>
          </w:tcPr>
          <w:p w14:paraId="098AA173"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98AA174" w14:textId="77777777" w:rsidR="00141CDF" w:rsidRDefault="00DF45E0">
            <w:pPr>
              <w:jc w:val="center"/>
              <w:textAlignment w:val="center"/>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A175"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98AA176" w14:textId="77777777" w:rsidR="00141CDF" w:rsidRDefault="00DF45E0">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098AA177"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98AA178" w14:textId="77777777" w:rsidR="00141CDF" w:rsidRDefault="00DF45E0">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A179"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98AA17A" w14:textId="77777777" w:rsidR="00141CDF" w:rsidRDefault="00DF45E0">
            <w:pPr>
              <w:jc w:val="center"/>
              <w:textAlignment w:val="bottom"/>
            </w:pPr>
            <w:r>
              <w:rPr>
                <w:rFonts w:ascii="Times New Roman" w:eastAsia="宋体" w:hAnsi="Times New Roman"/>
                <w:b/>
                <w:bCs/>
                <w:color w:val="000000"/>
                <w:sz w:val="16"/>
                <w:szCs w:val="16"/>
              </w:rPr>
              <w:t>2021</w:t>
            </w:r>
          </w:p>
        </w:tc>
      </w:tr>
      <w:tr w:rsidR="00141CDF" w14:paraId="098AA185" w14:textId="77777777">
        <w:trPr>
          <w:jc w:val="center"/>
        </w:trPr>
        <w:tc>
          <w:tcPr>
            <w:tcW w:w="0" w:type="auto"/>
            <w:gridSpan w:val="3"/>
            <w:shd w:val="clear" w:color="auto" w:fill="auto"/>
            <w:tcMar>
              <w:top w:w="40" w:type="dxa"/>
              <w:left w:w="20" w:type="dxa"/>
              <w:bottom w:w="40" w:type="dxa"/>
              <w:right w:w="20" w:type="dxa"/>
            </w:tcMar>
            <w:vAlign w:val="center"/>
          </w:tcPr>
          <w:p w14:paraId="098AA17C" w14:textId="77777777" w:rsidR="00141CDF" w:rsidRDefault="00DF45E0">
            <w:pPr>
              <w:textAlignment w:val="center"/>
            </w:pPr>
            <w:r>
              <w:rPr>
                <w:rFonts w:ascii="Times New Roman" w:eastAsia="宋体" w:hAnsi="Times New Roman"/>
                <w:b/>
                <w:bCs/>
                <w:i/>
                <w:iCs/>
                <w:color w:val="000000"/>
                <w:sz w:val="16"/>
                <w:szCs w:val="16"/>
              </w:rPr>
              <w:t>Including Fuel</w:t>
            </w:r>
          </w:p>
        </w:tc>
        <w:tc>
          <w:tcPr>
            <w:tcW w:w="0" w:type="auto"/>
            <w:gridSpan w:val="3"/>
            <w:shd w:val="clear" w:color="auto" w:fill="auto"/>
            <w:tcMar>
              <w:top w:w="0" w:type="dxa"/>
              <w:left w:w="20" w:type="dxa"/>
              <w:bottom w:w="0" w:type="dxa"/>
              <w:right w:w="20" w:type="dxa"/>
            </w:tcMar>
            <w:vAlign w:val="bottom"/>
          </w:tcPr>
          <w:p w14:paraId="098AA17D" w14:textId="77777777" w:rsidR="00141CDF" w:rsidRDefault="00141CD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A17E"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A17F" w14:textId="77777777" w:rsidR="00141CDF" w:rsidRDefault="00141CD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A180"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A181" w14:textId="77777777" w:rsidR="00141CDF" w:rsidRDefault="00141CD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A182"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A183" w14:textId="77777777" w:rsidR="00141CDF" w:rsidRDefault="00141CD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A184" w14:textId="77777777" w:rsidR="00141CDF" w:rsidRDefault="00141CDF">
            <w:pPr>
              <w:rPr>
                <w:rFonts w:ascii="宋体"/>
              </w:rPr>
            </w:pPr>
          </w:p>
        </w:tc>
      </w:tr>
      <w:tr w:rsidR="00141CDF" w14:paraId="098AA197" w14:textId="77777777">
        <w:trPr>
          <w:jc w:val="center"/>
        </w:trPr>
        <w:tc>
          <w:tcPr>
            <w:tcW w:w="0" w:type="auto"/>
            <w:gridSpan w:val="3"/>
            <w:shd w:val="clear" w:color="auto" w:fill="CCEEFF"/>
            <w:tcMar>
              <w:top w:w="40" w:type="dxa"/>
              <w:left w:w="245" w:type="dxa"/>
              <w:bottom w:w="40" w:type="dxa"/>
              <w:right w:w="20" w:type="dxa"/>
            </w:tcMar>
            <w:vAlign w:val="center"/>
          </w:tcPr>
          <w:p w14:paraId="098AA186" w14:textId="77777777" w:rsidR="00141CDF" w:rsidRDefault="00DF45E0">
            <w:pPr>
              <w:textAlignment w:val="center"/>
            </w:pPr>
            <w:r>
              <w:rPr>
                <w:rFonts w:ascii="Times New Roman" w:eastAsia="宋体" w:hAnsi="Times New Roman"/>
                <w:color w:val="000000"/>
                <w:sz w:val="16"/>
                <w:szCs w:val="16"/>
              </w:rPr>
              <w:t>Net sales</w:t>
            </w:r>
          </w:p>
        </w:tc>
        <w:tc>
          <w:tcPr>
            <w:tcW w:w="0" w:type="auto"/>
            <w:gridSpan w:val="3"/>
            <w:shd w:val="clear" w:color="auto" w:fill="CCEEFF"/>
            <w:tcMar>
              <w:top w:w="0" w:type="dxa"/>
              <w:left w:w="20" w:type="dxa"/>
              <w:bottom w:w="0" w:type="dxa"/>
              <w:right w:w="20" w:type="dxa"/>
            </w:tcMar>
            <w:vAlign w:val="bottom"/>
          </w:tcPr>
          <w:p w14:paraId="098AA187"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A188"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A189" w14:textId="77777777" w:rsidR="00141CDF" w:rsidRDefault="00DF45E0">
            <w:pPr>
              <w:jc w:val="right"/>
              <w:textAlignment w:val="center"/>
            </w:pPr>
            <w:r>
              <w:rPr>
                <w:rFonts w:ascii="Times New Roman" w:eastAsia="宋体" w:hAnsi="Times New Roman"/>
                <w:color w:val="000000"/>
                <w:sz w:val="16"/>
                <w:szCs w:val="16"/>
              </w:rPr>
              <w:t>21,901 </w:t>
            </w:r>
          </w:p>
        </w:tc>
        <w:tc>
          <w:tcPr>
            <w:tcW w:w="0" w:type="auto"/>
            <w:shd w:val="clear" w:color="auto" w:fill="CCEEFF"/>
            <w:tcMar>
              <w:top w:w="40" w:type="dxa"/>
              <w:left w:w="0" w:type="dxa"/>
              <w:bottom w:w="40" w:type="dxa"/>
              <w:right w:w="20" w:type="dxa"/>
            </w:tcMar>
            <w:vAlign w:val="center"/>
          </w:tcPr>
          <w:p w14:paraId="098AA18A"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A18B"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A18C"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A18D" w14:textId="77777777" w:rsidR="00141CDF" w:rsidRDefault="00DF45E0">
            <w:pPr>
              <w:jc w:val="right"/>
              <w:textAlignment w:val="center"/>
            </w:pPr>
            <w:r>
              <w:rPr>
                <w:rFonts w:ascii="Times New Roman" w:eastAsia="宋体" w:hAnsi="Times New Roman"/>
                <w:color w:val="000000"/>
                <w:sz w:val="16"/>
                <w:szCs w:val="16"/>
              </w:rPr>
              <w:t>18,644 </w:t>
            </w:r>
          </w:p>
        </w:tc>
        <w:tc>
          <w:tcPr>
            <w:tcW w:w="0" w:type="auto"/>
            <w:shd w:val="clear" w:color="auto" w:fill="CCEEFF"/>
            <w:tcMar>
              <w:top w:w="40" w:type="dxa"/>
              <w:left w:w="0" w:type="dxa"/>
              <w:bottom w:w="40" w:type="dxa"/>
              <w:right w:w="20" w:type="dxa"/>
            </w:tcMar>
            <w:vAlign w:val="center"/>
          </w:tcPr>
          <w:p w14:paraId="098AA18E"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A18F"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A190"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A191" w14:textId="77777777" w:rsidR="00141CDF" w:rsidRDefault="00DF45E0">
            <w:pPr>
              <w:jc w:val="right"/>
              <w:textAlignment w:val="center"/>
            </w:pPr>
            <w:r>
              <w:rPr>
                <w:rFonts w:ascii="Times New Roman" w:eastAsia="宋体" w:hAnsi="Times New Roman"/>
                <w:color w:val="000000"/>
                <w:sz w:val="16"/>
                <w:szCs w:val="16"/>
              </w:rPr>
              <w:t>41,522 </w:t>
            </w:r>
          </w:p>
        </w:tc>
        <w:tc>
          <w:tcPr>
            <w:tcW w:w="0" w:type="auto"/>
            <w:shd w:val="clear" w:color="auto" w:fill="CCEEFF"/>
            <w:tcMar>
              <w:top w:w="40" w:type="dxa"/>
              <w:left w:w="0" w:type="dxa"/>
              <w:bottom w:w="40" w:type="dxa"/>
              <w:right w:w="20" w:type="dxa"/>
            </w:tcMar>
            <w:vAlign w:val="center"/>
          </w:tcPr>
          <w:p w14:paraId="098AA192"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A193" w14:textId="77777777" w:rsidR="00141CDF" w:rsidRDefault="00141CDF">
            <w:pPr>
              <w:rPr>
                <w:rFonts w:ascii="宋体"/>
              </w:rPr>
            </w:pPr>
          </w:p>
        </w:tc>
        <w:tc>
          <w:tcPr>
            <w:tcW w:w="0" w:type="auto"/>
            <w:shd w:val="clear" w:color="auto" w:fill="CCEEFF"/>
            <w:tcMar>
              <w:top w:w="40" w:type="dxa"/>
              <w:left w:w="20" w:type="dxa"/>
              <w:bottom w:w="40" w:type="dxa"/>
              <w:right w:w="0" w:type="dxa"/>
            </w:tcMar>
            <w:vAlign w:val="center"/>
          </w:tcPr>
          <w:p w14:paraId="098AA194"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A195" w14:textId="77777777" w:rsidR="00141CDF" w:rsidRDefault="00DF45E0">
            <w:pPr>
              <w:jc w:val="right"/>
              <w:textAlignment w:val="center"/>
            </w:pPr>
            <w:r>
              <w:rPr>
                <w:rFonts w:ascii="Times New Roman" w:eastAsia="宋体" w:hAnsi="Times New Roman"/>
                <w:color w:val="000000"/>
                <w:sz w:val="16"/>
                <w:szCs w:val="16"/>
              </w:rPr>
              <w:t>35,336 </w:t>
            </w:r>
          </w:p>
        </w:tc>
        <w:tc>
          <w:tcPr>
            <w:tcW w:w="0" w:type="auto"/>
            <w:shd w:val="clear" w:color="auto" w:fill="CCEEFF"/>
            <w:tcMar>
              <w:top w:w="40" w:type="dxa"/>
              <w:left w:w="0" w:type="dxa"/>
              <w:bottom w:w="40" w:type="dxa"/>
              <w:right w:w="20" w:type="dxa"/>
            </w:tcMar>
            <w:vAlign w:val="center"/>
          </w:tcPr>
          <w:p w14:paraId="098AA196" w14:textId="77777777" w:rsidR="00141CDF" w:rsidRDefault="00141CDF">
            <w:pPr>
              <w:jc w:val="right"/>
              <w:rPr>
                <w:rFonts w:ascii="宋体"/>
              </w:rPr>
            </w:pPr>
          </w:p>
        </w:tc>
      </w:tr>
      <w:tr w:rsidR="00141CDF" w14:paraId="098AA1A5" w14:textId="77777777">
        <w:trPr>
          <w:jc w:val="center"/>
        </w:trPr>
        <w:tc>
          <w:tcPr>
            <w:tcW w:w="0" w:type="auto"/>
            <w:gridSpan w:val="3"/>
            <w:shd w:val="clear" w:color="auto" w:fill="FFFFFF"/>
            <w:tcMar>
              <w:top w:w="40" w:type="dxa"/>
              <w:left w:w="245" w:type="dxa"/>
              <w:bottom w:w="40" w:type="dxa"/>
              <w:right w:w="20" w:type="dxa"/>
            </w:tcMar>
            <w:vAlign w:val="center"/>
          </w:tcPr>
          <w:p w14:paraId="098AA198" w14:textId="77777777" w:rsidR="00141CDF" w:rsidRDefault="00DF45E0">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vAlign w:val="bottom"/>
          </w:tcPr>
          <w:p w14:paraId="098AA199"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A19A" w14:textId="77777777" w:rsidR="00141CDF" w:rsidRDefault="00DF45E0">
            <w:pPr>
              <w:jc w:val="right"/>
              <w:textAlignment w:val="center"/>
            </w:pPr>
            <w:r>
              <w:rPr>
                <w:rFonts w:ascii="Times New Roman" w:eastAsia="宋体" w:hAnsi="Times New Roman"/>
                <w:color w:val="000000"/>
                <w:sz w:val="16"/>
                <w:szCs w:val="16"/>
              </w:rPr>
              <w:t>17.5 </w:t>
            </w:r>
          </w:p>
        </w:tc>
        <w:tc>
          <w:tcPr>
            <w:tcW w:w="0" w:type="auto"/>
            <w:shd w:val="clear" w:color="auto" w:fill="FFFFFF"/>
            <w:tcMar>
              <w:top w:w="40" w:type="dxa"/>
              <w:left w:w="0" w:type="dxa"/>
              <w:bottom w:w="40" w:type="dxa"/>
              <w:right w:w="20" w:type="dxa"/>
            </w:tcMar>
            <w:vAlign w:val="center"/>
          </w:tcPr>
          <w:p w14:paraId="098AA19B"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098AA19C"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A19D" w14:textId="77777777" w:rsidR="00141CDF" w:rsidRDefault="00DF45E0">
            <w:pPr>
              <w:jc w:val="right"/>
              <w:textAlignment w:val="center"/>
            </w:pPr>
            <w:r>
              <w:rPr>
                <w:rFonts w:ascii="Times New Roman" w:eastAsia="宋体" w:hAnsi="Times New Roman"/>
                <w:color w:val="000000"/>
                <w:sz w:val="16"/>
                <w:szCs w:val="16"/>
              </w:rPr>
              <w:t>13.9 </w:t>
            </w:r>
          </w:p>
        </w:tc>
        <w:tc>
          <w:tcPr>
            <w:tcW w:w="0" w:type="auto"/>
            <w:shd w:val="clear" w:color="auto" w:fill="FFFFFF"/>
            <w:tcMar>
              <w:top w:w="40" w:type="dxa"/>
              <w:left w:w="0" w:type="dxa"/>
              <w:bottom w:w="40" w:type="dxa"/>
              <w:right w:w="20" w:type="dxa"/>
            </w:tcMar>
            <w:vAlign w:val="center"/>
          </w:tcPr>
          <w:p w14:paraId="098AA19E"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098AA19F"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A1A0" w14:textId="77777777" w:rsidR="00141CDF" w:rsidRDefault="00DF45E0">
            <w:pPr>
              <w:jc w:val="right"/>
              <w:textAlignment w:val="center"/>
            </w:pPr>
            <w:r>
              <w:rPr>
                <w:rFonts w:ascii="Times New Roman" w:eastAsia="宋体" w:hAnsi="Times New Roman"/>
                <w:color w:val="000000"/>
                <w:sz w:val="16"/>
                <w:szCs w:val="16"/>
              </w:rPr>
              <w:t>17.5 </w:t>
            </w:r>
          </w:p>
        </w:tc>
        <w:tc>
          <w:tcPr>
            <w:tcW w:w="0" w:type="auto"/>
            <w:shd w:val="clear" w:color="auto" w:fill="FFFFFF"/>
            <w:tcMar>
              <w:top w:w="40" w:type="dxa"/>
              <w:left w:w="0" w:type="dxa"/>
              <w:bottom w:w="40" w:type="dxa"/>
              <w:right w:w="20" w:type="dxa"/>
            </w:tcMar>
            <w:vAlign w:val="center"/>
          </w:tcPr>
          <w:p w14:paraId="098AA1A1"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098AA1A2"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A1A3" w14:textId="77777777" w:rsidR="00141CDF" w:rsidRDefault="00DF45E0">
            <w:pPr>
              <w:jc w:val="right"/>
              <w:textAlignment w:val="center"/>
            </w:pPr>
            <w:r>
              <w:rPr>
                <w:rFonts w:ascii="Times New Roman" w:eastAsia="宋体" w:hAnsi="Times New Roman"/>
                <w:color w:val="000000"/>
                <w:sz w:val="16"/>
                <w:szCs w:val="16"/>
              </w:rPr>
              <w:t>12.0 </w:t>
            </w:r>
          </w:p>
        </w:tc>
        <w:tc>
          <w:tcPr>
            <w:tcW w:w="0" w:type="auto"/>
            <w:shd w:val="clear" w:color="auto" w:fill="FFFFFF"/>
            <w:tcMar>
              <w:top w:w="40" w:type="dxa"/>
              <w:left w:w="0" w:type="dxa"/>
              <w:bottom w:w="40" w:type="dxa"/>
              <w:right w:w="20" w:type="dxa"/>
            </w:tcMar>
            <w:vAlign w:val="center"/>
          </w:tcPr>
          <w:p w14:paraId="098AA1A4" w14:textId="77777777" w:rsidR="00141CDF" w:rsidRDefault="00DF45E0">
            <w:pPr>
              <w:jc w:val="right"/>
              <w:textAlignment w:val="center"/>
            </w:pPr>
            <w:r>
              <w:rPr>
                <w:rFonts w:ascii="Times New Roman" w:eastAsia="宋体" w:hAnsi="Times New Roman"/>
                <w:color w:val="000000"/>
                <w:sz w:val="16"/>
                <w:szCs w:val="16"/>
              </w:rPr>
              <w:t>%</w:t>
            </w:r>
          </w:p>
        </w:tc>
      </w:tr>
      <w:tr w:rsidR="00141CDF" w14:paraId="098AA1B3" w14:textId="77777777">
        <w:trPr>
          <w:jc w:val="center"/>
        </w:trPr>
        <w:tc>
          <w:tcPr>
            <w:tcW w:w="0" w:type="auto"/>
            <w:gridSpan w:val="3"/>
            <w:shd w:val="clear" w:color="auto" w:fill="CCEEFF"/>
            <w:tcMar>
              <w:top w:w="40" w:type="dxa"/>
              <w:left w:w="245" w:type="dxa"/>
              <w:bottom w:w="40" w:type="dxa"/>
              <w:right w:w="20" w:type="dxa"/>
            </w:tcMar>
            <w:vAlign w:val="center"/>
          </w:tcPr>
          <w:p w14:paraId="098AA1A6" w14:textId="77777777" w:rsidR="00141CDF" w:rsidRDefault="00DF45E0">
            <w:pPr>
              <w:textAlignment w:val="center"/>
            </w:pPr>
            <w:r>
              <w:rPr>
                <w:rFonts w:ascii="Times New Roman" w:eastAsia="宋体" w:hAnsi="Times New Roman"/>
                <w:color w:val="000000"/>
                <w:sz w:val="16"/>
                <w:szCs w:val="16"/>
              </w:rPr>
              <w:t>Calendar comparable sales increase</w:t>
            </w:r>
          </w:p>
        </w:tc>
        <w:tc>
          <w:tcPr>
            <w:tcW w:w="0" w:type="auto"/>
            <w:gridSpan w:val="3"/>
            <w:shd w:val="clear" w:color="auto" w:fill="CCEEFF"/>
            <w:tcMar>
              <w:top w:w="0" w:type="dxa"/>
              <w:left w:w="20" w:type="dxa"/>
              <w:bottom w:w="0" w:type="dxa"/>
              <w:right w:w="20" w:type="dxa"/>
            </w:tcMar>
            <w:vAlign w:val="bottom"/>
          </w:tcPr>
          <w:p w14:paraId="098AA1A7"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A1A8" w14:textId="77777777" w:rsidR="00141CDF" w:rsidRDefault="00DF45E0">
            <w:pPr>
              <w:jc w:val="right"/>
              <w:textAlignment w:val="center"/>
            </w:pPr>
            <w:r>
              <w:rPr>
                <w:rFonts w:ascii="Times New Roman" w:eastAsia="宋体" w:hAnsi="Times New Roman"/>
                <w:color w:val="000000"/>
                <w:sz w:val="16"/>
                <w:szCs w:val="16"/>
              </w:rPr>
              <w:t>17.3 </w:t>
            </w:r>
          </w:p>
        </w:tc>
        <w:tc>
          <w:tcPr>
            <w:tcW w:w="0" w:type="auto"/>
            <w:shd w:val="clear" w:color="auto" w:fill="CCEEFF"/>
            <w:tcMar>
              <w:top w:w="40" w:type="dxa"/>
              <w:left w:w="0" w:type="dxa"/>
              <w:bottom w:w="40" w:type="dxa"/>
              <w:right w:w="20" w:type="dxa"/>
            </w:tcMar>
            <w:vAlign w:val="center"/>
          </w:tcPr>
          <w:p w14:paraId="098AA1A9"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098AA1AA"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A1AB" w14:textId="77777777" w:rsidR="00141CDF" w:rsidRDefault="00DF45E0">
            <w:pPr>
              <w:jc w:val="right"/>
              <w:textAlignment w:val="center"/>
            </w:pPr>
            <w:r>
              <w:rPr>
                <w:rFonts w:ascii="Times New Roman" w:eastAsia="宋体" w:hAnsi="Times New Roman"/>
                <w:color w:val="000000"/>
                <w:sz w:val="16"/>
                <w:szCs w:val="16"/>
              </w:rPr>
              <w:t>13.9 </w:t>
            </w:r>
          </w:p>
        </w:tc>
        <w:tc>
          <w:tcPr>
            <w:tcW w:w="0" w:type="auto"/>
            <w:shd w:val="clear" w:color="auto" w:fill="CCEEFF"/>
            <w:tcMar>
              <w:top w:w="40" w:type="dxa"/>
              <w:left w:w="0" w:type="dxa"/>
              <w:bottom w:w="40" w:type="dxa"/>
              <w:right w:w="20" w:type="dxa"/>
            </w:tcMar>
            <w:vAlign w:val="center"/>
          </w:tcPr>
          <w:p w14:paraId="098AA1AC"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098AA1AD"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A1AE" w14:textId="77777777" w:rsidR="00141CDF" w:rsidRDefault="00DF45E0">
            <w:pPr>
              <w:jc w:val="right"/>
              <w:textAlignment w:val="center"/>
            </w:pPr>
            <w:r>
              <w:rPr>
                <w:rFonts w:ascii="Times New Roman" w:eastAsia="宋体" w:hAnsi="Times New Roman"/>
                <w:color w:val="000000"/>
                <w:sz w:val="16"/>
                <w:szCs w:val="16"/>
              </w:rPr>
              <w:t>17.4 </w:t>
            </w:r>
          </w:p>
        </w:tc>
        <w:tc>
          <w:tcPr>
            <w:tcW w:w="0" w:type="auto"/>
            <w:shd w:val="clear" w:color="auto" w:fill="CCEEFF"/>
            <w:tcMar>
              <w:top w:w="40" w:type="dxa"/>
              <w:left w:w="0" w:type="dxa"/>
              <w:bottom w:w="40" w:type="dxa"/>
              <w:right w:w="20" w:type="dxa"/>
            </w:tcMar>
            <w:vAlign w:val="center"/>
          </w:tcPr>
          <w:p w14:paraId="098AA1AF"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098AA1B0"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A1B1" w14:textId="77777777" w:rsidR="00141CDF" w:rsidRDefault="00DF45E0">
            <w:pPr>
              <w:jc w:val="right"/>
              <w:textAlignment w:val="center"/>
            </w:pPr>
            <w:r>
              <w:rPr>
                <w:rFonts w:ascii="Times New Roman" w:eastAsia="宋体" w:hAnsi="Times New Roman"/>
                <w:color w:val="000000"/>
                <w:sz w:val="16"/>
                <w:szCs w:val="16"/>
              </w:rPr>
              <w:t>12.0 </w:t>
            </w:r>
          </w:p>
        </w:tc>
        <w:tc>
          <w:tcPr>
            <w:tcW w:w="0" w:type="auto"/>
            <w:shd w:val="clear" w:color="auto" w:fill="CCEEFF"/>
            <w:tcMar>
              <w:top w:w="40" w:type="dxa"/>
              <w:left w:w="0" w:type="dxa"/>
              <w:bottom w:w="40" w:type="dxa"/>
              <w:right w:w="20" w:type="dxa"/>
            </w:tcMar>
            <w:vAlign w:val="center"/>
          </w:tcPr>
          <w:p w14:paraId="098AA1B2" w14:textId="77777777" w:rsidR="00141CDF" w:rsidRDefault="00DF45E0">
            <w:pPr>
              <w:jc w:val="right"/>
              <w:textAlignment w:val="center"/>
            </w:pPr>
            <w:r>
              <w:rPr>
                <w:rFonts w:ascii="Times New Roman" w:eastAsia="宋体" w:hAnsi="Times New Roman"/>
                <w:color w:val="000000"/>
                <w:sz w:val="16"/>
                <w:szCs w:val="16"/>
              </w:rPr>
              <w:t>%</w:t>
            </w:r>
          </w:p>
        </w:tc>
      </w:tr>
      <w:tr w:rsidR="00141CDF" w14:paraId="098AA1C5" w14:textId="77777777">
        <w:trPr>
          <w:jc w:val="center"/>
        </w:trPr>
        <w:tc>
          <w:tcPr>
            <w:tcW w:w="0" w:type="auto"/>
            <w:gridSpan w:val="3"/>
            <w:shd w:val="clear" w:color="auto" w:fill="FFFFFF"/>
            <w:tcMar>
              <w:top w:w="40" w:type="dxa"/>
              <w:left w:w="245" w:type="dxa"/>
              <w:bottom w:w="40" w:type="dxa"/>
              <w:right w:w="20" w:type="dxa"/>
            </w:tcMar>
            <w:vAlign w:val="center"/>
          </w:tcPr>
          <w:p w14:paraId="098AA1B4" w14:textId="77777777" w:rsidR="00141CDF" w:rsidRDefault="00DF45E0">
            <w:pPr>
              <w:textAlignment w:val="center"/>
            </w:pPr>
            <w:r>
              <w:rPr>
                <w:rFonts w:ascii="Times New Roman" w:eastAsia="宋体" w:hAnsi="Times New Roman"/>
                <w:color w:val="000000"/>
                <w:sz w:val="16"/>
                <w:szCs w:val="16"/>
              </w:rPr>
              <w:t>Operating income</w:t>
            </w:r>
          </w:p>
        </w:tc>
        <w:tc>
          <w:tcPr>
            <w:tcW w:w="0" w:type="auto"/>
            <w:gridSpan w:val="3"/>
            <w:shd w:val="clear" w:color="auto" w:fill="FFFFFF"/>
            <w:tcMar>
              <w:top w:w="0" w:type="dxa"/>
              <w:left w:w="20" w:type="dxa"/>
              <w:bottom w:w="0" w:type="dxa"/>
              <w:right w:w="20" w:type="dxa"/>
            </w:tcMar>
            <w:vAlign w:val="bottom"/>
          </w:tcPr>
          <w:p w14:paraId="098AA1B5" w14:textId="77777777" w:rsidR="00141CDF" w:rsidRDefault="00141CDF">
            <w:pPr>
              <w:rPr>
                <w:rFonts w:ascii="宋体"/>
              </w:rPr>
            </w:pPr>
          </w:p>
        </w:tc>
        <w:tc>
          <w:tcPr>
            <w:tcW w:w="0" w:type="auto"/>
            <w:shd w:val="clear" w:color="auto" w:fill="FFFFFF"/>
            <w:tcMar>
              <w:top w:w="40" w:type="dxa"/>
              <w:left w:w="20" w:type="dxa"/>
              <w:bottom w:w="40" w:type="dxa"/>
              <w:right w:w="0" w:type="dxa"/>
            </w:tcMar>
            <w:vAlign w:val="center"/>
          </w:tcPr>
          <w:p w14:paraId="098AA1B6"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098AA1B7" w14:textId="77777777" w:rsidR="00141CDF" w:rsidRDefault="00DF45E0">
            <w:pPr>
              <w:jc w:val="right"/>
              <w:textAlignment w:val="center"/>
            </w:pPr>
            <w:r>
              <w:rPr>
                <w:rFonts w:ascii="Times New Roman" w:eastAsia="宋体" w:hAnsi="Times New Roman"/>
                <w:color w:val="000000"/>
                <w:sz w:val="16"/>
                <w:szCs w:val="16"/>
              </w:rPr>
              <w:t>427 </w:t>
            </w:r>
          </w:p>
        </w:tc>
        <w:tc>
          <w:tcPr>
            <w:tcW w:w="0" w:type="auto"/>
            <w:shd w:val="clear" w:color="auto" w:fill="FFFFFF"/>
            <w:tcMar>
              <w:top w:w="40" w:type="dxa"/>
              <w:left w:w="0" w:type="dxa"/>
              <w:bottom w:w="40" w:type="dxa"/>
              <w:right w:w="20" w:type="dxa"/>
            </w:tcMar>
            <w:vAlign w:val="center"/>
          </w:tcPr>
          <w:p w14:paraId="098AA1B8"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A1B9" w14:textId="77777777" w:rsidR="00141CDF" w:rsidRDefault="00141CDF">
            <w:pPr>
              <w:rPr>
                <w:rFonts w:ascii="宋体"/>
              </w:rPr>
            </w:pPr>
          </w:p>
        </w:tc>
        <w:tc>
          <w:tcPr>
            <w:tcW w:w="0" w:type="auto"/>
            <w:shd w:val="clear" w:color="auto" w:fill="FFFFFF"/>
            <w:tcMar>
              <w:top w:w="40" w:type="dxa"/>
              <w:left w:w="20" w:type="dxa"/>
              <w:bottom w:w="40" w:type="dxa"/>
              <w:right w:w="0" w:type="dxa"/>
            </w:tcMar>
            <w:vAlign w:val="center"/>
          </w:tcPr>
          <w:p w14:paraId="098AA1BA"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098AA1BB" w14:textId="77777777" w:rsidR="00141CDF" w:rsidRDefault="00DF45E0">
            <w:pPr>
              <w:jc w:val="right"/>
              <w:textAlignment w:val="center"/>
            </w:pPr>
            <w:r>
              <w:rPr>
                <w:rFonts w:ascii="Times New Roman" w:eastAsia="宋体" w:hAnsi="Times New Roman"/>
                <w:color w:val="000000"/>
                <w:sz w:val="16"/>
                <w:szCs w:val="16"/>
              </w:rPr>
              <w:t>660 </w:t>
            </w:r>
          </w:p>
        </w:tc>
        <w:tc>
          <w:tcPr>
            <w:tcW w:w="0" w:type="auto"/>
            <w:shd w:val="clear" w:color="auto" w:fill="FFFFFF"/>
            <w:tcMar>
              <w:top w:w="40" w:type="dxa"/>
              <w:left w:w="0" w:type="dxa"/>
              <w:bottom w:w="40" w:type="dxa"/>
              <w:right w:w="20" w:type="dxa"/>
            </w:tcMar>
            <w:vAlign w:val="center"/>
          </w:tcPr>
          <w:p w14:paraId="098AA1BC"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A1BD" w14:textId="77777777" w:rsidR="00141CDF" w:rsidRDefault="00141CDF">
            <w:pPr>
              <w:rPr>
                <w:rFonts w:ascii="宋体"/>
              </w:rPr>
            </w:pPr>
          </w:p>
        </w:tc>
        <w:tc>
          <w:tcPr>
            <w:tcW w:w="0" w:type="auto"/>
            <w:shd w:val="clear" w:color="auto" w:fill="FFFFFF"/>
            <w:tcMar>
              <w:top w:w="40" w:type="dxa"/>
              <w:left w:w="20" w:type="dxa"/>
              <w:bottom w:w="40" w:type="dxa"/>
              <w:right w:w="0" w:type="dxa"/>
            </w:tcMar>
            <w:vAlign w:val="center"/>
          </w:tcPr>
          <w:p w14:paraId="098AA1BE"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098AA1BF" w14:textId="77777777" w:rsidR="00141CDF" w:rsidRDefault="00DF45E0">
            <w:pPr>
              <w:jc w:val="right"/>
              <w:textAlignment w:val="center"/>
            </w:pPr>
            <w:r>
              <w:rPr>
                <w:rFonts w:ascii="Times New Roman" w:eastAsia="宋体" w:hAnsi="Times New Roman"/>
                <w:color w:val="000000"/>
                <w:sz w:val="16"/>
                <w:szCs w:val="16"/>
              </w:rPr>
              <w:t>887 </w:t>
            </w:r>
          </w:p>
        </w:tc>
        <w:tc>
          <w:tcPr>
            <w:tcW w:w="0" w:type="auto"/>
            <w:shd w:val="clear" w:color="auto" w:fill="FFFFFF"/>
            <w:tcMar>
              <w:top w:w="40" w:type="dxa"/>
              <w:left w:w="0" w:type="dxa"/>
              <w:bottom w:w="40" w:type="dxa"/>
              <w:right w:w="20" w:type="dxa"/>
            </w:tcMar>
            <w:vAlign w:val="center"/>
          </w:tcPr>
          <w:p w14:paraId="098AA1C0"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A1C1" w14:textId="77777777" w:rsidR="00141CDF" w:rsidRDefault="00141CDF">
            <w:pPr>
              <w:rPr>
                <w:rFonts w:ascii="宋体"/>
              </w:rPr>
            </w:pPr>
          </w:p>
        </w:tc>
        <w:tc>
          <w:tcPr>
            <w:tcW w:w="0" w:type="auto"/>
            <w:shd w:val="clear" w:color="auto" w:fill="FFFFFF"/>
            <w:tcMar>
              <w:top w:w="40" w:type="dxa"/>
              <w:left w:w="20" w:type="dxa"/>
              <w:bottom w:w="40" w:type="dxa"/>
              <w:right w:w="0" w:type="dxa"/>
            </w:tcMar>
            <w:vAlign w:val="center"/>
          </w:tcPr>
          <w:p w14:paraId="098AA1C2"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098AA1C3" w14:textId="77777777" w:rsidR="00141CDF" w:rsidRDefault="00DF45E0">
            <w:pPr>
              <w:jc w:val="right"/>
              <w:textAlignment w:val="center"/>
            </w:pPr>
            <w:r>
              <w:rPr>
                <w:rFonts w:ascii="Times New Roman" w:eastAsia="宋体" w:hAnsi="Times New Roman"/>
                <w:color w:val="000000"/>
                <w:sz w:val="16"/>
                <w:szCs w:val="16"/>
              </w:rPr>
              <w:t>1,235 </w:t>
            </w:r>
          </w:p>
        </w:tc>
        <w:tc>
          <w:tcPr>
            <w:tcW w:w="0" w:type="auto"/>
            <w:shd w:val="clear" w:color="auto" w:fill="FFFFFF"/>
            <w:tcMar>
              <w:top w:w="40" w:type="dxa"/>
              <w:left w:w="0" w:type="dxa"/>
              <w:bottom w:w="40" w:type="dxa"/>
              <w:right w:w="20" w:type="dxa"/>
            </w:tcMar>
            <w:vAlign w:val="center"/>
          </w:tcPr>
          <w:p w14:paraId="098AA1C4" w14:textId="77777777" w:rsidR="00141CDF" w:rsidRDefault="00141CDF">
            <w:pPr>
              <w:jc w:val="right"/>
              <w:rPr>
                <w:rFonts w:ascii="宋体"/>
              </w:rPr>
            </w:pPr>
          </w:p>
        </w:tc>
      </w:tr>
      <w:tr w:rsidR="00141CDF" w14:paraId="098AA1D3" w14:textId="77777777">
        <w:trPr>
          <w:jc w:val="center"/>
        </w:trPr>
        <w:tc>
          <w:tcPr>
            <w:tcW w:w="0" w:type="auto"/>
            <w:gridSpan w:val="3"/>
            <w:shd w:val="clear" w:color="auto" w:fill="CCEEFF"/>
            <w:tcMar>
              <w:top w:w="40" w:type="dxa"/>
              <w:left w:w="245" w:type="dxa"/>
              <w:bottom w:w="40" w:type="dxa"/>
              <w:right w:w="20" w:type="dxa"/>
            </w:tcMar>
            <w:vAlign w:val="center"/>
          </w:tcPr>
          <w:p w14:paraId="098AA1C6" w14:textId="77777777" w:rsidR="00141CDF" w:rsidRDefault="00DF45E0">
            <w:pPr>
              <w:textAlignment w:val="center"/>
            </w:pPr>
            <w:r>
              <w:rPr>
                <w:rFonts w:ascii="Times New Roman" w:eastAsia="宋体" w:hAnsi="Times New Roman"/>
                <w:color w:val="000000"/>
                <w:sz w:val="16"/>
                <w:szCs w:val="16"/>
              </w:rPr>
              <w:t>Operating income as a percentage of net sales</w:t>
            </w:r>
          </w:p>
        </w:tc>
        <w:tc>
          <w:tcPr>
            <w:tcW w:w="0" w:type="auto"/>
            <w:gridSpan w:val="3"/>
            <w:shd w:val="clear" w:color="auto" w:fill="CCEEFF"/>
            <w:tcMar>
              <w:top w:w="0" w:type="dxa"/>
              <w:left w:w="20" w:type="dxa"/>
              <w:bottom w:w="0" w:type="dxa"/>
              <w:right w:w="20" w:type="dxa"/>
            </w:tcMar>
            <w:vAlign w:val="bottom"/>
          </w:tcPr>
          <w:p w14:paraId="098AA1C7"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A1C8" w14:textId="77777777" w:rsidR="00141CDF" w:rsidRDefault="00DF45E0">
            <w:pPr>
              <w:jc w:val="right"/>
              <w:textAlignment w:val="center"/>
            </w:pPr>
            <w:r>
              <w:rPr>
                <w:rFonts w:ascii="Times New Roman" w:eastAsia="宋体" w:hAnsi="Times New Roman"/>
                <w:color w:val="000000"/>
                <w:sz w:val="16"/>
                <w:szCs w:val="16"/>
              </w:rPr>
              <w:t>1.9 </w:t>
            </w:r>
          </w:p>
        </w:tc>
        <w:tc>
          <w:tcPr>
            <w:tcW w:w="0" w:type="auto"/>
            <w:shd w:val="clear" w:color="auto" w:fill="CCEEFF"/>
            <w:tcMar>
              <w:top w:w="40" w:type="dxa"/>
              <w:left w:w="0" w:type="dxa"/>
              <w:bottom w:w="40" w:type="dxa"/>
              <w:right w:w="20" w:type="dxa"/>
            </w:tcMar>
            <w:vAlign w:val="center"/>
          </w:tcPr>
          <w:p w14:paraId="098AA1C9"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098AA1CA"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A1CB" w14:textId="77777777" w:rsidR="00141CDF" w:rsidRDefault="00DF45E0">
            <w:pPr>
              <w:jc w:val="right"/>
              <w:textAlignment w:val="center"/>
            </w:pPr>
            <w:r>
              <w:rPr>
                <w:rFonts w:ascii="Times New Roman" w:eastAsia="宋体" w:hAnsi="Times New Roman"/>
                <w:color w:val="000000"/>
                <w:sz w:val="16"/>
                <w:szCs w:val="16"/>
              </w:rPr>
              <w:t>3.5 </w:t>
            </w:r>
          </w:p>
        </w:tc>
        <w:tc>
          <w:tcPr>
            <w:tcW w:w="0" w:type="auto"/>
            <w:shd w:val="clear" w:color="auto" w:fill="CCEEFF"/>
            <w:tcMar>
              <w:top w:w="40" w:type="dxa"/>
              <w:left w:w="0" w:type="dxa"/>
              <w:bottom w:w="40" w:type="dxa"/>
              <w:right w:w="20" w:type="dxa"/>
            </w:tcMar>
            <w:vAlign w:val="center"/>
          </w:tcPr>
          <w:p w14:paraId="098AA1CC"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098AA1CD"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A1CE" w14:textId="77777777" w:rsidR="00141CDF" w:rsidRDefault="00DF45E0">
            <w:pPr>
              <w:jc w:val="right"/>
              <w:textAlignment w:val="center"/>
            </w:pPr>
            <w:r>
              <w:rPr>
                <w:rFonts w:ascii="Times New Roman" w:eastAsia="宋体" w:hAnsi="Times New Roman"/>
                <w:color w:val="000000"/>
                <w:sz w:val="16"/>
                <w:szCs w:val="16"/>
              </w:rPr>
              <w:t>2.1 </w:t>
            </w:r>
          </w:p>
        </w:tc>
        <w:tc>
          <w:tcPr>
            <w:tcW w:w="0" w:type="auto"/>
            <w:shd w:val="clear" w:color="auto" w:fill="CCEEFF"/>
            <w:tcMar>
              <w:top w:w="40" w:type="dxa"/>
              <w:left w:w="0" w:type="dxa"/>
              <w:bottom w:w="40" w:type="dxa"/>
              <w:right w:w="20" w:type="dxa"/>
            </w:tcMar>
            <w:vAlign w:val="center"/>
          </w:tcPr>
          <w:p w14:paraId="098AA1CF"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098AA1D0"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A1D1" w14:textId="77777777" w:rsidR="00141CDF" w:rsidRDefault="00DF45E0">
            <w:pPr>
              <w:jc w:val="right"/>
              <w:textAlignment w:val="center"/>
            </w:pPr>
            <w:r>
              <w:rPr>
                <w:rFonts w:ascii="Times New Roman" w:eastAsia="宋体" w:hAnsi="Times New Roman"/>
                <w:color w:val="000000"/>
                <w:sz w:val="16"/>
                <w:szCs w:val="16"/>
              </w:rPr>
              <w:t>3.5 </w:t>
            </w:r>
          </w:p>
        </w:tc>
        <w:tc>
          <w:tcPr>
            <w:tcW w:w="0" w:type="auto"/>
            <w:shd w:val="clear" w:color="auto" w:fill="CCEEFF"/>
            <w:tcMar>
              <w:top w:w="40" w:type="dxa"/>
              <w:left w:w="0" w:type="dxa"/>
              <w:bottom w:w="40" w:type="dxa"/>
              <w:right w:w="20" w:type="dxa"/>
            </w:tcMar>
            <w:vAlign w:val="center"/>
          </w:tcPr>
          <w:p w14:paraId="098AA1D2" w14:textId="77777777" w:rsidR="00141CDF" w:rsidRDefault="00DF45E0">
            <w:pPr>
              <w:jc w:val="right"/>
              <w:textAlignment w:val="center"/>
            </w:pPr>
            <w:r>
              <w:rPr>
                <w:rFonts w:ascii="Times New Roman" w:eastAsia="宋体" w:hAnsi="Times New Roman"/>
                <w:color w:val="000000"/>
                <w:sz w:val="16"/>
                <w:szCs w:val="16"/>
              </w:rPr>
              <w:t>%</w:t>
            </w:r>
          </w:p>
        </w:tc>
      </w:tr>
      <w:tr w:rsidR="00141CDF" w14:paraId="098AA1E1" w14:textId="77777777">
        <w:trPr>
          <w:jc w:val="center"/>
        </w:trPr>
        <w:tc>
          <w:tcPr>
            <w:tcW w:w="0" w:type="auto"/>
            <w:gridSpan w:val="3"/>
            <w:shd w:val="clear" w:color="auto" w:fill="FFFFFF"/>
            <w:tcMar>
              <w:top w:w="40" w:type="dxa"/>
              <w:left w:w="245" w:type="dxa"/>
              <w:bottom w:w="40" w:type="dxa"/>
              <w:right w:w="20" w:type="dxa"/>
            </w:tcMar>
            <w:vAlign w:val="center"/>
          </w:tcPr>
          <w:p w14:paraId="098AA1D4" w14:textId="77777777" w:rsidR="00141CDF" w:rsidRDefault="00DF45E0">
            <w:pPr>
              <w:textAlignment w:val="center"/>
            </w:pPr>
            <w:r>
              <w:rPr>
                <w:rFonts w:ascii="Times New Roman" w:eastAsia="宋体" w:hAnsi="Times New Roman"/>
                <w:color w:val="000000"/>
                <w:sz w:val="16"/>
                <w:szCs w:val="16"/>
              </w:rPr>
              <w:t>Unit counts at period end</w:t>
            </w:r>
          </w:p>
        </w:tc>
        <w:tc>
          <w:tcPr>
            <w:tcW w:w="0" w:type="auto"/>
            <w:gridSpan w:val="3"/>
            <w:shd w:val="clear" w:color="auto" w:fill="FFFFFF"/>
            <w:tcMar>
              <w:top w:w="0" w:type="dxa"/>
              <w:left w:w="20" w:type="dxa"/>
              <w:bottom w:w="0" w:type="dxa"/>
              <w:right w:w="20" w:type="dxa"/>
            </w:tcMar>
            <w:vAlign w:val="bottom"/>
          </w:tcPr>
          <w:p w14:paraId="098AA1D5"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A1D6" w14:textId="77777777" w:rsidR="00141CDF" w:rsidRDefault="00DF45E0">
            <w:pPr>
              <w:jc w:val="right"/>
              <w:textAlignment w:val="center"/>
            </w:pPr>
            <w:r>
              <w:rPr>
                <w:rFonts w:ascii="Times New Roman" w:eastAsia="宋体" w:hAnsi="Times New Roman"/>
                <w:color w:val="000000"/>
                <w:sz w:val="16"/>
                <w:szCs w:val="16"/>
              </w:rPr>
              <w:t>600 </w:t>
            </w:r>
          </w:p>
        </w:tc>
        <w:tc>
          <w:tcPr>
            <w:tcW w:w="0" w:type="auto"/>
            <w:shd w:val="clear" w:color="auto" w:fill="FFFFFF"/>
            <w:tcMar>
              <w:top w:w="40" w:type="dxa"/>
              <w:left w:w="0" w:type="dxa"/>
              <w:bottom w:w="40" w:type="dxa"/>
              <w:right w:w="20" w:type="dxa"/>
            </w:tcMar>
            <w:vAlign w:val="center"/>
          </w:tcPr>
          <w:p w14:paraId="098AA1D7"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A1D8"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A1D9" w14:textId="77777777" w:rsidR="00141CDF" w:rsidRDefault="00DF45E0">
            <w:pPr>
              <w:jc w:val="right"/>
              <w:textAlignment w:val="center"/>
            </w:pPr>
            <w:r>
              <w:rPr>
                <w:rFonts w:ascii="Times New Roman" w:eastAsia="宋体" w:hAnsi="Times New Roman"/>
                <w:color w:val="000000"/>
                <w:sz w:val="16"/>
                <w:szCs w:val="16"/>
              </w:rPr>
              <w:t>599 </w:t>
            </w:r>
          </w:p>
        </w:tc>
        <w:tc>
          <w:tcPr>
            <w:tcW w:w="0" w:type="auto"/>
            <w:shd w:val="clear" w:color="auto" w:fill="FFFFFF"/>
            <w:tcMar>
              <w:top w:w="40" w:type="dxa"/>
              <w:left w:w="0" w:type="dxa"/>
              <w:bottom w:w="40" w:type="dxa"/>
              <w:right w:w="20" w:type="dxa"/>
            </w:tcMar>
            <w:vAlign w:val="center"/>
          </w:tcPr>
          <w:p w14:paraId="098AA1DA"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A1DB"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A1DC" w14:textId="77777777" w:rsidR="00141CDF" w:rsidRDefault="00DF45E0">
            <w:pPr>
              <w:jc w:val="right"/>
              <w:textAlignment w:val="center"/>
            </w:pPr>
            <w:r>
              <w:rPr>
                <w:rFonts w:ascii="Times New Roman" w:eastAsia="宋体" w:hAnsi="Times New Roman"/>
                <w:color w:val="000000"/>
                <w:sz w:val="16"/>
                <w:szCs w:val="16"/>
              </w:rPr>
              <w:t>600 </w:t>
            </w:r>
          </w:p>
        </w:tc>
        <w:tc>
          <w:tcPr>
            <w:tcW w:w="0" w:type="auto"/>
            <w:shd w:val="clear" w:color="auto" w:fill="FFFFFF"/>
            <w:tcMar>
              <w:top w:w="40" w:type="dxa"/>
              <w:left w:w="0" w:type="dxa"/>
              <w:bottom w:w="40" w:type="dxa"/>
              <w:right w:w="20" w:type="dxa"/>
            </w:tcMar>
            <w:vAlign w:val="center"/>
          </w:tcPr>
          <w:p w14:paraId="098AA1DD"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A1DE"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A1DF" w14:textId="77777777" w:rsidR="00141CDF" w:rsidRDefault="00DF45E0">
            <w:pPr>
              <w:jc w:val="right"/>
              <w:textAlignment w:val="center"/>
            </w:pPr>
            <w:r>
              <w:rPr>
                <w:rFonts w:ascii="Times New Roman" w:eastAsia="宋体" w:hAnsi="Times New Roman"/>
                <w:color w:val="000000"/>
                <w:sz w:val="16"/>
                <w:szCs w:val="16"/>
              </w:rPr>
              <w:t>599 </w:t>
            </w:r>
          </w:p>
        </w:tc>
        <w:tc>
          <w:tcPr>
            <w:tcW w:w="0" w:type="auto"/>
            <w:shd w:val="clear" w:color="auto" w:fill="FFFFFF"/>
            <w:tcMar>
              <w:top w:w="40" w:type="dxa"/>
              <w:left w:w="0" w:type="dxa"/>
              <w:bottom w:w="40" w:type="dxa"/>
              <w:right w:w="20" w:type="dxa"/>
            </w:tcMar>
            <w:vAlign w:val="center"/>
          </w:tcPr>
          <w:p w14:paraId="098AA1E0" w14:textId="77777777" w:rsidR="00141CDF" w:rsidRDefault="00141CDF">
            <w:pPr>
              <w:jc w:val="right"/>
              <w:rPr>
                <w:rFonts w:ascii="宋体"/>
              </w:rPr>
            </w:pPr>
          </w:p>
        </w:tc>
      </w:tr>
      <w:tr w:rsidR="00141CDF" w14:paraId="098AA1EF" w14:textId="77777777">
        <w:trPr>
          <w:jc w:val="center"/>
        </w:trPr>
        <w:tc>
          <w:tcPr>
            <w:tcW w:w="0" w:type="auto"/>
            <w:gridSpan w:val="3"/>
            <w:shd w:val="clear" w:color="auto" w:fill="CCEEFF"/>
            <w:tcMar>
              <w:top w:w="40" w:type="dxa"/>
              <w:left w:w="245" w:type="dxa"/>
              <w:bottom w:w="40" w:type="dxa"/>
              <w:right w:w="20" w:type="dxa"/>
            </w:tcMar>
            <w:vAlign w:val="center"/>
          </w:tcPr>
          <w:p w14:paraId="098AA1E2" w14:textId="77777777" w:rsidR="00141CDF" w:rsidRDefault="00DF45E0">
            <w:pPr>
              <w:textAlignment w:val="center"/>
            </w:pPr>
            <w:r>
              <w:rPr>
                <w:rFonts w:ascii="Times New Roman" w:eastAsia="宋体" w:hAnsi="Times New Roman"/>
                <w:color w:val="000000"/>
                <w:sz w:val="16"/>
                <w:szCs w:val="16"/>
              </w:rPr>
              <w:t>Retail square feet at period end</w:t>
            </w:r>
          </w:p>
        </w:tc>
        <w:tc>
          <w:tcPr>
            <w:tcW w:w="0" w:type="auto"/>
            <w:gridSpan w:val="3"/>
            <w:shd w:val="clear" w:color="auto" w:fill="CCEEFF"/>
            <w:tcMar>
              <w:top w:w="0" w:type="dxa"/>
              <w:left w:w="20" w:type="dxa"/>
              <w:bottom w:w="0" w:type="dxa"/>
              <w:right w:w="20" w:type="dxa"/>
            </w:tcMar>
            <w:vAlign w:val="bottom"/>
          </w:tcPr>
          <w:p w14:paraId="098AA1E3"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A1E4" w14:textId="77777777" w:rsidR="00141CDF" w:rsidRDefault="00DF45E0">
            <w:pPr>
              <w:jc w:val="right"/>
              <w:textAlignment w:val="center"/>
            </w:pPr>
            <w:r>
              <w:rPr>
                <w:rFonts w:ascii="Times New Roman" w:eastAsia="宋体" w:hAnsi="Times New Roman"/>
                <w:color w:val="000000"/>
                <w:sz w:val="16"/>
                <w:szCs w:val="16"/>
              </w:rPr>
              <w:t>80 </w:t>
            </w:r>
          </w:p>
        </w:tc>
        <w:tc>
          <w:tcPr>
            <w:tcW w:w="0" w:type="auto"/>
            <w:shd w:val="clear" w:color="auto" w:fill="CCEEFF"/>
            <w:tcMar>
              <w:top w:w="40" w:type="dxa"/>
              <w:left w:w="0" w:type="dxa"/>
              <w:bottom w:w="40" w:type="dxa"/>
              <w:right w:w="20" w:type="dxa"/>
            </w:tcMar>
            <w:vAlign w:val="center"/>
          </w:tcPr>
          <w:p w14:paraId="098AA1E5"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A1E6"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A1E7" w14:textId="77777777" w:rsidR="00141CDF" w:rsidRDefault="00DF45E0">
            <w:pPr>
              <w:jc w:val="right"/>
              <w:textAlignment w:val="center"/>
            </w:pPr>
            <w:r>
              <w:rPr>
                <w:rFonts w:ascii="Times New Roman" w:eastAsia="宋体" w:hAnsi="Times New Roman"/>
                <w:color w:val="000000"/>
                <w:sz w:val="16"/>
                <w:szCs w:val="16"/>
              </w:rPr>
              <w:t>80 </w:t>
            </w:r>
          </w:p>
        </w:tc>
        <w:tc>
          <w:tcPr>
            <w:tcW w:w="0" w:type="auto"/>
            <w:shd w:val="clear" w:color="auto" w:fill="CCEEFF"/>
            <w:tcMar>
              <w:top w:w="40" w:type="dxa"/>
              <w:left w:w="0" w:type="dxa"/>
              <w:bottom w:w="40" w:type="dxa"/>
              <w:right w:w="20" w:type="dxa"/>
            </w:tcMar>
            <w:vAlign w:val="center"/>
          </w:tcPr>
          <w:p w14:paraId="098AA1E8"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A1E9"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A1EA" w14:textId="77777777" w:rsidR="00141CDF" w:rsidRDefault="00DF45E0">
            <w:pPr>
              <w:jc w:val="right"/>
              <w:textAlignment w:val="center"/>
            </w:pPr>
            <w:r>
              <w:rPr>
                <w:rFonts w:ascii="Times New Roman" w:eastAsia="宋体" w:hAnsi="Times New Roman"/>
                <w:color w:val="000000"/>
                <w:sz w:val="16"/>
                <w:szCs w:val="16"/>
              </w:rPr>
              <w:t>80 </w:t>
            </w:r>
          </w:p>
        </w:tc>
        <w:tc>
          <w:tcPr>
            <w:tcW w:w="0" w:type="auto"/>
            <w:shd w:val="clear" w:color="auto" w:fill="CCEEFF"/>
            <w:tcMar>
              <w:top w:w="40" w:type="dxa"/>
              <w:left w:w="0" w:type="dxa"/>
              <w:bottom w:w="40" w:type="dxa"/>
              <w:right w:w="20" w:type="dxa"/>
            </w:tcMar>
            <w:vAlign w:val="center"/>
          </w:tcPr>
          <w:p w14:paraId="098AA1EB"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A1EC"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A1ED" w14:textId="77777777" w:rsidR="00141CDF" w:rsidRDefault="00DF45E0">
            <w:pPr>
              <w:jc w:val="right"/>
              <w:textAlignment w:val="center"/>
            </w:pPr>
            <w:r>
              <w:rPr>
                <w:rFonts w:ascii="Times New Roman" w:eastAsia="宋体" w:hAnsi="Times New Roman"/>
                <w:color w:val="000000"/>
                <w:sz w:val="16"/>
                <w:szCs w:val="16"/>
              </w:rPr>
              <w:t>80 </w:t>
            </w:r>
          </w:p>
        </w:tc>
        <w:tc>
          <w:tcPr>
            <w:tcW w:w="0" w:type="auto"/>
            <w:shd w:val="clear" w:color="auto" w:fill="CCEEFF"/>
            <w:tcMar>
              <w:top w:w="40" w:type="dxa"/>
              <w:left w:w="0" w:type="dxa"/>
              <w:bottom w:w="40" w:type="dxa"/>
              <w:right w:w="20" w:type="dxa"/>
            </w:tcMar>
            <w:vAlign w:val="center"/>
          </w:tcPr>
          <w:p w14:paraId="098AA1EE" w14:textId="77777777" w:rsidR="00141CDF" w:rsidRDefault="00141CDF">
            <w:pPr>
              <w:jc w:val="right"/>
              <w:rPr>
                <w:rFonts w:ascii="宋体"/>
              </w:rPr>
            </w:pPr>
          </w:p>
        </w:tc>
      </w:tr>
      <w:tr w:rsidR="00141CDF" w14:paraId="098AA1F9" w14:textId="77777777">
        <w:trPr>
          <w:trHeight w:val="220"/>
          <w:jc w:val="center"/>
        </w:trPr>
        <w:tc>
          <w:tcPr>
            <w:tcW w:w="0" w:type="auto"/>
            <w:gridSpan w:val="3"/>
            <w:shd w:val="clear" w:color="auto" w:fill="FFFFFF"/>
            <w:tcMar>
              <w:top w:w="0" w:type="dxa"/>
              <w:left w:w="20" w:type="dxa"/>
              <w:bottom w:w="0" w:type="dxa"/>
              <w:right w:w="20" w:type="dxa"/>
            </w:tcMar>
            <w:vAlign w:val="bottom"/>
          </w:tcPr>
          <w:p w14:paraId="098AA1F0"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A1F1"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A1F2"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A1F3"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A1F4"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A1F5"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A1F6"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A1F7"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A1F8" w14:textId="77777777" w:rsidR="00141CDF" w:rsidRDefault="00141CDF">
            <w:pPr>
              <w:rPr>
                <w:rFonts w:ascii="宋体"/>
              </w:rPr>
            </w:pPr>
          </w:p>
        </w:tc>
      </w:tr>
      <w:tr w:rsidR="00141CDF" w14:paraId="098AA203" w14:textId="77777777">
        <w:trPr>
          <w:jc w:val="center"/>
        </w:trPr>
        <w:tc>
          <w:tcPr>
            <w:tcW w:w="0" w:type="auto"/>
            <w:gridSpan w:val="3"/>
            <w:shd w:val="clear" w:color="auto" w:fill="CCEEFF"/>
            <w:tcMar>
              <w:top w:w="40" w:type="dxa"/>
              <w:left w:w="20" w:type="dxa"/>
              <w:bottom w:w="40" w:type="dxa"/>
              <w:right w:w="20" w:type="dxa"/>
            </w:tcMar>
            <w:vAlign w:val="center"/>
          </w:tcPr>
          <w:p w14:paraId="098AA1FA" w14:textId="77777777" w:rsidR="00141CDF" w:rsidRDefault="00DF45E0">
            <w:pPr>
              <w:textAlignment w:val="center"/>
            </w:pPr>
            <w:r>
              <w:rPr>
                <w:rFonts w:ascii="Times New Roman" w:eastAsia="宋体" w:hAnsi="Times New Roman"/>
                <w:b/>
                <w:bCs/>
                <w:i/>
                <w:iCs/>
                <w:color w:val="000000"/>
                <w:sz w:val="16"/>
                <w:szCs w:val="16"/>
              </w:rPr>
              <w:t xml:space="preserve">Excluding Fuel </w:t>
            </w:r>
            <w:r>
              <w:rPr>
                <w:rFonts w:ascii="Times New Roman" w:eastAsia="宋体" w:hAnsi="Times New Roman"/>
                <w:b/>
                <w:bCs/>
                <w:i/>
                <w:iCs/>
                <w:color w:val="000000"/>
                <w:sz w:val="10"/>
                <w:szCs w:val="10"/>
              </w:rPr>
              <w:t>(1)</w:t>
            </w:r>
          </w:p>
        </w:tc>
        <w:tc>
          <w:tcPr>
            <w:tcW w:w="0" w:type="auto"/>
            <w:gridSpan w:val="3"/>
            <w:shd w:val="clear" w:color="auto" w:fill="CCEEFF"/>
            <w:tcMar>
              <w:top w:w="0" w:type="dxa"/>
              <w:left w:w="20" w:type="dxa"/>
              <w:bottom w:w="0" w:type="dxa"/>
              <w:right w:w="20" w:type="dxa"/>
            </w:tcMar>
            <w:vAlign w:val="bottom"/>
          </w:tcPr>
          <w:p w14:paraId="098AA1FB"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A1FC"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A1FD"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A1FE"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A1FF"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A200"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A201" w14:textId="77777777" w:rsidR="00141CDF" w:rsidRDefault="00141CDF">
            <w:pPr>
              <w:rPr>
                <w:rFonts w:ascii="宋体"/>
              </w:rPr>
            </w:pPr>
          </w:p>
        </w:tc>
        <w:tc>
          <w:tcPr>
            <w:tcW w:w="0" w:type="auto"/>
            <w:gridSpan w:val="3"/>
            <w:shd w:val="clear" w:color="auto" w:fill="CCEEFF"/>
            <w:tcMar>
              <w:top w:w="0" w:type="dxa"/>
              <w:left w:w="20" w:type="dxa"/>
              <w:bottom w:w="0" w:type="dxa"/>
              <w:right w:w="20" w:type="dxa"/>
            </w:tcMar>
            <w:vAlign w:val="bottom"/>
          </w:tcPr>
          <w:p w14:paraId="098AA202" w14:textId="77777777" w:rsidR="00141CDF" w:rsidRDefault="00141CDF">
            <w:pPr>
              <w:rPr>
                <w:rFonts w:ascii="宋体"/>
              </w:rPr>
            </w:pPr>
          </w:p>
        </w:tc>
      </w:tr>
      <w:tr w:rsidR="00141CDF" w14:paraId="098AA215" w14:textId="77777777">
        <w:trPr>
          <w:jc w:val="center"/>
        </w:trPr>
        <w:tc>
          <w:tcPr>
            <w:tcW w:w="0" w:type="auto"/>
            <w:gridSpan w:val="3"/>
            <w:shd w:val="clear" w:color="auto" w:fill="FFFFFF"/>
            <w:tcMar>
              <w:top w:w="40" w:type="dxa"/>
              <w:left w:w="245" w:type="dxa"/>
              <w:bottom w:w="40" w:type="dxa"/>
              <w:right w:w="20" w:type="dxa"/>
            </w:tcMar>
            <w:vAlign w:val="center"/>
          </w:tcPr>
          <w:p w14:paraId="098AA204" w14:textId="77777777" w:rsidR="00141CDF" w:rsidRDefault="00DF45E0">
            <w:pPr>
              <w:textAlignment w:val="center"/>
            </w:pPr>
            <w:r>
              <w:rPr>
                <w:rFonts w:ascii="Times New Roman" w:eastAsia="宋体" w:hAnsi="Times New Roman"/>
                <w:color w:val="000000"/>
                <w:sz w:val="16"/>
                <w:szCs w:val="16"/>
              </w:rPr>
              <w:t>Net sales</w:t>
            </w:r>
          </w:p>
        </w:tc>
        <w:tc>
          <w:tcPr>
            <w:tcW w:w="0" w:type="auto"/>
            <w:gridSpan w:val="3"/>
            <w:shd w:val="clear" w:color="auto" w:fill="FFFFFF"/>
            <w:tcMar>
              <w:top w:w="0" w:type="dxa"/>
              <w:left w:w="20" w:type="dxa"/>
              <w:bottom w:w="0" w:type="dxa"/>
              <w:right w:w="20" w:type="dxa"/>
            </w:tcMar>
            <w:vAlign w:val="bottom"/>
          </w:tcPr>
          <w:p w14:paraId="098AA205" w14:textId="77777777" w:rsidR="00141CDF" w:rsidRDefault="00141CDF">
            <w:pPr>
              <w:rPr>
                <w:rFonts w:ascii="宋体"/>
              </w:rPr>
            </w:pPr>
          </w:p>
        </w:tc>
        <w:tc>
          <w:tcPr>
            <w:tcW w:w="0" w:type="auto"/>
            <w:shd w:val="clear" w:color="auto" w:fill="FFFFFF"/>
            <w:tcMar>
              <w:top w:w="40" w:type="dxa"/>
              <w:left w:w="20" w:type="dxa"/>
              <w:bottom w:w="40" w:type="dxa"/>
              <w:right w:w="0" w:type="dxa"/>
            </w:tcMar>
            <w:vAlign w:val="center"/>
          </w:tcPr>
          <w:p w14:paraId="098AA206"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098AA207" w14:textId="77777777" w:rsidR="00141CDF" w:rsidRDefault="00DF45E0">
            <w:pPr>
              <w:jc w:val="right"/>
              <w:textAlignment w:val="center"/>
            </w:pPr>
            <w:r>
              <w:rPr>
                <w:rFonts w:ascii="Times New Roman" w:eastAsia="宋体" w:hAnsi="Times New Roman"/>
                <w:color w:val="000000"/>
                <w:sz w:val="16"/>
                <w:szCs w:val="16"/>
              </w:rPr>
              <w:t>17,999 </w:t>
            </w:r>
          </w:p>
        </w:tc>
        <w:tc>
          <w:tcPr>
            <w:tcW w:w="0" w:type="auto"/>
            <w:shd w:val="clear" w:color="auto" w:fill="FFFFFF"/>
            <w:tcMar>
              <w:top w:w="40" w:type="dxa"/>
              <w:left w:w="0" w:type="dxa"/>
              <w:bottom w:w="40" w:type="dxa"/>
              <w:right w:w="20" w:type="dxa"/>
            </w:tcMar>
            <w:vAlign w:val="center"/>
          </w:tcPr>
          <w:p w14:paraId="098AA208"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A209" w14:textId="77777777" w:rsidR="00141CDF" w:rsidRDefault="00141CDF">
            <w:pPr>
              <w:rPr>
                <w:rFonts w:ascii="宋体"/>
              </w:rPr>
            </w:pPr>
          </w:p>
        </w:tc>
        <w:tc>
          <w:tcPr>
            <w:tcW w:w="0" w:type="auto"/>
            <w:shd w:val="clear" w:color="auto" w:fill="FFFFFF"/>
            <w:tcMar>
              <w:top w:w="40" w:type="dxa"/>
              <w:left w:w="20" w:type="dxa"/>
              <w:bottom w:w="40" w:type="dxa"/>
              <w:right w:w="0" w:type="dxa"/>
            </w:tcMar>
            <w:vAlign w:val="center"/>
          </w:tcPr>
          <w:p w14:paraId="098AA20A"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098AA20B" w14:textId="77777777" w:rsidR="00141CDF" w:rsidRDefault="00DF45E0">
            <w:pPr>
              <w:jc w:val="right"/>
              <w:textAlignment w:val="center"/>
            </w:pPr>
            <w:r>
              <w:rPr>
                <w:rFonts w:ascii="Times New Roman" w:eastAsia="宋体" w:hAnsi="Times New Roman"/>
                <w:color w:val="000000"/>
                <w:sz w:val="16"/>
                <w:szCs w:val="16"/>
              </w:rPr>
              <w:t>16,437 </w:t>
            </w:r>
          </w:p>
        </w:tc>
        <w:tc>
          <w:tcPr>
            <w:tcW w:w="0" w:type="auto"/>
            <w:shd w:val="clear" w:color="auto" w:fill="FFFFFF"/>
            <w:tcMar>
              <w:top w:w="40" w:type="dxa"/>
              <w:left w:w="0" w:type="dxa"/>
              <w:bottom w:w="40" w:type="dxa"/>
              <w:right w:w="20" w:type="dxa"/>
            </w:tcMar>
            <w:vAlign w:val="center"/>
          </w:tcPr>
          <w:p w14:paraId="098AA20C"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A20D" w14:textId="77777777" w:rsidR="00141CDF" w:rsidRDefault="00141CDF">
            <w:pPr>
              <w:rPr>
                <w:rFonts w:ascii="宋体"/>
              </w:rPr>
            </w:pPr>
          </w:p>
        </w:tc>
        <w:tc>
          <w:tcPr>
            <w:tcW w:w="0" w:type="auto"/>
            <w:shd w:val="clear" w:color="auto" w:fill="FFFFFF"/>
            <w:tcMar>
              <w:top w:w="40" w:type="dxa"/>
              <w:left w:w="20" w:type="dxa"/>
              <w:bottom w:w="40" w:type="dxa"/>
              <w:right w:w="0" w:type="dxa"/>
            </w:tcMar>
            <w:vAlign w:val="center"/>
          </w:tcPr>
          <w:p w14:paraId="098AA20E"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098AA20F" w14:textId="77777777" w:rsidR="00141CDF" w:rsidRDefault="00DF45E0">
            <w:pPr>
              <w:jc w:val="right"/>
              <w:textAlignment w:val="center"/>
            </w:pPr>
            <w:r>
              <w:rPr>
                <w:rFonts w:ascii="Times New Roman" w:eastAsia="宋体" w:hAnsi="Times New Roman"/>
                <w:color w:val="000000"/>
                <w:sz w:val="16"/>
                <w:szCs w:val="16"/>
              </w:rPr>
              <w:t>34,531 </w:t>
            </w:r>
          </w:p>
        </w:tc>
        <w:tc>
          <w:tcPr>
            <w:tcW w:w="0" w:type="auto"/>
            <w:shd w:val="clear" w:color="auto" w:fill="FFFFFF"/>
            <w:tcMar>
              <w:top w:w="40" w:type="dxa"/>
              <w:left w:w="0" w:type="dxa"/>
              <w:bottom w:w="40" w:type="dxa"/>
              <w:right w:w="20" w:type="dxa"/>
            </w:tcMar>
            <w:vAlign w:val="center"/>
          </w:tcPr>
          <w:p w14:paraId="098AA210"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A211" w14:textId="77777777" w:rsidR="00141CDF" w:rsidRDefault="00141CDF">
            <w:pPr>
              <w:rPr>
                <w:rFonts w:ascii="宋体"/>
              </w:rPr>
            </w:pPr>
          </w:p>
        </w:tc>
        <w:tc>
          <w:tcPr>
            <w:tcW w:w="0" w:type="auto"/>
            <w:shd w:val="clear" w:color="auto" w:fill="FFFFFF"/>
            <w:tcMar>
              <w:top w:w="40" w:type="dxa"/>
              <w:left w:w="20" w:type="dxa"/>
              <w:bottom w:w="40" w:type="dxa"/>
              <w:right w:w="0" w:type="dxa"/>
            </w:tcMar>
            <w:vAlign w:val="center"/>
          </w:tcPr>
          <w:p w14:paraId="098AA212"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098AA213" w14:textId="77777777" w:rsidR="00141CDF" w:rsidRDefault="00DF45E0">
            <w:pPr>
              <w:jc w:val="right"/>
              <w:textAlignment w:val="center"/>
            </w:pPr>
            <w:r>
              <w:rPr>
                <w:rFonts w:ascii="Times New Roman" w:eastAsia="宋体" w:hAnsi="Times New Roman"/>
                <w:color w:val="000000"/>
                <w:sz w:val="16"/>
                <w:szCs w:val="16"/>
              </w:rPr>
              <w:t>31,374 </w:t>
            </w:r>
          </w:p>
        </w:tc>
        <w:tc>
          <w:tcPr>
            <w:tcW w:w="0" w:type="auto"/>
            <w:shd w:val="clear" w:color="auto" w:fill="FFFFFF"/>
            <w:tcMar>
              <w:top w:w="40" w:type="dxa"/>
              <w:left w:w="0" w:type="dxa"/>
              <w:bottom w:w="40" w:type="dxa"/>
              <w:right w:w="20" w:type="dxa"/>
            </w:tcMar>
            <w:vAlign w:val="center"/>
          </w:tcPr>
          <w:p w14:paraId="098AA214" w14:textId="77777777" w:rsidR="00141CDF" w:rsidRDefault="00141CDF">
            <w:pPr>
              <w:jc w:val="right"/>
              <w:rPr>
                <w:rFonts w:ascii="宋体"/>
              </w:rPr>
            </w:pPr>
          </w:p>
        </w:tc>
      </w:tr>
      <w:tr w:rsidR="00141CDF" w14:paraId="098AA223" w14:textId="77777777">
        <w:trPr>
          <w:jc w:val="center"/>
        </w:trPr>
        <w:tc>
          <w:tcPr>
            <w:tcW w:w="0" w:type="auto"/>
            <w:gridSpan w:val="3"/>
            <w:shd w:val="clear" w:color="auto" w:fill="CCEEFF"/>
            <w:tcMar>
              <w:top w:w="40" w:type="dxa"/>
              <w:left w:w="245" w:type="dxa"/>
              <w:bottom w:w="40" w:type="dxa"/>
              <w:right w:w="20" w:type="dxa"/>
            </w:tcMar>
            <w:vAlign w:val="center"/>
          </w:tcPr>
          <w:p w14:paraId="098AA216" w14:textId="77777777" w:rsidR="00141CDF" w:rsidRDefault="00DF45E0">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CCEEFF"/>
            <w:tcMar>
              <w:top w:w="0" w:type="dxa"/>
              <w:left w:w="20" w:type="dxa"/>
              <w:bottom w:w="0" w:type="dxa"/>
              <w:right w:w="20" w:type="dxa"/>
            </w:tcMar>
            <w:vAlign w:val="bottom"/>
          </w:tcPr>
          <w:p w14:paraId="098AA217"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A218" w14:textId="77777777" w:rsidR="00141CDF" w:rsidRDefault="00DF45E0">
            <w:pPr>
              <w:jc w:val="right"/>
              <w:textAlignment w:val="center"/>
            </w:pPr>
            <w:r>
              <w:rPr>
                <w:rFonts w:ascii="Times New Roman" w:eastAsia="宋体" w:hAnsi="Times New Roman"/>
                <w:color w:val="000000"/>
                <w:sz w:val="16"/>
                <w:szCs w:val="16"/>
              </w:rPr>
              <w:t>9.5 </w:t>
            </w:r>
          </w:p>
        </w:tc>
        <w:tc>
          <w:tcPr>
            <w:tcW w:w="0" w:type="auto"/>
            <w:shd w:val="clear" w:color="auto" w:fill="CCEEFF"/>
            <w:tcMar>
              <w:top w:w="40" w:type="dxa"/>
              <w:left w:w="0" w:type="dxa"/>
              <w:bottom w:w="40" w:type="dxa"/>
              <w:right w:w="20" w:type="dxa"/>
            </w:tcMar>
            <w:vAlign w:val="center"/>
          </w:tcPr>
          <w:p w14:paraId="098AA219"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098AA21A"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A21B" w14:textId="77777777" w:rsidR="00141CDF" w:rsidRDefault="00DF45E0">
            <w:pPr>
              <w:jc w:val="right"/>
              <w:textAlignment w:val="center"/>
            </w:pPr>
            <w:r>
              <w:rPr>
                <w:rFonts w:ascii="Times New Roman" w:eastAsia="宋体" w:hAnsi="Times New Roman"/>
                <w:color w:val="000000"/>
                <w:sz w:val="16"/>
                <w:szCs w:val="16"/>
              </w:rPr>
              <w:t>7.7 </w:t>
            </w:r>
          </w:p>
        </w:tc>
        <w:tc>
          <w:tcPr>
            <w:tcW w:w="0" w:type="auto"/>
            <w:shd w:val="clear" w:color="auto" w:fill="CCEEFF"/>
            <w:tcMar>
              <w:top w:w="40" w:type="dxa"/>
              <w:left w:w="0" w:type="dxa"/>
              <w:bottom w:w="40" w:type="dxa"/>
              <w:right w:w="20" w:type="dxa"/>
            </w:tcMar>
            <w:vAlign w:val="center"/>
          </w:tcPr>
          <w:p w14:paraId="098AA21C"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098AA21D"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A21E" w14:textId="77777777" w:rsidR="00141CDF" w:rsidRDefault="00DF45E0">
            <w:pPr>
              <w:jc w:val="right"/>
              <w:textAlignment w:val="center"/>
            </w:pPr>
            <w:r>
              <w:rPr>
                <w:rFonts w:ascii="Times New Roman" w:eastAsia="宋体" w:hAnsi="Times New Roman"/>
                <w:color w:val="000000"/>
                <w:sz w:val="16"/>
                <w:szCs w:val="16"/>
              </w:rPr>
              <w:t>10.1 </w:t>
            </w:r>
          </w:p>
        </w:tc>
        <w:tc>
          <w:tcPr>
            <w:tcW w:w="0" w:type="auto"/>
            <w:shd w:val="clear" w:color="auto" w:fill="CCEEFF"/>
            <w:tcMar>
              <w:top w:w="40" w:type="dxa"/>
              <w:left w:w="0" w:type="dxa"/>
              <w:bottom w:w="40" w:type="dxa"/>
              <w:right w:w="20" w:type="dxa"/>
            </w:tcMar>
            <w:vAlign w:val="center"/>
          </w:tcPr>
          <w:p w14:paraId="098AA21F"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098AA220"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A221" w14:textId="77777777" w:rsidR="00141CDF" w:rsidRDefault="00DF45E0">
            <w:pPr>
              <w:jc w:val="right"/>
              <w:textAlignment w:val="center"/>
            </w:pPr>
            <w:r>
              <w:rPr>
                <w:rFonts w:ascii="Times New Roman" w:eastAsia="宋体" w:hAnsi="Times New Roman"/>
                <w:color w:val="000000"/>
                <w:sz w:val="16"/>
                <w:szCs w:val="16"/>
              </w:rPr>
              <w:t>7.0 </w:t>
            </w:r>
          </w:p>
        </w:tc>
        <w:tc>
          <w:tcPr>
            <w:tcW w:w="0" w:type="auto"/>
            <w:shd w:val="clear" w:color="auto" w:fill="CCEEFF"/>
            <w:tcMar>
              <w:top w:w="40" w:type="dxa"/>
              <w:left w:w="0" w:type="dxa"/>
              <w:bottom w:w="40" w:type="dxa"/>
              <w:right w:w="20" w:type="dxa"/>
            </w:tcMar>
            <w:vAlign w:val="center"/>
          </w:tcPr>
          <w:p w14:paraId="098AA222" w14:textId="77777777" w:rsidR="00141CDF" w:rsidRDefault="00DF45E0">
            <w:pPr>
              <w:jc w:val="right"/>
              <w:textAlignment w:val="center"/>
            </w:pPr>
            <w:r>
              <w:rPr>
                <w:rFonts w:ascii="Times New Roman" w:eastAsia="宋体" w:hAnsi="Times New Roman"/>
                <w:color w:val="000000"/>
                <w:sz w:val="16"/>
                <w:szCs w:val="16"/>
              </w:rPr>
              <w:t>%</w:t>
            </w:r>
          </w:p>
        </w:tc>
      </w:tr>
      <w:tr w:rsidR="00141CDF" w14:paraId="098AA235" w14:textId="77777777">
        <w:trPr>
          <w:jc w:val="center"/>
        </w:trPr>
        <w:tc>
          <w:tcPr>
            <w:tcW w:w="0" w:type="auto"/>
            <w:gridSpan w:val="3"/>
            <w:shd w:val="clear" w:color="auto" w:fill="FFFFFF"/>
            <w:tcMar>
              <w:top w:w="40" w:type="dxa"/>
              <w:left w:w="245" w:type="dxa"/>
              <w:bottom w:w="40" w:type="dxa"/>
              <w:right w:w="20" w:type="dxa"/>
            </w:tcMar>
            <w:vAlign w:val="center"/>
          </w:tcPr>
          <w:p w14:paraId="098AA224" w14:textId="77777777" w:rsidR="00141CDF" w:rsidRDefault="00DF45E0">
            <w:pPr>
              <w:textAlignment w:val="center"/>
            </w:pPr>
            <w:r>
              <w:rPr>
                <w:rFonts w:ascii="Times New Roman" w:eastAsia="宋体" w:hAnsi="Times New Roman"/>
                <w:color w:val="000000"/>
                <w:sz w:val="16"/>
                <w:szCs w:val="16"/>
              </w:rPr>
              <w:t>Operating income</w:t>
            </w:r>
          </w:p>
        </w:tc>
        <w:tc>
          <w:tcPr>
            <w:tcW w:w="0" w:type="auto"/>
            <w:gridSpan w:val="3"/>
            <w:shd w:val="clear" w:color="auto" w:fill="FFFFFF"/>
            <w:tcMar>
              <w:top w:w="0" w:type="dxa"/>
              <w:left w:w="20" w:type="dxa"/>
              <w:bottom w:w="0" w:type="dxa"/>
              <w:right w:w="20" w:type="dxa"/>
            </w:tcMar>
            <w:vAlign w:val="bottom"/>
          </w:tcPr>
          <w:p w14:paraId="098AA225" w14:textId="77777777" w:rsidR="00141CDF" w:rsidRDefault="00141CDF">
            <w:pPr>
              <w:rPr>
                <w:rFonts w:ascii="宋体"/>
              </w:rPr>
            </w:pPr>
          </w:p>
        </w:tc>
        <w:tc>
          <w:tcPr>
            <w:tcW w:w="0" w:type="auto"/>
            <w:shd w:val="clear" w:color="auto" w:fill="FFFFFF"/>
            <w:tcMar>
              <w:top w:w="40" w:type="dxa"/>
              <w:left w:w="20" w:type="dxa"/>
              <w:bottom w:w="40" w:type="dxa"/>
              <w:right w:w="0" w:type="dxa"/>
            </w:tcMar>
            <w:vAlign w:val="center"/>
          </w:tcPr>
          <w:p w14:paraId="098AA226"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098AA227" w14:textId="77777777" w:rsidR="00141CDF" w:rsidRDefault="00DF45E0">
            <w:pPr>
              <w:jc w:val="right"/>
              <w:textAlignment w:val="center"/>
            </w:pPr>
            <w:r>
              <w:rPr>
                <w:rFonts w:ascii="Times New Roman" w:eastAsia="宋体" w:hAnsi="Times New Roman"/>
                <w:color w:val="000000"/>
                <w:sz w:val="16"/>
                <w:szCs w:val="16"/>
              </w:rPr>
              <w:t>222 </w:t>
            </w:r>
          </w:p>
        </w:tc>
        <w:tc>
          <w:tcPr>
            <w:tcW w:w="0" w:type="auto"/>
            <w:shd w:val="clear" w:color="auto" w:fill="FFFFFF"/>
            <w:tcMar>
              <w:top w:w="40" w:type="dxa"/>
              <w:left w:w="0" w:type="dxa"/>
              <w:bottom w:w="40" w:type="dxa"/>
              <w:right w:w="20" w:type="dxa"/>
            </w:tcMar>
            <w:vAlign w:val="center"/>
          </w:tcPr>
          <w:p w14:paraId="098AA228"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A229" w14:textId="77777777" w:rsidR="00141CDF" w:rsidRDefault="00141CDF">
            <w:pPr>
              <w:rPr>
                <w:rFonts w:ascii="宋体"/>
              </w:rPr>
            </w:pPr>
          </w:p>
        </w:tc>
        <w:tc>
          <w:tcPr>
            <w:tcW w:w="0" w:type="auto"/>
            <w:shd w:val="clear" w:color="auto" w:fill="FFFFFF"/>
            <w:tcMar>
              <w:top w:w="40" w:type="dxa"/>
              <w:left w:w="20" w:type="dxa"/>
              <w:bottom w:w="40" w:type="dxa"/>
              <w:right w:w="0" w:type="dxa"/>
            </w:tcMar>
            <w:vAlign w:val="center"/>
          </w:tcPr>
          <w:p w14:paraId="098AA22A"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098AA22B" w14:textId="77777777" w:rsidR="00141CDF" w:rsidRDefault="00DF45E0">
            <w:pPr>
              <w:jc w:val="right"/>
              <w:textAlignment w:val="center"/>
            </w:pPr>
            <w:r>
              <w:rPr>
                <w:rFonts w:ascii="Times New Roman" w:eastAsia="宋体" w:hAnsi="Times New Roman"/>
                <w:color w:val="000000"/>
                <w:sz w:val="16"/>
                <w:szCs w:val="16"/>
              </w:rPr>
              <w:t>575 </w:t>
            </w:r>
          </w:p>
        </w:tc>
        <w:tc>
          <w:tcPr>
            <w:tcW w:w="0" w:type="auto"/>
            <w:shd w:val="clear" w:color="auto" w:fill="FFFFFF"/>
            <w:tcMar>
              <w:top w:w="40" w:type="dxa"/>
              <w:left w:w="0" w:type="dxa"/>
              <w:bottom w:w="40" w:type="dxa"/>
              <w:right w:w="20" w:type="dxa"/>
            </w:tcMar>
            <w:vAlign w:val="center"/>
          </w:tcPr>
          <w:p w14:paraId="098AA22C"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A22D" w14:textId="77777777" w:rsidR="00141CDF" w:rsidRDefault="00141CDF">
            <w:pPr>
              <w:rPr>
                <w:rFonts w:ascii="宋体"/>
              </w:rPr>
            </w:pPr>
          </w:p>
        </w:tc>
        <w:tc>
          <w:tcPr>
            <w:tcW w:w="0" w:type="auto"/>
            <w:shd w:val="clear" w:color="auto" w:fill="FFFFFF"/>
            <w:tcMar>
              <w:top w:w="40" w:type="dxa"/>
              <w:left w:w="20" w:type="dxa"/>
              <w:bottom w:w="40" w:type="dxa"/>
              <w:right w:w="0" w:type="dxa"/>
            </w:tcMar>
            <w:vAlign w:val="center"/>
          </w:tcPr>
          <w:p w14:paraId="098AA22E"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098AA22F" w14:textId="77777777" w:rsidR="00141CDF" w:rsidRDefault="00DF45E0">
            <w:pPr>
              <w:jc w:val="right"/>
              <w:textAlignment w:val="center"/>
            </w:pPr>
            <w:r>
              <w:rPr>
                <w:rFonts w:ascii="Times New Roman" w:eastAsia="宋体" w:hAnsi="Times New Roman"/>
                <w:color w:val="000000"/>
                <w:sz w:val="16"/>
                <w:szCs w:val="16"/>
              </w:rPr>
              <w:t>557 </w:t>
            </w:r>
          </w:p>
        </w:tc>
        <w:tc>
          <w:tcPr>
            <w:tcW w:w="0" w:type="auto"/>
            <w:shd w:val="clear" w:color="auto" w:fill="FFFFFF"/>
            <w:tcMar>
              <w:top w:w="40" w:type="dxa"/>
              <w:left w:w="0" w:type="dxa"/>
              <w:bottom w:w="40" w:type="dxa"/>
              <w:right w:w="20" w:type="dxa"/>
            </w:tcMar>
            <w:vAlign w:val="center"/>
          </w:tcPr>
          <w:p w14:paraId="098AA230"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A231" w14:textId="77777777" w:rsidR="00141CDF" w:rsidRDefault="00141CDF">
            <w:pPr>
              <w:rPr>
                <w:rFonts w:ascii="宋体"/>
              </w:rPr>
            </w:pPr>
          </w:p>
        </w:tc>
        <w:tc>
          <w:tcPr>
            <w:tcW w:w="0" w:type="auto"/>
            <w:shd w:val="clear" w:color="auto" w:fill="FFFFFF"/>
            <w:tcMar>
              <w:top w:w="40" w:type="dxa"/>
              <w:left w:w="20" w:type="dxa"/>
              <w:bottom w:w="40" w:type="dxa"/>
              <w:right w:w="0" w:type="dxa"/>
            </w:tcMar>
            <w:vAlign w:val="center"/>
          </w:tcPr>
          <w:p w14:paraId="098AA232"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098AA233" w14:textId="77777777" w:rsidR="00141CDF" w:rsidRDefault="00DF45E0">
            <w:pPr>
              <w:jc w:val="right"/>
              <w:textAlignment w:val="center"/>
            </w:pPr>
            <w:r>
              <w:rPr>
                <w:rFonts w:ascii="Times New Roman" w:eastAsia="宋体" w:hAnsi="Times New Roman"/>
                <w:color w:val="000000"/>
                <w:sz w:val="16"/>
                <w:szCs w:val="16"/>
              </w:rPr>
              <w:t>1,105 </w:t>
            </w:r>
          </w:p>
        </w:tc>
        <w:tc>
          <w:tcPr>
            <w:tcW w:w="0" w:type="auto"/>
            <w:shd w:val="clear" w:color="auto" w:fill="FFFFFF"/>
            <w:tcMar>
              <w:top w:w="40" w:type="dxa"/>
              <w:left w:w="0" w:type="dxa"/>
              <w:bottom w:w="40" w:type="dxa"/>
              <w:right w:w="20" w:type="dxa"/>
            </w:tcMar>
            <w:vAlign w:val="center"/>
          </w:tcPr>
          <w:p w14:paraId="098AA234" w14:textId="77777777" w:rsidR="00141CDF" w:rsidRDefault="00141CDF">
            <w:pPr>
              <w:jc w:val="right"/>
              <w:rPr>
                <w:rFonts w:ascii="宋体"/>
              </w:rPr>
            </w:pPr>
          </w:p>
        </w:tc>
      </w:tr>
      <w:tr w:rsidR="00141CDF" w14:paraId="098AA243" w14:textId="77777777">
        <w:trPr>
          <w:jc w:val="center"/>
        </w:trPr>
        <w:tc>
          <w:tcPr>
            <w:tcW w:w="0" w:type="auto"/>
            <w:gridSpan w:val="3"/>
            <w:shd w:val="clear" w:color="auto" w:fill="CCEEFF"/>
            <w:tcMar>
              <w:top w:w="40" w:type="dxa"/>
              <w:left w:w="245" w:type="dxa"/>
              <w:bottom w:w="40" w:type="dxa"/>
              <w:right w:w="20" w:type="dxa"/>
            </w:tcMar>
            <w:vAlign w:val="center"/>
          </w:tcPr>
          <w:p w14:paraId="098AA236" w14:textId="77777777" w:rsidR="00141CDF" w:rsidRDefault="00DF45E0">
            <w:pPr>
              <w:textAlignment w:val="center"/>
            </w:pPr>
            <w:r>
              <w:rPr>
                <w:rFonts w:ascii="Times New Roman" w:eastAsia="宋体" w:hAnsi="Times New Roman"/>
                <w:color w:val="000000"/>
                <w:sz w:val="16"/>
                <w:szCs w:val="16"/>
              </w:rPr>
              <w:t>Operating income as a percentage of net sales</w:t>
            </w:r>
          </w:p>
        </w:tc>
        <w:tc>
          <w:tcPr>
            <w:tcW w:w="0" w:type="auto"/>
            <w:gridSpan w:val="3"/>
            <w:shd w:val="clear" w:color="auto" w:fill="CCEEFF"/>
            <w:tcMar>
              <w:top w:w="0" w:type="dxa"/>
              <w:left w:w="20" w:type="dxa"/>
              <w:bottom w:w="0" w:type="dxa"/>
              <w:right w:w="20" w:type="dxa"/>
            </w:tcMar>
            <w:vAlign w:val="bottom"/>
          </w:tcPr>
          <w:p w14:paraId="098AA237"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A238" w14:textId="77777777" w:rsidR="00141CDF" w:rsidRDefault="00DF45E0">
            <w:pPr>
              <w:jc w:val="right"/>
              <w:textAlignment w:val="center"/>
            </w:pPr>
            <w:r>
              <w:rPr>
                <w:rFonts w:ascii="Times New Roman" w:eastAsia="宋体" w:hAnsi="Times New Roman"/>
                <w:color w:val="000000"/>
                <w:sz w:val="16"/>
                <w:szCs w:val="16"/>
              </w:rPr>
              <w:t>1.2 </w:t>
            </w:r>
          </w:p>
        </w:tc>
        <w:tc>
          <w:tcPr>
            <w:tcW w:w="0" w:type="auto"/>
            <w:shd w:val="clear" w:color="auto" w:fill="CCEEFF"/>
            <w:tcMar>
              <w:top w:w="40" w:type="dxa"/>
              <w:left w:w="0" w:type="dxa"/>
              <w:bottom w:w="40" w:type="dxa"/>
              <w:right w:w="20" w:type="dxa"/>
            </w:tcMar>
            <w:vAlign w:val="center"/>
          </w:tcPr>
          <w:p w14:paraId="098AA239"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098AA23A"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A23B" w14:textId="77777777" w:rsidR="00141CDF" w:rsidRDefault="00DF45E0">
            <w:pPr>
              <w:jc w:val="right"/>
              <w:textAlignment w:val="center"/>
            </w:pPr>
            <w:r>
              <w:rPr>
                <w:rFonts w:ascii="Times New Roman" w:eastAsia="宋体" w:hAnsi="Times New Roman"/>
                <w:color w:val="000000"/>
                <w:sz w:val="16"/>
                <w:szCs w:val="16"/>
              </w:rPr>
              <w:t>3.5 </w:t>
            </w:r>
          </w:p>
        </w:tc>
        <w:tc>
          <w:tcPr>
            <w:tcW w:w="0" w:type="auto"/>
            <w:shd w:val="clear" w:color="auto" w:fill="CCEEFF"/>
            <w:tcMar>
              <w:top w:w="40" w:type="dxa"/>
              <w:left w:w="0" w:type="dxa"/>
              <w:bottom w:w="40" w:type="dxa"/>
              <w:right w:w="20" w:type="dxa"/>
            </w:tcMar>
            <w:vAlign w:val="center"/>
          </w:tcPr>
          <w:p w14:paraId="098AA23C"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098AA23D"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A23E" w14:textId="77777777" w:rsidR="00141CDF" w:rsidRDefault="00DF45E0">
            <w:pPr>
              <w:jc w:val="right"/>
              <w:textAlignment w:val="center"/>
            </w:pPr>
            <w:r>
              <w:rPr>
                <w:rFonts w:ascii="Times New Roman" w:eastAsia="宋体" w:hAnsi="Times New Roman"/>
                <w:color w:val="000000"/>
                <w:sz w:val="16"/>
                <w:szCs w:val="16"/>
              </w:rPr>
              <w:t>1.6 </w:t>
            </w:r>
          </w:p>
        </w:tc>
        <w:tc>
          <w:tcPr>
            <w:tcW w:w="0" w:type="auto"/>
            <w:shd w:val="clear" w:color="auto" w:fill="CCEEFF"/>
            <w:tcMar>
              <w:top w:w="40" w:type="dxa"/>
              <w:left w:w="0" w:type="dxa"/>
              <w:bottom w:w="40" w:type="dxa"/>
              <w:right w:w="20" w:type="dxa"/>
            </w:tcMar>
            <w:vAlign w:val="center"/>
          </w:tcPr>
          <w:p w14:paraId="098AA23F" w14:textId="77777777" w:rsidR="00141CDF" w:rsidRDefault="00DF45E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098AA240"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A241" w14:textId="77777777" w:rsidR="00141CDF" w:rsidRDefault="00DF45E0">
            <w:pPr>
              <w:jc w:val="right"/>
              <w:textAlignment w:val="center"/>
            </w:pPr>
            <w:r>
              <w:rPr>
                <w:rFonts w:ascii="Times New Roman" w:eastAsia="宋体" w:hAnsi="Times New Roman"/>
                <w:color w:val="000000"/>
                <w:sz w:val="16"/>
                <w:szCs w:val="16"/>
              </w:rPr>
              <w:t>3.5 </w:t>
            </w:r>
          </w:p>
        </w:tc>
        <w:tc>
          <w:tcPr>
            <w:tcW w:w="0" w:type="auto"/>
            <w:shd w:val="clear" w:color="auto" w:fill="CCEEFF"/>
            <w:tcMar>
              <w:top w:w="40" w:type="dxa"/>
              <w:left w:w="0" w:type="dxa"/>
              <w:bottom w:w="40" w:type="dxa"/>
              <w:right w:w="20" w:type="dxa"/>
            </w:tcMar>
            <w:vAlign w:val="center"/>
          </w:tcPr>
          <w:p w14:paraId="098AA242" w14:textId="77777777" w:rsidR="00141CDF" w:rsidRDefault="00DF45E0">
            <w:pPr>
              <w:jc w:val="right"/>
              <w:textAlignment w:val="center"/>
            </w:pPr>
            <w:r>
              <w:rPr>
                <w:rFonts w:ascii="Times New Roman" w:eastAsia="宋体" w:hAnsi="Times New Roman"/>
                <w:color w:val="000000"/>
                <w:sz w:val="16"/>
                <w:szCs w:val="16"/>
              </w:rPr>
              <w:t>%</w:t>
            </w:r>
          </w:p>
        </w:tc>
      </w:tr>
    </w:tbl>
    <w:p w14:paraId="098AA244" w14:textId="77777777" w:rsidR="00141CDF" w:rsidRDefault="00DF45E0">
      <w:pPr>
        <w:spacing w:after="100"/>
        <w:ind w:hanging="270"/>
      </w:pPr>
      <w:r>
        <w:rPr>
          <w:rFonts w:ascii="Times New Roman" w:eastAsia="宋体" w:hAnsi="Times New Roman"/>
          <w:color w:val="000000"/>
          <w:sz w:val="10"/>
          <w:szCs w:val="10"/>
        </w:rPr>
        <w:t>(1)</w:t>
      </w:r>
      <w:r>
        <w:rPr>
          <w:rFonts w:ascii="Times New Roman" w:eastAsia="宋体" w:hAnsi="Times New Roman"/>
          <w:color w:val="000000"/>
          <w:sz w:val="16"/>
          <w:szCs w:val="16"/>
        </w:rPr>
        <w:t xml:space="preserve"> We believe the "Excluding Fuel" information is useful to investors because it permits investors to understand the effect of the Sam's Club segment's fuel sales on its results of operations, which are impacted by the volatili</w:t>
      </w:r>
      <w:r>
        <w:rPr>
          <w:rFonts w:ascii="Times New Roman" w:eastAsia="宋体" w:hAnsi="Times New Roman"/>
          <w:color w:val="000000"/>
          <w:sz w:val="16"/>
          <w:szCs w:val="16"/>
        </w:rPr>
        <w:t>ty of fuel prices. Volatility in fuel prices may continue to impact the operating results of the Sam's Club segment in the future.</w:t>
      </w:r>
    </w:p>
    <w:p w14:paraId="098AA245" w14:textId="77777777" w:rsidR="00141CDF" w:rsidRDefault="00DF45E0">
      <w:pPr>
        <w:spacing w:before="100"/>
      </w:pPr>
      <w:r>
        <w:rPr>
          <w:rFonts w:ascii="Times New Roman" w:eastAsia="宋体" w:hAnsi="Times New Roman"/>
          <w:color w:val="000000"/>
          <w:sz w:val="20"/>
          <w:szCs w:val="20"/>
        </w:rPr>
        <w:t>Net sales for the Sam's Club segment increased $3.3 billion or 17.5% and $6.2 billion or 17.5% for the three and six months e</w:t>
      </w:r>
      <w:r>
        <w:rPr>
          <w:rFonts w:ascii="Times New Roman" w:eastAsia="宋体" w:hAnsi="Times New Roman"/>
          <w:color w:val="000000"/>
          <w:sz w:val="20"/>
          <w:szCs w:val="20"/>
        </w:rPr>
        <w:t>nded July 31, 2022, respectively, when compared to the same periods in the previous fiscal year. The increases were primarily due to comparable sales, including fuel, of 17.3% and 17.4% for the three and six months ended July 31, 2022, respectively. Growth</w:t>
      </w:r>
      <w:r>
        <w:rPr>
          <w:rFonts w:ascii="Times New Roman" w:eastAsia="宋体" w:hAnsi="Times New Roman"/>
          <w:color w:val="000000"/>
          <w:sz w:val="20"/>
          <w:szCs w:val="20"/>
        </w:rPr>
        <w:t xml:space="preserve"> in comparable sales benefited from growth in transactions and average ticket and included higher inflation impacts in certain merchandise categories. Sam's Club eCommerce net sales positively contributed approximately 0.8% and 0.7% to comparable sales for</w:t>
      </w:r>
      <w:r>
        <w:rPr>
          <w:rFonts w:ascii="Times New Roman" w:eastAsia="宋体" w:hAnsi="Times New Roman"/>
          <w:color w:val="000000"/>
          <w:sz w:val="20"/>
          <w:szCs w:val="20"/>
        </w:rPr>
        <w:t xml:space="preserve"> the three and six months ended July 31, 2022, respectively. </w:t>
      </w:r>
    </w:p>
    <w:p w14:paraId="098AA246" w14:textId="77777777" w:rsidR="00141CDF" w:rsidRDefault="00DF45E0">
      <w:pPr>
        <w:spacing w:before="100"/>
      </w:pPr>
      <w:r>
        <w:rPr>
          <w:rFonts w:ascii="Times New Roman" w:eastAsia="宋体" w:hAnsi="Times New Roman"/>
          <w:color w:val="000000"/>
          <w:sz w:val="20"/>
          <w:szCs w:val="20"/>
        </w:rPr>
        <w:t xml:space="preserve">Gross profit rate decreased 272 and 245 basis points for the three and six months ended July 31, 2022, respectively, when compared to the same periods in the previous fiscal year. The decreases </w:t>
      </w:r>
      <w:r>
        <w:rPr>
          <w:rFonts w:ascii="Times New Roman" w:eastAsia="宋体" w:hAnsi="Times New Roman"/>
          <w:color w:val="000000"/>
          <w:sz w:val="20"/>
          <w:szCs w:val="20"/>
        </w:rPr>
        <w:t xml:space="preserve">in gross profit rate were due to inventory write-downs, including an inflation related LIFO charge, and elevated supply chain and eCommerce fulfillment costs. </w:t>
      </w:r>
    </w:p>
    <w:p w14:paraId="098AA247" w14:textId="77777777" w:rsidR="00141CDF" w:rsidRDefault="00DF45E0">
      <w:pPr>
        <w:spacing w:before="100"/>
      </w:pPr>
      <w:r>
        <w:rPr>
          <w:rFonts w:ascii="Times New Roman" w:eastAsia="宋体" w:hAnsi="Times New Roman"/>
          <w:color w:val="000000"/>
          <w:sz w:val="20"/>
          <w:szCs w:val="20"/>
        </w:rPr>
        <w:t>Membership and other income increased 8.4% and 10.1% for the three and six months ended July 31,</w:t>
      </w:r>
      <w:r>
        <w:rPr>
          <w:rFonts w:ascii="Times New Roman" w:eastAsia="宋体" w:hAnsi="Times New Roman"/>
          <w:color w:val="000000"/>
          <w:sz w:val="20"/>
          <w:szCs w:val="20"/>
        </w:rPr>
        <w:t xml:space="preserve"> 2022, respectively, when compared to the same periods in the previous fiscal year. The increase was due to increases in new member sign-ups and Plus penetration. </w:t>
      </w:r>
    </w:p>
    <w:p w14:paraId="098AA248" w14:textId="77777777" w:rsidR="00141CDF" w:rsidRDefault="00DF45E0">
      <w:pPr>
        <w:spacing w:before="100"/>
      </w:pPr>
      <w:r>
        <w:rPr>
          <w:rFonts w:ascii="Times New Roman" w:eastAsia="宋体" w:hAnsi="Times New Roman"/>
          <w:color w:val="000000"/>
          <w:sz w:val="20"/>
          <w:szCs w:val="20"/>
        </w:rPr>
        <w:t xml:space="preserve">Operating expenses as a percentage of segment net sales decreased 131 and 124 basis points for the three and six months ended July 31, 2022, respectively, when compared to the same periods in the previous fiscal year, primarily driven by higher sales. </w:t>
      </w:r>
    </w:p>
    <w:p w14:paraId="098AA249" w14:textId="77777777" w:rsidR="00141CDF" w:rsidRDefault="00DF45E0">
      <w:pPr>
        <w:spacing w:before="100"/>
      </w:pPr>
      <w:r>
        <w:rPr>
          <w:rFonts w:ascii="Times New Roman" w:eastAsia="宋体" w:hAnsi="Times New Roman"/>
          <w:color w:val="000000"/>
          <w:sz w:val="20"/>
          <w:szCs w:val="20"/>
        </w:rPr>
        <w:t xml:space="preserve">As </w:t>
      </w:r>
      <w:r>
        <w:rPr>
          <w:rFonts w:ascii="Times New Roman" w:eastAsia="宋体" w:hAnsi="Times New Roman"/>
          <w:color w:val="000000"/>
          <w:sz w:val="20"/>
          <w:szCs w:val="20"/>
        </w:rPr>
        <w:t xml:space="preserve">a result of the factors discussed above, operating income decreased $0.2 billion and $0.3 billion for the three and six months ended July 31, 2022, respectively, when compared to the same periods in the previous fiscal year. </w:t>
      </w:r>
    </w:p>
    <w:p w14:paraId="098AA24A" w14:textId="77777777" w:rsidR="00141CDF" w:rsidRDefault="00DF45E0">
      <w:pPr>
        <w:spacing w:before="180"/>
      </w:pPr>
      <w:r>
        <w:rPr>
          <w:rFonts w:ascii="Times New Roman" w:eastAsia="宋体" w:hAnsi="Times New Roman"/>
          <w:b/>
          <w:bCs/>
          <w:color w:val="000000"/>
          <w:sz w:val="20"/>
          <w:szCs w:val="20"/>
        </w:rPr>
        <w:t>Liquidity and Capital Resource</w:t>
      </w:r>
      <w:r>
        <w:rPr>
          <w:rFonts w:ascii="Times New Roman" w:eastAsia="宋体" w:hAnsi="Times New Roman"/>
          <w:b/>
          <w:bCs/>
          <w:color w:val="000000"/>
          <w:sz w:val="20"/>
          <w:szCs w:val="20"/>
        </w:rPr>
        <w:t>s</w:t>
      </w:r>
    </w:p>
    <w:p w14:paraId="098AA24B" w14:textId="77777777" w:rsidR="00141CDF" w:rsidRDefault="00DF45E0">
      <w:pPr>
        <w:spacing w:before="100"/>
      </w:pPr>
      <w:r>
        <w:rPr>
          <w:rFonts w:ascii="Times New Roman" w:eastAsia="宋体" w:hAnsi="Times New Roman"/>
          <w:b/>
          <w:bCs/>
          <w:color w:val="000000"/>
          <w:sz w:val="20"/>
          <w:szCs w:val="20"/>
          <w:u w:val="single"/>
        </w:rPr>
        <w:t>Liquidity</w:t>
      </w:r>
    </w:p>
    <w:p w14:paraId="098AA24C" w14:textId="77777777" w:rsidR="00141CDF" w:rsidRDefault="00DF45E0">
      <w:pPr>
        <w:spacing w:before="100"/>
      </w:pPr>
      <w:r>
        <w:rPr>
          <w:rFonts w:ascii="Times New Roman" w:eastAsia="宋体" w:hAnsi="Times New Roman"/>
          <w:color w:val="000000"/>
          <w:sz w:val="20"/>
          <w:szCs w:val="20"/>
        </w:rPr>
        <w:t>The strength and stability of our operations have historically supplied us with a significant source of liquidity. Our cash flows provided by operating activities, supplemented with our long-term debt and short-term borrowings, have been suffic</w:t>
      </w:r>
      <w:r>
        <w:rPr>
          <w:rFonts w:ascii="Times New Roman" w:eastAsia="宋体" w:hAnsi="Times New Roman"/>
          <w:color w:val="000000"/>
          <w:sz w:val="20"/>
          <w:szCs w:val="20"/>
        </w:rPr>
        <w:t>ient to fund our operations while allowing us to invest in activities that support the long-term growth of our operations. Generally, some or all of the remaining available cash flow has been used to fund dividends on our common stock and share repurchases</w:t>
      </w:r>
      <w:r>
        <w:rPr>
          <w:rFonts w:ascii="Times New Roman" w:eastAsia="宋体" w:hAnsi="Times New Roman"/>
          <w:color w:val="000000"/>
          <w:sz w:val="20"/>
          <w:szCs w:val="20"/>
        </w:rPr>
        <w:t xml:space="preserve">. We believe our sources of liquidity will continue to be sufficient to fund operations, finance our global investment activities, pay dividends and fund our share repurchases for at least the next 12 months and thereafter for the foreseeable future. </w:t>
      </w:r>
    </w:p>
    <w:p w14:paraId="098AA24D" w14:textId="77777777" w:rsidR="00141CDF" w:rsidRDefault="00DF45E0">
      <w:pPr>
        <w:jc w:val="center"/>
      </w:pPr>
      <w:r>
        <w:rPr>
          <w:rFonts w:ascii="Times New Roman" w:eastAsia="宋体" w:hAnsi="Times New Roman"/>
          <w:color w:val="000000"/>
          <w:sz w:val="20"/>
          <w:szCs w:val="20"/>
        </w:rPr>
        <w:t>22</w:t>
      </w:r>
    </w:p>
    <w:p w14:paraId="098AA24E" w14:textId="77777777" w:rsidR="00141CDF" w:rsidRDefault="00DF45E0">
      <w:r>
        <w:pict w14:anchorId="098AA664">
          <v:rect id="_x0000_i1046" style="width:415.3pt;height:1.5pt" o:hralign="center" o:hrstd="t" o:hr="t" fillcolor="#a0a0a0" stroked="f"/>
        </w:pict>
      </w:r>
    </w:p>
    <w:p w14:paraId="098AA24F" w14:textId="77777777" w:rsidR="00141CDF" w:rsidRDefault="00DF45E0">
      <w:hyperlink r:id="rId86" w:anchor="i24a2f296795646fa8b5ba32fd1359591_7" w:history="1">
        <w:r>
          <w:rPr>
            <w:rStyle w:val="a5"/>
            <w:rFonts w:ascii="Times New Roman" w:eastAsia="宋体" w:hAnsi="Times New Roman"/>
            <w:sz w:val="20"/>
            <w:szCs w:val="20"/>
          </w:rPr>
          <w:t xml:space="preserve">Table of </w:t>
        </w:r>
      </w:hyperlink>
      <w:hyperlink r:id="rId87" w:anchor="i24a2f296795646fa8b5ba32fd1359591_7" w:history="1">
        <w:r>
          <w:rPr>
            <w:rStyle w:val="a5"/>
            <w:rFonts w:ascii="Times New Roman" w:eastAsia="宋体" w:hAnsi="Times New Roman"/>
            <w:sz w:val="20"/>
            <w:szCs w:val="20"/>
          </w:rPr>
          <w:t>Contents</w:t>
        </w:r>
      </w:hyperlink>
    </w:p>
    <w:p w14:paraId="098AA250" w14:textId="77777777" w:rsidR="00141CDF" w:rsidRDefault="00DF45E0">
      <w:pPr>
        <w:spacing w:before="180"/>
      </w:pPr>
      <w:r>
        <w:rPr>
          <w:rFonts w:ascii="Times New Roman" w:eastAsia="宋体" w:hAnsi="Times New Roman"/>
          <w:b/>
          <w:bCs/>
          <w:i/>
          <w:iCs/>
          <w:color w:val="000000"/>
          <w:sz w:val="20"/>
          <w:szCs w:val="20"/>
        </w:rPr>
        <w:t>Net Cash Provided by Operating Activities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583"/>
        <w:gridCol w:w="36"/>
        <w:gridCol w:w="36"/>
        <w:gridCol w:w="36"/>
        <w:gridCol w:w="46"/>
        <w:gridCol w:w="189"/>
        <w:gridCol w:w="188"/>
        <w:gridCol w:w="188"/>
        <w:gridCol w:w="36"/>
        <w:gridCol w:w="36"/>
        <w:gridCol w:w="36"/>
        <w:gridCol w:w="100"/>
        <w:gridCol w:w="699"/>
        <w:gridCol w:w="36"/>
        <w:gridCol w:w="36"/>
        <w:gridCol w:w="36"/>
        <w:gridCol w:w="36"/>
        <w:gridCol w:w="100"/>
        <w:gridCol w:w="702"/>
        <w:gridCol w:w="36"/>
        <w:gridCol w:w="36"/>
        <w:gridCol w:w="36"/>
        <w:gridCol w:w="36"/>
      </w:tblGrid>
      <w:tr w:rsidR="00141CDF" w14:paraId="098AA267" w14:textId="77777777">
        <w:trPr>
          <w:jc w:val="center"/>
        </w:trPr>
        <w:tc>
          <w:tcPr>
            <w:tcW w:w="50" w:type="pct"/>
            <w:shd w:val="clear" w:color="auto" w:fill="auto"/>
            <w:vAlign w:val="bottom"/>
          </w:tcPr>
          <w:p w14:paraId="098AA251" w14:textId="77777777" w:rsidR="00141CDF" w:rsidRDefault="00141CDF">
            <w:pPr>
              <w:rPr>
                <w:rFonts w:ascii="宋体"/>
              </w:rPr>
            </w:pPr>
          </w:p>
        </w:tc>
        <w:tc>
          <w:tcPr>
            <w:tcW w:w="3760" w:type="pct"/>
            <w:shd w:val="clear" w:color="auto" w:fill="auto"/>
            <w:vAlign w:val="bottom"/>
          </w:tcPr>
          <w:p w14:paraId="098AA252" w14:textId="77777777" w:rsidR="00141CDF" w:rsidRDefault="00141CDF">
            <w:pPr>
              <w:rPr>
                <w:rFonts w:ascii="宋体"/>
              </w:rPr>
            </w:pPr>
          </w:p>
        </w:tc>
        <w:tc>
          <w:tcPr>
            <w:tcW w:w="5" w:type="pct"/>
            <w:shd w:val="clear" w:color="auto" w:fill="auto"/>
            <w:vAlign w:val="bottom"/>
          </w:tcPr>
          <w:p w14:paraId="098AA253" w14:textId="77777777" w:rsidR="00141CDF" w:rsidRDefault="00141CDF">
            <w:pPr>
              <w:rPr>
                <w:rFonts w:ascii="宋体"/>
              </w:rPr>
            </w:pPr>
          </w:p>
        </w:tc>
        <w:tc>
          <w:tcPr>
            <w:tcW w:w="0" w:type="auto"/>
            <w:shd w:val="clear" w:color="auto" w:fill="auto"/>
            <w:vAlign w:val="bottom"/>
          </w:tcPr>
          <w:p w14:paraId="098AA254" w14:textId="77777777" w:rsidR="00141CDF" w:rsidRDefault="00141CDF">
            <w:pPr>
              <w:rPr>
                <w:rFonts w:ascii="宋体"/>
                <w:vanish/>
              </w:rPr>
            </w:pPr>
          </w:p>
        </w:tc>
        <w:tc>
          <w:tcPr>
            <w:tcW w:w="0" w:type="auto"/>
            <w:shd w:val="clear" w:color="auto" w:fill="auto"/>
            <w:vAlign w:val="bottom"/>
          </w:tcPr>
          <w:p w14:paraId="098AA255" w14:textId="77777777" w:rsidR="00141CDF" w:rsidRDefault="00141CDF">
            <w:pPr>
              <w:rPr>
                <w:rFonts w:ascii="宋体"/>
                <w:vanish/>
              </w:rPr>
            </w:pPr>
          </w:p>
        </w:tc>
        <w:tc>
          <w:tcPr>
            <w:tcW w:w="0" w:type="auto"/>
            <w:shd w:val="clear" w:color="auto" w:fill="auto"/>
            <w:vAlign w:val="bottom"/>
          </w:tcPr>
          <w:p w14:paraId="098AA256" w14:textId="77777777" w:rsidR="00141CDF" w:rsidRDefault="00141CDF">
            <w:pPr>
              <w:rPr>
                <w:rFonts w:ascii="宋体"/>
                <w:vanish/>
              </w:rPr>
            </w:pPr>
          </w:p>
        </w:tc>
        <w:tc>
          <w:tcPr>
            <w:tcW w:w="0" w:type="auto"/>
            <w:shd w:val="clear" w:color="auto" w:fill="auto"/>
            <w:vAlign w:val="bottom"/>
          </w:tcPr>
          <w:p w14:paraId="098AA257" w14:textId="77777777" w:rsidR="00141CDF" w:rsidRDefault="00141CDF">
            <w:pPr>
              <w:rPr>
                <w:rFonts w:ascii="宋体"/>
                <w:vanish/>
              </w:rPr>
            </w:pPr>
          </w:p>
        </w:tc>
        <w:tc>
          <w:tcPr>
            <w:tcW w:w="0" w:type="auto"/>
            <w:shd w:val="clear" w:color="auto" w:fill="auto"/>
            <w:vAlign w:val="bottom"/>
          </w:tcPr>
          <w:p w14:paraId="098AA258" w14:textId="77777777" w:rsidR="00141CDF" w:rsidRDefault="00141CDF">
            <w:pPr>
              <w:rPr>
                <w:rFonts w:ascii="宋体"/>
                <w:vanish/>
              </w:rPr>
            </w:pPr>
          </w:p>
        </w:tc>
        <w:tc>
          <w:tcPr>
            <w:tcW w:w="0" w:type="auto"/>
            <w:shd w:val="clear" w:color="auto" w:fill="auto"/>
            <w:vAlign w:val="bottom"/>
          </w:tcPr>
          <w:p w14:paraId="098AA259" w14:textId="77777777" w:rsidR="00141CDF" w:rsidRDefault="00141CDF">
            <w:pPr>
              <w:rPr>
                <w:rFonts w:ascii="宋体"/>
                <w:vanish/>
              </w:rPr>
            </w:pPr>
          </w:p>
        </w:tc>
        <w:tc>
          <w:tcPr>
            <w:tcW w:w="5" w:type="pct"/>
            <w:shd w:val="clear" w:color="auto" w:fill="auto"/>
            <w:vAlign w:val="bottom"/>
          </w:tcPr>
          <w:p w14:paraId="098AA25A" w14:textId="77777777" w:rsidR="00141CDF" w:rsidRDefault="00141CDF">
            <w:pPr>
              <w:rPr>
                <w:rFonts w:ascii="宋体"/>
              </w:rPr>
            </w:pPr>
          </w:p>
        </w:tc>
        <w:tc>
          <w:tcPr>
            <w:tcW w:w="19" w:type="pct"/>
            <w:shd w:val="clear" w:color="auto" w:fill="auto"/>
            <w:vAlign w:val="bottom"/>
          </w:tcPr>
          <w:p w14:paraId="098AA25B" w14:textId="77777777" w:rsidR="00141CDF" w:rsidRDefault="00141CDF">
            <w:pPr>
              <w:rPr>
                <w:rFonts w:ascii="宋体"/>
              </w:rPr>
            </w:pPr>
          </w:p>
        </w:tc>
        <w:tc>
          <w:tcPr>
            <w:tcW w:w="5" w:type="pct"/>
            <w:shd w:val="clear" w:color="auto" w:fill="auto"/>
            <w:vAlign w:val="bottom"/>
          </w:tcPr>
          <w:p w14:paraId="098AA25C" w14:textId="77777777" w:rsidR="00141CDF" w:rsidRDefault="00141CDF">
            <w:pPr>
              <w:rPr>
                <w:rFonts w:ascii="宋体"/>
              </w:rPr>
            </w:pPr>
          </w:p>
        </w:tc>
        <w:tc>
          <w:tcPr>
            <w:tcW w:w="50" w:type="pct"/>
            <w:shd w:val="clear" w:color="auto" w:fill="auto"/>
            <w:vAlign w:val="bottom"/>
          </w:tcPr>
          <w:p w14:paraId="098AA25D" w14:textId="77777777" w:rsidR="00141CDF" w:rsidRDefault="00141CDF">
            <w:pPr>
              <w:rPr>
                <w:rFonts w:ascii="宋体"/>
              </w:rPr>
            </w:pPr>
          </w:p>
        </w:tc>
        <w:tc>
          <w:tcPr>
            <w:tcW w:w="507" w:type="pct"/>
            <w:shd w:val="clear" w:color="auto" w:fill="auto"/>
            <w:vAlign w:val="bottom"/>
          </w:tcPr>
          <w:p w14:paraId="098AA25E" w14:textId="77777777" w:rsidR="00141CDF" w:rsidRDefault="00141CDF">
            <w:pPr>
              <w:rPr>
                <w:rFonts w:ascii="宋体"/>
              </w:rPr>
            </w:pPr>
          </w:p>
        </w:tc>
        <w:tc>
          <w:tcPr>
            <w:tcW w:w="5" w:type="pct"/>
            <w:shd w:val="clear" w:color="auto" w:fill="auto"/>
            <w:vAlign w:val="bottom"/>
          </w:tcPr>
          <w:p w14:paraId="098AA25F" w14:textId="77777777" w:rsidR="00141CDF" w:rsidRDefault="00141CDF">
            <w:pPr>
              <w:rPr>
                <w:rFonts w:ascii="宋体"/>
              </w:rPr>
            </w:pPr>
          </w:p>
        </w:tc>
        <w:tc>
          <w:tcPr>
            <w:tcW w:w="5" w:type="pct"/>
            <w:shd w:val="clear" w:color="auto" w:fill="auto"/>
            <w:vAlign w:val="bottom"/>
          </w:tcPr>
          <w:p w14:paraId="098AA260" w14:textId="77777777" w:rsidR="00141CDF" w:rsidRDefault="00141CDF">
            <w:pPr>
              <w:rPr>
                <w:rFonts w:ascii="宋体"/>
              </w:rPr>
            </w:pPr>
          </w:p>
        </w:tc>
        <w:tc>
          <w:tcPr>
            <w:tcW w:w="19" w:type="pct"/>
            <w:shd w:val="clear" w:color="auto" w:fill="auto"/>
            <w:vAlign w:val="bottom"/>
          </w:tcPr>
          <w:p w14:paraId="098AA261" w14:textId="77777777" w:rsidR="00141CDF" w:rsidRDefault="00141CDF">
            <w:pPr>
              <w:rPr>
                <w:rFonts w:ascii="宋体"/>
              </w:rPr>
            </w:pPr>
          </w:p>
        </w:tc>
        <w:tc>
          <w:tcPr>
            <w:tcW w:w="5" w:type="pct"/>
            <w:shd w:val="clear" w:color="auto" w:fill="auto"/>
            <w:vAlign w:val="bottom"/>
          </w:tcPr>
          <w:p w14:paraId="098AA262" w14:textId="77777777" w:rsidR="00141CDF" w:rsidRDefault="00141CDF">
            <w:pPr>
              <w:rPr>
                <w:rFonts w:ascii="宋体"/>
              </w:rPr>
            </w:pPr>
          </w:p>
        </w:tc>
        <w:tc>
          <w:tcPr>
            <w:tcW w:w="50" w:type="pct"/>
            <w:shd w:val="clear" w:color="auto" w:fill="auto"/>
            <w:vAlign w:val="bottom"/>
          </w:tcPr>
          <w:p w14:paraId="098AA263" w14:textId="77777777" w:rsidR="00141CDF" w:rsidRDefault="00141CDF">
            <w:pPr>
              <w:rPr>
                <w:rFonts w:ascii="宋体"/>
              </w:rPr>
            </w:pPr>
          </w:p>
        </w:tc>
        <w:tc>
          <w:tcPr>
            <w:tcW w:w="508" w:type="pct"/>
            <w:shd w:val="clear" w:color="auto" w:fill="auto"/>
            <w:vAlign w:val="bottom"/>
          </w:tcPr>
          <w:p w14:paraId="098AA264" w14:textId="77777777" w:rsidR="00141CDF" w:rsidRDefault="00141CDF">
            <w:pPr>
              <w:rPr>
                <w:rFonts w:ascii="宋体"/>
              </w:rPr>
            </w:pPr>
          </w:p>
        </w:tc>
        <w:tc>
          <w:tcPr>
            <w:tcW w:w="5" w:type="pct"/>
            <w:shd w:val="clear" w:color="auto" w:fill="auto"/>
            <w:vAlign w:val="bottom"/>
          </w:tcPr>
          <w:p w14:paraId="098AA265" w14:textId="77777777" w:rsidR="00141CDF" w:rsidRDefault="00141CDF">
            <w:pPr>
              <w:rPr>
                <w:rFonts w:ascii="宋体"/>
              </w:rPr>
            </w:pPr>
          </w:p>
        </w:tc>
        <w:tc>
          <w:tcPr>
            <w:tcW w:w="0" w:type="auto"/>
            <w:gridSpan w:val="3"/>
            <w:shd w:val="clear" w:color="auto" w:fill="auto"/>
            <w:vAlign w:val="bottom"/>
          </w:tcPr>
          <w:p w14:paraId="098AA266" w14:textId="77777777" w:rsidR="00141CDF" w:rsidRDefault="00141CDF">
            <w:pPr>
              <w:rPr>
                <w:rFonts w:ascii="宋体"/>
                <w:vanish/>
              </w:rPr>
            </w:pPr>
          </w:p>
        </w:tc>
      </w:tr>
      <w:tr w:rsidR="00141CDF" w14:paraId="098AA27C" w14:textId="77777777">
        <w:trPr>
          <w:jc w:val="center"/>
        </w:trPr>
        <w:tc>
          <w:tcPr>
            <w:tcW w:w="0" w:type="auto"/>
            <w:gridSpan w:val="3"/>
            <w:shd w:val="clear" w:color="auto" w:fill="auto"/>
            <w:tcMar>
              <w:top w:w="0" w:type="dxa"/>
              <w:left w:w="20" w:type="dxa"/>
              <w:bottom w:w="0" w:type="dxa"/>
              <w:right w:w="20" w:type="dxa"/>
            </w:tcMar>
            <w:vAlign w:val="bottom"/>
          </w:tcPr>
          <w:p w14:paraId="098AA268" w14:textId="77777777" w:rsidR="00141CDF" w:rsidRDefault="00141CDF">
            <w:pPr>
              <w:rPr>
                <w:rFonts w:ascii="宋体"/>
              </w:rPr>
            </w:pPr>
          </w:p>
        </w:tc>
        <w:tc>
          <w:tcPr>
            <w:tcW w:w="0" w:type="auto"/>
            <w:shd w:val="clear" w:color="auto" w:fill="auto"/>
            <w:vAlign w:val="bottom"/>
          </w:tcPr>
          <w:p w14:paraId="098AA269" w14:textId="77777777" w:rsidR="00141CDF" w:rsidRDefault="00141CDF">
            <w:pPr>
              <w:rPr>
                <w:rFonts w:ascii="宋体"/>
                <w:vanish/>
              </w:rPr>
            </w:pPr>
          </w:p>
        </w:tc>
        <w:tc>
          <w:tcPr>
            <w:tcW w:w="0" w:type="auto"/>
            <w:shd w:val="clear" w:color="auto" w:fill="auto"/>
            <w:vAlign w:val="bottom"/>
          </w:tcPr>
          <w:p w14:paraId="098AA26A" w14:textId="77777777" w:rsidR="00141CDF" w:rsidRDefault="00141CDF">
            <w:pPr>
              <w:rPr>
                <w:rFonts w:ascii="宋体"/>
                <w:vanish/>
              </w:rPr>
            </w:pPr>
          </w:p>
        </w:tc>
        <w:tc>
          <w:tcPr>
            <w:tcW w:w="0" w:type="auto"/>
            <w:shd w:val="clear" w:color="auto" w:fill="auto"/>
            <w:tcMar>
              <w:top w:w="0" w:type="dxa"/>
              <w:left w:w="20" w:type="dxa"/>
              <w:bottom w:w="0" w:type="dxa"/>
              <w:right w:w="20" w:type="dxa"/>
            </w:tcMar>
            <w:vAlign w:val="bottom"/>
          </w:tcPr>
          <w:p w14:paraId="098AA26B"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center"/>
          </w:tcPr>
          <w:p w14:paraId="098AA26C" w14:textId="77777777" w:rsidR="00141CDF" w:rsidRDefault="00DF45E0">
            <w:pPr>
              <w:jc w:val="center"/>
              <w:textAlignment w:val="center"/>
            </w:pPr>
            <w:r>
              <w:rPr>
                <w:rFonts w:ascii="Times New Roman" w:eastAsia="宋体" w:hAnsi="Times New Roman"/>
                <w:b/>
                <w:bCs/>
                <w:color w:val="000000"/>
                <w:sz w:val="16"/>
                <w:szCs w:val="16"/>
              </w:rPr>
              <w:t>S</w:t>
            </w:r>
            <w:r>
              <w:rPr>
                <w:rFonts w:ascii="Times New Roman" w:eastAsia="宋体" w:hAnsi="Times New Roman"/>
                <w:b/>
                <w:bCs/>
                <w:color w:val="000000"/>
                <w:sz w:val="16"/>
                <w:szCs w:val="16"/>
              </w:rPr>
              <w:t>ix Months Ended July 31,</w:t>
            </w:r>
          </w:p>
        </w:tc>
        <w:tc>
          <w:tcPr>
            <w:tcW w:w="0" w:type="auto"/>
            <w:shd w:val="clear" w:color="auto" w:fill="auto"/>
            <w:vAlign w:val="bottom"/>
          </w:tcPr>
          <w:p w14:paraId="098AA26D" w14:textId="77777777" w:rsidR="00141CDF" w:rsidRDefault="00141CDF">
            <w:pPr>
              <w:rPr>
                <w:rFonts w:ascii="宋体"/>
              </w:rPr>
            </w:pPr>
          </w:p>
        </w:tc>
        <w:tc>
          <w:tcPr>
            <w:tcW w:w="0" w:type="auto"/>
            <w:shd w:val="clear" w:color="auto" w:fill="auto"/>
            <w:vAlign w:val="bottom"/>
          </w:tcPr>
          <w:p w14:paraId="098AA26E" w14:textId="77777777" w:rsidR="00141CDF" w:rsidRDefault="00141CDF">
            <w:pPr>
              <w:rPr>
                <w:rFonts w:ascii="宋体"/>
              </w:rPr>
            </w:pPr>
          </w:p>
        </w:tc>
        <w:tc>
          <w:tcPr>
            <w:tcW w:w="0" w:type="auto"/>
            <w:shd w:val="clear" w:color="auto" w:fill="auto"/>
            <w:vAlign w:val="bottom"/>
          </w:tcPr>
          <w:p w14:paraId="098AA26F" w14:textId="77777777" w:rsidR="00141CDF" w:rsidRDefault="00141CDF">
            <w:pPr>
              <w:rPr>
                <w:rFonts w:ascii="宋体"/>
              </w:rPr>
            </w:pPr>
          </w:p>
        </w:tc>
        <w:tc>
          <w:tcPr>
            <w:tcW w:w="0" w:type="auto"/>
            <w:shd w:val="clear" w:color="auto" w:fill="auto"/>
            <w:vAlign w:val="bottom"/>
          </w:tcPr>
          <w:p w14:paraId="098AA270" w14:textId="77777777" w:rsidR="00141CDF" w:rsidRDefault="00141CDF">
            <w:pPr>
              <w:rPr>
                <w:rFonts w:ascii="宋体"/>
              </w:rPr>
            </w:pPr>
          </w:p>
        </w:tc>
        <w:tc>
          <w:tcPr>
            <w:tcW w:w="0" w:type="auto"/>
            <w:shd w:val="clear" w:color="auto" w:fill="auto"/>
            <w:vAlign w:val="bottom"/>
          </w:tcPr>
          <w:p w14:paraId="098AA271" w14:textId="77777777" w:rsidR="00141CDF" w:rsidRDefault="00141CDF">
            <w:pPr>
              <w:rPr>
                <w:rFonts w:ascii="宋体"/>
              </w:rPr>
            </w:pPr>
          </w:p>
        </w:tc>
        <w:tc>
          <w:tcPr>
            <w:tcW w:w="0" w:type="auto"/>
            <w:shd w:val="clear" w:color="auto" w:fill="auto"/>
            <w:vAlign w:val="bottom"/>
          </w:tcPr>
          <w:p w14:paraId="098AA272" w14:textId="77777777" w:rsidR="00141CDF" w:rsidRDefault="00141CDF">
            <w:pPr>
              <w:rPr>
                <w:rFonts w:ascii="宋体"/>
              </w:rPr>
            </w:pPr>
          </w:p>
        </w:tc>
        <w:tc>
          <w:tcPr>
            <w:tcW w:w="0" w:type="auto"/>
            <w:shd w:val="clear" w:color="auto" w:fill="auto"/>
            <w:vAlign w:val="bottom"/>
          </w:tcPr>
          <w:p w14:paraId="098AA273" w14:textId="77777777" w:rsidR="00141CDF" w:rsidRDefault="00141CDF">
            <w:pPr>
              <w:rPr>
                <w:rFonts w:ascii="宋体"/>
              </w:rPr>
            </w:pPr>
          </w:p>
        </w:tc>
        <w:tc>
          <w:tcPr>
            <w:tcW w:w="0" w:type="auto"/>
            <w:shd w:val="clear" w:color="auto" w:fill="auto"/>
            <w:vAlign w:val="bottom"/>
          </w:tcPr>
          <w:p w14:paraId="098AA274" w14:textId="77777777" w:rsidR="00141CDF" w:rsidRDefault="00141CDF">
            <w:pPr>
              <w:rPr>
                <w:rFonts w:ascii="宋体"/>
              </w:rPr>
            </w:pPr>
          </w:p>
        </w:tc>
        <w:tc>
          <w:tcPr>
            <w:tcW w:w="0" w:type="auto"/>
            <w:shd w:val="clear" w:color="auto" w:fill="auto"/>
            <w:vAlign w:val="bottom"/>
          </w:tcPr>
          <w:p w14:paraId="098AA275" w14:textId="77777777" w:rsidR="00141CDF" w:rsidRDefault="00141CDF">
            <w:pPr>
              <w:rPr>
                <w:rFonts w:ascii="宋体"/>
              </w:rPr>
            </w:pPr>
          </w:p>
        </w:tc>
        <w:tc>
          <w:tcPr>
            <w:tcW w:w="0" w:type="auto"/>
            <w:shd w:val="clear" w:color="auto" w:fill="auto"/>
            <w:vAlign w:val="bottom"/>
          </w:tcPr>
          <w:p w14:paraId="098AA276" w14:textId="77777777" w:rsidR="00141CDF" w:rsidRDefault="00141CDF">
            <w:pPr>
              <w:rPr>
                <w:rFonts w:ascii="宋体"/>
              </w:rPr>
            </w:pPr>
          </w:p>
        </w:tc>
        <w:tc>
          <w:tcPr>
            <w:tcW w:w="0" w:type="auto"/>
            <w:shd w:val="clear" w:color="auto" w:fill="auto"/>
            <w:vAlign w:val="bottom"/>
          </w:tcPr>
          <w:p w14:paraId="098AA277" w14:textId="77777777" w:rsidR="00141CDF" w:rsidRDefault="00141CDF">
            <w:pPr>
              <w:rPr>
                <w:rFonts w:ascii="宋体"/>
              </w:rPr>
            </w:pPr>
          </w:p>
        </w:tc>
        <w:tc>
          <w:tcPr>
            <w:tcW w:w="0" w:type="auto"/>
            <w:shd w:val="clear" w:color="auto" w:fill="auto"/>
            <w:vAlign w:val="bottom"/>
          </w:tcPr>
          <w:p w14:paraId="098AA278" w14:textId="77777777" w:rsidR="00141CDF" w:rsidRDefault="00141CDF">
            <w:pPr>
              <w:rPr>
                <w:rFonts w:ascii="宋体"/>
              </w:rPr>
            </w:pPr>
          </w:p>
        </w:tc>
        <w:tc>
          <w:tcPr>
            <w:tcW w:w="0" w:type="auto"/>
            <w:shd w:val="clear" w:color="auto" w:fill="auto"/>
            <w:vAlign w:val="bottom"/>
          </w:tcPr>
          <w:p w14:paraId="098AA279" w14:textId="77777777" w:rsidR="00141CDF" w:rsidRDefault="00141CDF">
            <w:pPr>
              <w:rPr>
                <w:rFonts w:ascii="宋体"/>
              </w:rPr>
            </w:pPr>
          </w:p>
        </w:tc>
        <w:tc>
          <w:tcPr>
            <w:tcW w:w="0" w:type="auto"/>
            <w:shd w:val="clear" w:color="auto" w:fill="auto"/>
            <w:vAlign w:val="bottom"/>
          </w:tcPr>
          <w:p w14:paraId="098AA27A" w14:textId="77777777" w:rsidR="00141CDF" w:rsidRDefault="00141CDF">
            <w:pPr>
              <w:rPr>
                <w:rFonts w:ascii="宋体"/>
              </w:rPr>
            </w:pPr>
          </w:p>
        </w:tc>
        <w:tc>
          <w:tcPr>
            <w:tcW w:w="0" w:type="auto"/>
            <w:shd w:val="clear" w:color="auto" w:fill="auto"/>
            <w:vAlign w:val="bottom"/>
          </w:tcPr>
          <w:p w14:paraId="098AA27B" w14:textId="77777777" w:rsidR="00141CDF" w:rsidRDefault="00141CDF">
            <w:pPr>
              <w:rPr>
                <w:rFonts w:ascii="宋体"/>
              </w:rPr>
            </w:pPr>
          </w:p>
        </w:tc>
      </w:tr>
      <w:tr w:rsidR="00141CDF" w14:paraId="098AA289" w14:textId="77777777">
        <w:trPr>
          <w:jc w:val="center"/>
        </w:trPr>
        <w:tc>
          <w:tcPr>
            <w:tcW w:w="0" w:type="auto"/>
            <w:gridSpan w:val="3"/>
            <w:shd w:val="clear" w:color="auto" w:fill="auto"/>
            <w:tcMar>
              <w:top w:w="40" w:type="dxa"/>
              <w:left w:w="20" w:type="dxa"/>
              <w:bottom w:w="40" w:type="dxa"/>
              <w:right w:w="20" w:type="dxa"/>
            </w:tcMar>
            <w:vAlign w:val="center"/>
          </w:tcPr>
          <w:p w14:paraId="098AA27D" w14:textId="77777777" w:rsidR="00141CDF" w:rsidRDefault="00DF45E0">
            <w:pPr>
              <w:textAlignment w:val="center"/>
            </w:pPr>
            <w:r>
              <w:rPr>
                <w:rFonts w:ascii="Times New Roman" w:eastAsia="宋体" w:hAnsi="Times New Roman"/>
                <w:i/>
                <w:iCs/>
                <w:color w:val="000000"/>
                <w:sz w:val="16"/>
                <w:szCs w:val="16"/>
              </w:rPr>
              <w:t>(Amounts in millions)</w:t>
            </w:r>
          </w:p>
        </w:tc>
        <w:tc>
          <w:tcPr>
            <w:tcW w:w="0" w:type="auto"/>
            <w:shd w:val="clear" w:color="auto" w:fill="auto"/>
            <w:vAlign w:val="bottom"/>
          </w:tcPr>
          <w:p w14:paraId="098AA27E" w14:textId="77777777" w:rsidR="00141CDF" w:rsidRDefault="00141CDF">
            <w:pPr>
              <w:rPr>
                <w:rFonts w:ascii="宋体"/>
                <w:vanish/>
              </w:rPr>
            </w:pPr>
          </w:p>
        </w:tc>
        <w:tc>
          <w:tcPr>
            <w:tcW w:w="0" w:type="auto"/>
            <w:shd w:val="clear" w:color="auto" w:fill="auto"/>
            <w:vAlign w:val="bottom"/>
          </w:tcPr>
          <w:p w14:paraId="098AA27F" w14:textId="77777777" w:rsidR="00141CDF" w:rsidRDefault="00141CDF">
            <w:pPr>
              <w:rPr>
                <w:rFonts w:ascii="宋体"/>
                <w:vanish/>
              </w:rPr>
            </w:pPr>
          </w:p>
        </w:tc>
        <w:tc>
          <w:tcPr>
            <w:tcW w:w="0" w:type="auto"/>
            <w:shd w:val="clear" w:color="auto" w:fill="auto"/>
            <w:vAlign w:val="bottom"/>
          </w:tcPr>
          <w:p w14:paraId="098AA280" w14:textId="77777777" w:rsidR="00141CDF" w:rsidRDefault="00141CDF">
            <w:pPr>
              <w:rPr>
                <w:rFonts w:ascii="宋体"/>
                <w:vanish/>
              </w:rPr>
            </w:pPr>
          </w:p>
        </w:tc>
        <w:tc>
          <w:tcPr>
            <w:tcW w:w="0" w:type="auto"/>
            <w:shd w:val="clear" w:color="auto" w:fill="auto"/>
            <w:vAlign w:val="bottom"/>
          </w:tcPr>
          <w:p w14:paraId="098AA281" w14:textId="77777777" w:rsidR="00141CDF" w:rsidRDefault="00141CDF">
            <w:pPr>
              <w:rPr>
                <w:rFonts w:ascii="宋体"/>
                <w:vanish/>
              </w:rPr>
            </w:pPr>
          </w:p>
        </w:tc>
        <w:tc>
          <w:tcPr>
            <w:tcW w:w="0" w:type="auto"/>
            <w:shd w:val="clear" w:color="auto" w:fill="auto"/>
            <w:vAlign w:val="bottom"/>
          </w:tcPr>
          <w:p w14:paraId="098AA282" w14:textId="77777777" w:rsidR="00141CDF" w:rsidRDefault="00141CDF">
            <w:pPr>
              <w:rPr>
                <w:rFonts w:ascii="宋体"/>
                <w:vanish/>
              </w:rPr>
            </w:pPr>
          </w:p>
        </w:tc>
        <w:tc>
          <w:tcPr>
            <w:tcW w:w="0" w:type="auto"/>
            <w:shd w:val="clear" w:color="auto" w:fill="auto"/>
            <w:vAlign w:val="bottom"/>
          </w:tcPr>
          <w:p w14:paraId="098AA283" w14:textId="77777777" w:rsidR="00141CDF" w:rsidRDefault="00141CDF">
            <w:pPr>
              <w:rPr>
                <w:rFonts w:ascii="宋体"/>
                <w:vanish/>
              </w:rPr>
            </w:pPr>
          </w:p>
        </w:tc>
        <w:tc>
          <w:tcPr>
            <w:tcW w:w="0" w:type="auto"/>
            <w:gridSpan w:val="3"/>
            <w:shd w:val="clear" w:color="auto" w:fill="auto"/>
            <w:tcMar>
              <w:top w:w="0" w:type="dxa"/>
              <w:left w:w="20" w:type="dxa"/>
              <w:bottom w:w="0" w:type="dxa"/>
              <w:right w:w="20" w:type="dxa"/>
            </w:tcMar>
            <w:vAlign w:val="bottom"/>
          </w:tcPr>
          <w:p w14:paraId="098AA284"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98AA285" w14:textId="77777777" w:rsidR="00141CDF" w:rsidRDefault="00DF45E0">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A286"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98AA287" w14:textId="77777777" w:rsidR="00141CDF" w:rsidRDefault="00DF45E0">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vAlign w:val="bottom"/>
          </w:tcPr>
          <w:p w14:paraId="098AA288" w14:textId="77777777" w:rsidR="00141CDF" w:rsidRDefault="00141CDF">
            <w:pPr>
              <w:rPr>
                <w:rFonts w:ascii="宋体"/>
                <w:vanish/>
              </w:rPr>
            </w:pPr>
          </w:p>
        </w:tc>
      </w:tr>
      <w:tr w:rsidR="00141CDF" w14:paraId="098AA29A" w14:textId="77777777">
        <w:trPr>
          <w:jc w:val="center"/>
        </w:trPr>
        <w:tc>
          <w:tcPr>
            <w:tcW w:w="0" w:type="auto"/>
            <w:gridSpan w:val="3"/>
            <w:shd w:val="clear" w:color="auto" w:fill="CCEEFF"/>
            <w:tcMar>
              <w:top w:w="40" w:type="dxa"/>
              <w:left w:w="20" w:type="dxa"/>
              <w:bottom w:w="40" w:type="dxa"/>
              <w:right w:w="20" w:type="dxa"/>
            </w:tcMar>
            <w:vAlign w:val="center"/>
          </w:tcPr>
          <w:p w14:paraId="098AA28A" w14:textId="77777777" w:rsidR="00141CDF" w:rsidRDefault="00DF45E0">
            <w:pPr>
              <w:textAlignment w:val="center"/>
            </w:pPr>
            <w:r>
              <w:rPr>
                <w:rFonts w:ascii="Times New Roman" w:eastAsia="宋体" w:hAnsi="Times New Roman"/>
                <w:color w:val="000000"/>
                <w:sz w:val="16"/>
                <w:szCs w:val="16"/>
              </w:rPr>
              <w:t>Net cash provided by operating activities</w:t>
            </w:r>
          </w:p>
        </w:tc>
        <w:tc>
          <w:tcPr>
            <w:tcW w:w="0" w:type="auto"/>
            <w:shd w:val="clear" w:color="auto" w:fill="auto"/>
            <w:vAlign w:val="bottom"/>
          </w:tcPr>
          <w:p w14:paraId="098AA28B" w14:textId="77777777" w:rsidR="00141CDF" w:rsidRDefault="00141CDF">
            <w:pPr>
              <w:rPr>
                <w:rFonts w:ascii="宋体"/>
                <w:vanish/>
              </w:rPr>
            </w:pPr>
          </w:p>
        </w:tc>
        <w:tc>
          <w:tcPr>
            <w:tcW w:w="0" w:type="auto"/>
            <w:shd w:val="clear" w:color="auto" w:fill="auto"/>
            <w:vAlign w:val="bottom"/>
          </w:tcPr>
          <w:p w14:paraId="098AA28C" w14:textId="77777777" w:rsidR="00141CDF" w:rsidRDefault="00141CDF">
            <w:pPr>
              <w:rPr>
                <w:rFonts w:ascii="宋体"/>
                <w:vanish/>
              </w:rPr>
            </w:pPr>
          </w:p>
        </w:tc>
        <w:tc>
          <w:tcPr>
            <w:tcW w:w="0" w:type="auto"/>
            <w:shd w:val="clear" w:color="auto" w:fill="auto"/>
            <w:vAlign w:val="bottom"/>
          </w:tcPr>
          <w:p w14:paraId="098AA28D" w14:textId="77777777" w:rsidR="00141CDF" w:rsidRDefault="00141CDF">
            <w:pPr>
              <w:rPr>
                <w:rFonts w:ascii="宋体"/>
                <w:vanish/>
              </w:rPr>
            </w:pPr>
          </w:p>
        </w:tc>
        <w:tc>
          <w:tcPr>
            <w:tcW w:w="0" w:type="auto"/>
            <w:shd w:val="clear" w:color="auto" w:fill="auto"/>
            <w:vAlign w:val="bottom"/>
          </w:tcPr>
          <w:p w14:paraId="098AA28E" w14:textId="77777777" w:rsidR="00141CDF" w:rsidRDefault="00141CDF">
            <w:pPr>
              <w:rPr>
                <w:rFonts w:ascii="宋体"/>
                <w:vanish/>
              </w:rPr>
            </w:pPr>
          </w:p>
        </w:tc>
        <w:tc>
          <w:tcPr>
            <w:tcW w:w="0" w:type="auto"/>
            <w:shd w:val="clear" w:color="auto" w:fill="auto"/>
            <w:vAlign w:val="bottom"/>
          </w:tcPr>
          <w:p w14:paraId="098AA28F" w14:textId="77777777" w:rsidR="00141CDF" w:rsidRDefault="00141CDF">
            <w:pPr>
              <w:rPr>
                <w:rFonts w:ascii="宋体"/>
                <w:vanish/>
              </w:rPr>
            </w:pPr>
          </w:p>
        </w:tc>
        <w:tc>
          <w:tcPr>
            <w:tcW w:w="0" w:type="auto"/>
            <w:shd w:val="clear" w:color="auto" w:fill="auto"/>
            <w:vAlign w:val="bottom"/>
          </w:tcPr>
          <w:p w14:paraId="098AA290" w14:textId="77777777" w:rsidR="00141CDF" w:rsidRDefault="00141CDF">
            <w:pPr>
              <w:rPr>
                <w:rFonts w:ascii="宋体"/>
                <w:vanish/>
              </w:rPr>
            </w:pPr>
          </w:p>
        </w:tc>
        <w:tc>
          <w:tcPr>
            <w:tcW w:w="0" w:type="auto"/>
            <w:gridSpan w:val="3"/>
            <w:shd w:val="clear" w:color="auto" w:fill="CCEEFF"/>
            <w:tcMar>
              <w:top w:w="0" w:type="dxa"/>
              <w:left w:w="20" w:type="dxa"/>
              <w:bottom w:w="0" w:type="dxa"/>
              <w:right w:w="20" w:type="dxa"/>
            </w:tcMar>
            <w:vAlign w:val="bottom"/>
          </w:tcPr>
          <w:p w14:paraId="098AA291"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A292"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A293" w14:textId="77777777" w:rsidR="00141CDF" w:rsidRDefault="00DF45E0">
            <w:pPr>
              <w:jc w:val="right"/>
              <w:textAlignment w:val="center"/>
            </w:pPr>
            <w:r>
              <w:rPr>
                <w:rFonts w:ascii="Times New Roman" w:eastAsia="宋体" w:hAnsi="Times New Roman"/>
                <w:color w:val="000000"/>
                <w:sz w:val="16"/>
                <w:szCs w:val="16"/>
              </w:rPr>
              <w:t>9,240 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A294"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A295"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A296"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A297" w14:textId="77777777" w:rsidR="00141CDF" w:rsidRDefault="00DF45E0">
            <w:pPr>
              <w:jc w:val="right"/>
              <w:textAlignment w:val="center"/>
            </w:pPr>
            <w:r>
              <w:rPr>
                <w:rFonts w:ascii="Times New Roman" w:eastAsia="宋体" w:hAnsi="Times New Roman"/>
                <w:color w:val="000000"/>
                <w:sz w:val="16"/>
                <w:szCs w:val="16"/>
              </w:rPr>
              <w:t>12,423 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A298" w14:textId="77777777" w:rsidR="00141CDF" w:rsidRDefault="00141CDF">
            <w:pPr>
              <w:jc w:val="right"/>
              <w:rPr>
                <w:rFonts w:ascii="宋体"/>
              </w:rPr>
            </w:pPr>
          </w:p>
        </w:tc>
        <w:tc>
          <w:tcPr>
            <w:tcW w:w="0" w:type="auto"/>
            <w:gridSpan w:val="3"/>
            <w:shd w:val="clear" w:color="auto" w:fill="auto"/>
            <w:vAlign w:val="bottom"/>
          </w:tcPr>
          <w:p w14:paraId="098AA299" w14:textId="77777777" w:rsidR="00141CDF" w:rsidRDefault="00141CDF">
            <w:pPr>
              <w:rPr>
                <w:rFonts w:ascii="宋体"/>
                <w:vanish/>
              </w:rPr>
            </w:pPr>
          </w:p>
        </w:tc>
      </w:tr>
    </w:tbl>
    <w:p w14:paraId="098AA29B" w14:textId="77777777" w:rsidR="00141CDF" w:rsidRDefault="00DF45E0">
      <w:pPr>
        <w:spacing w:before="60"/>
      </w:pPr>
      <w:r>
        <w:rPr>
          <w:rFonts w:ascii="Times New Roman" w:eastAsia="宋体" w:hAnsi="Times New Roman"/>
          <w:color w:val="000000"/>
          <w:sz w:val="20"/>
          <w:szCs w:val="20"/>
        </w:rPr>
        <w:t>Net cash provided by operating activities was $9.2 billion as compared to $12.4 billion for the six months ended July 31, 2022 and 2021, respectively. The decline is primarily due to a decrease in operating income, higher i</w:t>
      </w:r>
      <w:r>
        <w:rPr>
          <w:rFonts w:ascii="Times New Roman" w:eastAsia="宋体" w:hAnsi="Times New Roman"/>
          <w:color w:val="000000"/>
          <w:sz w:val="20"/>
          <w:szCs w:val="20"/>
        </w:rPr>
        <w:t>nventory costs and purchases to support strong sales and the timing of certain payments.</w:t>
      </w:r>
    </w:p>
    <w:p w14:paraId="098AA29C" w14:textId="77777777" w:rsidR="00141CDF" w:rsidRDefault="00DF45E0">
      <w:pPr>
        <w:spacing w:before="180"/>
      </w:pPr>
      <w:r>
        <w:rPr>
          <w:rFonts w:ascii="Times New Roman" w:eastAsia="宋体" w:hAnsi="Times New Roman"/>
          <w:i/>
          <w:iCs/>
          <w:color w:val="000000"/>
          <w:sz w:val="20"/>
          <w:szCs w:val="20"/>
        </w:rPr>
        <w:t xml:space="preserve">Cash Equivalents and Working Capital Deficit </w:t>
      </w:r>
    </w:p>
    <w:p w14:paraId="098AA29D" w14:textId="77777777" w:rsidR="00141CDF" w:rsidRDefault="00DF45E0">
      <w:pPr>
        <w:spacing w:before="100"/>
      </w:pPr>
      <w:r>
        <w:rPr>
          <w:rFonts w:ascii="Times New Roman" w:eastAsia="宋体" w:hAnsi="Times New Roman"/>
          <w:color w:val="000000"/>
          <w:sz w:val="20"/>
          <w:szCs w:val="20"/>
        </w:rPr>
        <w:t>Cash and cash equivalents were $13.9 billion and $22.8 billion at July 31, 2022 and 2021, respectively. Our working capit</w:t>
      </w:r>
      <w:r>
        <w:rPr>
          <w:rFonts w:ascii="Times New Roman" w:eastAsia="宋体" w:hAnsi="Times New Roman"/>
          <w:color w:val="000000"/>
          <w:sz w:val="20"/>
          <w:szCs w:val="20"/>
        </w:rPr>
        <w:t>al deficit was $15.7 billion as of July 31, 2022, which increased when compared to $2.9 billion as of July 31, 2021, primarily driven by an increase in short-term borrowings and a decrease in cash and cash equivalents, partially offset by the increase in i</w:t>
      </w:r>
      <w:r>
        <w:rPr>
          <w:rFonts w:ascii="Times New Roman" w:eastAsia="宋体" w:hAnsi="Times New Roman"/>
          <w:color w:val="000000"/>
          <w:sz w:val="20"/>
          <w:szCs w:val="20"/>
        </w:rPr>
        <w:t>nventory described above. We generally operate with a working capital deficit due to our efficient use of cash in funding operations, consistent access to the capital markets and returns provided to our shareholders in the form of payments of cash dividend</w:t>
      </w:r>
      <w:r>
        <w:rPr>
          <w:rFonts w:ascii="Times New Roman" w:eastAsia="宋体" w:hAnsi="Times New Roman"/>
          <w:color w:val="000000"/>
          <w:sz w:val="20"/>
          <w:szCs w:val="20"/>
        </w:rPr>
        <w:t xml:space="preserve">s and share repurchases. </w:t>
      </w:r>
    </w:p>
    <w:p w14:paraId="098AA29E" w14:textId="77777777" w:rsidR="00141CDF" w:rsidRDefault="00DF45E0">
      <w:pPr>
        <w:spacing w:before="100"/>
      </w:pPr>
      <w:r>
        <w:rPr>
          <w:rFonts w:ascii="Times New Roman" w:eastAsia="宋体" w:hAnsi="Times New Roman"/>
          <w:color w:val="000000"/>
          <w:sz w:val="20"/>
          <w:szCs w:val="20"/>
        </w:rPr>
        <w:t>As of July 31, 2022 and January 31, 2022, cash and cash equivalents of $3.5 billion and $4.3 billion, respectively, may not be freely transferable to the U.S. due to local laws or other restrictions. Of the $3.5 billion at July 31</w:t>
      </w:r>
      <w:r>
        <w:rPr>
          <w:rFonts w:ascii="Times New Roman" w:eastAsia="宋体" w:hAnsi="Times New Roman"/>
          <w:color w:val="000000"/>
          <w:sz w:val="20"/>
          <w:szCs w:val="20"/>
        </w:rPr>
        <w:t xml:space="preserve">, 2022, approximately $1.1 billion can only be accessed through dividends or intercompany financing arrangements subject to approval of the Flipkart minority shareholders; however, this cash is expected to be utilized by Flipkart. </w:t>
      </w:r>
    </w:p>
    <w:p w14:paraId="098AA29F" w14:textId="77777777" w:rsidR="00141CDF" w:rsidRDefault="00DF45E0">
      <w:pPr>
        <w:spacing w:before="180"/>
      </w:pPr>
      <w:r>
        <w:rPr>
          <w:rFonts w:ascii="Times New Roman" w:eastAsia="宋体" w:hAnsi="Times New Roman"/>
          <w:b/>
          <w:bCs/>
          <w:i/>
          <w:iCs/>
          <w:color w:val="000000"/>
          <w:sz w:val="20"/>
          <w:szCs w:val="20"/>
        </w:rPr>
        <w:t>Net Cash Used in or Prov</w:t>
      </w:r>
      <w:r>
        <w:rPr>
          <w:rFonts w:ascii="Times New Roman" w:eastAsia="宋体" w:hAnsi="Times New Roman"/>
          <w:b/>
          <w:bCs/>
          <w:i/>
          <w:iCs/>
          <w:color w:val="000000"/>
          <w:sz w:val="20"/>
          <w:szCs w:val="20"/>
        </w:rPr>
        <w:t>ided by Investing Activities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904"/>
        <w:gridCol w:w="36"/>
        <w:gridCol w:w="36"/>
        <w:gridCol w:w="36"/>
        <w:gridCol w:w="46"/>
        <w:gridCol w:w="36"/>
        <w:gridCol w:w="36"/>
        <w:gridCol w:w="36"/>
        <w:gridCol w:w="36"/>
        <w:gridCol w:w="100"/>
        <w:gridCol w:w="740"/>
        <w:gridCol w:w="36"/>
        <w:gridCol w:w="36"/>
        <w:gridCol w:w="36"/>
        <w:gridCol w:w="36"/>
        <w:gridCol w:w="100"/>
        <w:gridCol w:w="761"/>
        <w:gridCol w:w="36"/>
        <w:gridCol w:w="36"/>
        <w:gridCol w:w="36"/>
        <w:gridCol w:w="36"/>
        <w:gridCol w:w="36"/>
        <w:gridCol w:w="36"/>
        <w:gridCol w:w="36"/>
      </w:tblGrid>
      <w:tr w:rsidR="00141CDF" w14:paraId="098AA2B5" w14:textId="77777777">
        <w:trPr>
          <w:jc w:val="center"/>
        </w:trPr>
        <w:tc>
          <w:tcPr>
            <w:tcW w:w="50" w:type="pct"/>
            <w:shd w:val="clear" w:color="auto" w:fill="auto"/>
            <w:vAlign w:val="bottom"/>
          </w:tcPr>
          <w:p w14:paraId="098AA2A0" w14:textId="77777777" w:rsidR="00141CDF" w:rsidRDefault="00141CDF">
            <w:pPr>
              <w:rPr>
                <w:rFonts w:ascii="宋体"/>
              </w:rPr>
            </w:pPr>
          </w:p>
        </w:tc>
        <w:tc>
          <w:tcPr>
            <w:tcW w:w="3738" w:type="pct"/>
            <w:shd w:val="clear" w:color="auto" w:fill="auto"/>
            <w:vAlign w:val="bottom"/>
          </w:tcPr>
          <w:p w14:paraId="098AA2A1" w14:textId="77777777" w:rsidR="00141CDF" w:rsidRDefault="00141CDF">
            <w:pPr>
              <w:rPr>
                <w:rFonts w:ascii="宋体"/>
              </w:rPr>
            </w:pPr>
          </w:p>
        </w:tc>
        <w:tc>
          <w:tcPr>
            <w:tcW w:w="5" w:type="pct"/>
            <w:shd w:val="clear" w:color="auto" w:fill="auto"/>
            <w:vAlign w:val="bottom"/>
          </w:tcPr>
          <w:p w14:paraId="098AA2A2" w14:textId="77777777" w:rsidR="00141CDF" w:rsidRDefault="00141CDF">
            <w:pPr>
              <w:rPr>
                <w:rFonts w:ascii="宋体"/>
              </w:rPr>
            </w:pPr>
          </w:p>
        </w:tc>
        <w:tc>
          <w:tcPr>
            <w:tcW w:w="0" w:type="auto"/>
            <w:shd w:val="clear" w:color="auto" w:fill="auto"/>
            <w:vAlign w:val="bottom"/>
          </w:tcPr>
          <w:p w14:paraId="098AA2A3" w14:textId="77777777" w:rsidR="00141CDF" w:rsidRDefault="00141CDF">
            <w:pPr>
              <w:rPr>
                <w:rFonts w:ascii="宋体"/>
                <w:vanish/>
              </w:rPr>
            </w:pPr>
          </w:p>
        </w:tc>
        <w:tc>
          <w:tcPr>
            <w:tcW w:w="0" w:type="auto"/>
            <w:shd w:val="clear" w:color="auto" w:fill="auto"/>
            <w:vAlign w:val="bottom"/>
          </w:tcPr>
          <w:p w14:paraId="098AA2A4" w14:textId="77777777" w:rsidR="00141CDF" w:rsidRDefault="00141CDF">
            <w:pPr>
              <w:rPr>
                <w:rFonts w:ascii="宋体"/>
                <w:vanish/>
              </w:rPr>
            </w:pPr>
          </w:p>
        </w:tc>
        <w:tc>
          <w:tcPr>
            <w:tcW w:w="0" w:type="auto"/>
            <w:shd w:val="clear" w:color="auto" w:fill="auto"/>
            <w:vAlign w:val="bottom"/>
          </w:tcPr>
          <w:p w14:paraId="098AA2A5" w14:textId="77777777" w:rsidR="00141CDF" w:rsidRDefault="00141CDF">
            <w:pPr>
              <w:rPr>
                <w:rFonts w:ascii="宋体"/>
                <w:vanish/>
              </w:rPr>
            </w:pPr>
          </w:p>
        </w:tc>
        <w:tc>
          <w:tcPr>
            <w:tcW w:w="0" w:type="auto"/>
            <w:shd w:val="clear" w:color="auto" w:fill="auto"/>
            <w:vAlign w:val="bottom"/>
          </w:tcPr>
          <w:p w14:paraId="098AA2A6" w14:textId="77777777" w:rsidR="00141CDF" w:rsidRDefault="00141CDF">
            <w:pPr>
              <w:rPr>
                <w:rFonts w:ascii="宋体"/>
                <w:vanish/>
              </w:rPr>
            </w:pPr>
          </w:p>
        </w:tc>
        <w:tc>
          <w:tcPr>
            <w:tcW w:w="5" w:type="pct"/>
            <w:shd w:val="clear" w:color="auto" w:fill="auto"/>
            <w:vAlign w:val="bottom"/>
          </w:tcPr>
          <w:p w14:paraId="098AA2A7" w14:textId="77777777" w:rsidR="00141CDF" w:rsidRDefault="00141CDF">
            <w:pPr>
              <w:rPr>
                <w:rFonts w:ascii="宋体"/>
              </w:rPr>
            </w:pPr>
          </w:p>
        </w:tc>
        <w:tc>
          <w:tcPr>
            <w:tcW w:w="41" w:type="pct"/>
            <w:shd w:val="clear" w:color="auto" w:fill="auto"/>
            <w:vAlign w:val="bottom"/>
          </w:tcPr>
          <w:p w14:paraId="098AA2A8" w14:textId="77777777" w:rsidR="00141CDF" w:rsidRDefault="00141CDF">
            <w:pPr>
              <w:rPr>
                <w:rFonts w:ascii="宋体"/>
              </w:rPr>
            </w:pPr>
          </w:p>
        </w:tc>
        <w:tc>
          <w:tcPr>
            <w:tcW w:w="5" w:type="pct"/>
            <w:shd w:val="clear" w:color="auto" w:fill="auto"/>
            <w:vAlign w:val="bottom"/>
          </w:tcPr>
          <w:p w14:paraId="098AA2A9" w14:textId="77777777" w:rsidR="00141CDF" w:rsidRDefault="00141CDF">
            <w:pPr>
              <w:rPr>
                <w:rFonts w:ascii="宋体"/>
              </w:rPr>
            </w:pPr>
          </w:p>
        </w:tc>
        <w:tc>
          <w:tcPr>
            <w:tcW w:w="50" w:type="pct"/>
            <w:shd w:val="clear" w:color="auto" w:fill="auto"/>
            <w:vAlign w:val="bottom"/>
          </w:tcPr>
          <w:p w14:paraId="098AA2AA" w14:textId="77777777" w:rsidR="00141CDF" w:rsidRDefault="00141CDF">
            <w:pPr>
              <w:rPr>
                <w:rFonts w:ascii="宋体"/>
              </w:rPr>
            </w:pPr>
          </w:p>
        </w:tc>
        <w:tc>
          <w:tcPr>
            <w:tcW w:w="507" w:type="pct"/>
            <w:shd w:val="clear" w:color="auto" w:fill="auto"/>
            <w:vAlign w:val="bottom"/>
          </w:tcPr>
          <w:p w14:paraId="098AA2AB" w14:textId="77777777" w:rsidR="00141CDF" w:rsidRDefault="00141CDF">
            <w:pPr>
              <w:rPr>
                <w:rFonts w:ascii="宋体"/>
              </w:rPr>
            </w:pPr>
          </w:p>
        </w:tc>
        <w:tc>
          <w:tcPr>
            <w:tcW w:w="5" w:type="pct"/>
            <w:shd w:val="clear" w:color="auto" w:fill="auto"/>
            <w:vAlign w:val="bottom"/>
          </w:tcPr>
          <w:p w14:paraId="098AA2AC" w14:textId="77777777" w:rsidR="00141CDF" w:rsidRDefault="00141CDF">
            <w:pPr>
              <w:rPr>
                <w:rFonts w:ascii="宋体"/>
              </w:rPr>
            </w:pPr>
          </w:p>
        </w:tc>
        <w:tc>
          <w:tcPr>
            <w:tcW w:w="5" w:type="pct"/>
            <w:shd w:val="clear" w:color="auto" w:fill="auto"/>
            <w:vAlign w:val="bottom"/>
          </w:tcPr>
          <w:p w14:paraId="098AA2AD" w14:textId="77777777" w:rsidR="00141CDF" w:rsidRDefault="00141CDF">
            <w:pPr>
              <w:rPr>
                <w:rFonts w:ascii="宋体"/>
              </w:rPr>
            </w:pPr>
          </w:p>
        </w:tc>
        <w:tc>
          <w:tcPr>
            <w:tcW w:w="19" w:type="pct"/>
            <w:shd w:val="clear" w:color="auto" w:fill="auto"/>
            <w:vAlign w:val="bottom"/>
          </w:tcPr>
          <w:p w14:paraId="098AA2AE" w14:textId="77777777" w:rsidR="00141CDF" w:rsidRDefault="00141CDF">
            <w:pPr>
              <w:rPr>
                <w:rFonts w:ascii="宋体"/>
              </w:rPr>
            </w:pPr>
          </w:p>
        </w:tc>
        <w:tc>
          <w:tcPr>
            <w:tcW w:w="5" w:type="pct"/>
            <w:shd w:val="clear" w:color="auto" w:fill="auto"/>
            <w:vAlign w:val="bottom"/>
          </w:tcPr>
          <w:p w14:paraId="098AA2AF" w14:textId="77777777" w:rsidR="00141CDF" w:rsidRDefault="00141CDF">
            <w:pPr>
              <w:rPr>
                <w:rFonts w:ascii="宋体"/>
              </w:rPr>
            </w:pPr>
          </w:p>
        </w:tc>
        <w:tc>
          <w:tcPr>
            <w:tcW w:w="50" w:type="pct"/>
            <w:shd w:val="clear" w:color="auto" w:fill="auto"/>
            <w:vAlign w:val="bottom"/>
          </w:tcPr>
          <w:p w14:paraId="098AA2B0" w14:textId="77777777" w:rsidR="00141CDF" w:rsidRDefault="00141CDF">
            <w:pPr>
              <w:rPr>
                <w:rFonts w:ascii="宋体"/>
              </w:rPr>
            </w:pPr>
          </w:p>
        </w:tc>
        <w:tc>
          <w:tcPr>
            <w:tcW w:w="507" w:type="pct"/>
            <w:shd w:val="clear" w:color="auto" w:fill="auto"/>
            <w:vAlign w:val="bottom"/>
          </w:tcPr>
          <w:p w14:paraId="098AA2B1" w14:textId="77777777" w:rsidR="00141CDF" w:rsidRDefault="00141CDF">
            <w:pPr>
              <w:rPr>
                <w:rFonts w:ascii="宋体"/>
              </w:rPr>
            </w:pPr>
          </w:p>
        </w:tc>
        <w:tc>
          <w:tcPr>
            <w:tcW w:w="5" w:type="pct"/>
            <w:shd w:val="clear" w:color="auto" w:fill="auto"/>
            <w:vAlign w:val="bottom"/>
          </w:tcPr>
          <w:p w14:paraId="098AA2B2" w14:textId="77777777" w:rsidR="00141CDF" w:rsidRDefault="00141CDF">
            <w:pPr>
              <w:rPr>
                <w:rFonts w:ascii="宋体"/>
              </w:rPr>
            </w:pPr>
          </w:p>
        </w:tc>
        <w:tc>
          <w:tcPr>
            <w:tcW w:w="0" w:type="auto"/>
            <w:gridSpan w:val="3"/>
            <w:shd w:val="clear" w:color="auto" w:fill="auto"/>
            <w:vAlign w:val="bottom"/>
          </w:tcPr>
          <w:p w14:paraId="098AA2B3" w14:textId="77777777" w:rsidR="00141CDF" w:rsidRDefault="00141CDF">
            <w:pPr>
              <w:rPr>
                <w:rFonts w:ascii="宋体"/>
                <w:vanish/>
              </w:rPr>
            </w:pPr>
          </w:p>
        </w:tc>
        <w:tc>
          <w:tcPr>
            <w:tcW w:w="0" w:type="auto"/>
            <w:gridSpan w:val="3"/>
            <w:shd w:val="clear" w:color="auto" w:fill="auto"/>
            <w:vAlign w:val="bottom"/>
          </w:tcPr>
          <w:p w14:paraId="098AA2B4" w14:textId="77777777" w:rsidR="00141CDF" w:rsidRDefault="00141CDF">
            <w:pPr>
              <w:rPr>
                <w:rFonts w:ascii="宋体"/>
                <w:vanish/>
              </w:rPr>
            </w:pPr>
          </w:p>
        </w:tc>
      </w:tr>
      <w:tr w:rsidR="00141CDF" w14:paraId="098AA2C5" w14:textId="77777777">
        <w:trPr>
          <w:jc w:val="center"/>
        </w:trPr>
        <w:tc>
          <w:tcPr>
            <w:tcW w:w="0" w:type="auto"/>
            <w:gridSpan w:val="3"/>
            <w:shd w:val="clear" w:color="auto" w:fill="auto"/>
            <w:tcMar>
              <w:top w:w="40" w:type="dxa"/>
              <w:left w:w="20" w:type="dxa"/>
              <w:bottom w:w="40" w:type="dxa"/>
              <w:right w:w="20" w:type="dxa"/>
            </w:tcMar>
            <w:vAlign w:val="center"/>
          </w:tcPr>
          <w:p w14:paraId="098AA2B6" w14:textId="77777777" w:rsidR="00141CDF" w:rsidRDefault="00DF45E0">
            <w:pPr>
              <w:textAlignment w:val="center"/>
            </w:pPr>
            <w:r>
              <w:rPr>
                <w:rFonts w:ascii="Times New Roman" w:eastAsia="宋体" w:hAnsi="Times New Roman"/>
                <w:color w:val="000000"/>
                <w:sz w:val="16"/>
                <w:szCs w:val="16"/>
              </w:rPr>
              <w:t> </w:t>
            </w:r>
          </w:p>
        </w:tc>
        <w:tc>
          <w:tcPr>
            <w:tcW w:w="0" w:type="auto"/>
            <w:shd w:val="clear" w:color="auto" w:fill="auto"/>
            <w:vAlign w:val="bottom"/>
          </w:tcPr>
          <w:p w14:paraId="098AA2B7" w14:textId="77777777" w:rsidR="00141CDF" w:rsidRDefault="00141CDF">
            <w:pPr>
              <w:rPr>
                <w:rFonts w:ascii="宋体"/>
                <w:vanish/>
              </w:rPr>
            </w:pPr>
          </w:p>
        </w:tc>
        <w:tc>
          <w:tcPr>
            <w:tcW w:w="0" w:type="auto"/>
            <w:shd w:val="clear" w:color="auto" w:fill="auto"/>
            <w:vAlign w:val="bottom"/>
          </w:tcPr>
          <w:p w14:paraId="098AA2B8" w14:textId="77777777" w:rsidR="00141CDF" w:rsidRDefault="00141CDF">
            <w:pPr>
              <w:rPr>
                <w:rFonts w:ascii="宋体"/>
                <w:vanish/>
              </w:rPr>
            </w:pPr>
          </w:p>
        </w:tc>
        <w:tc>
          <w:tcPr>
            <w:tcW w:w="0" w:type="auto"/>
            <w:shd w:val="clear" w:color="auto" w:fill="auto"/>
            <w:tcMar>
              <w:top w:w="0" w:type="dxa"/>
              <w:left w:w="20" w:type="dxa"/>
              <w:bottom w:w="0" w:type="dxa"/>
              <w:right w:w="20" w:type="dxa"/>
            </w:tcMar>
            <w:vAlign w:val="bottom"/>
          </w:tcPr>
          <w:p w14:paraId="098AA2B9" w14:textId="77777777" w:rsidR="00141CDF" w:rsidRDefault="00141CDF">
            <w:pPr>
              <w:rPr>
                <w:rFonts w:ascii="宋体"/>
              </w:rPr>
            </w:pPr>
          </w:p>
        </w:tc>
        <w:tc>
          <w:tcPr>
            <w:tcW w:w="0" w:type="auto"/>
            <w:gridSpan w:val="7"/>
            <w:shd w:val="clear" w:color="auto" w:fill="auto"/>
            <w:tcMar>
              <w:top w:w="40" w:type="dxa"/>
              <w:left w:w="20" w:type="dxa"/>
              <w:bottom w:w="40" w:type="dxa"/>
              <w:right w:w="20" w:type="dxa"/>
            </w:tcMar>
            <w:vAlign w:val="center"/>
          </w:tcPr>
          <w:p w14:paraId="098AA2BA" w14:textId="77777777" w:rsidR="00141CDF" w:rsidRDefault="00DF45E0">
            <w:pPr>
              <w:jc w:val="center"/>
              <w:textAlignment w:val="center"/>
            </w:pPr>
            <w:r>
              <w:rPr>
                <w:rFonts w:ascii="Times New Roman" w:eastAsia="宋体" w:hAnsi="Times New Roman"/>
                <w:b/>
                <w:bCs/>
                <w:color w:val="000000"/>
                <w:sz w:val="16"/>
                <w:szCs w:val="16"/>
              </w:rPr>
              <w:t>Six Months Ended July 31,</w:t>
            </w:r>
          </w:p>
        </w:tc>
        <w:tc>
          <w:tcPr>
            <w:tcW w:w="0" w:type="auto"/>
            <w:gridSpan w:val="3"/>
            <w:shd w:val="clear" w:color="auto" w:fill="auto"/>
            <w:vAlign w:val="bottom"/>
          </w:tcPr>
          <w:p w14:paraId="098AA2BB" w14:textId="77777777" w:rsidR="00141CDF" w:rsidRDefault="00141CDF">
            <w:pPr>
              <w:rPr>
                <w:rFonts w:ascii="宋体"/>
                <w:vanish/>
              </w:rPr>
            </w:pPr>
          </w:p>
        </w:tc>
        <w:tc>
          <w:tcPr>
            <w:tcW w:w="0" w:type="auto"/>
            <w:shd w:val="clear" w:color="auto" w:fill="auto"/>
            <w:vAlign w:val="bottom"/>
          </w:tcPr>
          <w:p w14:paraId="098AA2BC" w14:textId="77777777" w:rsidR="00141CDF" w:rsidRDefault="00141CDF">
            <w:pPr>
              <w:rPr>
                <w:rFonts w:ascii="宋体"/>
              </w:rPr>
            </w:pPr>
          </w:p>
        </w:tc>
        <w:tc>
          <w:tcPr>
            <w:tcW w:w="0" w:type="auto"/>
            <w:shd w:val="clear" w:color="auto" w:fill="auto"/>
            <w:vAlign w:val="bottom"/>
          </w:tcPr>
          <w:p w14:paraId="098AA2BD" w14:textId="77777777" w:rsidR="00141CDF" w:rsidRDefault="00141CDF">
            <w:pPr>
              <w:rPr>
                <w:rFonts w:ascii="宋体"/>
              </w:rPr>
            </w:pPr>
          </w:p>
        </w:tc>
        <w:tc>
          <w:tcPr>
            <w:tcW w:w="0" w:type="auto"/>
            <w:shd w:val="clear" w:color="auto" w:fill="auto"/>
            <w:vAlign w:val="bottom"/>
          </w:tcPr>
          <w:p w14:paraId="098AA2BE" w14:textId="77777777" w:rsidR="00141CDF" w:rsidRDefault="00141CDF">
            <w:pPr>
              <w:rPr>
                <w:rFonts w:ascii="宋体"/>
              </w:rPr>
            </w:pPr>
          </w:p>
        </w:tc>
        <w:tc>
          <w:tcPr>
            <w:tcW w:w="0" w:type="auto"/>
            <w:shd w:val="clear" w:color="auto" w:fill="auto"/>
            <w:vAlign w:val="bottom"/>
          </w:tcPr>
          <w:p w14:paraId="098AA2BF" w14:textId="77777777" w:rsidR="00141CDF" w:rsidRDefault="00141CDF">
            <w:pPr>
              <w:rPr>
                <w:rFonts w:ascii="宋体"/>
              </w:rPr>
            </w:pPr>
          </w:p>
        </w:tc>
        <w:tc>
          <w:tcPr>
            <w:tcW w:w="0" w:type="auto"/>
            <w:shd w:val="clear" w:color="auto" w:fill="auto"/>
            <w:vAlign w:val="bottom"/>
          </w:tcPr>
          <w:p w14:paraId="098AA2C0" w14:textId="77777777" w:rsidR="00141CDF" w:rsidRDefault="00141CDF">
            <w:pPr>
              <w:rPr>
                <w:rFonts w:ascii="宋体"/>
              </w:rPr>
            </w:pPr>
          </w:p>
        </w:tc>
        <w:tc>
          <w:tcPr>
            <w:tcW w:w="0" w:type="auto"/>
            <w:shd w:val="clear" w:color="auto" w:fill="auto"/>
            <w:vAlign w:val="bottom"/>
          </w:tcPr>
          <w:p w14:paraId="098AA2C1" w14:textId="77777777" w:rsidR="00141CDF" w:rsidRDefault="00141CDF">
            <w:pPr>
              <w:rPr>
                <w:rFonts w:ascii="宋体"/>
              </w:rPr>
            </w:pPr>
          </w:p>
        </w:tc>
        <w:tc>
          <w:tcPr>
            <w:tcW w:w="0" w:type="auto"/>
            <w:shd w:val="clear" w:color="auto" w:fill="auto"/>
            <w:vAlign w:val="bottom"/>
          </w:tcPr>
          <w:p w14:paraId="098AA2C2" w14:textId="77777777" w:rsidR="00141CDF" w:rsidRDefault="00141CDF">
            <w:pPr>
              <w:rPr>
                <w:rFonts w:ascii="宋体"/>
              </w:rPr>
            </w:pPr>
          </w:p>
        </w:tc>
        <w:tc>
          <w:tcPr>
            <w:tcW w:w="0" w:type="auto"/>
            <w:shd w:val="clear" w:color="auto" w:fill="auto"/>
            <w:vAlign w:val="bottom"/>
          </w:tcPr>
          <w:p w14:paraId="098AA2C3" w14:textId="77777777" w:rsidR="00141CDF" w:rsidRDefault="00141CDF">
            <w:pPr>
              <w:rPr>
                <w:rFonts w:ascii="宋体"/>
              </w:rPr>
            </w:pPr>
          </w:p>
        </w:tc>
        <w:tc>
          <w:tcPr>
            <w:tcW w:w="0" w:type="auto"/>
            <w:shd w:val="clear" w:color="auto" w:fill="auto"/>
            <w:vAlign w:val="bottom"/>
          </w:tcPr>
          <w:p w14:paraId="098AA2C4" w14:textId="77777777" w:rsidR="00141CDF" w:rsidRDefault="00141CDF">
            <w:pPr>
              <w:rPr>
                <w:rFonts w:ascii="宋体"/>
              </w:rPr>
            </w:pPr>
          </w:p>
        </w:tc>
      </w:tr>
      <w:tr w:rsidR="00141CDF" w14:paraId="098AA2D1" w14:textId="77777777">
        <w:trPr>
          <w:jc w:val="center"/>
        </w:trPr>
        <w:tc>
          <w:tcPr>
            <w:tcW w:w="0" w:type="auto"/>
            <w:gridSpan w:val="3"/>
            <w:shd w:val="clear" w:color="auto" w:fill="auto"/>
            <w:tcMar>
              <w:top w:w="40" w:type="dxa"/>
              <w:left w:w="20" w:type="dxa"/>
              <w:bottom w:w="40" w:type="dxa"/>
              <w:right w:w="20" w:type="dxa"/>
            </w:tcMar>
            <w:vAlign w:val="center"/>
          </w:tcPr>
          <w:p w14:paraId="098AA2C6" w14:textId="77777777" w:rsidR="00141CDF" w:rsidRDefault="00DF45E0">
            <w:pPr>
              <w:textAlignment w:val="center"/>
            </w:pPr>
            <w:r>
              <w:rPr>
                <w:rFonts w:ascii="Times New Roman" w:eastAsia="宋体" w:hAnsi="Times New Roman"/>
                <w:i/>
                <w:iCs/>
                <w:color w:val="000000"/>
                <w:sz w:val="16"/>
                <w:szCs w:val="16"/>
              </w:rPr>
              <w:t>(Amounts in millions)</w:t>
            </w:r>
          </w:p>
        </w:tc>
        <w:tc>
          <w:tcPr>
            <w:tcW w:w="0" w:type="auto"/>
            <w:shd w:val="clear" w:color="auto" w:fill="auto"/>
            <w:vAlign w:val="bottom"/>
          </w:tcPr>
          <w:p w14:paraId="098AA2C7" w14:textId="77777777" w:rsidR="00141CDF" w:rsidRDefault="00141CDF">
            <w:pPr>
              <w:rPr>
                <w:rFonts w:ascii="宋体"/>
                <w:vanish/>
              </w:rPr>
            </w:pPr>
          </w:p>
        </w:tc>
        <w:tc>
          <w:tcPr>
            <w:tcW w:w="0" w:type="auto"/>
            <w:shd w:val="clear" w:color="auto" w:fill="auto"/>
            <w:vAlign w:val="bottom"/>
          </w:tcPr>
          <w:p w14:paraId="098AA2C8" w14:textId="77777777" w:rsidR="00141CDF" w:rsidRDefault="00141CDF">
            <w:pPr>
              <w:rPr>
                <w:rFonts w:ascii="宋体"/>
                <w:vanish/>
              </w:rPr>
            </w:pPr>
          </w:p>
        </w:tc>
        <w:tc>
          <w:tcPr>
            <w:tcW w:w="0" w:type="auto"/>
            <w:shd w:val="clear" w:color="auto" w:fill="auto"/>
            <w:vAlign w:val="bottom"/>
          </w:tcPr>
          <w:p w14:paraId="098AA2C9" w14:textId="77777777" w:rsidR="00141CDF" w:rsidRDefault="00141CDF">
            <w:pPr>
              <w:rPr>
                <w:rFonts w:ascii="宋体"/>
                <w:vanish/>
              </w:rPr>
            </w:pPr>
          </w:p>
        </w:tc>
        <w:tc>
          <w:tcPr>
            <w:tcW w:w="0" w:type="auto"/>
            <w:shd w:val="clear" w:color="auto" w:fill="auto"/>
            <w:vAlign w:val="bottom"/>
          </w:tcPr>
          <w:p w14:paraId="098AA2CA" w14:textId="77777777" w:rsidR="00141CDF" w:rsidRDefault="00141CDF">
            <w:pPr>
              <w:rPr>
                <w:rFonts w:ascii="宋体"/>
                <w:vanish/>
              </w:rPr>
            </w:pPr>
          </w:p>
        </w:tc>
        <w:tc>
          <w:tcPr>
            <w:tcW w:w="0" w:type="auto"/>
            <w:gridSpan w:val="3"/>
            <w:shd w:val="clear" w:color="auto" w:fill="auto"/>
            <w:tcMar>
              <w:top w:w="0" w:type="dxa"/>
              <w:left w:w="20" w:type="dxa"/>
              <w:bottom w:w="0" w:type="dxa"/>
              <w:right w:w="20" w:type="dxa"/>
            </w:tcMar>
            <w:vAlign w:val="bottom"/>
          </w:tcPr>
          <w:p w14:paraId="098AA2CB"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98AA2CC" w14:textId="77777777" w:rsidR="00141CDF" w:rsidRDefault="00DF45E0">
            <w:pPr>
              <w:jc w:val="center"/>
              <w:textAlignment w:val="center"/>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A2CD"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98AA2CE" w14:textId="77777777" w:rsidR="00141CDF" w:rsidRDefault="00DF45E0">
            <w:pPr>
              <w:jc w:val="center"/>
              <w:textAlignment w:val="center"/>
            </w:pPr>
            <w:r>
              <w:rPr>
                <w:rFonts w:ascii="Times New Roman" w:eastAsia="宋体" w:hAnsi="Times New Roman"/>
                <w:b/>
                <w:bCs/>
                <w:color w:val="000000"/>
                <w:sz w:val="16"/>
                <w:szCs w:val="16"/>
              </w:rPr>
              <w:t>2021</w:t>
            </w:r>
          </w:p>
        </w:tc>
        <w:tc>
          <w:tcPr>
            <w:tcW w:w="0" w:type="auto"/>
            <w:gridSpan w:val="3"/>
            <w:shd w:val="clear" w:color="auto" w:fill="auto"/>
            <w:vAlign w:val="bottom"/>
          </w:tcPr>
          <w:p w14:paraId="098AA2CF" w14:textId="77777777" w:rsidR="00141CDF" w:rsidRDefault="00141CDF">
            <w:pPr>
              <w:rPr>
                <w:rFonts w:ascii="宋体"/>
                <w:vanish/>
              </w:rPr>
            </w:pPr>
          </w:p>
        </w:tc>
        <w:tc>
          <w:tcPr>
            <w:tcW w:w="0" w:type="auto"/>
            <w:gridSpan w:val="3"/>
            <w:shd w:val="clear" w:color="auto" w:fill="auto"/>
            <w:vAlign w:val="bottom"/>
          </w:tcPr>
          <w:p w14:paraId="098AA2D0" w14:textId="77777777" w:rsidR="00141CDF" w:rsidRDefault="00141CDF">
            <w:pPr>
              <w:rPr>
                <w:rFonts w:ascii="宋体"/>
                <w:vanish/>
              </w:rPr>
            </w:pPr>
          </w:p>
        </w:tc>
      </w:tr>
      <w:tr w:rsidR="00141CDF" w14:paraId="098AA2E1" w14:textId="77777777">
        <w:trPr>
          <w:jc w:val="center"/>
        </w:trPr>
        <w:tc>
          <w:tcPr>
            <w:tcW w:w="0" w:type="auto"/>
            <w:gridSpan w:val="3"/>
            <w:shd w:val="clear" w:color="auto" w:fill="CCEEFF"/>
            <w:tcMar>
              <w:top w:w="40" w:type="dxa"/>
              <w:left w:w="20" w:type="dxa"/>
              <w:bottom w:w="40" w:type="dxa"/>
              <w:right w:w="20" w:type="dxa"/>
            </w:tcMar>
            <w:vAlign w:val="center"/>
          </w:tcPr>
          <w:p w14:paraId="098AA2D2" w14:textId="77777777" w:rsidR="00141CDF" w:rsidRDefault="00DF45E0">
            <w:pPr>
              <w:textAlignment w:val="center"/>
            </w:pPr>
            <w:r>
              <w:rPr>
                <w:rFonts w:ascii="Times New Roman" w:eastAsia="宋体" w:hAnsi="Times New Roman"/>
                <w:color w:val="000000"/>
                <w:sz w:val="16"/>
                <w:szCs w:val="16"/>
              </w:rPr>
              <w:t>Net cash (used in) provided by investing activities</w:t>
            </w:r>
          </w:p>
        </w:tc>
        <w:tc>
          <w:tcPr>
            <w:tcW w:w="0" w:type="auto"/>
            <w:shd w:val="clear" w:color="auto" w:fill="auto"/>
            <w:vAlign w:val="bottom"/>
          </w:tcPr>
          <w:p w14:paraId="098AA2D3" w14:textId="77777777" w:rsidR="00141CDF" w:rsidRDefault="00141CDF">
            <w:pPr>
              <w:rPr>
                <w:rFonts w:ascii="宋体"/>
                <w:vanish/>
              </w:rPr>
            </w:pPr>
          </w:p>
        </w:tc>
        <w:tc>
          <w:tcPr>
            <w:tcW w:w="0" w:type="auto"/>
            <w:shd w:val="clear" w:color="auto" w:fill="auto"/>
            <w:vAlign w:val="bottom"/>
          </w:tcPr>
          <w:p w14:paraId="098AA2D4" w14:textId="77777777" w:rsidR="00141CDF" w:rsidRDefault="00141CDF">
            <w:pPr>
              <w:rPr>
                <w:rFonts w:ascii="宋体"/>
                <w:vanish/>
              </w:rPr>
            </w:pPr>
          </w:p>
        </w:tc>
        <w:tc>
          <w:tcPr>
            <w:tcW w:w="0" w:type="auto"/>
            <w:shd w:val="clear" w:color="auto" w:fill="auto"/>
            <w:vAlign w:val="bottom"/>
          </w:tcPr>
          <w:p w14:paraId="098AA2D5" w14:textId="77777777" w:rsidR="00141CDF" w:rsidRDefault="00141CDF">
            <w:pPr>
              <w:rPr>
                <w:rFonts w:ascii="宋体"/>
                <w:vanish/>
              </w:rPr>
            </w:pPr>
          </w:p>
        </w:tc>
        <w:tc>
          <w:tcPr>
            <w:tcW w:w="0" w:type="auto"/>
            <w:shd w:val="clear" w:color="auto" w:fill="auto"/>
            <w:vAlign w:val="bottom"/>
          </w:tcPr>
          <w:p w14:paraId="098AA2D6" w14:textId="77777777" w:rsidR="00141CDF" w:rsidRDefault="00141CDF">
            <w:pPr>
              <w:rPr>
                <w:rFonts w:ascii="宋体"/>
                <w:vanish/>
              </w:rPr>
            </w:pPr>
          </w:p>
        </w:tc>
        <w:tc>
          <w:tcPr>
            <w:tcW w:w="0" w:type="auto"/>
            <w:gridSpan w:val="3"/>
            <w:shd w:val="clear" w:color="auto" w:fill="CCEEFF"/>
            <w:tcMar>
              <w:top w:w="0" w:type="dxa"/>
              <w:left w:w="20" w:type="dxa"/>
              <w:bottom w:w="0" w:type="dxa"/>
              <w:right w:w="20" w:type="dxa"/>
            </w:tcMar>
            <w:vAlign w:val="bottom"/>
          </w:tcPr>
          <w:p w14:paraId="098AA2D7"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A2D8"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A2D9" w14:textId="77777777" w:rsidR="00141CDF" w:rsidRDefault="00DF45E0">
            <w:pPr>
              <w:jc w:val="right"/>
              <w:textAlignment w:val="center"/>
            </w:pPr>
            <w:r>
              <w:rPr>
                <w:rFonts w:ascii="Times New Roman" w:eastAsia="宋体" w:hAnsi="Times New Roman"/>
                <w:color w:val="000000"/>
                <w:sz w:val="16"/>
                <w:szCs w:val="16"/>
              </w:rPr>
              <w:t>(8,584)</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A2DA"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A2DB"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A2DC"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A2DD" w14:textId="77777777" w:rsidR="00141CDF" w:rsidRDefault="00DF45E0">
            <w:pPr>
              <w:jc w:val="right"/>
              <w:textAlignment w:val="center"/>
            </w:pPr>
            <w:r>
              <w:rPr>
                <w:rFonts w:ascii="Times New Roman" w:eastAsia="宋体" w:hAnsi="Times New Roman"/>
                <w:color w:val="000000"/>
                <w:sz w:val="16"/>
                <w:szCs w:val="16"/>
              </w:rPr>
              <w:t>2,402 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A2DE" w14:textId="77777777" w:rsidR="00141CDF" w:rsidRDefault="00141CDF">
            <w:pPr>
              <w:jc w:val="right"/>
              <w:rPr>
                <w:rFonts w:ascii="宋体"/>
              </w:rPr>
            </w:pPr>
          </w:p>
        </w:tc>
        <w:tc>
          <w:tcPr>
            <w:tcW w:w="0" w:type="auto"/>
            <w:gridSpan w:val="3"/>
            <w:shd w:val="clear" w:color="auto" w:fill="auto"/>
            <w:vAlign w:val="bottom"/>
          </w:tcPr>
          <w:p w14:paraId="098AA2DF" w14:textId="77777777" w:rsidR="00141CDF" w:rsidRDefault="00141CDF">
            <w:pPr>
              <w:rPr>
                <w:rFonts w:ascii="宋体"/>
                <w:vanish/>
              </w:rPr>
            </w:pPr>
          </w:p>
        </w:tc>
        <w:tc>
          <w:tcPr>
            <w:tcW w:w="0" w:type="auto"/>
            <w:gridSpan w:val="3"/>
            <w:shd w:val="clear" w:color="auto" w:fill="auto"/>
            <w:vAlign w:val="bottom"/>
          </w:tcPr>
          <w:p w14:paraId="098AA2E0" w14:textId="77777777" w:rsidR="00141CDF" w:rsidRDefault="00141CDF">
            <w:pPr>
              <w:rPr>
                <w:rFonts w:ascii="宋体"/>
                <w:vanish/>
              </w:rPr>
            </w:pPr>
          </w:p>
        </w:tc>
      </w:tr>
    </w:tbl>
    <w:p w14:paraId="098AA2E2" w14:textId="77777777" w:rsidR="00141CDF" w:rsidRDefault="00DF45E0">
      <w:pPr>
        <w:spacing w:before="60"/>
      </w:pPr>
      <w:r>
        <w:rPr>
          <w:rFonts w:ascii="Times New Roman" w:eastAsia="宋体" w:hAnsi="Times New Roman"/>
          <w:color w:val="000000"/>
          <w:sz w:val="20"/>
          <w:szCs w:val="20"/>
        </w:rPr>
        <w:t>Net cash used in investing activities was $8.6 billion as compared to net cash provided by investing activities of $2.4 billion for the six months ended July 31, 2022 and 2021, respectively. Net cash used in investing activities in</w:t>
      </w:r>
      <w:r>
        <w:rPr>
          <w:rFonts w:ascii="Times New Roman" w:eastAsia="宋体" w:hAnsi="Times New Roman"/>
          <w:color w:val="000000"/>
          <w:sz w:val="20"/>
          <w:szCs w:val="20"/>
        </w:rPr>
        <w:t>creased $11.0 billion for the six months ended July 31, 2022 primarily as a result of lapping the net proceeds received from the divestitures of our operations in the U.K. and Japan and an increase in capital expenditures to support our investment strategy</w:t>
      </w:r>
      <w:r>
        <w:rPr>
          <w:rFonts w:ascii="Times New Roman" w:eastAsia="宋体" w:hAnsi="Times New Roman"/>
          <w:color w:val="000000"/>
          <w:sz w:val="20"/>
          <w:szCs w:val="20"/>
        </w:rPr>
        <w:t>.</w:t>
      </w:r>
    </w:p>
    <w:p w14:paraId="098AA2E3" w14:textId="77777777" w:rsidR="00141CDF" w:rsidRDefault="00DF45E0">
      <w:pPr>
        <w:spacing w:before="180"/>
      </w:pPr>
      <w:r>
        <w:rPr>
          <w:rFonts w:ascii="Times New Roman" w:eastAsia="宋体" w:hAnsi="Times New Roman"/>
          <w:b/>
          <w:bCs/>
          <w:i/>
          <w:iCs/>
          <w:color w:val="000000"/>
          <w:sz w:val="20"/>
          <w:szCs w:val="20"/>
        </w:rPr>
        <w:t>Net Cash Used in Financing Activities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919"/>
        <w:gridCol w:w="36"/>
        <w:gridCol w:w="36"/>
        <w:gridCol w:w="36"/>
        <w:gridCol w:w="36"/>
        <w:gridCol w:w="36"/>
        <w:gridCol w:w="36"/>
        <w:gridCol w:w="36"/>
        <w:gridCol w:w="36"/>
        <w:gridCol w:w="100"/>
        <w:gridCol w:w="747"/>
        <w:gridCol w:w="36"/>
        <w:gridCol w:w="36"/>
        <w:gridCol w:w="36"/>
        <w:gridCol w:w="36"/>
        <w:gridCol w:w="100"/>
        <w:gridCol w:w="749"/>
        <w:gridCol w:w="36"/>
        <w:gridCol w:w="36"/>
        <w:gridCol w:w="36"/>
        <w:gridCol w:w="36"/>
        <w:gridCol w:w="36"/>
        <w:gridCol w:w="36"/>
        <w:gridCol w:w="36"/>
      </w:tblGrid>
      <w:tr w:rsidR="00141CDF" w14:paraId="098AA2F9" w14:textId="77777777">
        <w:trPr>
          <w:jc w:val="center"/>
        </w:trPr>
        <w:tc>
          <w:tcPr>
            <w:tcW w:w="50" w:type="pct"/>
            <w:shd w:val="clear" w:color="auto" w:fill="auto"/>
            <w:vAlign w:val="bottom"/>
          </w:tcPr>
          <w:p w14:paraId="098AA2E4" w14:textId="77777777" w:rsidR="00141CDF" w:rsidRDefault="00141CDF">
            <w:pPr>
              <w:rPr>
                <w:rFonts w:ascii="宋体"/>
              </w:rPr>
            </w:pPr>
          </w:p>
        </w:tc>
        <w:tc>
          <w:tcPr>
            <w:tcW w:w="3760" w:type="pct"/>
            <w:shd w:val="clear" w:color="auto" w:fill="auto"/>
            <w:vAlign w:val="bottom"/>
          </w:tcPr>
          <w:p w14:paraId="098AA2E5" w14:textId="77777777" w:rsidR="00141CDF" w:rsidRDefault="00141CDF">
            <w:pPr>
              <w:rPr>
                <w:rFonts w:ascii="宋体"/>
              </w:rPr>
            </w:pPr>
          </w:p>
        </w:tc>
        <w:tc>
          <w:tcPr>
            <w:tcW w:w="5" w:type="pct"/>
            <w:shd w:val="clear" w:color="auto" w:fill="auto"/>
            <w:vAlign w:val="bottom"/>
          </w:tcPr>
          <w:p w14:paraId="098AA2E6" w14:textId="77777777" w:rsidR="00141CDF" w:rsidRDefault="00141CDF">
            <w:pPr>
              <w:rPr>
                <w:rFonts w:ascii="宋体"/>
              </w:rPr>
            </w:pPr>
          </w:p>
        </w:tc>
        <w:tc>
          <w:tcPr>
            <w:tcW w:w="5" w:type="pct"/>
            <w:shd w:val="clear" w:color="auto" w:fill="auto"/>
            <w:vAlign w:val="bottom"/>
          </w:tcPr>
          <w:p w14:paraId="098AA2E7" w14:textId="77777777" w:rsidR="00141CDF" w:rsidRDefault="00141CDF">
            <w:pPr>
              <w:rPr>
                <w:rFonts w:ascii="宋体"/>
              </w:rPr>
            </w:pPr>
          </w:p>
        </w:tc>
        <w:tc>
          <w:tcPr>
            <w:tcW w:w="19" w:type="pct"/>
            <w:shd w:val="clear" w:color="auto" w:fill="auto"/>
            <w:vAlign w:val="bottom"/>
          </w:tcPr>
          <w:p w14:paraId="098AA2E8" w14:textId="77777777" w:rsidR="00141CDF" w:rsidRDefault="00141CDF">
            <w:pPr>
              <w:rPr>
                <w:rFonts w:ascii="宋体"/>
              </w:rPr>
            </w:pPr>
          </w:p>
        </w:tc>
        <w:tc>
          <w:tcPr>
            <w:tcW w:w="5" w:type="pct"/>
            <w:shd w:val="clear" w:color="auto" w:fill="auto"/>
            <w:vAlign w:val="bottom"/>
          </w:tcPr>
          <w:p w14:paraId="098AA2E9" w14:textId="77777777" w:rsidR="00141CDF" w:rsidRDefault="00141CDF">
            <w:pPr>
              <w:rPr>
                <w:rFonts w:ascii="宋体"/>
              </w:rPr>
            </w:pPr>
          </w:p>
        </w:tc>
        <w:tc>
          <w:tcPr>
            <w:tcW w:w="0" w:type="auto"/>
            <w:shd w:val="clear" w:color="auto" w:fill="auto"/>
            <w:vAlign w:val="bottom"/>
          </w:tcPr>
          <w:p w14:paraId="098AA2EA" w14:textId="77777777" w:rsidR="00141CDF" w:rsidRDefault="00141CDF">
            <w:pPr>
              <w:rPr>
                <w:rFonts w:ascii="宋体"/>
                <w:vanish/>
              </w:rPr>
            </w:pPr>
          </w:p>
        </w:tc>
        <w:tc>
          <w:tcPr>
            <w:tcW w:w="0" w:type="auto"/>
            <w:shd w:val="clear" w:color="auto" w:fill="auto"/>
            <w:vAlign w:val="bottom"/>
          </w:tcPr>
          <w:p w14:paraId="098AA2EB" w14:textId="77777777" w:rsidR="00141CDF" w:rsidRDefault="00141CDF">
            <w:pPr>
              <w:rPr>
                <w:rFonts w:ascii="宋体"/>
                <w:vanish/>
              </w:rPr>
            </w:pPr>
          </w:p>
        </w:tc>
        <w:tc>
          <w:tcPr>
            <w:tcW w:w="0" w:type="auto"/>
            <w:shd w:val="clear" w:color="auto" w:fill="auto"/>
            <w:vAlign w:val="bottom"/>
          </w:tcPr>
          <w:p w14:paraId="098AA2EC" w14:textId="77777777" w:rsidR="00141CDF" w:rsidRDefault="00141CDF">
            <w:pPr>
              <w:rPr>
                <w:rFonts w:ascii="宋体"/>
                <w:vanish/>
              </w:rPr>
            </w:pPr>
          </w:p>
        </w:tc>
        <w:tc>
          <w:tcPr>
            <w:tcW w:w="0" w:type="auto"/>
            <w:shd w:val="clear" w:color="auto" w:fill="auto"/>
            <w:vAlign w:val="bottom"/>
          </w:tcPr>
          <w:p w14:paraId="098AA2ED" w14:textId="77777777" w:rsidR="00141CDF" w:rsidRDefault="00141CDF">
            <w:pPr>
              <w:rPr>
                <w:rFonts w:ascii="宋体"/>
                <w:vanish/>
              </w:rPr>
            </w:pPr>
          </w:p>
        </w:tc>
        <w:tc>
          <w:tcPr>
            <w:tcW w:w="50" w:type="pct"/>
            <w:shd w:val="clear" w:color="auto" w:fill="auto"/>
            <w:vAlign w:val="bottom"/>
          </w:tcPr>
          <w:p w14:paraId="098AA2EE" w14:textId="77777777" w:rsidR="00141CDF" w:rsidRDefault="00141CDF">
            <w:pPr>
              <w:rPr>
                <w:rFonts w:ascii="宋体"/>
              </w:rPr>
            </w:pPr>
          </w:p>
        </w:tc>
        <w:tc>
          <w:tcPr>
            <w:tcW w:w="507" w:type="pct"/>
            <w:shd w:val="clear" w:color="auto" w:fill="auto"/>
            <w:vAlign w:val="bottom"/>
          </w:tcPr>
          <w:p w14:paraId="098AA2EF" w14:textId="77777777" w:rsidR="00141CDF" w:rsidRDefault="00141CDF">
            <w:pPr>
              <w:rPr>
                <w:rFonts w:ascii="宋体"/>
              </w:rPr>
            </w:pPr>
          </w:p>
        </w:tc>
        <w:tc>
          <w:tcPr>
            <w:tcW w:w="5" w:type="pct"/>
            <w:shd w:val="clear" w:color="auto" w:fill="auto"/>
            <w:vAlign w:val="bottom"/>
          </w:tcPr>
          <w:p w14:paraId="098AA2F0" w14:textId="77777777" w:rsidR="00141CDF" w:rsidRDefault="00141CDF">
            <w:pPr>
              <w:rPr>
                <w:rFonts w:ascii="宋体"/>
              </w:rPr>
            </w:pPr>
          </w:p>
        </w:tc>
        <w:tc>
          <w:tcPr>
            <w:tcW w:w="5" w:type="pct"/>
            <w:shd w:val="clear" w:color="auto" w:fill="auto"/>
            <w:vAlign w:val="bottom"/>
          </w:tcPr>
          <w:p w14:paraId="098AA2F1" w14:textId="77777777" w:rsidR="00141CDF" w:rsidRDefault="00141CDF">
            <w:pPr>
              <w:rPr>
                <w:rFonts w:ascii="宋体"/>
              </w:rPr>
            </w:pPr>
          </w:p>
        </w:tc>
        <w:tc>
          <w:tcPr>
            <w:tcW w:w="19" w:type="pct"/>
            <w:shd w:val="clear" w:color="auto" w:fill="auto"/>
            <w:vAlign w:val="bottom"/>
          </w:tcPr>
          <w:p w14:paraId="098AA2F2" w14:textId="77777777" w:rsidR="00141CDF" w:rsidRDefault="00141CDF">
            <w:pPr>
              <w:rPr>
                <w:rFonts w:ascii="宋体"/>
              </w:rPr>
            </w:pPr>
          </w:p>
        </w:tc>
        <w:tc>
          <w:tcPr>
            <w:tcW w:w="5" w:type="pct"/>
            <w:shd w:val="clear" w:color="auto" w:fill="auto"/>
            <w:vAlign w:val="bottom"/>
          </w:tcPr>
          <w:p w14:paraId="098AA2F3" w14:textId="77777777" w:rsidR="00141CDF" w:rsidRDefault="00141CDF">
            <w:pPr>
              <w:rPr>
                <w:rFonts w:ascii="宋体"/>
              </w:rPr>
            </w:pPr>
          </w:p>
        </w:tc>
        <w:tc>
          <w:tcPr>
            <w:tcW w:w="50" w:type="pct"/>
            <w:shd w:val="clear" w:color="auto" w:fill="auto"/>
            <w:vAlign w:val="bottom"/>
          </w:tcPr>
          <w:p w14:paraId="098AA2F4" w14:textId="77777777" w:rsidR="00141CDF" w:rsidRDefault="00141CDF">
            <w:pPr>
              <w:rPr>
                <w:rFonts w:ascii="宋体"/>
              </w:rPr>
            </w:pPr>
          </w:p>
        </w:tc>
        <w:tc>
          <w:tcPr>
            <w:tcW w:w="508" w:type="pct"/>
            <w:shd w:val="clear" w:color="auto" w:fill="auto"/>
            <w:vAlign w:val="bottom"/>
          </w:tcPr>
          <w:p w14:paraId="098AA2F5" w14:textId="77777777" w:rsidR="00141CDF" w:rsidRDefault="00141CDF">
            <w:pPr>
              <w:rPr>
                <w:rFonts w:ascii="宋体"/>
              </w:rPr>
            </w:pPr>
          </w:p>
        </w:tc>
        <w:tc>
          <w:tcPr>
            <w:tcW w:w="5" w:type="pct"/>
            <w:shd w:val="clear" w:color="auto" w:fill="auto"/>
            <w:vAlign w:val="bottom"/>
          </w:tcPr>
          <w:p w14:paraId="098AA2F6" w14:textId="77777777" w:rsidR="00141CDF" w:rsidRDefault="00141CDF">
            <w:pPr>
              <w:rPr>
                <w:rFonts w:ascii="宋体"/>
              </w:rPr>
            </w:pPr>
          </w:p>
        </w:tc>
        <w:tc>
          <w:tcPr>
            <w:tcW w:w="0" w:type="auto"/>
            <w:gridSpan w:val="3"/>
            <w:shd w:val="clear" w:color="auto" w:fill="auto"/>
            <w:vAlign w:val="bottom"/>
          </w:tcPr>
          <w:p w14:paraId="098AA2F7" w14:textId="77777777" w:rsidR="00141CDF" w:rsidRDefault="00141CDF">
            <w:pPr>
              <w:rPr>
                <w:rFonts w:ascii="宋体"/>
                <w:vanish/>
              </w:rPr>
            </w:pPr>
          </w:p>
        </w:tc>
        <w:tc>
          <w:tcPr>
            <w:tcW w:w="0" w:type="auto"/>
            <w:gridSpan w:val="3"/>
            <w:shd w:val="clear" w:color="auto" w:fill="auto"/>
            <w:vAlign w:val="bottom"/>
          </w:tcPr>
          <w:p w14:paraId="098AA2F8" w14:textId="77777777" w:rsidR="00141CDF" w:rsidRDefault="00141CDF">
            <w:pPr>
              <w:rPr>
                <w:rFonts w:ascii="宋体"/>
                <w:vanish/>
              </w:rPr>
            </w:pPr>
          </w:p>
        </w:tc>
      </w:tr>
      <w:tr w:rsidR="00141CDF" w14:paraId="098AA309" w14:textId="77777777">
        <w:trPr>
          <w:jc w:val="center"/>
        </w:trPr>
        <w:tc>
          <w:tcPr>
            <w:tcW w:w="0" w:type="auto"/>
            <w:gridSpan w:val="3"/>
            <w:shd w:val="clear" w:color="auto" w:fill="auto"/>
            <w:tcMar>
              <w:top w:w="40" w:type="dxa"/>
              <w:left w:w="20" w:type="dxa"/>
              <w:bottom w:w="40" w:type="dxa"/>
              <w:right w:w="20" w:type="dxa"/>
            </w:tcMar>
            <w:vAlign w:val="center"/>
          </w:tcPr>
          <w:p w14:paraId="098AA2FA" w14:textId="77777777" w:rsidR="00141CDF" w:rsidRDefault="00DF45E0">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098AA2FB" w14:textId="77777777" w:rsidR="00141CDF" w:rsidRDefault="00141CDF">
            <w:pPr>
              <w:rPr>
                <w:rFonts w:ascii="宋体"/>
              </w:rPr>
            </w:pPr>
          </w:p>
        </w:tc>
        <w:tc>
          <w:tcPr>
            <w:tcW w:w="0" w:type="auto"/>
            <w:shd w:val="clear" w:color="auto" w:fill="auto"/>
            <w:vAlign w:val="bottom"/>
          </w:tcPr>
          <w:p w14:paraId="098AA2FC" w14:textId="77777777" w:rsidR="00141CDF" w:rsidRDefault="00141CDF">
            <w:pPr>
              <w:rPr>
                <w:rFonts w:ascii="宋体"/>
                <w:vanish/>
              </w:rPr>
            </w:pPr>
          </w:p>
        </w:tc>
        <w:tc>
          <w:tcPr>
            <w:tcW w:w="0" w:type="auto"/>
            <w:shd w:val="clear" w:color="auto" w:fill="auto"/>
            <w:vAlign w:val="bottom"/>
          </w:tcPr>
          <w:p w14:paraId="098AA2FD" w14:textId="77777777" w:rsidR="00141CDF" w:rsidRDefault="00141CDF">
            <w:pPr>
              <w:rPr>
                <w:rFonts w:ascii="宋体"/>
                <w:vanish/>
              </w:rPr>
            </w:pPr>
          </w:p>
        </w:tc>
        <w:tc>
          <w:tcPr>
            <w:tcW w:w="0" w:type="auto"/>
            <w:gridSpan w:val="5"/>
            <w:shd w:val="clear" w:color="auto" w:fill="auto"/>
            <w:tcMar>
              <w:top w:w="40" w:type="dxa"/>
              <w:left w:w="20" w:type="dxa"/>
              <w:bottom w:w="40" w:type="dxa"/>
              <w:right w:w="20" w:type="dxa"/>
            </w:tcMar>
            <w:vAlign w:val="center"/>
          </w:tcPr>
          <w:p w14:paraId="098AA2FE" w14:textId="77777777" w:rsidR="00141CDF" w:rsidRDefault="00DF45E0">
            <w:pPr>
              <w:jc w:val="center"/>
              <w:textAlignment w:val="center"/>
            </w:pPr>
            <w:r>
              <w:rPr>
                <w:rFonts w:ascii="Times New Roman" w:eastAsia="宋体" w:hAnsi="Times New Roman"/>
                <w:b/>
                <w:bCs/>
                <w:color w:val="000000"/>
                <w:sz w:val="16"/>
                <w:szCs w:val="16"/>
              </w:rPr>
              <w:t>Six Months Ended July 31,</w:t>
            </w:r>
          </w:p>
        </w:tc>
        <w:tc>
          <w:tcPr>
            <w:tcW w:w="0" w:type="auto"/>
            <w:gridSpan w:val="3"/>
            <w:shd w:val="clear" w:color="auto" w:fill="auto"/>
            <w:vAlign w:val="bottom"/>
          </w:tcPr>
          <w:p w14:paraId="098AA2FF" w14:textId="77777777" w:rsidR="00141CDF" w:rsidRDefault="00141CDF">
            <w:pPr>
              <w:rPr>
                <w:rFonts w:ascii="宋体"/>
                <w:vanish/>
              </w:rPr>
            </w:pPr>
          </w:p>
        </w:tc>
        <w:tc>
          <w:tcPr>
            <w:tcW w:w="0" w:type="auto"/>
            <w:shd w:val="clear" w:color="auto" w:fill="auto"/>
            <w:vAlign w:val="bottom"/>
          </w:tcPr>
          <w:p w14:paraId="098AA300" w14:textId="77777777" w:rsidR="00141CDF" w:rsidRDefault="00141CDF">
            <w:pPr>
              <w:rPr>
                <w:rFonts w:ascii="宋体"/>
              </w:rPr>
            </w:pPr>
          </w:p>
        </w:tc>
        <w:tc>
          <w:tcPr>
            <w:tcW w:w="0" w:type="auto"/>
            <w:shd w:val="clear" w:color="auto" w:fill="auto"/>
            <w:vAlign w:val="bottom"/>
          </w:tcPr>
          <w:p w14:paraId="098AA301" w14:textId="77777777" w:rsidR="00141CDF" w:rsidRDefault="00141CDF">
            <w:pPr>
              <w:rPr>
                <w:rFonts w:ascii="宋体"/>
              </w:rPr>
            </w:pPr>
          </w:p>
        </w:tc>
        <w:tc>
          <w:tcPr>
            <w:tcW w:w="0" w:type="auto"/>
            <w:shd w:val="clear" w:color="auto" w:fill="auto"/>
            <w:vAlign w:val="bottom"/>
          </w:tcPr>
          <w:p w14:paraId="098AA302" w14:textId="77777777" w:rsidR="00141CDF" w:rsidRDefault="00141CDF">
            <w:pPr>
              <w:rPr>
                <w:rFonts w:ascii="宋体"/>
              </w:rPr>
            </w:pPr>
          </w:p>
        </w:tc>
        <w:tc>
          <w:tcPr>
            <w:tcW w:w="0" w:type="auto"/>
            <w:shd w:val="clear" w:color="auto" w:fill="auto"/>
            <w:vAlign w:val="bottom"/>
          </w:tcPr>
          <w:p w14:paraId="098AA303" w14:textId="77777777" w:rsidR="00141CDF" w:rsidRDefault="00141CDF">
            <w:pPr>
              <w:rPr>
                <w:rFonts w:ascii="宋体"/>
              </w:rPr>
            </w:pPr>
          </w:p>
        </w:tc>
        <w:tc>
          <w:tcPr>
            <w:tcW w:w="0" w:type="auto"/>
            <w:shd w:val="clear" w:color="auto" w:fill="auto"/>
            <w:vAlign w:val="bottom"/>
          </w:tcPr>
          <w:p w14:paraId="098AA304" w14:textId="77777777" w:rsidR="00141CDF" w:rsidRDefault="00141CDF">
            <w:pPr>
              <w:rPr>
                <w:rFonts w:ascii="宋体"/>
              </w:rPr>
            </w:pPr>
          </w:p>
        </w:tc>
        <w:tc>
          <w:tcPr>
            <w:tcW w:w="0" w:type="auto"/>
            <w:shd w:val="clear" w:color="auto" w:fill="auto"/>
            <w:vAlign w:val="bottom"/>
          </w:tcPr>
          <w:p w14:paraId="098AA305" w14:textId="77777777" w:rsidR="00141CDF" w:rsidRDefault="00141CDF">
            <w:pPr>
              <w:rPr>
                <w:rFonts w:ascii="宋体"/>
              </w:rPr>
            </w:pPr>
          </w:p>
        </w:tc>
        <w:tc>
          <w:tcPr>
            <w:tcW w:w="0" w:type="auto"/>
            <w:shd w:val="clear" w:color="auto" w:fill="auto"/>
            <w:vAlign w:val="bottom"/>
          </w:tcPr>
          <w:p w14:paraId="098AA306" w14:textId="77777777" w:rsidR="00141CDF" w:rsidRDefault="00141CDF">
            <w:pPr>
              <w:rPr>
                <w:rFonts w:ascii="宋体"/>
              </w:rPr>
            </w:pPr>
          </w:p>
        </w:tc>
        <w:tc>
          <w:tcPr>
            <w:tcW w:w="0" w:type="auto"/>
            <w:shd w:val="clear" w:color="auto" w:fill="auto"/>
            <w:vAlign w:val="bottom"/>
          </w:tcPr>
          <w:p w14:paraId="098AA307" w14:textId="77777777" w:rsidR="00141CDF" w:rsidRDefault="00141CDF">
            <w:pPr>
              <w:rPr>
                <w:rFonts w:ascii="宋体"/>
              </w:rPr>
            </w:pPr>
          </w:p>
        </w:tc>
        <w:tc>
          <w:tcPr>
            <w:tcW w:w="0" w:type="auto"/>
            <w:shd w:val="clear" w:color="auto" w:fill="auto"/>
            <w:vAlign w:val="bottom"/>
          </w:tcPr>
          <w:p w14:paraId="098AA308" w14:textId="77777777" w:rsidR="00141CDF" w:rsidRDefault="00141CDF">
            <w:pPr>
              <w:rPr>
                <w:rFonts w:ascii="宋体"/>
              </w:rPr>
            </w:pPr>
          </w:p>
        </w:tc>
      </w:tr>
      <w:tr w:rsidR="00141CDF" w14:paraId="098AA315" w14:textId="77777777">
        <w:trPr>
          <w:jc w:val="center"/>
        </w:trPr>
        <w:tc>
          <w:tcPr>
            <w:tcW w:w="0" w:type="auto"/>
            <w:gridSpan w:val="3"/>
            <w:shd w:val="clear" w:color="auto" w:fill="auto"/>
            <w:tcMar>
              <w:top w:w="40" w:type="dxa"/>
              <w:left w:w="20" w:type="dxa"/>
              <w:bottom w:w="40" w:type="dxa"/>
              <w:right w:w="20" w:type="dxa"/>
            </w:tcMar>
            <w:vAlign w:val="center"/>
          </w:tcPr>
          <w:p w14:paraId="098AA30A" w14:textId="77777777" w:rsidR="00141CDF" w:rsidRDefault="00DF45E0">
            <w:pPr>
              <w:textAlignment w:val="center"/>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098AA30B" w14:textId="77777777" w:rsidR="00141CDF" w:rsidRDefault="00141CDF">
            <w:pPr>
              <w:rPr>
                <w:rFonts w:ascii="宋体"/>
              </w:rPr>
            </w:pPr>
          </w:p>
        </w:tc>
        <w:tc>
          <w:tcPr>
            <w:tcW w:w="0" w:type="auto"/>
            <w:shd w:val="clear" w:color="auto" w:fill="auto"/>
            <w:vAlign w:val="bottom"/>
          </w:tcPr>
          <w:p w14:paraId="098AA30C" w14:textId="77777777" w:rsidR="00141CDF" w:rsidRDefault="00141CDF">
            <w:pPr>
              <w:rPr>
                <w:rFonts w:ascii="宋体"/>
                <w:vanish/>
              </w:rPr>
            </w:pPr>
          </w:p>
        </w:tc>
        <w:tc>
          <w:tcPr>
            <w:tcW w:w="0" w:type="auto"/>
            <w:shd w:val="clear" w:color="auto" w:fill="auto"/>
            <w:vAlign w:val="bottom"/>
          </w:tcPr>
          <w:p w14:paraId="098AA30D" w14:textId="77777777" w:rsidR="00141CDF" w:rsidRDefault="00141CDF">
            <w:pPr>
              <w:rPr>
                <w:rFonts w:ascii="宋体"/>
                <w:vanish/>
              </w:rPr>
            </w:pPr>
          </w:p>
        </w:tc>
        <w:tc>
          <w:tcPr>
            <w:tcW w:w="0" w:type="auto"/>
            <w:shd w:val="clear" w:color="auto" w:fill="auto"/>
            <w:vAlign w:val="bottom"/>
          </w:tcPr>
          <w:p w14:paraId="098AA30E" w14:textId="77777777" w:rsidR="00141CDF" w:rsidRDefault="00141CDF">
            <w:pPr>
              <w:rPr>
                <w:rFonts w:ascii="宋体"/>
                <w:vanish/>
              </w:rPr>
            </w:pPr>
          </w:p>
        </w:tc>
        <w:tc>
          <w:tcPr>
            <w:tcW w:w="0" w:type="auto"/>
            <w:shd w:val="clear" w:color="auto" w:fill="auto"/>
            <w:vAlign w:val="bottom"/>
          </w:tcPr>
          <w:p w14:paraId="098AA30F" w14:textId="77777777" w:rsidR="00141CDF" w:rsidRDefault="00141CDF">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98AA310" w14:textId="77777777" w:rsidR="00141CDF" w:rsidRDefault="00DF45E0">
            <w:pPr>
              <w:jc w:val="center"/>
              <w:textAlignment w:val="center"/>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A311"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98AA312" w14:textId="77777777" w:rsidR="00141CDF" w:rsidRDefault="00DF45E0">
            <w:pPr>
              <w:jc w:val="center"/>
              <w:textAlignment w:val="center"/>
            </w:pPr>
            <w:r>
              <w:rPr>
                <w:rFonts w:ascii="Times New Roman" w:eastAsia="宋体" w:hAnsi="Times New Roman"/>
                <w:b/>
                <w:bCs/>
                <w:color w:val="000000"/>
                <w:sz w:val="16"/>
                <w:szCs w:val="16"/>
              </w:rPr>
              <w:t>2021</w:t>
            </w:r>
          </w:p>
        </w:tc>
        <w:tc>
          <w:tcPr>
            <w:tcW w:w="0" w:type="auto"/>
            <w:gridSpan w:val="3"/>
            <w:shd w:val="clear" w:color="auto" w:fill="auto"/>
            <w:vAlign w:val="bottom"/>
          </w:tcPr>
          <w:p w14:paraId="098AA313" w14:textId="77777777" w:rsidR="00141CDF" w:rsidRDefault="00141CDF">
            <w:pPr>
              <w:rPr>
                <w:rFonts w:ascii="宋体"/>
                <w:vanish/>
              </w:rPr>
            </w:pPr>
          </w:p>
        </w:tc>
        <w:tc>
          <w:tcPr>
            <w:tcW w:w="0" w:type="auto"/>
            <w:gridSpan w:val="3"/>
            <w:shd w:val="clear" w:color="auto" w:fill="auto"/>
            <w:vAlign w:val="bottom"/>
          </w:tcPr>
          <w:p w14:paraId="098AA314" w14:textId="77777777" w:rsidR="00141CDF" w:rsidRDefault="00141CDF">
            <w:pPr>
              <w:rPr>
                <w:rFonts w:ascii="宋体"/>
                <w:vanish/>
              </w:rPr>
            </w:pPr>
          </w:p>
        </w:tc>
      </w:tr>
      <w:tr w:rsidR="00141CDF" w14:paraId="098AA325" w14:textId="77777777">
        <w:trPr>
          <w:jc w:val="center"/>
        </w:trPr>
        <w:tc>
          <w:tcPr>
            <w:tcW w:w="0" w:type="auto"/>
            <w:gridSpan w:val="3"/>
            <w:shd w:val="clear" w:color="auto" w:fill="CCEEFF"/>
            <w:tcMar>
              <w:top w:w="40" w:type="dxa"/>
              <w:left w:w="20" w:type="dxa"/>
              <w:bottom w:w="40" w:type="dxa"/>
              <w:right w:w="20" w:type="dxa"/>
            </w:tcMar>
            <w:vAlign w:val="center"/>
          </w:tcPr>
          <w:p w14:paraId="098AA316" w14:textId="77777777" w:rsidR="00141CDF" w:rsidRDefault="00DF45E0">
            <w:pPr>
              <w:textAlignment w:val="center"/>
            </w:pPr>
            <w:r>
              <w:rPr>
                <w:rFonts w:ascii="Times New Roman" w:eastAsia="宋体" w:hAnsi="Times New Roman"/>
                <w:color w:val="000000"/>
                <w:sz w:val="16"/>
                <w:szCs w:val="16"/>
              </w:rPr>
              <w:t>Net cash used in financing activities</w:t>
            </w:r>
          </w:p>
        </w:tc>
        <w:tc>
          <w:tcPr>
            <w:tcW w:w="0" w:type="auto"/>
            <w:gridSpan w:val="3"/>
            <w:shd w:val="clear" w:color="auto" w:fill="CCEEFF"/>
            <w:tcMar>
              <w:top w:w="0" w:type="dxa"/>
              <w:left w:w="20" w:type="dxa"/>
              <w:bottom w:w="0" w:type="dxa"/>
              <w:right w:w="20" w:type="dxa"/>
            </w:tcMar>
            <w:vAlign w:val="bottom"/>
          </w:tcPr>
          <w:p w14:paraId="098AA317" w14:textId="77777777" w:rsidR="00141CDF" w:rsidRDefault="00141CDF">
            <w:pPr>
              <w:rPr>
                <w:rFonts w:ascii="宋体"/>
              </w:rPr>
            </w:pPr>
          </w:p>
        </w:tc>
        <w:tc>
          <w:tcPr>
            <w:tcW w:w="0" w:type="auto"/>
            <w:shd w:val="clear" w:color="auto" w:fill="auto"/>
            <w:vAlign w:val="bottom"/>
          </w:tcPr>
          <w:p w14:paraId="098AA318" w14:textId="77777777" w:rsidR="00141CDF" w:rsidRDefault="00141CDF">
            <w:pPr>
              <w:rPr>
                <w:rFonts w:ascii="宋体"/>
                <w:vanish/>
              </w:rPr>
            </w:pPr>
          </w:p>
        </w:tc>
        <w:tc>
          <w:tcPr>
            <w:tcW w:w="0" w:type="auto"/>
            <w:shd w:val="clear" w:color="auto" w:fill="auto"/>
            <w:vAlign w:val="bottom"/>
          </w:tcPr>
          <w:p w14:paraId="098AA319" w14:textId="77777777" w:rsidR="00141CDF" w:rsidRDefault="00141CDF">
            <w:pPr>
              <w:rPr>
                <w:rFonts w:ascii="宋体"/>
                <w:vanish/>
              </w:rPr>
            </w:pPr>
          </w:p>
        </w:tc>
        <w:tc>
          <w:tcPr>
            <w:tcW w:w="0" w:type="auto"/>
            <w:shd w:val="clear" w:color="auto" w:fill="auto"/>
            <w:vAlign w:val="bottom"/>
          </w:tcPr>
          <w:p w14:paraId="098AA31A" w14:textId="77777777" w:rsidR="00141CDF" w:rsidRDefault="00141CDF">
            <w:pPr>
              <w:rPr>
                <w:rFonts w:ascii="宋体"/>
                <w:vanish/>
              </w:rPr>
            </w:pPr>
          </w:p>
        </w:tc>
        <w:tc>
          <w:tcPr>
            <w:tcW w:w="0" w:type="auto"/>
            <w:shd w:val="clear" w:color="auto" w:fill="auto"/>
            <w:vAlign w:val="bottom"/>
          </w:tcPr>
          <w:p w14:paraId="098AA31B" w14:textId="77777777" w:rsidR="00141CDF" w:rsidRDefault="00141CDF">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A31C"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A31D" w14:textId="77777777" w:rsidR="00141CDF" w:rsidRDefault="00DF45E0">
            <w:pPr>
              <w:jc w:val="right"/>
              <w:textAlignment w:val="center"/>
            </w:pPr>
            <w:r>
              <w:rPr>
                <w:rFonts w:ascii="Times New Roman" w:eastAsia="宋体" w:hAnsi="Times New Roman"/>
                <w:color w:val="000000"/>
                <w:sz w:val="16"/>
                <w:szCs w:val="16"/>
              </w:rPr>
              <w:t>(1,400)</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A31E"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A31F"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A320"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A321" w14:textId="77777777" w:rsidR="00141CDF" w:rsidRDefault="00DF45E0">
            <w:pPr>
              <w:jc w:val="right"/>
              <w:textAlignment w:val="center"/>
            </w:pPr>
            <w:r>
              <w:rPr>
                <w:rFonts w:ascii="Times New Roman" w:eastAsia="宋体" w:hAnsi="Times New Roman"/>
                <w:color w:val="000000"/>
                <w:sz w:val="16"/>
                <w:szCs w:val="16"/>
              </w:rPr>
              <w:t>(11,559)</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A322" w14:textId="77777777" w:rsidR="00141CDF" w:rsidRDefault="00141CDF">
            <w:pPr>
              <w:jc w:val="right"/>
              <w:rPr>
                <w:rFonts w:ascii="宋体"/>
              </w:rPr>
            </w:pPr>
          </w:p>
        </w:tc>
        <w:tc>
          <w:tcPr>
            <w:tcW w:w="0" w:type="auto"/>
            <w:gridSpan w:val="3"/>
            <w:shd w:val="clear" w:color="auto" w:fill="auto"/>
            <w:vAlign w:val="bottom"/>
          </w:tcPr>
          <w:p w14:paraId="098AA323" w14:textId="77777777" w:rsidR="00141CDF" w:rsidRDefault="00141CDF">
            <w:pPr>
              <w:rPr>
                <w:rFonts w:ascii="宋体"/>
                <w:vanish/>
              </w:rPr>
            </w:pPr>
          </w:p>
        </w:tc>
        <w:tc>
          <w:tcPr>
            <w:tcW w:w="0" w:type="auto"/>
            <w:gridSpan w:val="3"/>
            <w:shd w:val="clear" w:color="auto" w:fill="auto"/>
            <w:vAlign w:val="bottom"/>
          </w:tcPr>
          <w:p w14:paraId="098AA324" w14:textId="77777777" w:rsidR="00141CDF" w:rsidRDefault="00141CDF">
            <w:pPr>
              <w:rPr>
                <w:rFonts w:ascii="宋体"/>
                <w:vanish/>
              </w:rPr>
            </w:pPr>
          </w:p>
        </w:tc>
      </w:tr>
    </w:tbl>
    <w:p w14:paraId="098AA326" w14:textId="77777777" w:rsidR="00141CDF" w:rsidRDefault="00DF45E0">
      <w:pPr>
        <w:spacing w:before="60"/>
      </w:pPr>
      <w:r>
        <w:rPr>
          <w:rFonts w:ascii="Times New Roman" w:eastAsia="宋体" w:hAnsi="Times New Roman"/>
          <w:color w:val="000000"/>
          <w:sz w:val="20"/>
          <w:szCs w:val="20"/>
        </w:rPr>
        <w:t>Net cash from financing activities generally consists of transactions related to our short-term and long-term debt, dividends paid and the repurchase of Company stock. Transactions with noncontrolling interest shareholders are also class</w:t>
      </w:r>
      <w:r>
        <w:rPr>
          <w:rFonts w:ascii="Times New Roman" w:eastAsia="宋体" w:hAnsi="Times New Roman"/>
          <w:color w:val="000000"/>
          <w:sz w:val="20"/>
          <w:szCs w:val="20"/>
        </w:rPr>
        <w:t>ified as cash flows from financing activities. Net cash used in financing activities was $1.4 billion as compared to $11.6 billion for the six months ended July 31, 2022 and 2021, respectively. The decrease in net cash used in financing activities is prima</w:t>
      </w:r>
      <w:r>
        <w:rPr>
          <w:rFonts w:ascii="Times New Roman" w:eastAsia="宋体" w:hAnsi="Times New Roman"/>
          <w:color w:val="000000"/>
          <w:sz w:val="20"/>
          <w:szCs w:val="20"/>
        </w:rPr>
        <w:t>rily due to an increase in short-term borrowings to fund working capital needs.</w:t>
      </w:r>
    </w:p>
    <w:p w14:paraId="098AA327" w14:textId="77777777" w:rsidR="00141CDF" w:rsidRDefault="00DF45E0">
      <w:pPr>
        <w:spacing w:before="100"/>
      </w:pPr>
      <w:r>
        <w:rPr>
          <w:rFonts w:ascii="Times New Roman" w:eastAsia="宋体" w:hAnsi="Times New Roman"/>
          <w:color w:val="000000"/>
          <w:sz w:val="20"/>
          <w:szCs w:val="20"/>
        </w:rPr>
        <w:t>In April 2022, the Company renewed and extended its existing 364-day revolving credit facility of $10.0 billion as well as its five-year credit facility of $5.0 billion. In tot</w:t>
      </w:r>
      <w:r>
        <w:rPr>
          <w:rFonts w:ascii="Times New Roman" w:eastAsia="宋体" w:hAnsi="Times New Roman"/>
          <w:color w:val="000000"/>
          <w:sz w:val="20"/>
          <w:szCs w:val="20"/>
        </w:rPr>
        <w:t>al, we had committed lines of credit in the U.S. of $15.0 billion at July 31, 2022, all undrawn.</w:t>
      </w:r>
    </w:p>
    <w:p w14:paraId="098AA328" w14:textId="77777777" w:rsidR="00141CDF" w:rsidRDefault="00DF45E0">
      <w:pPr>
        <w:spacing w:before="180"/>
      </w:pPr>
      <w:r>
        <w:rPr>
          <w:rFonts w:ascii="Times New Roman" w:eastAsia="宋体" w:hAnsi="Times New Roman"/>
          <w:i/>
          <w:iCs/>
          <w:color w:val="000000"/>
          <w:sz w:val="20"/>
          <w:szCs w:val="20"/>
        </w:rPr>
        <w:t>Long-term Debt</w:t>
      </w:r>
    </w:p>
    <w:p w14:paraId="098AA329" w14:textId="77777777" w:rsidR="00141CDF" w:rsidRDefault="00DF45E0">
      <w:pPr>
        <w:spacing w:before="100"/>
      </w:pPr>
      <w:r>
        <w:rPr>
          <w:rFonts w:ascii="Times New Roman" w:eastAsia="宋体" w:hAnsi="Times New Roman"/>
          <w:color w:val="000000"/>
          <w:sz w:val="20"/>
          <w:szCs w:val="20"/>
        </w:rPr>
        <w:t>The following table provides the changes in our long-term debt for the six months ended July 31, 2022:</w:t>
      </w:r>
    </w:p>
    <w:tbl>
      <w:tblPr>
        <w:tblW w:w="4993" w:type="pct"/>
        <w:tblCellMar>
          <w:top w:w="15" w:type="dxa"/>
          <w:left w:w="15" w:type="dxa"/>
          <w:bottom w:w="15" w:type="dxa"/>
          <w:right w:w="15" w:type="dxa"/>
        </w:tblCellMar>
        <w:tblLook w:val="04A0" w:firstRow="1" w:lastRow="0" w:firstColumn="1" w:lastColumn="0" w:noHBand="0" w:noVBand="1"/>
      </w:tblPr>
      <w:tblGrid>
        <w:gridCol w:w="41"/>
        <w:gridCol w:w="3914"/>
        <w:gridCol w:w="38"/>
        <w:gridCol w:w="36"/>
        <w:gridCol w:w="137"/>
        <w:gridCol w:w="36"/>
        <w:gridCol w:w="101"/>
        <w:gridCol w:w="1098"/>
        <w:gridCol w:w="36"/>
        <w:gridCol w:w="36"/>
        <w:gridCol w:w="137"/>
        <w:gridCol w:w="36"/>
        <w:gridCol w:w="101"/>
        <w:gridCol w:w="1098"/>
        <w:gridCol w:w="36"/>
        <w:gridCol w:w="36"/>
        <w:gridCol w:w="137"/>
        <w:gridCol w:w="36"/>
        <w:gridCol w:w="100"/>
        <w:gridCol w:w="1098"/>
        <w:gridCol w:w="36"/>
      </w:tblGrid>
      <w:tr w:rsidR="00141CDF" w14:paraId="098AA33F" w14:textId="77777777">
        <w:tc>
          <w:tcPr>
            <w:tcW w:w="50" w:type="pct"/>
            <w:shd w:val="clear" w:color="auto" w:fill="auto"/>
            <w:vAlign w:val="bottom"/>
          </w:tcPr>
          <w:p w14:paraId="098AA32A" w14:textId="77777777" w:rsidR="00141CDF" w:rsidRDefault="00141CDF">
            <w:pPr>
              <w:rPr>
                <w:rFonts w:ascii="宋体"/>
              </w:rPr>
            </w:pPr>
          </w:p>
        </w:tc>
        <w:tc>
          <w:tcPr>
            <w:tcW w:w="2375" w:type="pct"/>
            <w:shd w:val="clear" w:color="auto" w:fill="auto"/>
            <w:vAlign w:val="bottom"/>
          </w:tcPr>
          <w:p w14:paraId="098AA32B" w14:textId="77777777" w:rsidR="00141CDF" w:rsidRDefault="00141CDF">
            <w:pPr>
              <w:rPr>
                <w:rFonts w:ascii="宋体"/>
              </w:rPr>
            </w:pPr>
          </w:p>
        </w:tc>
        <w:tc>
          <w:tcPr>
            <w:tcW w:w="5" w:type="pct"/>
            <w:shd w:val="clear" w:color="auto" w:fill="auto"/>
            <w:vAlign w:val="bottom"/>
          </w:tcPr>
          <w:p w14:paraId="098AA32C" w14:textId="77777777" w:rsidR="00141CDF" w:rsidRDefault="00141CDF">
            <w:pPr>
              <w:rPr>
                <w:rFonts w:ascii="宋体"/>
              </w:rPr>
            </w:pPr>
          </w:p>
        </w:tc>
        <w:tc>
          <w:tcPr>
            <w:tcW w:w="5" w:type="pct"/>
            <w:shd w:val="clear" w:color="auto" w:fill="auto"/>
            <w:vAlign w:val="bottom"/>
          </w:tcPr>
          <w:p w14:paraId="098AA32D" w14:textId="77777777" w:rsidR="00141CDF" w:rsidRDefault="00141CDF">
            <w:pPr>
              <w:rPr>
                <w:rFonts w:ascii="宋体"/>
              </w:rPr>
            </w:pPr>
          </w:p>
        </w:tc>
        <w:tc>
          <w:tcPr>
            <w:tcW w:w="107" w:type="pct"/>
            <w:shd w:val="clear" w:color="auto" w:fill="auto"/>
            <w:vAlign w:val="bottom"/>
          </w:tcPr>
          <w:p w14:paraId="098AA32E" w14:textId="77777777" w:rsidR="00141CDF" w:rsidRDefault="00141CDF">
            <w:pPr>
              <w:rPr>
                <w:rFonts w:ascii="宋体"/>
              </w:rPr>
            </w:pPr>
          </w:p>
        </w:tc>
        <w:tc>
          <w:tcPr>
            <w:tcW w:w="5" w:type="pct"/>
            <w:shd w:val="clear" w:color="auto" w:fill="auto"/>
            <w:vAlign w:val="bottom"/>
          </w:tcPr>
          <w:p w14:paraId="098AA32F" w14:textId="77777777" w:rsidR="00141CDF" w:rsidRDefault="00141CDF">
            <w:pPr>
              <w:rPr>
                <w:rFonts w:ascii="宋体"/>
              </w:rPr>
            </w:pPr>
          </w:p>
        </w:tc>
        <w:tc>
          <w:tcPr>
            <w:tcW w:w="50" w:type="pct"/>
            <w:shd w:val="clear" w:color="auto" w:fill="auto"/>
            <w:vAlign w:val="bottom"/>
          </w:tcPr>
          <w:p w14:paraId="098AA330" w14:textId="77777777" w:rsidR="00141CDF" w:rsidRDefault="00141CDF">
            <w:pPr>
              <w:rPr>
                <w:rFonts w:ascii="宋体"/>
              </w:rPr>
            </w:pPr>
          </w:p>
        </w:tc>
        <w:tc>
          <w:tcPr>
            <w:tcW w:w="684" w:type="pct"/>
            <w:shd w:val="clear" w:color="auto" w:fill="auto"/>
            <w:vAlign w:val="bottom"/>
          </w:tcPr>
          <w:p w14:paraId="098AA331" w14:textId="77777777" w:rsidR="00141CDF" w:rsidRDefault="00141CDF">
            <w:pPr>
              <w:rPr>
                <w:rFonts w:ascii="宋体"/>
              </w:rPr>
            </w:pPr>
          </w:p>
        </w:tc>
        <w:tc>
          <w:tcPr>
            <w:tcW w:w="5" w:type="pct"/>
            <w:shd w:val="clear" w:color="auto" w:fill="auto"/>
            <w:vAlign w:val="bottom"/>
          </w:tcPr>
          <w:p w14:paraId="098AA332" w14:textId="77777777" w:rsidR="00141CDF" w:rsidRDefault="00141CDF">
            <w:pPr>
              <w:rPr>
                <w:rFonts w:ascii="宋体"/>
              </w:rPr>
            </w:pPr>
          </w:p>
        </w:tc>
        <w:tc>
          <w:tcPr>
            <w:tcW w:w="5" w:type="pct"/>
            <w:shd w:val="clear" w:color="auto" w:fill="auto"/>
            <w:vAlign w:val="bottom"/>
          </w:tcPr>
          <w:p w14:paraId="098AA333" w14:textId="77777777" w:rsidR="00141CDF" w:rsidRDefault="00141CDF">
            <w:pPr>
              <w:rPr>
                <w:rFonts w:ascii="宋体"/>
              </w:rPr>
            </w:pPr>
          </w:p>
        </w:tc>
        <w:tc>
          <w:tcPr>
            <w:tcW w:w="107" w:type="pct"/>
            <w:shd w:val="clear" w:color="auto" w:fill="auto"/>
            <w:vAlign w:val="bottom"/>
          </w:tcPr>
          <w:p w14:paraId="098AA334" w14:textId="77777777" w:rsidR="00141CDF" w:rsidRDefault="00141CDF">
            <w:pPr>
              <w:rPr>
                <w:rFonts w:ascii="宋体"/>
              </w:rPr>
            </w:pPr>
          </w:p>
        </w:tc>
        <w:tc>
          <w:tcPr>
            <w:tcW w:w="5" w:type="pct"/>
            <w:shd w:val="clear" w:color="auto" w:fill="auto"/>
            <w:vAlign w:val="bottom"/>
          </w:tcPr>
          <w:p w14:paraId="098AA335" w14:textId="77777777" w:rsidR="00141CDF" w:rsidRDefault="00141CDF">
            <w:pPr>
              <w:rPr>
                <w:rFonts w:ascii="宋体"/>
              </w:rPr>
            </w:pPr>
          </w:p>
        </w:tc>
        <w:tc>
          <w:tcPr>
            <w:tcW w:w="50" w:type="pct"/>
            <w:shd w:val="clear" w:color="auto" w:fill="auto"/>
            <w:vAlign w:val="bottom"/>
          </w:tcPr>
          <w:p w14:paraId="098AA336" w14:textId="77777777" w:rsidR="00141CDF" w:rsidRDefault="00141CDF">
            <w:pPr>
              <w:rPr>
                <w:rFonts w:ascii="宋体"/>
              </w:rPr>
            </w:pPr>
          </w:p>
        </w:tc>
        <w:tc>
          <w:tcPr>
            <w:tcW w:w="684" w:type="pct"/>
            <w:shd w:val="clear" w:color="auto" w:fill="auto"/>
            <w:vAlign w:val="bottom"/>
          </w:tcPr>
          <w:p w14:paraId="098AA337" w14:textId="77777777" w:rsidR="00141CDF" w:rsidRDefault="00141CDF">
            <w:pPr>
              <w:rPr>
                <w:rFonts w:ascii="宋体"/>
              </w:rPr>
            </w:pPr>
          </w:p>
        </w:tc>
        <w:tc>
          <w:tcPr>
            <w:tcW w:w="5" w:type="pct"/>
            <w:shd w:val="clear" w:color="auto" w:fill="auto"/>
            <w:vAlign w:val="bottom"/>
          </w:tcPr>
          <w:p w14:paraId="098AA338" w14:textId="77777777" w:rsidR="00141CDF" w:rsidRDefault="00141CDF">
            <w:pPr>
              <w:rPr>
                <w:rFonts w:ascii="宋体"/>
              </w:rPr>
            </w:pPr>
          </w:p>
        </w:tc>
        <w:tc>
          <w:tcPr>
            <w:tcW w:w="5" w:type="pct"/>
            <w:shd w:val="clear" w:color="auto" w:fill="auto"/>
            <w:vAlign w:val="bottom"/>
          </w:tcPr>
          <w:p w14:paraId="098AA339" w14:textId="77777777" w:rsidR="00141CDF" w:rsidRDefault="00141CDF">
            <w:pPr>
              <w:rPr>
                <w:rFonts w:ascii="宋体"/>
              </w:rPr>
            </w:pPr>
          </w:p>
        </w:tc>
        <w:tc>
          <w:tcPr>
            <w:tcW w:w="107" w:type="pct"/>
            <w:shd w:val="clear" w:color="auto" w:fill="auto"/>
            <w:vAlign w:val="bottom"/>
          </w:tcPr>
          <w:p w14:paraId="098AA33A" w14:textId="77777777" w:rsidR="00141CDF" w:rsidRDefault="00141CDF">
            <w:pPr>
              <w:rPr>
                <w:rFonts w:ascii="宋体"/>
              </w:rPr>
            </w:pPr>
          </w:p>
        </w:tc>
        <w:tc>
          <w:tcPr>
            <w:tcW w:w="5" w:type="pct"/>
            <w:shd w:val="clear" w:color="auto" w:fill="auto"/>
            <w:vAlign w:val="bottom"/>
          </w:tcPr>
          <w:p w14:paraId="098AA33B" w14:textId="77777777" w:rsidR="00141CDF" w:rsidRDefault="00141CDF">
            <w:pPr>
              <w:rPr>
                <w:rFonts w:ascii="宋体"/>
              </w:rPr>
            </w:pPr>
          </w:p>
        </w:tc>
        <w:tc>
          <w:tcPr>
            <w:tcW w:w="50" w:type="pct"/>
            <w:shd w:val="clear" w:color="auto" w:fill="auto"/>
            <w:vAlign w:val="bottom"/>
          </w:tcPr>
          <w:p w14:paraId="098AA33C" w14:textId="77777777" w:rsidR="00141CDF" w:rsidRDefault="00141CDF">
            <w:pPr>
              <w:rPr>
                <w:rFonts w:ascii="宋体"/>
              </w:rPr>
            </w:pPr>
          </w:p>
        </w:tc>
        <w:tc>
          <w:tcPr>
            <w:tcW w:w="684" w:type="pct"/>
            <w:shd w:val="clear" w:color="auto" w:fill="auto"/>
            <w:vAlign w:val="bottom"/>
          </w:tcPr>
          <w:p w14:paraId="098AA33D" w14:textId="77777777" w:rsidR="00141CDF" w:rsidRDefault="00141CDF">
            <w:pPr>
              <w:rPr>
                <w:rFonts w:ascii="宋体"/>
              </w:rPr>
            </w:pPr>
          </w:p>
        </w:tc>
        <w:tc>
          <w:tcPr>
            <w:tcW w:w="5" w:type="pct"/>
            <w:shd w:val="clear" w:color="auto" w:fill="auto"/>
            <w:vAlign w:val="bottom"/>
          </w:tcPr>
          <w:p w14:paraId="098AA33E" w14:textId="77777777" w:rsidR="00141CDF" w:rsidRDefault="00141CDF">
            <w:pPr>
              <w:rPr>
                <w:rFonts w:ascii="宋体"/>
              </w:rPr>
            </w:pPr>
          </w:p>
        </w:tc>
      </w:tr>
      <w:tr w:rsidR="00141CDF" w14:paraId="098AA347" w14:textId="77777777">
        <w:tc>
          <w:tcPr>
            <w:tcW w:w="0" w:type="auto"/>
            <w:gridSpan w:val="3"/>
            <w:shd w:val="clear" w:color="auto" w:fill="auto"/>
            <w:tcMar>
              <w:top w:w="40" w:type="dxa"/>
              <w:left w:w="20" w:type="dxa"/>
              <w:bottom w:w="40" w:type="dxa"/>
              <w:right w:w="20" w:type="dxa"/>
            </w:tcMar>
            <w:vAlign w:val="bottom"/>
          </w:tcPr>
          <w:p w14:paraId="098AA340" w14:textId="77777777" w:rsidR="00141CDF" w:rsidRDefault="00DF45E0">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098AA341"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A342" w14:textId="77777777" w:rsidR="00141CDF" w:rsidRDefault="00DF45E0">
            <w:pPr>
              <w:jc w:val="center"/>
              <w:textAlignment w:val="bottom"/>
            </w:pPr>
            <w:r>
              <w:rPr>
                <w:rFonts w:ascii="Times New Roman" w:eastAsia="宋体" w:hAnsi="Times New Roman"/>
                <w:b/>
                <w:bCs/>
                <w:color w:val="000000"/>
                <w:sz w:val="16"/>
                <w:szCs w:val="16"/>
              </w:rPr>
              <w:t>Long-term debt due within one year</w:t>
            </w:r>
          </w:p>
        </w:tc>
        <w:tc>
          <w:tcPr>
            <w:tcW w:w="0" w:type="auto"/>
            <w:gridSpan w:val="3"/>
            <w:shd w:val="clear" w:color="auto" w:fill="auto"/>
            <w:tcMar>
              <w:top w:w="0" w:type="dxa"/>
              <w:left w:w="20" w:type="dxa"/>
              <w:bottom w:w="0" w:type="dxa"/>
              <w:right w:w="20" w:type="dxa"/>
            </w:tcMar>
            <w:vAlign w:val="bottom"/>
          </w:tcPr>
          <w:p w14:paraId="098AA343"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A344" w14:textId="77777777" w:rsidR="00141CDF" w:rsidRDefault="00DF45E0">
            <w:pPr>
              <w:jc w:val="center"/>
              <w:textAlignment w:val="bottom"/>
            </w:pPr>
            <w:r>
              <w:rPr>
                <w:rFonts w:ascii="Times New Roman" w:eastAsia="宋体" w:hAnsi="Times New Roman"/>
                <w:b/>
                <w:bCs/>
                <w:color w:val="000000"/>
                <w:sz w:val="16"/>
                <w:szCs w:val="16"/>
              </w:rPr>
              <w:t>Long-term debt</w:t>
            </w:r>
          </w:p>
        </w:tc>
        <w:tc>
          <w:tcPr>
            <w:tcW w:w="0" w:type="auto"/>
            <w:gridSpan w:val="3"/>
            <w:shd w:val="clear" w:color="auto" w:fill="auto"/>
            <w:tcMar>
              <w:top w:w="0" w:type="dxa"/>
              <w:left w:w="20" w:type="dxa"/>
              <w:bottom w:w="0" w:type="dxa"/>
              <w:right w:w="20" w:type="dxa"/>
            </w:tcMar>
            <w:vAlign w:val="bottom"/>
          </w:tcPr>
          <w:p w14:paraId="098AA345"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A346" w14:textId="77777777" w:rsidR="00141CDF" w:rsidRDefault="00DF45E0">
            <w:pPr>
              <w:jc w:val="center"/>
              <w:textAlignment w:val="bottom"/>
            </w:pPr>
            <w:r>
              <w:rPr>
                <w:rFonts w:ascii="Times New Roman" w:eastAsia="宋体" w:hAnsi="Times New Roman"/>
                <w:b/>
                <w:bCs/>
                <w:color w:val="000000"/>
                <w:sz w:val="16"/>
                <w:szCs w:val="16"/>
              </w:rPr>
              <w:t>Total</w:t>
            </w:r>
          </w:p>
        </w:tc>
      </w:tr>
      <w:tr w:rsidR="00141CDF" w14:paraId="098AA355" w14:textId="77777777">
        <w:tc>
          <w:tcPr>
            <w:tcW w:w="0" w:type="auto"/>
            <w:gridSpan w:val="3"/>
            <w:shd w:val="clear" w:color="auto" w:fill="CCEEFF"/>
            <w:tcMar>
              <w:top w:w="40" w:type="dxa"/>
              <w:left w:w="20" w:type="dxa"/>
              <w:bottom w:w="40" w:type="dxa"/>
              <w:right w:w="20" w:type="dxa"/>
            </w:tcMar>
            <w:vAlign w:val="center"/>
          </w:tcPr>
          <w:p w14:paraId="098AA348" w14:textId="77777777" w:rsidR="00141CDF" w:rsidRDefault="00DF45E0">
            <w:pPr>
              <w:textAlignment w:val="center"/>
            </w:pPr>
            <w:r>
              <w:rPr>
                <w:rFonts w:ascii="Times New Roman" w:eastAsia="宋体" w:hAnsi="Times New Roman"/>
                <w:b/>
                <w:bCs/>
                <w:color w:val="000000"/>
                <w:sz w:val="16"/>
                <w:szCs w:val="16"/>
              </w:rPr>
              <w:t>Balances as of February 1, 2022</w:t>
            </w:r>
          </w:p>
        </w:tc>
        <w:tc>
          <w:tcPr>
            <w:tcW w:w="0" w:type="auto"/>
            <w:gridSpan w:val="3"/>
            <w:shd w:val="clear" w:color="auto" w:fill="CCEEFF"/>
            <w:tcMar>
              <w:top w:w="0" w:type="dxa"/>
              <w:left w:w="20" w:type="dxa"/>
              <w:bottom w:w="0" w:type="dxa"/>
              <w:right w:w="20" w:type="dxa"/>
            </w:tcMar>
            <w:vAlign w:val="bottom"/>
          </w:tcPr>
          <w:p w14:paraId="098AA349"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A34A"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A34B" w14:textId="77777777" w:rsidR="00141CDF" w:rsidRDefault="00DF45E0">
            <w:pPr>
              <w:jc w:val="right"/>
              <w:textAlignment w:val="center"/>
            </w:pPr>
            <w:r>
              <w:rPr>
                <w:rFonts w:ascii="Times New Roman" w:eastAsia="宋体" w:hAnsi="Times New Roman"/>
                <w:color w:val="000000"/>
                <w:sz w:val="16"/>
                <w:szCs w:val="16"/>
              </w:rPr>
              <w:t>2,803 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A34C"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A34D"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A34E"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A34F" w14:textId="77777777" w:rsidR="00141CDF" w:rsidRDefault="00DF45E0">
            <w:pPr>
              <w:jc w:val="right"/>
              <w:textAlignment w:val="center"/>
            </w:pPr>
            <w:r>
              <w:rPr>
                <w:rFonts w:ascii="Times New Roman" w:eastAsia="宋体" w:hAnsi="Times New Roman"/>
                <w:color w:val="000000"/>
                <w:sz w:val="16"/>
                <w:szCs w:val="16"/>
              </w:rPr>
              <w:t>34,864 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A350"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A351"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A352"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A353" w14:textId="77777777" w:rsidR="00141CDF" w:rsidRDefault="00DF45E0">
            <w:pPr>
              <w:jc w:val="right"/>
              <w:textAlignment w:val="center"/>
            </w:pPr>
            <w:r>
              <w:rPr>
                <w:rFonts w:ascii="Times New Roman" w:eastAsia="宋体" w:hAnsi="Times New Roman"/>
                <w:color w:val="000000"/>
                <w:sz w:val="16"/>
                <w:szCs w:val="16"/>
              </w:rPr>
              <w:t>37,667 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A354" w14:textId="77777777" w:rsidR="00141CDF" w:rsidRDefault="00141CDF">
            <w:pPr>
              <w:jc w:val="right"/>
              <w:rPr>
                <w:rFonts w:ascii="宋体"/>
              </w:rPr>
            </w:pPr>
          </w:p>
        </w:tc>
      </w:tr>
      <w:tr w:rsidR="00141CDF" w14:paraId="098AA35D" w14:textId="77777777">
        <w:trPr>
          <w:hidden/>
        </w:trPr>
        <w:tc>
          <w:tcPr>
            <w:tcW w:w="0" w:type="auto"/>
            <w:gridSpan w:val="3"/>
            <w:shd w:val="clear" w:color="auto" w:fill="auto"/>
            <w:vAlign w:val="bottom"/>
          </w:tcPr>
          <w:p w14:paraId="098AA356" w14:textId="77777777" w:rsidR="00141CDF" w:rsidRDefault="00141CDF">
            <w:pPr>
              <w:rPr>
                <w:rFonts w:ascii="宋体"/>
                <w:vanish/>
              </w:rPr>
            </w:pPr>
          </w:p>
        </w:tc>
        <w:tc>
          <w:tcPr>
            <w:tcW w:w="0" w:type="auto"/>
            <w:gridSpan w:val="3"/>
            <w:shd w:val="clear" w:color="auto" w:fill="auto"/>
            <w:vAlign w:val="bottom"/>
          </w:tcPr>
          <w:p w14:paraId="098AA357" w14:textId="77777777" w:rsidR="00141CDF" w:rsidRDefault="00141CDF">
            <w:pPr>
              <w:rPr>
                <w:rFonts w:ascii="宋体"/>
                <w:vanish/>
              </w:rPr>
            </w:pPr>
          </w:p>
        </w:tc>
        <w:tc>
          <w:tcPr>
            <w:tcW w:w="0" w:type="auto"/>
            <w:gridSpan w:val="3"/>
            <w:shd w:val="clear" w:color="auto" w:fill="auto"/>
            <w:vAlign w:val="bottom"/>
          </w:tcPr>
          <w:p w14:paraId="098AA358" w14:textId="77777777" w:rsidR="00141CDF" w:rsidRDefault="00141CDF">
            <w:pPr>
              <w:rPr>
                <w:rFonts w:ascii="宋体"/>
                <w:vanish/>
              </w:rPr>
            </w:pPr>
          </w:p>
        </w:tc>
        <w:tc>
          <w:tcPr>
            <w:tcW w:w="0" w:type="auto"/>
            <w:gridSpan w:val="3"/>
            <w:shd w:val="clear" w:color="auto" w:fill="auto"/>
            <w:vAlign w:val="bottom"/>
          </w:tcPr>
          <w:p w14:paraId="098AA359" w14:textId="77777777" w:rsidR="00141CDF" w:rsidRDefault="00141CDF">
            <w:pPr>
              <w:rPr>
                <w:rFonts w:ascii="宋体"/>
                <w:vanish/>
              </w:rPr>
            </w:pPr>
          </w:p>
        </w:tc>
        <w:tc>
          <w:tcPr>
            <w:tcW w:w="0" w:type="auto"/>
            <w:gridSpan w:val="3"/>
            <w:shd w:val="clear" w:color="auto" w:fill="auto"/>
            <w:vAlign w:val="bottom"/>
          </w:tcPr>
          <w:p w14:paraId="098AA35A" w14:textId="77777777" w:rsidR="00141CDF" w:rsidRDefault="00141CDF">
            <w:pPr>
              <w:rPr>
                <w:rFonts w:ascii="宋体"/>
                <w:vanish/>
              </w:rPr>
            </w:pPr>
          </w:p>
        </w:tc>
        <w:tc>
          <w:tcPr>
            <w:tcW w:w="0" w:type="auto"/>
            <w:gridSpan w:val="3"/>
            <w:shd w:val="clear" w:color="auto" w:fill="auto"/>
            <w:vAlign w:val="bottom"/>
          </w:tcPr>
          <w:p w14:paraId="098AA35B" w14:textId="77777777" w:rsidR="00141CDF" w:rsidRDefault="00141CDF">
            <w:pPr>
              <w:rPr>
                <w:rFonts w:ascii="宋体"/>
                <w:vanish/>
              </w:rPr>
            </w:pPr>
          </w:p>
        </w:tc>
        <w:tc>
          <w:tcPr>
            <w:tcW w:w="0" w:type="auto"/>
            <w:gridSpan w:val="3"/>
            <w:shd w:val="clear" w:color="auto" w:fill="auto"/>
            <w:vAlign w:val="bottom"/>
          </w:tcPr>
          <w:p w14:paraId="098AA35C" w14:textId="77777777" w:rsidR="00141CDF" w:rsidRDefault="00141CDF">
            <w:pPr>
              <w:rPr>
                <w:rFonts w:ascii="宋体"/>
                <w:vanish/>
              </w:rPr>
            </w:pPr>
          </w:p>
        </w:tc>
      </w:tr>
      <w:tr w:rsidR="00141CDF" w14:paraId="098AA368" w14:textId="77777777">
        <w:tc>
          <w:tcPr>
            <w:tcW w:w="0" w:type="auto"/>
            <w:gridSpan w:val="3"/>
            <w:shd w:val="clear" w:color="auto" w:fill="FFFFFF"/>
            <w:tcMar>
              <w:top w:w="40" w:type="dxa"/>
              <w:left w:w="20" w:type="dxa"/>
              <w:bottom w:w="40" w:type="dxa"/>
              <w:right w:w="20" w:type="dxa"/>
            </w:tcMar>
            <w:vAlign w:val="center"/>
          </w:tcPr>
          <w:p w14:paraId="098AA35E" w14:textId="77777777" w:rsidR="00141CDF" w:rsidRDefault="00DF45E0">
            <w:pPr>
              <w:textAlignment w:val="center"/>
            </w:pPr>
            <w:r>
              <w:rPr>
                <w:rFonts w:ascii="Times New Roman" w:eastAsia="宋体" w:hAnsi="Times New Roman"/>
                <w:color w:val="000000"/>
                <w:sz w:val="16"/>
                <w:szCs w:val="16"/>
              </w:rPr>
              <w:t>Repayments of long-term debt</w:t>
            </w:r>
          </w:p>
        </w:tc>
        <w:tc>
          <w:tcPr>
            <w:tcW w:w="0" w:type="auto"/>
            <w:gridSpan w:val="3"/>
            <w:shd w:val="clear" w:color="auto" w:fill="FFFFFF"/>
            <w:tcMar>
              <w:top w:w="0" w:type="dxa"/>
              <w:left w:w="20" w:type="dxa"/>
              <w:bottom w:w="0" w:type="dxa"/>
              <w:right w:w="20" w:type="dxa"/>
            </w:tcMar>
            <w:vAlign w:val="bottom"/>
          </w:tcPr>
          <w:p w14:paraId="098AA35F"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A360" w14:textId="77777777" w:rsidR="00141CDF" w:rsidRDefault="00DF45E0">
            <w:pPr>
              <w:jc w:val="right"/>
              <w:textAlignment w:val="center"/>
            </w:pPr>
            <w:r>
              <w:rPr>
                <w:rFonts w:ascii="Times New Roman" w:eastAsia="宋体" w:hAnsi="Times New Roman"/>
                <w:color w:val="000000"/>
                <w:sz w:val="16"/>
                <w:szCs w:val="16"/>
              </w:rPr>
              <w:t>(1,439)</w:t>
            </w:r>
          </w:p>
        </w:tc>
        <w:tc>
          <w:tcPr>
            <w:tcW w:w="0" w:type="auto"/>
            <w:shd w:val="clear" w:color="auto" w:fill="FFFFFF"/>
            <w:tcMar>
              <w:top w:w="40" w:type="dxa"/>
              <w:left w:w="0" w:type="dxa"/>
              <w:bottom w:w="40" w:type="dxa"/>
              <w:right w:w="20" w:type="dxa"/>
            </w:tcMar>
            <w:vAlign w:val="center"/>
          </w:tcPr>
          <w:p w14:paraId="098AA361"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A362"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A363"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098AA364"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A365"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A366" w14:textId="77777777" w:rsidR="00141CDF" w:rsidRDefault="00DF45E0">
            <w:pPr>
              <w:jc w:val="right"/>
              <w:textAlignment w:val="center"/>
            </w:pPr>
            <w:r>
              <w:rPr>
                <w:rFonts w:ascii="Times New Roman" w:eastAsia="宋体" w:hAnsi="Times New Roman"/>
                <w:color w:val="000000"/>
                <w:sz w:val="16"/>
                <w:szCs w:val="16"/>
              </w:rPr>
              <w:t>(1,439)</w:t>
            </w:r>
          </w:p>
        </w:tc>
        <w:tc>
          <w:tcPr>
            <w:tcW w:w="0" w:type="auto"/>
            <w:shd w:val="clear" w:color="auto" w:fill="FFFFFF"/>
            <w:tcMar>
              <w:top w:w="40" w:type="dxa"/>
              <w:left w:w="0" w:type="dxa"/>
              <w:bottom w:w="40" w:type="dxa"/>
              <w:right w:w="20" w:type="dxa"/>
            </w:tcMar>
            <w:vAlign w:val="center"/>
          </w:tcPr>
          <w:p w14:paraId="098AA367" w14:textId="77777777" w:rsidR="00141CDF" w:rsidRDefault="00141CDF">
            <w:pPr>
              <w:jc w:val="right"/>
              <w:rPr>
                <w:rFonts w:ascii="宋体"/>
              </w:rPr>
            </w:pPr>
          </w:p>
        </w:tc>
      </w:tr>
      <w:tr w:rsidR="00141CDF" w14:paraId="098AA373" w14:textId="77777777">
        <w:tc>
          <w:tcPr>
            <w:tcW w:w="0" w:type="auto"/>
            <w:gridSpan w:val="3"/>
            <w:shd w:val="clear" w:color="auto" w:fill="CCEEFF"/>
            <w:tcMar>
              <w:top w:w="40" w:type="dxa"/>
              <w:left w:w="20" w:type="dxa"/>
              <w:bottom w:w="40" w:type="dxa"/>
              <w:right w:w="20" w:type="dxa"/>
            </w:tcMar>
            <w:vAlign w:val="center"/>
          </w:tcPr>
          <w:p w14:paraId="098AA369" w14:textId="77777777" w:rsidR="00141CDF" w:rsidRDefault="00DF45E0">
            <w:pPr>
              <w:textAlignment w:val="center"/>
            </w:pPr>
            <w:r>
              <w:rPr>
                <w:rFonts w:ascii="Times New Roman" w:eastAsia="宋体" w:hAnsi="Times New Roman"/>
                <w:color w:val="000000"/>
                <w:sz w:val="16"/>
                <w:szCs w:val="16"/>
              </w:rPr>
              <w:t>Reclassifications of long-term debt</w:t>
            </w:r>
          </w:p>
        </w:tc>
        <w:tc>
          <w:tcPr>
            <w:tcW w:w="0" w:type="auto"/>
            <w:gridSpan w:val="3"/>
            <w:shd w:val="clear" w:color="auto" w:fill="CCEEFF"/>
            <w:tcMar>
              <w:top w:w="0" w:type="dxa"/>
              <w:left w:w="20" w:type="dxa"/>
              <w:bottom w:w="0" w:type="dxa"/>
              <w:right w:w="20" w:type="dxa"/>
            </w:tcMar>
            <w:vAlign w:val="bottom"/>
          </w:tcPr>
          <w:p w14:paraId="098AA36A"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A36B" w14:textId="77777777" w:rsidR="00141CDF" w:rsidRDefault="00DF45E0">
            <w:pPr>
              <w:jc w:val="right"/>
              <w:textAlignment w:val="center"/>
            </w:pPr>
            <w:r>
              <w:rPr>
                <w:rFonts w:ascii="Times New Roman" w:eastAsia="宋体" w:hAnsi="Times New Roman"/>
                <w:color w:val="000000"/>
                <w:sz w:val="16"/>
                <w:szCs w:val="16"/>
              </w:rPr>
              <w:t>4,030 </w:t>
            </w:r>
          </w:p>
        </w:tc>
        <w:tc>
          <w:tcPr>
            <w:tcW w:w="0" w:type="auto"/>
            <w:shd w:val="clear" w:color="auto" w:fill="CCEEFF"/>
            <w:tcMar>
              <w:top w:w="40" w:type="dxa"/>
              <w:left w:w="0" w:type="dxa"/>
              <w:bottom w:w="40" w:type="dxa"/>
              <w:right w:w="20" w:type="dxa"/>
            </w:tcMar>
            <w:vAlign w:val="center"/>
          </w:tcPr>
          <w:p w14:paraId="098AA36C"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A36D"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A36E" w14:textId="77777777" w:rsidR="00141CDF" w:rsidRDefault="00DF45E0">
            <w:pPr>
              <w:jc w:val="right"/>
              <w:textAlignment w:val="center"/>
            </w:pPr>
            <w:r>
              <w:rPr>
                <w:rFonts w:ascii="Times New Roman" w:eastAsia="宋体" w:hAnsi="Times New Roman"/>
                <w:color w:val="000000"/>
                <w:sz w:val="16"/>
                <w:szCs w:val="16"/>
              </w:rPr>
              <w:t>(4,030)</w:t>
            </w:r>
          </w:p>
        </w:tc>
        <w:tc>
          <w:tcPr>
            <w:tcW w:w="0" w:type="auto"/>
            <w:shd w:val="clear" w:color="auto" w:fill="CCEEFF"/>
            <w:tcMar>
              <w:top w:w="40" w:type="dxa"/>
              <w:left w:w="0" w:type="dxa"/>
              <w:bottom w:w="40" w:type="dxa"/>
              <w:right w:w="20" w:type="dxa"/>
            </w:tcMar>
            <w:vAlign w:val="center"/>
          </w:tcPr>
          <w:p w14:paraId="098AA36F"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A370"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A371" w14:textId="77777777" w:rsidR="00141CDF" w:rsidRDefault="00DF45E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098AA372" w14:textId="77777777" w:rsidR="00141CDF" w:rsidRDefault="00141CDF">
            <w:pPr>
              <w:jc w:val="right"/>
              <w:rPr>
                <w:rFonts w:ascii="宋体"/>
              </w:rPr>
            </w:pPr>
          </w:p>
        </w:tc>
      </w:tr>
      <w:tr w:rsidR="00141CDF" w14:paraId="098AA37E" w14:textId="77777777">
        <w:tc>
          <w:tcPr>
            <w:tcW w:w="0" w:type="auto"/>
            <w:gridSpan w:val="3"/>
            <w:shd w:val="clear" w:color="auto" w:fill="FFFFFF"/>
            <w:tcMar>
              <w:top w:w="40" w:type="dxa"/>
              <w:left w:w="20" w:type="dxa"/>
              <w:bottom w:w="40" w:type="dxa"/>
              <w:right w:w="20" w:type="dxa"/>
            </w:tcMar>
            <w:vAlign w:val="center"/>
          </w:tcPr>
          <w:p w14:paraId="098AA374" w14:textId="77777777" w:rsidR="00141CDF" w:rsidRDefault="00DF45E0">
            <w:pPr>
              <w:textAlignment w:val="center"/>
            </w:pPr>
            <w:r>
              <w:rPr>
                <w:rFonts w:ascii="Times New Roman" w:eastAsia="宋体" w:hAnsi="Times New Roman"/>
                <w:color w:val="000000"/>
                <w:sz w:val="16"/>
                <w:szCs w:val="16"/>
              </w:rPr>
              <w:t>Other</w:t>
            </w:r>
          </w:p>
        </w:tc>
        <w:tc>
          <w:tcPr>
            <w:tcW w:w="0" w:type="auto"/>
            <w:gridSpan w:val="3"/>
            <w:shd w:val="clear" w:color="auto" w:fill="FFFFFF"/>
            <w:tcMar>
              <w:top w:w="0" w:type="dxa"/>
              <w:left w:w="20" w:type="dxa"/>
              <w:bottom w:w="0" w:type="dxa"/>
              <w:right w:w="20" w:type="dxa"/>
            </w:tcMar>
            <w:vAlign w:val="bottom"/>
          </w:tcPr>
          <w:p w14:paraId="098AA375"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A376" w14:textId="77777777" w:rsidR="00141CDF" w:rsidRDefault="00DF45E0">
            <w:pPr>
              <w:jc w:val="right"/>
              <w:textAlignment w:val="center"/>
            </w:pPr>
            <w:r>
              <w:rPr>
                <w:rFonts w:ascii="Times New Roman" w:eastAsia="宋体" w:hAnsi="Times New Roman"/>
                <w:color w:val="000000"/>
                <w:sz w:val="16"/>
                <w:szCs w:val="16"/>
              </w:rPr>
              <w:t>(78)</w:t>
            </w:r>
          </w:p>
        </w:tc>
        <w:tc>
          <w:tcPr>
            <w:tcW w:w="0" w:type="auto"/>
            <w:shd w:val="clear" w:color="auto" w:fill="FFFFFF"/>
            <w:tcMar>
              <w:top w:w="40" w:type="dxa"/>
              <w:left w:w="0" w:type="dxa"/>
              <w:bottom w:w="40" w:type="dxa"/>
              <w:right w:w="20" w:type="dxa"/>
            </w:tcMar>
            <w:vAlign w:val="center"/>
          </w:tcPr>
          <w:p w14:paraId="098AA377"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A378"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A379" w14:textId="77777777" w:rsidR="00141CDF" w:rsidRDefault="00DF45E0">
            <w:pPr>
              <w:jc w:val="right"/>
              <w:textAlignment w:val="center"/>
            </w:pPr>
            <w:r>
              <w:rPr>
                <w:rFonts w:ascii="Times New Roman" w:eastAsia="宋体" w:hAnsi="Times New Roman"/>
                <w:color w:val="000000"/>
                <w:sz w:val="16"/>
                <w:szCs w:val="16"/>
              </w:rPr>
              <w:t>(1,033)</w:t>
            </w:r>
          </w:p>
        </w:tc>
        <w:tc>
          <w:tcPr>
            <w:tcW w:w="0" w:type="auto"/>
            <w:shd w:val="clear" w:color="auto" w:fill="FFFFFF"/>
            <w:tcMar>
              <w:top w:w="40" w:type="dxa"/>
              <w:left w:w="0" w:type="dxa"/>
              <w:bottom w:w="40" w:type="dxa"/>
              <w:right w:w="20" w:type="dxa"/>
            </w:tcMar>
            <w:vAlign w:val="center"/>
          </w:tcPr>
          <w:p w14:paraId="098AA37A"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A37B"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A37C" w14:textId="77777777" w:rsidR="00141CDF" w:rsidRDefault="00DF45E0">
            <w:pPr>
              <w:jc w:val="right"/>
              <w:textAlignment w:val="center"/>
            </w:pPr>
            <w:r>
              <w:rPr>
                <w:rFonts w:ascii="Times New Roman" w:eastAsia="宋体" w:hAnsi="Times New Roman"/>
                <w:color w:val="000000"/>
                <w:sz w:val="16"/>
                <w:szCs w:val="16"/>
              </w:rPr>
              <w:t>(1,111)</w:t>
            </w:r>
          </w:p>
        </w:tc>
        <w:tc>
          <w:tcPr>
            <w:tcW w:w="0" w:type="auto"/>
            <w:shd w:val="clear" w:color="auto" w:fill="FFFFFF"/>
            <w:tcMar>
              <w:top w:w="40" w:type="dxa"/>
              <w:left w:w="0" w:type="dxa"/>
              <w:bottom w:w="40" w:type="dxa"/>
              <w:right w:w="20" w:type="dxa"/>
            </w:tcMar>
            <w:vAlign w:val="center"/>
          </w:tcPr>
          <w:p w14:paraId="098AA37D" w14:textId="77777777" w:rsidR="00141CDF" w:rsidRDefault="00141CDF">
            <w:pPr>
              <w:jc w:val="right"/>
              <w:rPr>
                <w:rFonts w:ascii="宋体"/>
              </w:rPr>
            </w:pPr>
          </w:p>
        </w:tc>
      </w:tr>
      <w:tr w:rsidR="00141CDF" w14:paraId="098AA38C" w14:textId="77777777">
        <w:tc>
          <w:tcPr>
            <w:tcW w:w="0" w:type="auto"/>
            <w:gridSpan w:val="3"/>
            <w:shd w:val="clear" w:color="auto" w:fill="CCEEFF"/>
            <w:tcMar>
              <w:top w:w="40" w:type="dxa"/>
              <w:left w:w="20" w:type="dxa"/>
              <w:bottom w:w="40" w:type="dxa"/>
              <w:right w:w="20" w:type="dxa"/>
            </w:tcMar>
            <w:vAlign w:val="center"/>
          </w:tcPr>
          <w:p w14:paraId="098AA37F" w14:textId="77777777" w:rsidR="00141CDF" w:rsidRDefault="00DF45E0">
            <w:pPr>
              <w:textAlignment w:val="center"/>
            </w:pPr>
            <w:r>
              <w:rPr>
                <w:rFonts w:ascii="Times New Roman" w:eastAsia="宋体" w:hAnsi="Times New Roman"/>
                <w:b/>
                <w:bCs/>
                <w:color w:val="000000"/>
                <w:sz w:val="16"/>
                <w:szCs w:val="16"/>
              </w:rPr>
              <w:t>Balances as of July 31, 2022</w:t>
            </w:r>
          </w:p>
        </w:tc>
        <w:tc>
          <w:tcPr>
            <w:tcW w:w="0" w:type="auto"/>
            <w:gridSpan w:val="3"/>
            <w:shd w:val="clear" w:color="auto" w:fill="CCEEFF"/>
            <w:tcMar>
              <w:top w:w="0" w:type="dxa"/>
              <w:left w:w="20" w:type="dxa"/>
              <w:bottom w:w="0" w:type="dxa"/>
              <w:right w:w="20" w:type="dxa"/>
            </w:tcMar>
            <w:vAlign w:val="bottom"/>
          </w:tcPr>
          <w:p w14:paraId="098AA380" w14:textId="77777777" w:rsidR="00141CDF" w:rsidRDefault="00141CD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98AA381"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98AA382" w14:textId="77777777" w:rsidR="00141CDF" w:rsidRDefault="00DF45E0">
            <w:pPr>
              <w:jc w:val="right"/>
              <w:textAlignment w:val="center"/>
            </w:pPr>
            <w:r>
              <w:rPr>
                <w:rFonts w:ascii="Times New Roman" w:eastAsia="宋体" w:hAnsi="Times New Roman"/>
                <w:color w:val="000000"/>
                <w:sz w:val="16"/>
                <w:szCs w:val="16"/>
              </w:rPr>
              <w:t>5,316 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98AA383"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A384" w14:textId="77777777" w:rsidR="00141CDF" w:rsidRDefault="00141CD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98AA385"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98AA386" w14:textId="77777777" w:rsidR="00141CDF" w:rsidRDefault="00DF45E0">
            <w:pPr>
              <w:jc w:val="right"/>
              <w:textAlignment w:val="center"/>
            </w:pPr>
            <w:r>
              <w:rPr>
                <w:rFonts w:ascii="Times New Roman" w:eastAsia="宋体" w:hAnsi="Times New Roman"/>
                <w:color w:val="000000"/>
                <w:sz w:val="16"/>
                <w:szCs w:val="16"/>
              </w:rPr>
              <w:t>29,801 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98AA387"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A388" w14:textId="77777777" w:rsidR="00141CDF" w:rsidRDefault="00141CD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98AA389"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98AA38A" w14:textId="77777777" w:rsidR="00141CDF" w:rsidRDefault="00DF45E0">
            <w:pPr>
              <w:jc w:val="right"/>
              <w:textAlignment w:val="center"/>
            </w:pPr>
            <w:r>
              <w:rPr>
                <w:rFonts w:ascii="Times New Roman" w:eastAsia="宋体" w:hAnsi="Times New Roman"/>
                <w:color w:val="000000"/>
                <w:sz w:val="16"/>
                <w:szCs w:val="16"/>
              </w:rPr>
              <w:t>35,117 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98AA38B" w14:textId="77777777" w:rsidR="00141CDF" w:rsidRDefault="00141CDF">
            <w:pPr>
              <w:jc w:val="right"/>
              <w:rPr>
                <w:rFonts w:ascii="宋体"/>
              </w:rPr>
            </w:pPr>
          </w:p>
        </w:tc>
      </w:tr>
    </w:tbl>
    <w:p w14:paraId="098AA38D" w14:textId="77777777" w:rsidR="00141CDF" w:rsidRDefault="00DF45E0">
      <w:pPr>
        <w:jc w:val="center"/>
      </w:pPr>
      <w:r>
        <w:rPr>
          <w:rFonts w:ascii="Times New Roman" w:eastAsia="宋体" w:hAnsi="Times New Roman"/>
          <w:color w:val="000000"/>
          <w:sz w:val="20"/>
          <w:szCs w:val="20"/>
        </w:rPr>
        <w:t>23</w:t>
      </w:r>
    </w:p>
    <w:p w14:paraId="098AA38E" w14:textId="77777777" w:rsidR="00141CDF" w:rsidRDefault="00DF45E0">
      <w:r>
        <w:pict w14:anchorId="098AA665">
          <v:rect id="_x0000_i1047" style="width:415.3pt;height:1.5pt" o:hralign="center" o:hrstd="t" o:hr="t" fillcolor="#a0a0a0" stroked="f"/>
        </w:pict>
      </w:r>
    </w:p>
    <w:p w14:paraId="098AA38F" w14:textId="77777777" w:rsidR="00141CDF" w:rsidRDefault="00DF45E0">
      <w:hyperlink r:id="rId88" w:anchor="i24a2f296795646fa8b5ba32fd1359591_7" w:history="1">
        <w:r>
          <w:rPr>
            <w:rStyle w:val="a5"/>
            <w:rFonts w:ascii="Times New Roman" w:eastAsia="宋体" w:hAnsi="Times New Roman"/>
            <w:sz w:val="20"/>
            <w:szCs w:val="20"/>
          </w:rPr>
          <w:t xml:space="preserve">Table of </w:t>
        </w:r>
      </w:hyperlink>
      <w:hyperlink r:id="rId89" w:anchor="i24a2f296795646fa8b5ba32fd1359591_7" w:history="1">
        <w:r>
          <w:rPr>
            <w:rStyle w:val="a5"/>
            <w:rFonts w:ascii="Times New Roman" w:eastAsia="宋体" w:hAnsi="Times New Roman"/>
            <w:sz w:val="20"/>
            <w:szCs w:val="20"/>
          </w:rPr>
          <w:t>Contents</w:t>
        </w:r>
      </w:hyperlink>
    </w:p>
    <w:p w14:paraId="098AA390" w14:textId="77777777" w:rsidR="00141CDF" w:rsidRDefault="00DF45E0">
      <w:pPr>
        <w:spacing w:before="80"/>
      </w:pPr>
      <w:r>
        <w:rPr>
          <w:rFonts w:ascii="Times New Roman" w:eastAsia="宋体" w:hAnsi="Times New Roman"/>
          <w:i/>
          <w:iCs/>
          <w:color w:val="000000"/>
          <w:sz w:val="20"/>
          <w:szCs w:val="20"/>
        </w:rPr>
        <w:t>Dividends</w:t>
      </w:r>
    </w:p>
    <w:p w14:paraId="098AA391" w14:textId="77777777" w:rsidR="00141CDF" w:rsidRDefault="00DF45E0">
      <w:pPr>
        <w:spacing w:before="100"/>
      </w:pPr>
      <w:r>
        <w:rPr>
          <w:rFonts w:ascii="Times New Roman" w:eastAsia="宋体" w:hAnsi="Times New Roman"/>
          <w:color w:val="000000"/>
          <w:sz w:val="20"/>
          <w:szCs w:val="20"/>
        </w:rPr>
        <w:t>Effective February 17, 2022, the Board of Directors approved the fiscal 2023 annual d</w:t>
      </w:r>
      <w:r>
        <w:rPr>
          <w:rFonts w:ascii="Times New Roman" w:eastAsia="宋体" w:hAnsi="Times New Roman"/>
          <w:color w:val="000000"/>
          <w:sz w:val="20"/>
          <w:szCs w:val="20"/>
        </w:rPr>
        <w:t xml:space="preserve">ividend of $2.24 per share, an increase over the fiscal 2022 annual dividend of $2.20 per share. For fiscal 2023, the annual dividend was or will be paid in </w:t>
      </w:r>
      <w:r>
        <w:rPr>
          <w:rFonts w:ascii="Times New Roman" w:eastAsia="宋体" w:hAnsi="Times New Roman"/>
          <w:color w:val="000000"/>
          <w:sz w:val="18"/>
          <w:szCs w:val="18"/>
        </w:rPr>
        <w:t>four</w:t>
      </w:r>
      <w:r>
        <w:rPr>
          <w:rFonts w:ascii="Times New Roman" w:eastAsia="宋体" w:hAnsi="Times New Roman"/>
          <w:color w:val="000000"/>
          <w:sz w:val="20"/>
          <w:szCs w:val="20"/>
        </w:rPr>
        <w:t xml:space="preserve"> quarterly installments of $0.56 per share, according to the following record and payable dates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60"/>
        <w:gridCol w:w="5577"/>
        <w:gridCol w:w="37"/>
        <w:gridCol w:w="37"/>
        <w:gridCol w:w="154"/>
        <w:gridCol w:w="36"/>
        <w:gridCol w:w="61"/>
        <w:gridCol w:w="2337"/>
        <w:gridCol w:w="37"/>
      </w:tblGrid>
      <w:tr w:rsidR="00141CDF" w14:paraId="098AA39B" w14:textId="77777777">
        <w:tc>
          <w:tcPr>
            <w:tcW w:w="50" w:type="pct"/>
            <w:shd w:val="clear" w:color="auto" w:fill="auto"/>
            <w:vAlign w:val="bottom"/>
          </w:tcPr>
          <w:p w14:paraId="098AA392" w14:textId="77777777" w:rsidR="00141CDF" w:rsidRDefault="00141CDF">
            <w:pPr>
              <w:rPr>
                <w:rFonts w:ascii="宋体"/>
              </w:rPr>
            </w:pPr>
          </w:p>
        </w:tc>
        <w:tc>
          <w:tcPr>
            <w:tcW w:w="3358" w:type="pct"/>
            <w:shd w:val="clear" w:color="auto" w:fill="auto"/>
            <w:vAlign w:val="bottom"/>
          </w:tcPr>
          <w:p w14:paraId="098AA393" w14:textId="77777777" w:rsidR="00141CDF" w:rsidRDefault="00141CDF">
            <w:pPr>
              <w:rPr>
                <w:rFonts w:ascii="宋体"/>
              </w:rPr>
            </w:pPr>
          </w:p>
        </w:tc>
        <w:tc>
          <w:tcPr>
            <w:tcW w:w="5" w:type="pct"/>
            <w:shd w:val="clear" w:color="auto" w:fill="auto"/>
            <w:vAlign w:val="bottom"/>
          </w:tcPr>
          <w:p w14:paraId="098AA394" w14:textId="77777777" w:rsidR="00141CDF" w:rsidRDefault="00141CDF">
            <w:pPr>
              <w:rPr>
                <w:rFonts w:ascii="宋体"/>
              </w:rPr>
            </w:pPr>
          </w:p>
        </w:tc>
        <w:tc>
          <w:tcPr>
            <w:tcW w:w="5" w:type="pct"/>
            <w:shd w:val="clear" w:color="auto" w:fill="auto"/>
            <w:vAlign w:val="bottom"/>
          </w:tcPr>
          <w:p w14:paraId="098AA395" w14:textId="77777777" w:rsidR="00141CDF" w:rsidRDefault="00141CDF">
            <w:pPr>
              <w:rPr>
                <w:rFonts w:ascii="宋体"/>
              </w:rPr>
            </w:pPr>
          </w:p>
        </w:tc>
        <w:tc>
          <w:tcPr>
            <w:tcW w:w="106" w:type="pct"/>
            <w:shd w:val="clear" w:color="auto" w:fill="auto"/>
            <w:vAlign w:val="bottom"/>
          </w:tcPr>
          <w:p w14:paraId="098AA396" w14:textId="77777777" w:rsidR="00141CDF" w:rsidRDefault="00141CDF">
            <w:pPr>
              <w:rPr>
                <w:rFonts w:ascii="宋体"/>
              </w:rPr>
            </w:pPr>
          </w:p>
        </w:tc>
        <w:tc>
          <w:tcPr>
            <w:tcW w:w="5" w:type="pct"/>
            <w:shd w:val="clear" w:color="auto" w:fill="auto"/>
            <w:vAlign w:val="bottom"/>
          </w:tcPr>
          <w:p w14:paraId="098AA397" w14:textId="77777777" w:rsidR="00141CDF" w:rsidRDefault="00141CDF">
            <w:pPr>
              <w:rPr>
                <w:rFonts w:ascii="宋体"/>
              </w:rPr>
            </w:pPr>
          </w:p>
        </w:tc>
        <w:tc>
          <w:tcPr>
            <w:tcW w:w="50" w:type="pct"/>
            <w:shd w:val="clear" w:color="auto" w:fill="auto"/>
            <w:vAlign w:val="bottom"/>
          </w:tcPr>
          <w:p w14:paraId="098AA398" w14:textId="77777777" w:rsidR="00141CDF" w:rsidRDefault="00141CDF">
            <w:pPr>
              <w:rPr>
                <w:rFonts w:ascii="宋体"/>
              </w:rPr>
            </w:pPr>
          </w:p>
        </w:tc>
        <w:tc>
          <w:tcPr>
            <w:tcW w:w="1414" w:type="pct"/>
            <w:shd w:val="clear" w:color="auto" w:fill="auto"/>
            <w:vAlign w:val="bottom"/>
          </w:tcPr>
          <w:p w14:paraId="098AA399" w14:textId="77777777" w:rsidR="00141CDF" w:rsidRDefault="00141CDF">
            <w:pPr>
              <w:rPr>
                <w:rFonts w:ascii="宋体"/>
              </w:rPr>
            </w:pPr>
          </w:p>
        </w:tc>
        <w:tc>
          <w:tcPr>
            <w:tcW w:w="5" w:type="pct"/>
            <w:shd w:val="clear" w:color="auto" w:fill="auto"/>
            <w:vAlign w:val="bottom"/>
          </w:tcPr>
          <w:p w14:paraId="098AA39A" w14:textId="77777777" w:rsidR="00141CDF" w:rsidRDefault="00141CDF">
            <w:pPr>
              <w:rPr>
                <w:rFonts w:ascii="宋体"/>
              </w:rPr>
            </w:pPr>
          </w:p>
        </w:tc>
      </w:tr>
      <w:tr w:rsidR="00141CDF" w14:paraId="098AA39F" w14:textId="77777777">
        <w:tc>
          <w:tcPr>
            <w:tcW w:w="0" w:type="auto"/>
            <w:gridSpan w:val="3"/>
            <w:shd w:val="clear" w:color="auto" w:fill="auto"/>
            <w:tcMar>
              <w:top w:w="40" w:type="dxa"/>
              <w:left w:w="20" w:type="dxa"/>
              <w:bottom w:w="40" w:type="dxa"/>
              <w:right w:w="20" w:type="dxa"/>
            </w:tcMar>
            <w:vAlign w:val="bottom"/>
          </w:tcPr>
          <w:p w14:paraId="098AA39C" w14:textId="77777777" w:rsidR="00141CDF" w:rsidRDefault="00DF45E0">
            <w:pPr>
              <w:textAlignment w:val="bottom"/>
            </w:pPr>
            <w:r>
              <w:rPr>
                <w:rFonts w:ascii="Times New Roman" w:eastAsia="宋体" w:hAnsi="Times New Roman"/>
                <w:b/>
                <w:bCs/>
                <w:color w:val="000000"/>
                <w:sz w:val="16"/>
                <w:szCs w:val="16"/>
              </w:rPr>
              <w:t>Record Date</w:t>
            </w:r>
          </w:p>
        </w:tc>
        <w:tc>
          <w:tcPr>
            <w:tcW w:w="0" w:type="auto"/>
            <w:gridSpan w:val="3"/>
            <w:shd w:val="clear" w:color="auto" w:fill="auto"/>
            <w:tcMar>
              <w:top w:w="40" w:type="dxa"/>
              <w:left w:w="20" w:type="dxa"/>
              <w:bottom w:w="40" w:type="dxa"/>
              <w:right w:w="20" w:type="dxa"/>
            </w:tcMar>
            <w:vAlign w:val="bottom"/>
          </w:tcPr>
          <w:p w14:paraId="098AA39D" w14:textId="77777777" w:rsidR="00141CDF" w:rsidRDefault="00DF45E0">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098AA39E" w14:textId="77777777" w:rsidR="00141CDF" w:rsidRDefault="00DF45E0">
            <w:pPr>
              <w:textAlignment w:val="bottom"/>
            </w:pPr>
            <w:r>
              <w:rPr>
                <w:rFonts w:ascii="Times New Roman" w:eastAsia="宋体" w:hAnsi="Times New Roman"/>
                <w:b/>
                <w:bCs/>
                <w:color w:val="000000"/>
                <w:sz w:val="16"/>
                <w:szCs w:val="16"/>
              </w:rPr>
              <w:t>Payable Date</w:t>
            </w:r>
          </w:p>
        </w:tc>
      </w:tr>
      <w:tr w:rsidR="00141CDF" w14:paraId="098AA3A3" w14:textId="77777777">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098AA3A0" w14:textId="77777777" w:rsidR="00141CDF" w:rsidRDefault="00DF45E0">
            <w:pPr>
              <w:textAlignment w:val="center"/>
            </w:pPr>
            <w:r>
              <w:rPr>
                <w:rFonts w:ascii="Times New Roman" w:eastAsia="宋体" w:hAnsi="Times New Roman"/>
                <w:color w:val="000000"/>
                <w:sz w:val="16"/>
                <w:szCs w:val="16"/>
              </w:rPr>
              <w:t>March 18, 2022</w:t>
            </w:r>
          </w:p>
        </w:tc>
        <w:tc>
          <w:tcPr>
            <w:tcW w:w="0" w:type="auto"/>
            <w:gridSpan w:val="3"/>
            <w:shd w:val="clear" w:color="auto" w:fill="CCEEFF"/>
            <w:tcMar>
              <w:top w:w="40" w:type="dxa"/>
              <w:left w:w="20" w:type="dxa"/>
              <w:bottom w:w="40" w:type="dxa"/>
              <w:right w:w="20" w:type="dxa"/>
            </w:tcMar>
            <w:vAlign w:val="center"/>
          </w:tcPr>
          <w:p w14:paraId="098AA3A1" w14:textId="77777777" w:rsidR="00141CDF" w:rsidRDefault="00DF45E0">
            <w:pPr>
              <w:textAlignment w:val="center"/>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098AA3A2" w14:textId="77777777" w:rsidR="00141CDF" w:rsidRDefault="00DF45E0">
            <w:pPr>
              <w:textAlignment w:val="center"/>
            </w:pPr>
            <w:r>
              <w:rPr>
                <w:rFonts w:ascii="Times New Roman" w:eastAsia="宋体" w:hAnsi="Times New Roman"/>
                <w:color w:val="000000"/>
                <w:sz w:val="16"/>
                <w:szCs w:val="16"/>
              </w:rPr>
              <w:t>April 4, 2022</w:t>
            </w:r>
          </w:p>
        </w:tc>
      </w:tr>
      <w:tr w:rsidR="00141CDF" w14:paraId="098AA3A7" w14:textId="77777777">
        <w:tc>
          <w:tcPr>
            <w:tcW w:w="0" w:type="auto"/>
            <w:gridSpan w:val="3"/>
            <w:shd w:val="clear" w:color="auto" w:fill="FFFFFF"/>
            <w:tcMar>
              <w:top w:w="40" w:type="dxa"/>
              <w:left w:w="20" w:type="dxa"/>
              <w:bottom w:w="40" w:type="dxa"/>
              <w:right w:w="20" w:type="dxa"/>
            </w:tcMar>
            <w:vAlign w:val="center"/>
          </w:tcPr>
          <w:p w14:paraId="098AA3A4" w14:textId="77777777" w:rsidR="00141CDF" w:rsidRDefault="00DF45E0">
            <w:pPr>
              <w:textAlignment w:val="center"/>
            </w:pPr>
            <w:r>
              <w:rPr>
                <w:rFonts w:ascii="Times New Roman" w:eastAsia="宋体" w:hAnsi="Times New Roman"/>
                <w:color w:val="000000"/>
                <w:sz w:val="16"/>
                <w:szCs w:val="16"/>
              </w:rPr>
              <w:t>May 6, 2022</w:t>
            </w:r>
          </w:p>
        </w:tc>
        <w:tc>
          <w:tcPr>
            <w:tcW w:w="0" w:type="auto"/>
            <w:gridSpan w:val="3"/>
            <w:shd w:val="clear" w:color="auto" w:fill="FFFFFF"/>
            <w:tcMar>
              <w:top w:w="40" w:type="dxa"/>
              <w:left w:w="20" w:type="dxa"/>
              <w:bottom w:w="40" w:type="dxa"/>
              <w:right w:w="20" w:type="dxa"/>
            </w:tcMar>
            <w:vAlign w:val="center"/>
          </w:tcPr>
          <w:p w14:paraId="098AA3A5" w14:textId="77777777" w:rsidR="00141CDF" w:rsidRDefault="00DF45E0">
            <w:pPr>
              <w:textAlignment w:val="center"/>
            </w:pPr>
            <w:r>
              <w:rPr>
                <w:rFonts w:ascii="Times New Roman" w:eastAsia="宋体" w:hAnsi="Times New Roman"/>
                <w:color w:val="000000"/>
                <w:sz w:val="16"/>
                <w:szCs w:val="16"/>
              </w:rPr>
              <w:t>  </w:t>
            </w:r>
          </w:p>
        </w:tc>
        <w:tc>
          <w:tcPr>
            <w:tcW w:w="0" w:type="auto"/>
            <w:gridSpan w:val="3"/>
            <w:shd w:val="clear" w:color="auto" w:fill="FFFFFF"/>
            <w:tcMar>
              <w:top w:w="40" w:type="dxa"/>
              <w:left w:w="20" w:type="dxa"/>
              <w:bottom w:w="40" w:type="dxa"/>
              <w:right w:w="20" w:type="dxa"/>
            </w:tcMar>
            <w:vAlign w:val="center"/>
          </w:tcPr>
          <w:p w14:paraId="098AA3A6" w14:textId="77777777" w:rsidR="00141CDF" w:rsidRDefault="00DF45E0">
            <w:pPr>
              <w:textAlignment w:val="center"/>
            </w:pPr>
            <w:r>
              <w:rPr>
                <w:rFonts w:ascii="Times New Roman" w:eastAsia="宋体" w:hAnsi="Times New Roman"/>
                <w:color w:val="000000"/>
                <w:sz w:val="16"/>
                <w:szCs w:val="16"/>
              </w:rPr>
              <w:t>May 31, 2022</w:t>
            </w:r>
          </w:p>
        </w:tc>
      </w:tr>
      <w:tr w:rsidR="00141CDF" w14:paraId="098AA3AB" w14:textId="77777777">
        <w:tc>
          <w:tcPr>
            <w:tcW w:w="0" w:type="auto"/>
            <w:gridSpan w:val="3"/>
            <w:shd w:val="clear" w:color="auto" w:fill="CCEEFF"/>
            <w:tcMar>
              <w:top w:w="40" w:type="dxa"/>
              <w:left w:w="20" w:type="dxa"/>
              <w:bottom w:w="40" w:type="dxa"/>
              <w:right w:w="20" w:type="dxa"/>
            </w:tcMar>
            <w:vAlign w:val="center"/>
          </w:tcPr>
          <w:p w14:paraId="098AA3A8" w14:textId="77777777" w:rsidR="00141CDF" w:rsidRDefault="00DF45E0">
            <w:pPr>
              <w:textAlignment w:val="center"/>
            </w:pPr>
            <w:r>
              <w:rPr>
                <w:rFonts w:ascii="Times New Roman" w:eastAsia="宋体" w:hAnsi="Times New Roman"/>
                <w:color w:val="000000"/>
                <w:sz w:val="16"/>
                <w:szCs w:val="16"/>
              </w:rPr>
              <w:t>August 12, 2022</w:t>
            </w:r>
          </w:p>
        </w:tc>
        <w:tc>
          <w:tcPr>
            <w:tcW w:w="0" w:type="auto"/>
            <w:gridSpan w:val="3"/>
            <w:shd w:val="clear" w:color="auto" w:fill="CCEEFF"/>
            <w:tcMar>
              <w:top w:w="40" w:type="dxa"/>
              <w:left w:w="20" w:type="dxa"/>
              <w:bottom w:w="40" w:type="dxa"/>
              <w:right w:w="20" w:type="dxa"/>
            </w:tcMar>
            <w:vAlign w:val="center"/>
          </w:tcPr>
          <w:p w14:paraId="098AA3A9" w14:textId="77777777" w:rsidR="00141CDF" w:rsidRDefault="00DF45E0">
            <w:pPr>
              <w:textAlignment w:val="center"/>
            </w:pPr>
            <w:r>
              <w:rPr>
                <w:rFonts w:ascii="Times New Roman" w:eastAsia="宋体" w:hAnsi="Times New Roman"/>
                <w:color w:val="000000"/>
                <w:sz w:val="16"/>
                <w:szCs w:val="16"/>
              </w:rPr>
              <w:t>  </w:t>
            </w:r>
          </w:p>
        </w:tc>
        <w:tc>
          <w:tcPr>
            <w:tcW w:w="0" w:type="auto"/>
            <w:gridSpan w:val="3"/>
            <w:shd w:val="clear" w:color="auto" w:fill="CCEEFF"/>
            <w:tcMar>
              <w:top w:w="40" w:type="dxa"/>
              <w:left w:w="20" w:type="dxa"/>
              <w:bottom w:w="40" w:type="dxa"/>
              <w:right w:w="20" w:type="dxa"/>
            </w:tcMar>
            <w:vAlign w:val="center"/>
          </w:tcPr>
          <w:p w14:paraId="098AA3AA" w14:textId="77777777" w:rsidR="00141CDF" w:rsidRDefault="00DF45E0">
            <w:pPr>
              <w:textAlignment w:val="center"/>
            </w:pPr>
            <w:r>
              <w:rPr>
                <w:rFonts w:ascii="Times New Roman" w:eastAsia="宋体" w:hAnsi="Times New Roman"/>
                <w:color w:val="000000"/>
                <w:sz w:val="16"/>
                <w:szCs w:val="16"/>
              </w:rPr>
              <w:t>September 6, 2022</w:t>
            </w:r>
          </w:p>
        </w:tc>
      </w:tr>
      <w:tr w:rsidR="00141CDF" w14:paraId="098AA3AF" w14:textId="77777777">
        <w:tc>
          <w:tcPr>
            <w:tcW w:w="0" w:type="auto"/>
            <w:gridSpan w:val="3"/>
            <w:shd w:val="clear" w:color="auto" w:fill="FFFFFF"/>
            <w:tcMar>
              <w:top w:w="40" w:type="dxa"/>
              <w:left w:w="20" w:type="dxa"/>
              <w:bottom w:w="40" w:type="dxa"/>
              <w:right w:w="20" w:type="dxa"/>
            </w:tcMar>
            <w:vAlign w:val="center"/>
          </w:tcPr>
          <w:p w14:paraId="098AA3AC" w14:textId="77777777" w:rsidR="00141CDF" w:rsidRDefault="00DF45E0">
            <w:pPr>
              <w:textAlignment w:val="center"/>
            </w:pPr>
            <w:r>
              <w:rPr>
                <w:rFonts w:ascii="Times New Roman" w:eastAsia="宋体" w:hAnsi="Times New Roman"/>
                <w:color w:val="000000"/>
                <w:sz w:val="16"/>
                <w:szCs w:val="16"/>
              </w:rPr>
              <w:t>December 9, 2022</w:t>
            </w:r>
          </w:p>
        </w:tc>
        <w:tc>
          <w:tcPr>
            <w:tcW w:w="0" w:type="auto"/>
            <w:gridSpan w:val="3"/>
            <w:shd w:val="clear" w:color="auto" w:fill="FFFFFF"/>
            <w:tcMar>
              <w:top w:w="40" w:type="dxa"/>
              <w:left w:w="20" w:type="dxa"/>
              <w:bottom w:w="40" w:type="dxa"/>
              <w:right w:w="20" w:type="dxa"/>
            </w:tcMar>
            <w:vAlign w:val="center"/>
          </w:tcPr>
          <w:p w14:paraId="098AA3AD" w14:textId="77777777" w:rsidR="00141CDF" w:rsidRDefault="00DF45E0">
            <w:pPr>
              <w:textAlignment w:val="center"/>
            </w:pPr>
            <w:r>
              <w:rPr>
                <w:rFonts w:ascii="Times New Roman" w:eastAsia="宋体" w:hAnsi="Times New Roman"/>
                <w:color w:val="000000"/>
                <w:sz w:val="16"/>
                <w:szCs w:val="16"/>
              </w:rPr>
              <w:t>  </w:t>
            </w:r>
          </w:p>
        </w:tc>
        <w:tc>
          <w:tcPr>
            <w:tcW w:w="0" w:type="auto"/>
            <w:gridSpan w:val="3"/>
            <w:shd w:val="clear" w:color="auto" w:fill="FFFFFF"/>
            <w:tcMar>
              <w:top w:w="40" w:type="dxa"/>
              <w:left w:w="20" w:type="dxa"/>
              <w:bottom w:w="40" w:type="dxa"/>
              <w:right w:w="20" w:type="dxa"/>
            </w:tcMar>
            <w:vAlign w:val="center"/>
          </w:tcPr>
          <w:p w14:paraId="098AA3AE" w14:textId="77777777" w:rsidR="00141CDF" w:rsidRDefault="00DF45E0">
            <w:pPr>
              <w:textAlignment w:val="center"/>
            </w:pPr>
            <w:r>
              <w:rPr>
                <w:rFonts w:ascii="Times New Roman" w:eastAsia="宋体" w:hAnsi="Times New Roman"/>
                <w:color w:val="000000"/>
                <w:sz w:val="16"/>
                <w:szCs w:val="16"/>
              </w:rPr>
              <w:t>January 3, 2023</w:t>
            </w:r>
          </w:p>
        </w:tc>
      </w:tr>
    </w:tbl>
    <w:p w14:paraId="098AA3B0" w14:textId="77777777" w:rsidR="00141CDF" w:rsidRDefault="00DF45E0">
      <w:pPr>
        <w:spacing w:before="60"/>
      </w:pPr>
      <w:r>
        <w:rPr>
          <w:rFonts w:ascii="Times New Roman" w:eastAsia="宋体" w:hAnsi="Times New Roman"/>
          <w:color w:val="000000"/>
          <w:sz w:val="20"/>
          <w:szCs w:val="20"/>
        </w:rPr>
        <w:t xml:space="preserve">The dividend installments payable on April 4, 2022 and May 31, 2022 were </w:t>
      </w:r>
      <w:r>
        <w:rPr>
          <w:rFonts w:ascii="Times New Roman" w:eastAsia="宋体" w:hAnsi="Times New Roman"/>
          <w:color w:val="000000"/>
          <w:sz w:val="20"/>
          <w:szCs w:val="20"/>
        </w:rPr>
        <w:t>paid as scheduled.</w:t>
      </w:r>
    </w:p>
    <w:p w14:paraId="098AA3B1" w14:textId="77777777" w:rsidR="00141CDF" w:rsidRDefault="00DF45E0">
      <w:pPr>
        <w:spacing w:before="180"/>
      </w:pPr>
      <w:r>
        <w:rPr>
          <w:rFonts w:ascii="Times New Roman" w:eastAsia="宋体" w:hAnsi="Times New Roman"/>
          <w:i/>
          <w:iCs/>
          <w:color w:val="000000"/>
          <w:sz w:val="20"/>
          <w:szCs w:val="20"/>
        </w:rPr>
        <w:t xml:space="preserve">Company Share Repurchase Program </w:t>
      </w:r>
    </w:p>
    <w:p w14:paraId="098AA3B2" w14:textId="77777777" w:rsidR="00141CDF" w:rsidRDefault="00DF45E0">
      <w:pPr>
        <w:spacing w:before="100"/>
      </w:pPr>
      <w:r>
        <w:rPr>
          <w:rFonts w:ascii="Times New Roman" w:eastAsia="宋体" w:hAnsi="Times New Roman"/>
          <w:color w:val="000000"/>
          <w:sz w:val="20"/>
          <w:szCs w:val="20"/>
        </w:rPr>
        <w:t>From time to time, the Company repurchases shares of its common stock under share repurchase programs authorized by the Company's Board of Directors. All repurchases made during the six months ended July</w:t>
      </w:r>
      <w:r>
        <w:rPr>
          <w:rFonts w:ascii="Times New Roman" w:eastAsia="宋体" w:hAnsi="Times New Roman"/>
          <w:color w:val="000000"/>
          <w:sz w:val="20"/>
          <w:szCs w:val="20"/>
        </w:rPr>
        <w:t> 31, 2022 were made under the current $20 billion share repurchase program approved in February 2021, which has no expiration date or other restrictions limiting the period over which the Company can make repurchases. As of July 31, 2022, authorization for</w:t>
      </w:r>
      <w:r>
        <w:rPr>
          <w:rFonts w:ascii="Times New Roman" w:eastAsia="宋体" w:hAnsi="Times New Roman"/>
          <w:color w:val="000000"/>
          <w:sz w:val="20"/>
          <w:szCs w:val="20"/>
        </w:rPr>
        <w:t xml:space="preserve"> $4.9 billion of share repurchases remained under the share repurchase program. Any repurchased shares are constructively retired and returned to an unissued status. </w:t>
      </w:r>
    </w:p>
    <w:p w14:paraId="098AA3B3" w14:textId="77777777" w:rsidR="00141CDF" w:rsidRDefault="00DF45E0">
      <w:pPr>
        <w:spacing w:before="100"/>
      </w:pPr>
      <w:r>
        <w:rPr>
          <w:rFonts w:ascii="Times New Roman" w:eastAsia="宋体" w:hAnsi="Times New Roman"/>
          <w:color w:val="000000"/>
          <w:sz w:val="20"/>
          <w:szCs w:val="20"/>
        </w:rPr>
        <w:t>We regularly review share repurchase activity and consider several factors in determining</w:t>
      </w:r>
      <w:r>
        <w:rPr>
          <w:rFonts w:ascii="Times New Roman" w:eastAsia="宋体" w:hAnsi="Times New Roman"/>
          <w:color w:val="000000"/>
          <w:sz w:val="20"/>
          <w:szCs w:val="20"/>
        </w:rPr>
        <w:t xml:space="preserve"> when to execute share repurchases, including, among other things, current cash needs, capacity for leverage, cost of borrowings, our results of operations and the market price of our common stock. We anticipate that a majority of the ongoing share repurch</w:t>
      </w:r>
      <w:r>
        <w:rPr>
          <w:rFonts w:ascii="Times New Roman" w:eastAsia="宋体" w:hAnsi="Times New Roman"/>
          <w:color w:val="000000"/>
          <w:sz w:val="20"/>
          <w:szCs w:val="20"/>
        </w:rPr>
        <w:t>ase program will be funded through the Company's free cash flow. The following table provides, on a settlement date basis, share repurchase information for the six months ended July 31, 2022 and 2021:</w:t>
      </w:r>
    </w:p>
    <w:tbl>
      <w:tblPr>
        <w:tblW w:w="5000" w:type="pct"/>
        <w:tblCellMar>
          <w:top w:w="15" w:type="dxa"/>
          <w:left w:w="15" w:type="dxa"/>
          <w:bottom w:w="15" w:type="dxa"/>
          <w:right w:w="15" w:type="dxa"/>
        </w:tblCellMar>
        <w:tblLook w:val="04A0" w:firstRow="1" w:lastRow="0" w:firstColumn="1" w:lastColumn="0" w:noHBand="0" w:noVBand="1"/>
      </w:tblPr>
      <w:tblGrid>
        <w:gridCol w:w="38"/>
        <w:gridCol w:w="5684"/>
        <w:gridCol w:w="37"/>
        <w:gridCol w:w="36"/>
        <w:gridCol w:w="36"/>
        <w:gridCol w:w="189"/>
        <w:gridCol w:w="188"/>
        <w:gridCol w:w="188"/>
        <w:gridCol w:w="100"/>
        <w:gridCol w:w="732"/>
        <w:gridCol w:w="36"/>
        <w:gridCol w:w="36"/>
        <w:gridCol w:w="36"/>
        <w:gridCol w:w="36"/>
        <w:gridCol w:w="36"/>
        <w:gridCol w:w="36"/>
        <w:gridCol w:w="36"/>
        <w:gridCol w:w="100"/>
        <w:gridCol w:w="720"/>
        <w:gridCol w:w="36"/>
      </w:tblGrid>
      <w:tr w:rsidR="00141CDF" w14:paraId="098AA3C6" w14:textId="77777777">
        <w:tc>
          <w:tcPr>
            <w:tcW w:w="50" w:type="pct"/>
            <w:shd w:val="clear" w:color="auto" w:fill="auto"/>
            <w:vAlign w:val="bottom"/>
          </w:tcPr>
          <w:p w14:paraId="098AA3B4" w14:textId="77777777" w:rsidR="00141CDF" w:rsidRDefault="00141CDF">
            <w:pPr>
              <w:rPr>
                <w:rFonts w:ascii="宋体"/>
              </w:rPr>
            </w:pPr>
          </w:p>
        </w:tc>
        <w:tc>
          <w:tcPr>
            <w:tcW w:w="3768" w:type="pct"/>
            <w:shd w:val="clear" w:color="auto" w:fill="auto"/>
            <w:vAlign w:val="bottom"/>
          </w:tcPr>
          <w:p w14:paraId="098AA3B5" w14:textId="77777777" w:rsidR="00141CDF" w:rsidRDefault="00141CDF">
            <w:pPr>
              <w:rPr>
                <w:rFonts w:ascii="宋体"/>
              </w:rPr>
            </w:pPr>
          </w:p>
        </w:tc>
        <w:tc>
          <w:tcPr>
            <w:tcW w:w="5" w:type="pct"/>
            <w:shd w:val="clear" w:color="auto" w:fill="auto"/>
            <w:vAlign w:val="bottom"/>
          </w:tcPr>
          <w:p w14:paraId="098AA3B6" w14:textId="77777777" w:rsidR="00141CDF" w:rsidRDefault="00141CDF">
            <w:pPr>
              <w:rPr>
                <w:rFonts w:ascii="宋体"/>
              </w:rPr>
            </w:pPr>
          </w:p>
        </w:tc>
        <w:tc>
          <w:tcPr>
            <w:tcW w:w="0" w:type="auto"/>
            <w:shd w:val="clear" w:color="auto" w:fill="auto"/>
            <w:vAlign w:val="bottom"/>
          </w:tcPr>
          <w:p w14:paraId="098AA3B7" w14:textId="77777777" w:rsidR="00141CDF" w:rsidRDefault="00141CDF">
            <w:pPr>
              <w:rPr>
                <w:rFonts w:ascii="宋体"/>
                <w:vanish/>
              </w:rPr>
            </w:pPr>
          </w:p>
        </w:tc>
        <w:tc>
          <w:tcPr>
            <w:tcW w:w="0" w:type="auto"/>
            <w:shd w:val="clear" w:color="auto" w:fill="auto"/>
            <w:vAlign w:val="bottom"/>
          </w:tcPr>
          <w:p w14:paraId="098AA3B8" w14:textId="77777777" w:rsidR="00141CDF" w:rsidRDefault="00141CDF">
            <w:pPr>
              <w:rPr>
                <w:rFonts w:ascii="宋体"/>
                <w:vanish/>
              </w:rPr>
            </w:pPr>
          </w:p>
        </w:tc>
        <w:tc>
          <w:tcPr>
            <w:tcW w:w="0" w:type="auto"/>
            <w:shd w:val="clear" w:color="auto" w:fill="auto"/>
            <w:vAlign w:val="bottom"/>
          </w:tcPr>
          <w:p w14:paraId="098AA3B9" w14:textId="77777777" w:rsidR="00141CDF" w:rsidRDefault="00141CDF">
            <w:pPr>
              <w:rPr>
                <w:rFonts w:ascii="宋体"/>
                <w:vanish/>
              </w:rPr>
            </w:pPr>
          </w:p>
        </w:tc>
        <w:tc>
          <w:tcPr>
            <w:tcW w:w="0" w:type="auto"/>
            <w:shd w:val="clear" w:color="auto" w:fill="auto"/>
            <w:vAlign w:val="bottom"/>
          </w:tcPr>
          <w:p w14:paraId="098AA3BA" w14:textId="77777777" w:rsidR="00141CDF" w:rsidRDefault="00141CDF">
            <w:pPr>
              <w:rPr>
                <w:rFonts w:ascii="宋体"/>
                <w:vanish/>
              </w:rPr>
            </w:pPr>
          </w:p>
        </w:tc>
        <w:tc>
          <w:tcPr>
            <w:tcW w:w="0" w:type="auto"/>
            <w:shd w:val="clear" w:color="auto" w:fill="auto"/>
            <w:vAlign w:val="bottom"/>
          </w:tcPr>
          <w:p w14:paraId="098AA3BB" w14:textId="77777777" w:rsidR="00141CDF" w:rsidRDefault="00141CDF">
            <w:pPr>
              <w:rPr>
                <w:rFonts w:ascii="宋体"/>
                <w:vanish/>
              </w:rPr>
            </w:pPr>
          </w:p>
        </w:tc>
        <w:tc>
          <w:tcPr>
            <w:tcW w:w="50" w:type="pct"/>
            <w:shd w:val="clear" w:color="auto" w:fill="auto"/>
            <w:vAlign w:val="bottom"/>
          </w:tcPr>
          <w:p w14:paraId="098AA3BC" w14:textId="77777777" w:rsidR="00141CDF" w:rsidRDefault="00141CDF">
            <w:pPr>
              <w:rPr>
                <w:rFonts w:ascii="宋体"/>
              </w:rPr>
            </w:pPr>
          </w:p>
        </w:tc>
        <w:tc>
          <w:tcPr>
            <w:tcW w:w="507" w:type="pct"/>
            <w:shd w:val="clear" w:color="auto" w:fill="auto"/>
            <w:vAlign w:val="bottom"/>
          </w:tcPr>
          <w:p w14:paraId="098AA3BD" w14:textId="77777777" w:rsidR="00141CDF" w:rsidRDefault="00141CDF">
            <w:pPr>
              <w:rPr>
                <w:rFonts w:ascii="宋体"/>
              </w:rPr>
            </w:pPr>
          </w:p>
        </w:tc>
        <w:tc>
          <w:tcPr>
            <w:tcW w:w="5" w:type="pct"/>
            <w:shd w:val="clear" w:color="auto" w:fill="auto"/>
            <w:vAlign w:val="bottom"/>
          </w:tcPr>
          <w:p w14:paraId="098AA3BE" w14:textId="77777777" w:rsidR="00141CDF" w:rsidRDefault="00141CDF">
            <w:pPr>
              <w:rPr>
                <w:rFonts w:ascii="宋体"/>
              </w:rPr>
            </w:pPr>
          </w:p>
        </w:tc>
        <w:tc>
          <w:tcPr>
            <w:tcW w:w="5" w:type="pct"/>
            <w:shd w:val="clear" w:color="auto" w:fill="auto"/>
            <w:vAlign w:val="bottom"/>
          </w:tcPr>
          <w:p w14:paraId="098AA3BF" w14:textId="77777777" w:rsidR="00141CDF" w:rsidRDefault="00141CDF">
            <w:pPr>
              <w:rPr>
                <w:rFonts w:ascii="宋体"/>
              </w:rPr>
            </w:pPr>
          </w:p>
        </w:tc>
        <w:tc>
          <w:tcPr>
            <w:tcW w:w="41" w:type="pct"/>
            <w:shd w:val="clear" w:color="auto" w:fill="auto"/>
            <w:vAlign w:val="bottom"/>
          </w:tcPr>
          <w:p w14:paraId="098AA3C0" w14:textId="77777777" w:rsidR="00141CDF" w:rsidRDefault="00141CDF">
            <w:pPr>
              <w:rPr>
                <w:rFonts w:ascii="宋体"/>
              </w:rPr>
            </w:pPr>
          </w:p>
        </w:tc>
        <w:tc>
          <w:tcPr>
            <w:tcW w:w="5" w:type="pct"/>
            <w:shd w:val="clear" w:color="auto" w:fill="auto"/>
            <w:vAlign w:val="bottom"/>
          </w:tcPr>
          <w:p w14:paraId="098AA3C1" w14:textId="77777777" w:rsidR="00141CDF" w:rsidRDefault="00141CDF">
            <w:pPr>
              <w:rPr>
                <w:rFonts w:ascii="宋体"/>
              </w:rPr>
            </w:pPr>
          </w:p>
        </w:tc>
        <w:tc>
          <w:tcPr>
            <w:tcW w:w="0" w:type="auto"/>
            <w:gridSpan w:val="3"/>
            <w:shd w:val="clear" w:color="auto" w:fill="auto"/>
            <w:vAlign w:val="bottom"/>
          </w:tcPr>
          <w:p w14:paraId="098AA3C2" w14:textId="77777777" w:rsidR="00141CDF" w:rsidRDefault="00141CDF">
            <w:pPr>
              <w:rPr>
                <w:rFonts w:ascii="宋体"/>
                <w:vanish/>
              </w:rPr>
            </w:pPr>
          </w:p>
        </w:tc>
        <w:tc>
          <w:tcPr>
            <w:tcW w:w="50" w:type="pct"/>
            <w:shd w:val="clear" w:color="auto" w:fill="auto"/>
            <w:vAlign w:val="bottom"/>
          </w:tcPr>
          <w:p w14:paraId="098AA3C3" w14:textId="77777777" w:rsidR="00141CDF" w:rsidRDefault="00141CDF">
            <w:pPr>
              <w:rPr>
                <w:rFonts w:ascii="宋体"/>
              </w:rPr>
            </w:pPr>
          </w:p>
        </w:tc>
        <w:tc>
          <w:tcPr>
            <w:tcW w:w="507" w:type="pct"/>
            <w:shd w:val="clear" w:color="auto" w:fill="auto"/>
            <w:vAlign w:val="bottom"/>
          </w:tcPr>
          <w:p w14:paraId="098AA3C4" w14:textId="77777777" w:rsidR="00141CDF" w:rsidRDefault="00141CDF">
            <w:pPr>
              <w:rPr>
                <w:rFonts w:ascii="宋体"/>
              </w:rPr>
            </w:pPr>
          </w:p>
        </w:tc>
        <w:tc>
          <w:tcPr>
            <w:tcW w:w="5" w:type="pct"/>
            <w:shd w:val="clear" w:color="auto" w:fill="auto"/>
            <w:vAlign w:val="bottom"/>
          </w:tcPr>
          <w:p w14:paraId="098AA3C5" w14:textId="77777777" w:rsidR="00141CDF" w:rsidRDefault="00141CDF">
            <w:pPr>
              <w:rPr>
                <w:rFonts w:ascii="宋体"/>
              </w:rPr>
            </w:pPr>
          </w:p>
        </w:tc>
      </w:tr>
      <w:tr w:rsidR="00141CDF" w14:paraId="098AA3D7" w14:textId="77777777">
        <w:tc>
          <w:tcPr>
            <w:tcW w:w="0" w:type="auto"/>
            <w:gridSpan w:val="3"/>
            <w:shd w:val="clear" w:color="auto" w:fill="auto"/>
            <w:tcMar>
              <w:top w:w="0" w:type="dxa"/>
              <w:left w:w="20" w:type="dxa"/>
              <w:bottom w:w="0" w:type="dxa"/>
              <w:right w:w="20" w:type="dxa"/>
            </w:tcMar>
            <w:vAlign w:val="bottom"/>
          </w:tcPr>
          <w:p w14:paraId="098AA3C7" w14:textId="77777777" w:rsidR="00141CDF" w:rsidRDefault="00141CDF">
            <w:pPr>
              <w:rPr>
                <w:rFonts w:ascii="宋体"/>
              </w:rPr>
            </w:pPr>
          </w:p>
        </w:tc>
        <w:tc>
          <w:tcPr>
            <w:tcW w:w="0" w:type="auto"/>
            <w:shd w:val="clear" w:color="auto" w:fill="auto"/>
            <w:vAlign w:val="bottom"/>
          </w:tcPr>
          <w:p w14:paraId="098AA3C8" w14:textId="77777777" w:rsidR="00141CDF" w:rsidRDefault="00141CDF">
            <w:pPr>
              <w:rPr>
                <w:rFonts w:ascii="宋体"/>
                <w:vanish/>
              </w:rPr>
            </w:pPr>
          </w:p>
        </w:tc>
        <w:tc>
          <w:tcPr>
            <w:tcW w:w="0" w:type="auto"/>
            <w:shd w:val="clear" w:color="auto" w:fill="auto"/>
            <w:vAlign w:val="bottom"/>
          </w:tcPr>
          <w:p w14:paraId="098AA3C9" w14:textId="77777777" w:rsidR="00141CDF" w:rsidRDefault="00141CDF">
            <w:pPr>
              <w:rPr>
                <w:rFonts w:ascii="宋体"/>
                <w:vanish/>
              </w:rPr>
            </w:pPr>
          </w:p>
        </w:tc>
        <w:tc>
          <w:tcPr>
            <w:tcW w:w="0" w:type="auto"/>
            <w:gridSpan w:val="3"/>
            <w:shd w:val="clear" w:color="auto" w:fill="auto"/>
            <w:tcMar>
              <w:top w:w="40" w:type="dxa"/>
              <w:left w:w="20" w:type="dxa"/>
              <w:bottom w:w="40" w:type="dxa"/>
              <w:right w:w="20" w:type="dxa"/>
            </w:tcMar>
            <w:vAlign w:val="bottom"/>
          </w:tcPr>
          <w:p w14:paraId="098AA3CA" w14:textId="77777777" w:rsidR="00141CDF" w:rsidRDefault="00DF45E0">
            <w:pPr>
              <w:jc w:val="center"/>
              <w:textAlignment w:val="bottom"/>
            </w:pPr>
            <w:r>
              <w:rPr>
                <w:rFonts w:ascii="Times New Roman" w:eastAsia="宋体" w:hAnsi="Times New Roman"/>
                <w:b/>
                <w:bCs/>
                <w:color w:val="000000"/>
                <w:sz w:val="16"/>
                <w:szCs w:val="16"/>
              </w:rPr>
              <w:t>Six Months Ended July 31,</w:t>
            </w:r>
          </w:p>
        </w:tc>
        <w:tc>
          <w:tcPr>
            <w:tcW w:w="0" w:type="auto"/>
            <w:shd w:val="clear" w:color="auto" w:fill="auto"/>
            <w:vAlign w:val="bottom"/>
          </w:tcPr>
          <w:p w14:paraId="098AA3CB" w14:textId="77777777" w:rsidR="00141CDF" w:rsidRDefault="00141CDF">
            <w:pPr>
              <w:rPr>
                <w:rFonts w:ascii="宋体"/>
              </w:rPr>
            </w:pPr>
          </w:p>
        </w:tc>
        <w:tc>
          <w:tcPr>
            <w:tcW w:w="0" w:type="auto"/>
            <w:shd w:val="clear" w:color="auto" w:fill="auto"/>
            <w:vAlign w:val="bottom"/>
          </w:tcPr>
          <w:p w14:paraId="098AA3CC" w14:textId="77777777" w:rsidR="00141CDF" w:rsidRDefault="00141CDF">
            <w:pPr>
              <w:rPr>
                <w:rFonts w:ascii="宋体"/>
              </w:rPr>
            </w:pPr>
          </w:p>
        </w:tc>
        <w:tc>
          <w:tcPr>
            <w:tcW w:w="0" w:type="auto"/>
            <w:shd w:val="clear" w:color="auto" w:fill="auto"/>
            <w:vAlign w:val="bottom"/>
          </w:tcPr>
          <w:p w14:paraId="098AA3CD" w14:textId="77777777" w:rsidR="00141CDF" w:rsidRDefault="00141CDF">
            <w:pPr>
              <w:rPr>
                <w:rFonts w:ascii="宋体"/>
              </w:rPr>
            </w:pPr>
          </w:p>
        </w:tc>
        <w:tc>
          <w:tcPr>
            <w:tcW w:w="0" w:type="auto"/>
            <w:shd w:val="clear" w:color="auto" w:fill="auto"/>
            <w:vAlign w:val="bottom"/>
          </w:tcPr>
          <w:p w14:paraId="098AA3CE" w14:textId="77777777" w:rsidR="00141CDF" w:rsidRDefault="00141CDF">
            <w:pPr>
              <w:rPr>
                <w:rFonts w:ascii="宋体"/>
              </w:rPr>
            </w:pPr>
          </w:p>
        </w:tc>
        <w:tc>
          <w:tcPr>
            <w:tcW w:w="0" w:type="auto"/>
            <w:shd w:val="clear" w:color="auto" w:fill="auto"/>
            <w:vAlign w:val="bottom"/>
          </w:tcPr>
          <w:p w14:paraId="098AA3CF" w14:textId="77777777" w:rsidR="00141CDF" w:rsidRDefault="00141CDF">
            <w:pPr>
              <w:rPr>
                <w:rFonts w:ascii="宋体"/>
              </w:rPr>
            </w:pPr>
          </w:p>
        </w:tc>
        <w:tc>
          <w:tcPr>
            <w:tcW w:w="0" w:type="auto"/>
            <w:shd w:val="clear" w:color="auto" w:fill="auto"/>
            <w:vAlign w:val="bottom"/>
          </w:tcPr>
          <w:p w14:paraId="098AA3D0" w14:textId="77777777" w:rsidR="00141CDF" w:rsidRDefault="00141CDF">
            <w:pPr>
              <w:rPr>
                <w:rFonts w:ascii="宋体"/>
              </w:rPr>
            </w:pPr>
          </w:p>
        </w:tc>
        <w:tc>
          <w:tcPr>
            <w:tcW w:w="0" w:type="auto"/>
            <w:shd w:val="clear" w:color="auto" w:fill="auto"/>
            <w:vAlign w:val="bottom"/>
          </w:tcPr>
          <w:p w14:paraId="098AA3D1" w14:textId="77777777" w:rsidR="00141CDF" w:rsidRDefault="00141CDF">
            <w:pPr>
              <w:rPr>
                <w:rFonts w:ascii="宋体"/>
              </w:rPr>
            </w:pPr>
          </w:p>
        </w:tc>
        <w:tc>
          <w:tcPr>
            <w:tcW w:w="0" w:type="auto"/>
            <w:shd w:val="clear" w:color="auto" w:fill="auto"/>
            <w:vAlign w:val="bottom"/>
          </w:tcPr>
          <w:p w14:paraId="098AA3D2" w14:textId="77777777" w:rsidR="00141CDF" w:rsidRDefault="00141CDF">
            <w:pPr>
              <w:rPr>
                <w:rFonts w:ascii="宋体"/>
              </w:rPr>
            </w:pPr>
          </w:p>
        </w:tc>
        <w:tc>
          <w:tcPr>
            <w:tcW w:w="0" w:type="auto"/>
            <w:shd w:val="clear" w:color="auto" w:fill="auto"/>
            <w:vAlign w:val="bottom"/>
          </w:tcPr>
          <w:p w14:paraId="098AA3D3" w14:textId="77777777" w:rsidR="00141CDF" w:rsidRDefault="00141CDF">
            <w:pPr>
              <w:rPr>
                <w:rFonts w:ascii="宋体"/>
              </w:rPr>
            </w:pPr>
          </w:p>
        </w:tc>
        <w:tc>
          <w:tcPr>
            <w:tcW w:w="0" w:type="auto"/>
            <w:shd w:val="clear" w:color="auto" w:fill="auto"/>
            <w:vAlign w:val="bottom"/>
          </w:tcPr>
          <w:p w14:paraId="098AA3D4" w14:textId="77777777" w:rsidR="00141CDF" w:rsidRDefault="00141CDF">
            <w:pPr>
              <w:rPr>
                <w:rFonts w:ascii="宋体"/>
              </w:rPr>
            </w:pPr>
          </w:p>
        </w:tc>
        <w:tc>
          <w:tcPr>
            <w:tcW w:w="0" w:type="auto"/>
            <w:shd w:val="clear" w:color="auto" w:fill="auto"/>
            <w:vAlign w:val="bottom"/>
          </w:tcPr>
          <w:p w14:paraId="098AA3D5" w14:textId="77777777" w:rsidR="00141CDF" w:rsidRDefault="00141CDF">
            <w:pPr>
              <w:rPr>
                <w:rFonts w:ascii="宋体"/>
              </w:rPr>
            </w:pPr>
          </w:p>
        </w:tc>
        <w:tc>
          <w:tcPr>
            <w:tcW w:w="0" w:type="auto"/>
            <w:shd w:val="clear" w:color="auto" w:fill="auto"/>
            <w:vAlign w:val="bottom"/>
          </w:tcPr>
          <w:p w14:paraId="098AA3D6" w14:textId="77777777" w:rsidR="00141CDF" w:rsidRDefault="00141CDF">
            <w:pPr>
              <w:rPr>
                <w:rFonts w:ascii="宋体"/>
              </w:rPr>
            </w:pPr>
          </w:p>
        </w:tc>
      </w:tr>
      <w:tr w:rsidR="00141CDF" w14:paraId="098AA3E2" w14:textId="77777777">
        <w:tc>
          <w:tcPr>
            <w:tcW w:w="0" w:type="auto"/>
            <w:gridSpan w:val="3"/>
            <w:shd w:val="clear" w:color="auto" w:fill="auto"/>
            <w:tcMar>
              <w:top w:w="40" w:type="dxa"/>
              <w:left w:w="20" w:type="dxa"/>
              <w:bottom w:w="40" w:type="dxa"/>
              <w:right w:w="20" w:type="dxa"/>
            </w:tcMar>
            <w:vAlign w:val="bottom"/>
          </w:tcPr>
          <w:p w14:paraId="098AA3D8" w14:textId="77777777" w:rsidR="00141CDF" w:rsidRDefault="00DF45E0">
            <w:pPr>
              <w:textAlignment w:val="bottom"/>
            </w:pPr>
            <w:r>
              <w:rPr>
                <w:rFonts w:ascii="Times New Roman" w:eastAsia="宋体" w:hAnsi="Times New Roman"/>
                <w:i/>
                <w:iCs/>
                <w:color w:val="000000"/>
                <w:sz w:val="16"/>
                <w:szCs w:val="16"/>
              </w:rPr>
              <w:t>(Amounts in millions, except per share data)</w:t>
            </w:r>
          </w:p>
        </w:tc>
        <w:tc>
          <w:tcPr>
            <w:tcW w:w="0" w:type="auto"/>
            <w:shd w:val="clear" w:color="auto" w:fill="auto"/>
            <w:vAlign w:val="bottom"/>
          </w:tcPr>
          <w:p w14:paraId="098AA3D9" w14:textId="77777777" w:rsidR="00141CDF" w:rsidRDefault="00141CDF">
            <w:pPr>
              <w:rPr>
                <w:rFonts w:ascii="宋体"/>
                <w:vanish/>
              </w:rPr>
            </w:pPr>
          </w:p>
        </w:tc>
        <w:tc>
          <w:tcPr>
            <w:tcW w:w="0" w:type="auto"/>
            <w:shd w:val="clear" w:color="auto" w:fill="auto"/>
            <w:vAlign w:val="bottom"/>
          </w:tcPr>
          <w:p w14:paraId="098AA3DA" w14:textId="77777777" w:rsidR="00141CDF" w:rsidRDefault="00141CDF">
            <w:pPr>
              <w:rPr>
                <w:rFonts w:ascii="宋体"/>
                <w:vanish/>
              </w:rPr>
            </w:pPr>
          </w:p>
        </w:tc>
        <w:tc>
          <w:tcPr>
            <w:tcW w:w="0" w:type="auto"/>
            <w:shd w:val="clear" w:color="auto" w:fill="auto"/>
            <w:vAlign w:val="bottom"/>
          </w:tcPr>
          <w:p w14:paraId="098AA3DB" w14:textId="77777777" w:rsidR="00141CDF" w:rsidRDefault="00141CDF">
            <w:pPr>
              <w:rPr>
                <w:rFonts w:ascii="宋体"/>
                <w:vanish/>
              </w:rPr>
            </w:pPr>
          </w:p>
        </w:tc>
        <w:tc>
          <w:tcPr>
            <w:tcW w:w="0" w:type="auto"/>
            <w:shd w:val="clear" w:color="auto" w:fill="auto"/>
            <w:vAlign w:val="bottom"/>
          </w:tcPr>
          <w:p w14:paraId="098AA3DC" w14:textId="77777777" w:rsidR="00141CDF" w:rsidRDefault="00141CDF">
            <w:pPr>
              <w:rPr>
                <w:rFonts w:ascii="宋体"/>
                <w:vanish/>
              </w:rPr>
            </w:pPr>
          </w:p>
        </w:tc>
        <w:tc>
          <w:tcPr>
            <w:tcW w:w="0" w:type="auto"/>
            <w:shd w:val="clear" w:color="auto" w:fill="auto"/>
            <w:vAlign w:val="bottom"/>
          </w:tcPr>
          <w:p w14:paraId="098AA3DD" w14:textId="77777777" w:rsidR="00141CDF" w:rsidRDefault="00141CDF">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98AA3DE" w14:textId="77777777" w:rsidR="00141CDF" w:rsidRDefault="00DF45E0">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98AA3DF" w14:textId="77777777" w:rsidR="00141CDF" w:rsidRDefault="00141CDF">
            <w:pPr>
              <w:rPr>
                <w:rFonts w:ascii="宋体"/>
              </w:rPr>
            </w:pPr>
          </w:p>
        </w:tc>
        <w:tc>
          <w:tcPr>
            <w:tcW w:w="0" w:type="auto"/>
            <w:gridSpan w:val="3"/>
            <w:shd w:val="clear" w:color="auto" w:fill="auto"/>
            <w:vAlign w:val="bottom"/>
          </w:tcPr>
          <w:p w14:paraId="098AA3E0" w14:textId="77777777" w:rsidR="00141CDF" w:rsidRDefault="00141CDF">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98AA3E1" w14:textId="77777777" w:rsidR="00141CDF" w:rsidRDefault="00DF45E0">
            <w:pPr>
              <w:jc w:val="center"/>
              <w:textAlignment w:val="bottom"/>
            </w:pPr>
            <w:r>
              <w:rPr>
                <w:rFonts w:ascii="Times New Roman" w:eastAsia="宋体" w:hAnsi="Times New Roman"/>
                <w:b/>
                <w:bCs/>
                <w:color w:val="000000"/>
                <w:sz w:val="16"/>
                <w:szCs w:val="16"/>
              </w:rPr>
              <w:t>2021</w:t>
            </w:r>
          </w:p>
        </w:tc>
      </w:tr>
      <w:tr w:rsidR="00141CDF" w14:paraId="098AA3EF" w14:textId="77777777">
        <w:tc>
          <w:tcPr>
            <w:tcW w:w="0" w:type="auto"/>
            <w:gridSpan w:val="3"/>
            <w:shd w:val="clear" w:color="auto" w:fill="CCEEFF"/>
            <w:tcMar>
              <w:top w:w="40" w:type="dxa"/>
              <w:left w:w="20" w:type="dxa"/>
              <w:bottom w:w="40" w:type="dxa"/>
              <w:right w:w="20" w:type="dxa"/>
            </w:tcMar>
            <w:vAlign w:val="center"/>
          </w:tcPr>
          <w:p w14:paraId="098AA3E3" w14:textId="77777777" w:rsidR="00141CDF" w:rsidRDefault="00DF45E0">
            <w:pPr>
              <w:textAlignment w:val="center"/>
            </w:pPr>
            <w:r>
              <w:rPr>
                <w:rFonts w:ascii="Times New Roman" w:eastAsia="宋体" w:hAnsi="Times New Roman"/>
                <w:color w:val="000000"/>
                <w:sz w:val="16"/>
                <w:szCs w:val="16"/>
              </w:rPr>
              <w:t>Total number of shares repurchased</w:t>
            </w:r>
          </w:p>
        </w:tc>
        <w:tc>
          <w:tcPr>
            <w:tcW w:w="0" w:type="auto"/>
            <w:shd w:val="clear" w:color="auto" w:fill="auto"/>
            <w:vAlign w:val="bottom"/>
          </w:tcPr>
          <w:p w14:paraId="098AA3E4" w14:textId="77777777" w:rsidR="00141CDF" w:rsidRDefault="00141CDF">
            <w:pPr>
              <w:rPr>
                <w:rFonts w:ascii="宋体"/>
                <w:vanish/>
              </w:rPr>
            </w:pPr>
          </w:p>
        </w:tc>
        <w:tc>
          <w:tcPr>
            <w:tcW w:w="0" w:type="auto"/>
            <w:shd w:val="clear" w:color="auto" w:fill="auto"/>
            <w:vAlign w:val="bottom"/>
          </w:tcPr>
          <w:p w14:paraId="098AA3E5" w14:textId="77777777" w:rsidR="00141CDF" w:rsidRDefault="00141CDF">
            <w:pPr>
              <w:rPr>
                <w:rFonts w:ascii="宋体"/>
                <w:vanish/>
              </w:rPr>
            </w:pPr>
          </w:p>
        </w:tc>
        <w:tc>
          <w:tcPr>
            <w:tcW w:w="0" w:type="auto"/>
            <w:shd w:val="clear" w:color="auto" w:fill="auto"/>
            <w:vAlign w:val="bottom"/>
          </w:tcPr>
          <w:p w14:paraId="098AA3E6" w14:textId="77777777" w:rsidR="00141CDF" w:rsidRDefault="00141CDF">
            <w:pPr>
              <w:rPr>
                <w:rFonts w:ascii="宋体"/>
                <w:vanish/>
              </w:rPr>
            </w:pPr>
          </w:p>
        </w:tc>
        <w:tc>
          <w:tcPr>
            <w:tcW w:w="0" w:type="auto"/>
            <w:shd w:val="clear" w:color="auto" w:fill="auto"/>
            <w:vAlign w:val="bottom"/>
          </w:tcPr>
          <w:p w14:paraId="098AA3E7" w14:textId="77777777" w:rsidR="00141CDF" w:rsidRDefault="00141CDF">
            <w:pPr>
              <w:rPr>
                <w:rFonts w:ascii="宋体"/>
                <w:vanish/>
              </w:rPr>
            </w:pPr>
          </w:p>
        </w:tc>
        <w:tc>
          <w:tcPr>
            <w:tcW w:w="0" w:type="auto"/>
            <w:shd w:val="clear" w:color="auto" w:fill="auto"/>
            <w:vAlign w:val="bottom"/>
          </w:tcPr>
          <w:p w14:paraId="098AA3E8" w14:textId="77777777" w:rsidR="00141CDF" w:rsidRDefault="00141CDF">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98AA3E9" w14:textId="77777777" w:rsidR="00141CDF" w:rsidRDefault="00DF45E0">
            <w:pPr>
              <w:jc w:val="right"/>
              <w:textAlignment w:val="center"/>
            </w:pPr>
            <w:r>
              <w:rPr>
                <w:rFonts w:ascii="Times New Roman" w:eastAsia="宋体" w:hAnsi="Times New Roman"/>
                <w:color w:val="000000"/>
                <w:sz w:val="16"/>
                <w:szCs w:val="16"/>
              </w:rPr>
              <w:t>43.3 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A3EA"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A3EB" w14:textId="77777777" w:rsidR="00141CDF" w:rsidRDefault="00141CDF">
            <w:pPr>
              <w:rPr>
                <w:rFonts w:ascii="宋体"/>
              </w:rPr>
            </w:pPr>
          </w:p>
        </w:tc>
        <w:tc>
          <w:tcPr>
            <w:tcW w:w="0" w:type="auto"/>
            <w:gridSpan w:val="3"/>
            <w:shd w:val="clear" w:color="auto" w:fill="auto"/>
            <w:vAlign w:val="bottom"/>
          </w:tcPr>
          <w:p w14:paraId="098AA3EC" w14:textId="77777777" w:rsidR="00141CDF" w:rsidRDefault="00141CDF">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98AA3ED" w14:textId="77777777" w:rsidR="00141CDF" w:rsidRDefault="00DF45E0">
            <w:pPr>
              <w:jc w:val="right"/>
              <w:textAlignment w:val="center"/>
            </w:pPr>
            <w:r>
              <w:rPr>
                <w:rFonts w:ascii="Times New Roman" w:eastAsia="宋体" w:hAnsi="Times New Roman"/>
                <w:color w:val="000000"/>
                <w:sz w:val="16"/>
                <w:szCs w:val="16"/>
              </w:rPr>
              <w:t>37.7 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A3EE" w14:textId="77777777" w:rsidR="00141CDF" w:rsidRDefault="00141CDF">
            <w:pPr>
              <w:jc w:val="right"/>
              <w:rPr>
                <w:rFonts w:ascii="宋体"/>
              </w:rPr>
            </w:pPr>
          </w:p>
        </w:tc>
      </w:tr>
      <w:tr w:rsidR="00141CDF" w14:paraId="098AA3FE" w14:textId="77777777">
        <w:tc>
          <w:tcPr>
            <w:tcW w:w="0" w:type="auto"/>
            <w:gridSpan w:val="3"/>
            <w:shd w:val="clear" w:color="auto" w:fill="FFFFFF"/>
            <w:tcMar>
              <w:top w:w="40" w:type="dxa"/>
              <w:left w:w="20" w:type="dxa"/>
              <w:bottom w:w="40" w:type="dxa"/>
              <w:right w:w="20" w:type="dxa"/>
            </w:tcMar>
            <w:vAlign w:val="center"/>
          </w:tcPr>
          <w:p w14:paraId="098AA3F0" w14:textId="77777777" w:rsidR="00141CDF" w:rsidRDefault="00DF45E0">
            <w:pPr>
              <w:textAlignment w:val="center"/>
            </w:pPr>
            <w:r>
              <w:rPr>
                <w:rFonts w:ascii="Times New Roman" w:eastAsia="宋体" w:hAnsi="Times New Roman"/>
                <w:color w:val="000000"/>
                <w:sz w:val="16"/>
                <w:szCs w:val="16"/>
              </w:rPr>
              <w:t>Average price paid per share</w:t>
            </w:r>
          </w:p>
        </w:tc>
        <w:tc>
          <w:tcPr>
            <w:tcW w:w="0" w:type="auto"/>
            <w:shd w:val="clear" w:color="auto" w:fill="auto"/>
            <w:vAlign w:val="bottom"/>
          </w:tcPr>
          <w:p w14:paraId="098AA3F1" w14:textId="77777777" w:rsidR="00141CDF" w:rsidRDefault="00141CDF">
            <w:pPr>
              <w:rPr>
                <w:rFonts w:ascii="宋体"/>
                <w:vanish/>
              </w:rPr>
            </w:pPr>
          </w:p>
        </w:tc>
        <w:tc>
          <w:tcPr>
            <w:tcW w:w="0" w:type="auto"/>
            <w:shd w:val="clear" w:color="auto" w:fill="auto"/>
            <w:vAlign w:val="bottom"/>
          </w:tcPr>
          <w:p w14:paraId="098AA3F2" w14:textId="77777777" w:rsidR="00141CDF" w:rsidRDefault="00141CDF">
            <w:pPr>
              <w:rPr>
                <w:rFonts w:ascii="宋体"/>
                <w:vanish/>
              </w:rPr>
            </w:pPr>
          </w:p>
        </w:tc>
        <w:tc>
          <w:tcPr>
            <w:tcW w:w="0" w:type="auto"/>
            <w:shd w:val="clear" w:color="auto" w:fill="auto"/>
            <w:vAlign w:val="bottom"/>
          </w:tcPr>
          <w:p w14:paraId="098AA3F3" w14:textId="77777777" w:rsidR="00141CDF" w:rsidRDefault="00141CDF">
            <w:pPr>
              <w:rPr>
                <w:rFonts w:ascii="宋体"/>
                <w:vanish/>
              </w:rPr>
            </w:pPr>
          </w:p>
        </w:tc>
        <w:tc>
          <w:tcPr>
            <w:tcW w:w="0" w:type="auto"/>
            <w:shd w:val="clear" w:color="auto" w:fill="auto"/>
            <w:vAlign w:val="bottom"/>
          </w:tcPr>
          <w:p w14:paraId="098AA3F4" w14:textId="77777777" w:rsidR="00141CDF" w:rsidRDefault="00141CDF">
            <w:pPr>
              <w:rPr>
                <w:rFonts w:ascii="宋体"/>
                <w:vanish/>
              </w:rPr>
            </w:pPr>
          </w:p>
        </w:tc>
        <w:tc>
          <w:tcPr>
            <w:tcW w:w="0" w:type="auto"/>
            <w:shd w:val="clear" w:color="auto" w:fill="auto"/>
            <w:vAlign w:val="bottom"/>
          </w:tcPr>
          <w:p w14:paraId="098AA3F5" w14:textId="77777777" w:rsidR="00141CDF" w:rsidRDefault="00141CDF">
            <w:pPr>
              <w:rPr>
                <w:rFonts w:ascii="宋体"/>
                <w:vanish/>
              </w:rPr>
            </w:pPr>
          </w:p>
        </w:tc>
        <w:tc>
          <w:tcPr>
            <w:tcW w:w="0" w:type="auto"/>
            <w:shd w:val="clear" w:color="auto" w:fill="FFFFFF"/>
            <w:tcMar>
              <w:top w:w="40" w:type="dxa"/>
              <w:left w:w="20" w:type="dxa"/>
              <w:bottom w:w="40" w:type="dxa"/>
              <w:right w:w="0" w:type="dxa"/>
            </w:tcMar>
            <w:vAlign w:val="center"/>
          </w:tcPr>
          <w:p w14:paraId="098AA3F6"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098AA3F7" w14:textId="77777777" w:rsidR="00141CDF" w:rsidRDefault="00DF45E0">
            <w:pPr>
              <w:jc w:val="right"/>
              <w:textAlignment w:val="center"/>
            </w:pPr>
            <w:r>
              <w:rPr>
                <w:rFonts w:ascii="Times New Roman" w:eastAsia="宋体" w:hAnsi="Times New Roman"/>
                <w:color w:val="000000"/>
                <w:sz w:val="16"/>
                <w:szCs w:val="16"/>
              </w:rPr>
              <w:t>132.74 </w:t>
            </w:r>
          </w:p>
        </w:tc>
        <w:tc>
          <w:tcPr>
            <w:tcW w:w="0" w:type="auto"/>
            <w:shd w:val="clear" w:color="auto" w:fill="FFFFFF"/>
            <w:tcMar>
              <w:top w:w="40" w:type="dxa"/>
              <w:left w:w="0" w:type="dxa"/>
              <w:bottom w:w="40" w:type="dxa"/>
              <w:right w:w="20" w:type="dxa"/>
            </w:tcMar>
            <w:vAlign w:val="center"/>
          </w:tcPr>
          <w:p w14:paraId="098AA3F8"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A3F9" w14:textId="77777777" w:rsidR="00141CDF" w:rsidRDefault="00141CDF">
            <w:pPr>
              <w:rPr>
                <w:rFonts w:ascii="宋体"/>
              </w:rPr>
            </w:pPr>
          </w:p>
        </w:tc>
        <w:tc>
          <w:tcPr>
            <w:tcW w:w="0" w:type="auto"/>
            <w:gridSpan w:val="3"/>
            <w:shd w:val="clear" w:color="auto" w:fill="auto"/>
            <w:vAlign w:val="bottom"/>
          </w:tcPr>
          <w:p w14:paraId="098AA3FA" w14:textId="77777777" w:rsidR="00141CDF" w:rsidRDefault="00141CDF">
            <w:pPr>
              <w:rPr>
                <w:rFonts w:ascii="宋体"/>
                <w:vanish/>
              </w:rPr>
            </w:pPr>
          </w:p>
        </w:tc>
        <w:tc>
          <w:tcPr>
            <w:tcW w:w="0" w:type="auto"/>
            <w:shd w:val="clear" w:color="auto" w:fill="FFFFFF"/>
            <w:tcMar>
              <w:top w:w="40" w:type="dxa"/>
              <w:left w:w="20" w:type="dxa"/>
              <w:bottom w:w="40" w:type="dxa"/>
              <w:right w:w="0" w:type="dxa"/>
            </w:tcMar>
            <w:vAlign w:val="center"/>
          </w:tcPr>
          <w:p w14:paraId="098AA3FB"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098AA3FC" w14:textId="77777777" w:rsidR="00141CDF" w:rsidRDefault="00DF45E0">
            <w:pPr>
              <w:jc w:val="right"/>
              <w:textAlignment w:val="center"/>
            </w:pPr>
            <w:r>
              <w:rPr>
                <w:rFonts w:ascii="Times New Roman" w:eastAsia="宋体" w:hAnsi="Times New Roman"/>
                <w:color w:val="000000"/>
                <w:sz w:val="16"/>
                <w:szCs w:val="16"/>
              </w:rPr>
              <w:t>137.94 </w:t>
            </w:r>
          </w:p>
        </w:tc>
        <w:tc>
          <w:tcPr>
            <w:tcW w:w="0" w:type="auto"/>
            <w:shd w:val="clear" w:color="auto" w:fill="FFFFFF"/>
            <w:tcMar>
              <w:top w:w="40" w:type="dxa"/>
              <w:left w:w="0" w:type="dxa"/>
              <w:bottom w:w="40" w:type="dxa"/>
              <w:right w:w="20" w:type="dxa"/>
            </w:tcMar>
            <w:vAlign w:val="center"/>
          </w:tcPr>
          <w:p w14:paraId="098AA3FD" w14:textId="77777777" w:rsidR="00141CDF" w:rsidRDefault="00141CDF">
            <w:pPr>
              <w:jc w:val="right"/>
              <w:rPr>
                <w:rFonts w:ascii="宋体"/>
              </w:rPr>
            </w:pPr>
          </w:p>
        </w:tc>
      </w:tr>
      <w:tr w:rsidR="00141CDF" w14:paraId="098AA40D" w14:textId="77777777">
        <w:tc>
          <w:tcPr>
            <w:tcW w:w="0" w:type="auto"/>
            <w:gridSpan w:val="3"/>
            <w:shd w:val="clear" w:color="auto" w:fill="CCEEFF"/>
            <w:tcMar>
              <w:top w:w="40" w:type="dxa"/>
              <w:left w:w="20" w:type="dxa"/>
              <w:bottom w:w="40" w:type="dxa"/>
              <w:right w:w="20" w:type="dxa"/>
            </w:tcMar>
            <w:vAlign w:val="center"/>
          </w:tcPr>
          <w:p w14:paraId="098AA3FF" w14:textId="77777777" w:rsidR="00141CDF" w:rsidRDefault="00DF45E0">
            <w:pPr>
              <w:textAlignment w:val="center"/>
            </w:pPr>
            <w:r>
              <w:rPr>
                <w:rFonts w:ascii="Times New Roman" w:eastAsia="宋体" w:hAnsi="Times New Roman"/>
                <w:color w:val="000000"/>
                <w:sz w:val="16"/>
                <w:szCs w:val="16"/>
              </w:rPr>
              <w:t>Total amount paid for share repurchases</w:t>
            </w:r>
          </w:p>
        </w:tc>
        <w:tc>
          <w:tcPr>
            <w:tcW w:w="0" w:type="auto"/>
            <w:shd w:val="clear" w:color="auto" w:fill="auto"/>
            <w:vAlign w:val="bottom"/>
          </w:tcPr>
          <w:p w14:paraId="098AA400" w14:textId="77777777" w:rsidR="00141CDF" w:rsidRDefault="00141CDF">
            <w:pPr>
              <w:rPr>
                <w:rFonts w:ascii="宋体"/>
                <w:vanish/>
              </w:rPr>
            </w:pPr>
          </w:p>
        </w:tc>
        <w:tc>
          <w:tcPr>
            <w:tcW w:w="0" w:type="auto"/>
            <w:shd w:val="clear" w:color="auto" w:fill="auto"/>
            <w:vAlign w:val="bottom"/>
          </w:tcPr>
          <w:p w14:paraId="098AA401" w14:textId="77777777" w:rsidR="00141CDF" w:rsidRDefault="00141CDF">
            <w:pPr>
              <w:rPr>
                <w:rFonts w:ascii="宋体"/>
                <w:vanish/>
              </w:rPr>
            </w:pPr>
          </w:p>
        </w:tc>
        <w:tc>
          <w:tcPr>
            <w:tcW w:w="0" w:type="auto"/>
            <w:shd w:val="clear" w:color="auto" w:fill="auto"/>
            <w:vAlign w:val="bottom"/>
          </w:tcPr>
          <w:p w14:paraId="098AA402" w14:textId="77777777" w:rsidR="00141CDF" w:rsidRDefault="00141CDF">
            <w:pPr>
              <w:rPr>
                <w:rFonts w:ascii="宋体"/>
                <w:vanish/>
              </w:rPr>
            </w:pPr>
          </w:p>
        </w:tc>
        <w:tc>
          <w:tcPr>
            <w:tcW w:w="0" w:type="auto"/>
            <w:shd w:val="clear" w:color="auto" w:fill="auto"/>
            <w:vAlign w:val="bottom"/>
          </w:tcPr>
          <w:p w14:paraId="098AA403" w14:textId="77777777" w:rsidR="00141CDF" w:rsidRDefault="00141CDF">
            <w:pPr>
              <w:rPr>
                <w:rFonts w:ascii="宋体"/>
                <w:vanish/>
              </w:rPr>
            </w:pPr>
          </w:p>
        </w:tc>
        <w:tc>
          <w:tcPr>
            <w:tcW w:w="0" w:type="auto"/>
            <w:shd w:val="clear" w:color="auto" w:fill="auto"/>
            <w:vAlign w:val="bottom"/>
          </w:tcPr>
          <w:p w14:paraId="098AA404" w14:textId="77777777" w:rsidR="00141CDF" w:rsidRDefault="00141CDF">
            <w:pPr>
              <w:rPr>
                <w:rFonts w:ascii="宋体"/>
                <w:vanish/>
              </w:rPr>
            </w:pPr>
          </w:p>
        </w:tc>
        <w:tc>
          <w:tcPr>
            <w:tcW w:w="0" w:type="auto"/>
            <w:shd w:val="clear" w:color="auto" w:fill="CCEEFF"/>
            <w:tcMar>
              <w:top w:w="40" w:type="dxa"/>
              <w:left w:w="20" w:type="dxa"/>
              <w:bottom w:w="40" w:type="dxa"/>
              <w:right w:w="0" w:type="dxa"/>
            </w:tcMar>
            <w:vAlign w:val="center"/>
          </w:tcPr>
          <w:p w14:paraId="098AA405"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A406" w14:textId="77777777" w:rsidR="00141CDF" w:rsidRDefault="00DF45E0">
            <w:pPr>
              <w:jc w:val="right"/>
              <w:textAlignment w:val="center"/>
            </w:pPr>
            <w:r>
              <w:rPr>
                <w:rFonts w:ascii="Times New Roman" w:eastAsia="宋体" w:hAnsi="Times New Roman"/>
                <w:color w:val="000000"/>
                <w:sz w:val="16"/>
                <w:szCs w:val="16"/>
              </w:rPr>
              <w:t>5,747 </w:t>
            </w:r>
          </w:p>
        </w:tc>
        <w:tc>
          <w:tcPr>
            <w:tcW w:w="0" w:type="auto"/>
            <w:shd w:val="clear" w:color="auto" w:fill="CCEEFF"/>
            <w:tcMar>
              <w:top w:w="40" w:type="dxa"/>
              <w:left w:w="0" w:type="dxa"/>
              <w:bottom w:w="40" w:type="dxa"/>
              <w:right w:w="20" w:type="dxa"/>
            </w:tcMar>
            <w:vAlign w:val="center"/>
          </w:tcPr>
          <w:p w14:paraId="098AA407"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A408" w14:textId="77777777" w:rsidR="00141CDF" w:rsidRDefault="00141CDF">
            <w:pPr>
              <w:rPr>
                <w:rFonts w:ascii="宋体"/>
              </w:rPr>
            </w:pPr>
          </w:p>
        </w:tc>
        <w:tc>
          <w:tcPr>
            <w:tcW w:w="0" w:type="auto"/>
            <w:gridSpan w:val="3"/>
            <w:shd w:val="clear" w:color="auto" w:fill="auto"/>
            <w:vAlign w:val="bottom"/>
          </w:tcPr>
          <w:p w14:paraId="098AA409" w14:textId="77777777" w:rsidR="00141CDF" w:rsidRDefault="00141CDF">
            <w:pPr>
              <w:rPr>
                <w:rFonts w:ascii="宋体"/>
                <w:vanish/>
              </w:rPr>
            </w:pPr>
          </w:p>
        </w:tc>
        <w:tc>
          <w:tcPr>
            <w:tcW w:w="0" w:type="auto"/>
            <w:shd w:val="clear" w:color="auto" w:fill="CCEEFF"/>
            <w:tcMar>
              <w:top w:w="40" w:type="dxa"/>
              <w:left w:w="20" w:type="dxa"/>
              <w:bottom w:w="40" w:type="dxa"/>
              <w:right w:w="0" w:type="dxa"/>
            </w:tcMar>
            <w:vAlign w:val="center"/>
          </w:tcPr>
          <w:p w14:paraId="098AA40A" w14:textId="77777777" w:rsidR="00141CDF" w:rsidRDefault="00DF45E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098AA40B" w14:textId="77777777" w:rsidR="00141CDF" w:rsidRDefault="00DF45E0">
            <w:pPr>
              <w:jc w:val="right"/>
              <w:textAlignment w:val="center"/>
            </w:pPr>
            <w:r>
              <w:rPr>
                <w:rFonts w:ascii="Times New Roman" w:eastAsia="宋体" w:hAnsi="Times New Roman"/>
                <w:color w:val="000000"/>
                <w:sz w:val="16"/>
                <w:szCs w:val="16"/>
              </w:rPr>
              <w:t>5,200 </w:t>
            </w:r>
          </w:p>
        </w:tc>
        <w:tc>
          <w:tcPr>
            <w:tcW w:w="0" w:type="auto"/>
            <w:shd w:val="clear" w:color="auto" w:fill="CCEEFF"/>
            <w:tcMar>
              <w:top w:w="40" w:type="dxa"/>
              <w:left w:w="0" w:type="dxa"/>
              <w:bottom w:w="40" w:type="dxa"/>
              <w:right w:w="20" w:type="dxa"/>
            </w:tcMar>
            <w:vAlign w:val="center"/>
          </w:tcPr>
          <w:p w14:paraId="098AA40C" w14:textId="77777777" w:rsidR="00141CDF" w:rsidRDefault="00141CDF">
            <w:pPr>
              <w:jc w:val="right"/>
              <w:rPr>
                <w:rFonts w:ascii="宋体"/>
              </w:rPr>
            </w:pPr>
          </w:p>
        </w:tc>
      </w:tr>
    </w:tbl>
    <w:p w14:paraId="098AA40E" w14:textId="77777777" w:rsidR="00141CDF" w:rsidRDefault="00DF45E0">
      <w:pPr>
        <w:spacing w:before="180" w:after="100"/>
      </w:pPr>
      <w:r>
        <w:rPr>
          <w:rFonts w:ascii="Times New Roman" w:eastAsia="宋体" w:hAnsi="Times New Roman"/>
          <w:i/>
          <w:iCs/>
          <w:color w:val="000000"/>
          <w:sz w:val="20"/>
          <w:szCs w:val="20"/>
        </w:rPr>
        <w:t>Material Cash Requirements</w:t>
      </w:r>
    </w:p>
    <w:p w14:paraId="098AA40F" w14:textId="77777777" w:rsidR="00141CDF" w:rsidRDefault="00DF45E0">
      <w:r>
        <w:rPr>
          <w:rFonts w:ascii="Times New Roman" w:eastAsia="宋体" w:hAnsi="Times New Roman"/>
          <w:color w:val="000000"/>
          <w:sz w:val="20"/>
          <w:szCs w:val="20"/>
        </w:rPr>
        <w:t xml:space="preserve">Material cash requirements from operating activities primarily consist of inventory purchases, employee related costs, taxes, interest and other general operating expenses, which we expect to be primarily </w:t>
      </w:r>
      <w:r>
        <w:rPr>
          <w:rFonts w:ascii="Times New Roman" w:eastAsia="宋体" w:hAnsi="Times New Roman"/>
          <w:color w:val="000000"/>
          <w:sz w:val="20"/>
          <w:szCs w:val="20"/>
        </w:rPr>
        <w:t>satisfied by our cash from operations. Other material cash requirements from known contractual and other obligations include short-term borrowings, long-term debt and related interest payments, leases and purchase obligations.</w:t>
      </w:r>
    </w:p>
    <w:p w14:paraId="098AA410" w14:textId="77777777" w:rsidR="00141CDF" w:rsidRDefault="00DF45E0">
      <w:pPr>
        <w:spacing w:before="140" w:after="100"/>
      </w:pPr>
      <w:r>
        <w:rPr>
          <w:rFonts w:ascii="Times New Roman" w:eastAsia="宋体" w:hAnsi="Times New Roman"/>
          <w:b/>
          <w:bCs/>
          <w:color w:val="000000"/>
          <w:sz w:val="20"/>
          <w:szCs w:val="20"/>
          <w:u w:val="single"/>
        </w:rPr>
        <w:t>Capital Resources</w:t>
      </w:r>
    </w:p>
    <w:p w14:paraId="098AA411" w14:textId="77777777" w:rsidR="00141CDF" w:rsidRDefault="00DF45E0">
      <w:r>
        <w:rPr>
          <w:rFonts w:ascii="Times New Roman" w:eastAsia="宋体" w:hAnsi="Times New Roman"/>
          <w:color w:val="000000"/>
          <w:sz w:val="20"/>
          <w:szCs w:val="20"/>
        </w:rPr>
        <w:t xml:space="preserve">We believe </w:t>
      </w:r>
      <w:r>
        <w:rPr>
          <w:rFonts w:ascii="Times New Roman" w:eastAsia="宋体" w:hAnsi="Times New Roman"/>
          <w:color w:val="000000"/>
          <w:sz w:val="20"/>
          <w:szCs w:val="20"/>
        </w:rPr>
        <w:t>our cash flows from operations, current cash position, short-term borrowings and access to capital markets will continue to be sufficient to meet our anticipated cash requirements and contractual obligations, which includes funding seasonal buildups in mer</w:t>
      </w:r>
      <w:r>
        <w:rPr>
          <w:rFonts w:ascii="Times New Roman" w:eastAsia="宋体" w:hAnsi="Times New Roman"/>
          <w:color w:val="000000"/>
          <w:sz w:val="20"/>
          <w:szCs w:val="20"/>
        </w:rPr>
        <w:t xml:space="preserve">chandise inventories and funding our capital expenditures, acquisitions, dividend payments and share repurchases. </w:t>
      </w:r>
    </w:p>
    <w:p w14:paraId="098AA412" w14:textId="77777777" w:rsidR="00141CDF" w:rsidRDefault="00DF45E0">
      <w:pPr>
        <w:spacing w:before="100"/>
      </w:pPr>
      <w:r>
        <w:rPr>
          <w:rFonts w:ascii="Times New Roman" w:eastAsia="宋体" w:hAnsi="Times New Roman"/>
          <w:color w:val="000000"/>
          <w:sz w:val="20"/>
          <w:szCs w:val="20"/>
        </w:rPr>
        <w:t>We have strong commercial paper and long-term debt ratings that have enabled and should continue to enable us to refinance our debt as it bec</w:t>
      </w:r>
      <w:r>
        <w:rPr>
          <w:rFonts w:ascii="Times New Roman" w:eastAsia="宋体" w:hAnsi="Times New Roman"/>
          <w:color w:val="000000"/>
          <w:sz w:val="20"/>
          <w:szCs w:val="20"/>
        </w:rPr>
        <w:t>omes due at favorable rates in capital markets. As of July 31, 2022, the ratings assigned to our commercial paper and rated series of our outstanding long-term debt were as follows:</w:t>
      </w:r>
    </w:p>
    <w:tbl>
      <w:tblPr>
        <w:tblW w:w="4993" w:type="pct"/>
        <w:jc w:val="center"/>
        <w:tblCellMar>
          <w:top w:w="15" w:type="dxa"/>
          <w:left w:w="15" w:type="dxa"/>
          <w:bottom w:w="15" w:type="dxa"/>
          <w:right w:w="15" w:type="dxa"/>
        </w:tblCellMar>
        <w:tblLook w:val="04A0" w:firstRow="1" w:lastRow="0" w:firstColumn="1" w:lastColumn="0" w:noHBand="0" w:noVBand="1"/>
      </w:tblPr>
      <w:tblGrid>
        <w:gridCol w:w="58"/>
        <w:gridCol w:w="3260"/>
        <w:gridCol w:w="37"/>
        <w:gridCol w:w="37"/>
        <w:gridCol w:w="153"/>
        <w:gridCol w:w="36"/>
        <w:gridCol w:w="58"/>
        <w:gridCol w:w="2163"/>
        <w:gridCol w:w="36"/>
        <w:gridCol w:w="37"/>
        <w:gridCol w:w="153"/>
        <w:gridCol w:w="36"/>
        <w:gridCol w:w="59"/>
        <w:gridCol w:w="2165"/>
        <w:gridCol w:w="36"/>
      </w:tblGrid>
      <w:tr w:rsidR="00141CDF" w14:paraId="098AA422" w14:textId="77777777">
        <w:trPr>
          <w:jc w:val="center"/>
        </w:trPr>
        <w:tc>
          <w:tcPr>
            <w:tcW w:w="50" w:type="pct"/>
            <w:shd w:val="clear" w:color="auto" w:fill="auto"/>
            <w:vAlign w:val="bottom"/>
          </w:tcPr>
          <w:p w14:paraId="098AA413" w14:textId="77777777" w:rsidR="00141CDF" w:rsidRDefault="00141CDF">
            <w:pPr>
              <w:rPr>
                <w:rFonts w:ascii="宋体"/>
              </w:rPr>
            </w:pPr>
          </w:p>
        </w:tc>
        <w:tc>
          <w:tcPr>
            <w:tcW w:w="1972" w:type="pct"/>
            <w:shd w:val="clear" w:color="auto" w:fill="auto"/>
            <w:vAlign w:val="bottom"/>
          </w:tcPr>
          <w:p w14:paraId="098AA414" w14:textId="77777777" w:rsidR="00141CDF" w:rsidRDefault="00141CDF">
            <w:pPr>
              <w:rPr>
                <w:rFonts w:ascii="宋体"/>
              </w:rPr>
            </w:pPr>
          </w:p>
        </w:tc>
        <w:tc>
          <w:tcPr>
            <w:tcW w:w="5" w:type="pct"/>
            <w:shd w:val="clear" w:color="auto" w:fill="auto"/>
            <w:vAlign w:val="bottom"/>
          </w:tcPr>
          <w:p w14:paraId="098AA415" w14:textId="77777777" w:rsidR="00141CDF" w:rsidRDefault="00141CDF">
            <w:pPr>
              <w:rPr>
                <w:rFonts w:ascii="宋体"/>
              </w:rPr>
            </w:pPr>
          </w:p>
        </w:tc>
        <w:tc>
          <w:tcPr>
            <w:tcW w:w="5" w:type="pct"/>
            <w:shd w:val="clear" w:color="auto" w:fill="auto"/>
            <w:vAlign w:val="bottom"/>
          </w:tcPr>
          <w:p w14:paraId="098AA416" w14:textId="77777777" w:rsidR="00141CDF" w:rsidRDefault="00141CDF">
            <w:pPr>
              <w:rPr>
                <w:rFonts w:ascii="宋体"/>
              </w:rPr>
            </w:pPr>
          </w:p>
        </w:tc>
        <w:tc>
          <w:tcPr>
            <w:tcW w:w="107" w:type="pct"/>
            <w:shd w:val="clear" w:color="auto" w:fill="auto"/>
            <w:vAlign w:val="bottom"/>
          </w:tcPr>
          <w:p w14:paraId="098AA417" w14:textId="77777777" w:rsidR="00141CDF" w:rsidRDefault="00141CDF">
            <w:pPr>
              <w:rPr>
                <w:rFonts w:ascii="宋体"/>
              </w:rPr>
            </w:pPr>
          </w:p>
        </w:tc>
        <w:tc>
          <w:tcPr>
            <w:tcW w:w="5" w:type="pct"/>
            <w:shd w:val="clear" w:color="auto" w:fill="auto"/>
            <w:vAlign w:val="bottom"/>
          </w:tcPr>
          <w:p w14:paraId="098AA418" w14:textId="77777777" w:rsidR="00141CDF" w:rsidRDefault="00141CDF">
            <w:pPr>
              <w:rPr>
                <w:rFonts w:ascii="宋体"/>
              </w:rPr>
            </w:pPr>
          </w:p>
        </w:tc>
        <w:tc>
          <w:tcPr>
            <w:tcW w:w="50" w:type="pct"/>
            <w:shd w:val="clear" w:color="auto" w:fill="auto"/>
            <w:vAlign w:val="bottom"/>
          </w:tcPr>
          <w:p w14:paraId="098AA419" w14:textId="77777777" w:rsidR="00141CDF" w:rsidRDefault="00141CDF">
            <w:pPr>
              <w:rPr>
                <w:rFonts w:ascii="宋体"/>
              </w:rPr>
            </w:pPr>
          </w:p>
        </w:tc>
        <w:tc>
          <w:tcPr>
            <w:tcW w:w="1313" w:type="pct"/>
            <w:shd w:val="clear" w:color="auto" w:fill="auto"/>
            <w:vAlign w:val="bottom"/>
          </w:tcPr>
          <w:p w14:paraId="098AA41A" w14:textId="77777777" w:rsidR="00141CDF" w:rsidRDefault="00141CDF">
            <w:pPr>
              <w:rPr>
                <w:rFonts w:ascii="宋体"/>
              </w:rPr>
            </w:pPr>
          </w:p>
        </w:tc>
        <w:tc>
          <w:tcPr>
            <w:tcW w:w="5" w:type="pct"/>
            <w:shd w:val="clear" w:color="auto" w:fill="auto"/>
            <w:vAlign w:val="bottom"/>
          </w:tcPr>
          <w:p w14:paraId="098AA41B" w14:textId="77777777" w:rsidR="00141CDF" w:rsidRDefault="00141CDF">
            <w:pPr>
              <w:rPr>
                <w:rFonts w:ascii="宋体"/>
              </w:rPr>
            </w:pPr>
          </w:p>
        </w:tc>
        <w:tc>
          <w:tcPr>
            <w:tcW w:w="5" w:type="pct"/>
            <w:shd w:val="clear" w:color="auto" w:fill="auto"/>
            <w:vAlign w:val="bottom"/>
          </w:tcPr>
          <w:p w14:paraId="098AA41C" w14:textId="77777777" w:rsidR="00141CDF" w:rsidRDefault="00141CDF">
            <w:pPr>
              <w:rPr>
                <w:rFonts w:ascii="宋体"/>
              </w:rPr>
            </w:pPr>
          </w:p>
        </w:tc>
        <w:tc>
          <w:tcPr>
            <w:tcW w:w="107" w:type="pct"/>
            <w:shd w:val="clear" w:color="auto" w:fill="auto"/>
            <w:vAlign w:val="bottom"/>
          </w:tcPr>
          <w:p w14:paraId="098AA41D" w14:textId="77777777" w:rsidR="00141CDF" w:rsidRDefault="00141CDF">
            <w:pPr>
              <w:rPr>
                <w:rFonts w:ascii="宋体"/>
              </w:rPr>
            </w:pPr>
          </w:p>
        </w:tc>
        <w:tc>
          <w:tcPr>
            <w:tcW w:w="5" w:type="pct"/>
            <w:shd w:val="clear" w:color="auto" w:fill="auto"/>
            <w:vAlign w:val="bottom"/>
          </w:tcPr>
          <w:p w14:paraId="098AA41E" w14:textId="77777777" w:rsidR="00141CDF" w:rsidRDefault="00141CDF">
            <w:pPr>
              <w:rPr>
                <w:rFonts w:ascii="宋体"/>
              </w:rPr>
            </w:pPr>
          </w:p>
        </w:tc>
        <w:tc>
          <w:tcPr>
            <w:tcW w:w="50" w:type="pct"/>
            <w:shd w:val="clear" w:color="auto" w:fill="auto"/>
            <w:vAlign w:val="bottom"/>
          </w:tcPr>
          <w:p w14:paraId="098AA41F" w14:textId="77777777" w:rsidR="00141CDF" w:rsidRDefault="00141CDF">
            <w:pPr>
              <w:rPr>
                <w:rFonts w:ascii="宋体"/>
              </w:rPr>
            </w:pPr>
          </w:p>
        </w:tc>
        <w:tc>
          <w:tcPr>
            <w:tcW w:w="1314" w:type="pct"/>
            <w:shd w:val="clear" w:color="auto" w:fill="auto"/>
            <w:vAlign w:val="bottom"/>
          </w:tcPr>
          <w:p w14:paraId="098AA420" w14:textId="77777777" w:rsidR="00141CDF" w:rsidRDefault="00141CDF">
            <w:pPr>
              <w:rPr>
                <w:rFonts w:ascii="宋体"/>
              </w:rPr>
            </w:pPr>
          </w:p>
        </w:tc>
        <w:tc>
          <w:tcPr>
            <w:tcW w:w="5" w:type="pct"/>
            <w:shd w:val="clear" w:color="auto" w:fill="auto"/>
            <w:vAlign w:val="bottom"/>
          </w:tcPr>
          <w:p w14:paraId="098AA421" w14:textId="77777777" w:rsidR="00141CDF" w:rsidRDefault="00141CDF">
            <w:pPr>
              <w:rPr>
                <w:rFonts w:ascii="宋体"/>
              </w:rPr>
            </w:pPr>
          </w:p>
        </w:tc>
      </w:tr>
      <w:tr w:rsidR="00141CDF" w14:paraId="098AA428" w14:textId="77777777">
        <w:trPr>
          <w:jc w:val="center"/>
        </w:trPr>
        <w:tc>
          <w:tcPr>
            <w:tcW w:w="0" w:type="auto"/>
            <w:gridSpan w:val="3"/>
            <w:shd w:val="clear" w:color="auto" w:fill="auto"/>
            <w:tcMar>
              <w:top w:w="40" w:type="dxa"/>
              <w:left w:w="20" w:type="dxa"/>
              <w:bottom w:w="40" w:type="dxa"/>
              <w:right w:w="20" w:type="dxa"/>
            </w:tcMar>
            <w:vAlign w:val="bottom"/>
          </w:tcPr>
          <w:p w14:paraId="098AA423" w14:textId="77777777" w:rsidR="00141CDF" w:rsidRDefault="00DF45E0">
            <w:pPr>
              <w:textAlignment w:val="bottom"/>
            </w:pPr>
            <w:r>
              <w:rPr>
                <w:rFonts w:ascii="Times New Roman" w:eastAsia="宋体" w:hAnsi="Times New Roman"/>
                <w:b/>
                <w:bCs/>
                <w:color w:val="000000"/>
                <w:sz w:val="16"/>
                <w:szCs w:val="16"/>
              </w:rPr>
              <w:t>Rating agency</w:t>
            </w:r>
          </w:p>
        </w:tc>
        <w:tc>
          <w:tcPr>
            <w:tcW w:w="0" w:type="auto"/>
            <w:gridSpan w:val="3"/>
            <w:shd w:val="clear" w:color="auto" w:fill="auto"/>
            <w:tcMar>
              <w:top w:w="40" w:type="dxa"/>
              <w:left w:w="20" w:type="dxa"/>
              <w:bottom w:w="40" w:type="dxa"/>
              <w:right w:w="20" w:type="dxa"/>
            </w:tcMar>
            <w:vAlign w:val="bottom"/>
          </w:tcPr>
          <w:p w14:paraId="098AA424" w14:textId="77777777" w:rsidR="00141CDF" w:rsidRDefault="00DF45E0">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098AA425" w14:textId="77777777" w:rsidR="00141CDF" w:rsidRDefault="00DF45E0">
            <w:pPr>
              <w:jc w:val="center"/>
              <w:textAlignment w:val="bottom"/>
            </w:pPr>
            <w:r>
              <w:rPr>
                <w:rFonts w:ascii="Times New Roman" w:eastAsia="宋体" w:hAnsi="Times New Roman"/>
                <w:b/>
                <w:bCs/>
                <w:color w:val="000000"/>
                <w:sz w:val="16"/>
                <w:szCs w:val="16"/>
              </w:rPr>
              <w:t>Commercial paper</w:t>
            </w:r>
          </w:p>
        </w:tc>
        <w:tc>
          <w:tcPr>
            <w:tcW w:w="0" w:type="auto"/>
            <w:gridSpan w:val="3"/>
            <w:shd w:val="clear" w:color="auto" w:fill="auto"/>
            <w:tcMar>
              <w:top w:w="40" w:type="dxa"/>
              <w:left w:w="20" w:type="dxa"/>
              <w:bottom w:w="40" w:type="dxa"/>
              <w:right w:w="20" w:type="dxa"/>
            </w:tcMar>
            <w:vAlign w:val="bottom"/>
          </w:tcPr>
          <w:p w14:paraId="098AA426" w14:textId="77777777" w:rsidR="00141CDF" w:rsidRDefault="00DF45E0">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098AA427" w14:textId="77777777" w:rsidR="00141CDF" w:rsidRDefault="00DF45E0">
            <w:pPr>
              <w:jc w:val="center"/>
              <w:textAlignment w:val="bottom"/>
            </w:pPr>
            <w:r>
              <w:rPr>
                <w:rFonts w:ascii="Times New Roman" w:eastAsia="宋体" w:hAnsi="Times New Roman"/>
                <w:b/>
                <w:bCs/>
                <w:color w:val="000000"/>
                <w:sz w:val="16"/>
                <w:szCs w:val="16"/>
              </w:rPr>
              <w:t>Long-term debt</w:t>
            </w:r>
          </w:p>
        </w:tc>
      </w:tr>
      <w:tr w:rsidR="00141CDF" w14:paraId="098AA42E"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098AA429" w14:textId="77777777" w:rsidR="00141CDF" w:rsidRDefault="00DF45E0">
            <w:pPr>
              <w:textAlignment w:val="center"/>
            </w:pPr>
            <w:r>
              <w:rPr>
                <w:rFonts w:ascii="Times New Roman" w:eastAsia="宋体" w:hAnsi="Times New Roman"/>
                <w:color w:val="000000"/>
                <w:sz w:val="16"/>
                <w:szCs w:val="16"/>
              </w:rPr>
              <w:t>Standard &amp; Poor's</w:t>
            </w:r>
          </w:p>
        </w:tc>
        <w:tc>
          <w:tcPr>
            <w:tcW w:w="0" w:type="auto"/>
            <w:gridSpan w:val="3"/>
            <w:shd w:val="clear" w:color="auto" w:fill="CCEEFF"/>
            <w:tcMar>
              <w:top w:w="40" w:type="dxa"/>
              <w:left w:w="20" w:type="dxa"/>
              <w:bottom w:w="40" w:type="dxa"/>
              <w:right w:w="20" w:type="dxa"/>
            </w:tcMar>
            <w:vAlign w:val="center"/>
          </w:tcPr>
          <w:p w14:paraId="098AA42A" w14:textId="77777777" w:rsidR="00141CDF" w:rsidRDefault="00DF45E0">
            <w:pPr>
              <w:textAlignment w:val="center"/>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098AA42B" w14:textId="77777777" w:rsidR="00141CDF" w:rsidRDefault="00DF45E0">
            <w:pPr>
              <w:jc w:val="center"/>
              <w:textAlignment w:val="center"/>
            </w:pPr>
            <w:r>
              <w:rPr>
                <w:rFonts w:ascii="Times New Roman" w:eastAsia="宋体" w:hAnsi="Times New Roman"/>
                <w:color w:val="000000"/>
                <w:sz w:val="16"/>
                <w:szCs w:val="16"/>
              </w:rPr>
              <w:t>A-1+</w:t>
            </w:r>
          </w:p>
        </w:tc>
        <w:tc>
          <w:tcPr>
            <w:tcW w:w="0" w:type="auto"/>
            <w:gridSpan w:val="3"/>
            <w:shd w:val="clear" w:color="auto" w:fill="CCEEFF"/>
            <w:tcMar>
              <w:top w:w="40" w:type="dxa"/>
              <w:left w:w="20" w:type="dxa"/>
              <w:bottom w:w="40" w:type="dxa"/>
              <w:right w:w="20" w:type="dxa"/>
            </w:tcMar>
            <w:vAlign w:val="center"/>
          </w:tcPr>
          <w:p w14:paraId="098AA42C" w14:textId="77777777" w:rsidR="00141CDF" w:rsidRDefault="00DF45E0">
            <w:pPr>
              <w:textAlignment w:val="center"/>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098AA42D" w14:textId="77777777" w:rsidR="00141CDF" w:rsidRDefault="00DF45E0">
            <w:pPr>
              <w:jc w:val="center"/>
              <w:textAlignment w:val="center"/>
            </w:pPr>
            <w:r>
              <w:rPr>
                <w:rFonts w:ascii="Times New Roman" w:eastAsia="宋体" w:hAnsi="Times New Roman"/>
                <w:color w:val="000000"/>
                <w:sz w:val="16"/>
                <w:szCs w:val="16"/>
              </w:rPr>
              <w:t>AA</w:t>
            </w:r>
          </w:p>
        </w:tc>
      </w:tr>
      <w:tr w:rsidR="00141CDF" w14:paraId="098AA434" w14:textId="77777777">
        <w:trPr>
          <w:jc w:val="center"/>
        </w:trPr>
        <w:tc>
          <w:tcPr>
            <w:tcW w:w="0" w:type="auto"/>
            <w:gridSpan w:val="3"/>
            <w:shd w:val="clear" w:color="auto" w:fill="FFFFFF"/>
            <w:tcMar>
              <w:top w:w="40" w:type="dxa"/>
              <w:left w:w="20" w:type="dxa"/>
              <w:bottom w:w="40" w:type="dxa"/>
              <w:right w:w="20" w:type="dxa"/>
            </w:tcMar>
            <w:vAlign w:val="center"/>
          </w:tcPr>
          <w:p w14:paraId="098AA42F" w14:textId="77777777" w:rsidR="00141CDF" w:rsidRDefault="00DF45E0">
            <w:pPr>
              <w:textAlignment w:val="center"/>
            </w:pPr>
            <w:r>
              <w:rPr>
                <w:rFonts w:ascii="Times New Roman" w:eastAsia="宋体" w:hAnsi="Times New Roman"/>
                <w:color w:val="000000"/>
                <w:sz w:val="16"/>
                <w:szCs w:val="16"/>
              </w:rPr>
              <w:t>Moody's Investors Service</w:t>
            </w:r>
          </w:p>
        </w:tc>
        <w:tc>
          <w:tcPr>
            <w:tcW w:w="0" w:type="auto"/>
            <w:gridSpan w:val="3"/>
            <w:shd w:val="clear" w:color="auto" w:fill="FFFFFF"/>
            <w:tcMar>
              <w:top w:w="40" w:type="dxa"/>
              <w:left w:w="20" w:type="dxa"/>
              <w:bottom w:w="40" w:type="dxa"/>
              <w:right w:w="20" w:type="dxa"/>
            </w:tcMar>
            <w:vAlign w:val="center"/>
          </w:tcPr>
          <w:p w14:paraId="098AA430" w14:textId="77777777" w:rsidR="00141CDF" w:rsidRDefault="00DF45E0">
            <w:pPr>
              <w:textAlignment w:val="center"/>
            </w:pPr>
            <w:r>
              <w:rPr>
                <w:rFonts w:ascii="Times New Roman" w:eastAsia="宋体" w:hAnsi="Times New Roman"/>
                <w:color w:val="000000"/>
                <w:sz w:val="16"/>
                <w:szCs w:val="16"/>
              </w:rPr>
              <w:t>  </w:t>
            </w:r>
          </w:p>
        </w:tc>
        <w:tc>
          <w:tcPr>
            <w:tcW w:w="0" w:type="auto"/>
            <w:gridSpan w:val="3"/>
            <w:shd w:val="clear" w:color="auto" w:fill="FFFFFF"/>
            <w:tcMar>
              <w:top w:w="40" w:type="dxa"/>
              <w:left w:w="20" w:type="dxa"/>
              <w:bottom w:w="40" w:type="dxa"/>
              <w:right w:w="20" w:type="dxa"/>
            </w:tcMar>
            <w:vAlign w:val="center"/>
          </w:tcPr>
          <w:p w14:paraId="098AA431" w14:textId="77777777" w:rsidR="00141CDF" w:rsidRDefault="00DF45E0">
            <w:pPr>
              <w:jc w:val="center"/>
              <w:textAlignment w:val="center"/>
            </w:pPr>
            <w:r>
              <w:rPr>
                <w:rFonts w:ascii="Times New Roman" w:eastAsia="宋体" w:hAnsi="Times New Roman"/>
                <w:color w:val="000000"/>
                <w:sz w:val="16"/>
                <w:szCs w:val="16"/>
              </w:rPr>
              <w:t>P-1</w:t>
            </w:r>
          </w:p>
        </w:tc>
        <w:tc>
          <w:tcPr>
            <w:tcW w:w="0" w:type="auto"/>
            <w:gridSpan w:val="3"/>
            <w:shd w:val="clear" w:color="auto" w:fill="FFFFFF"/>
            <w:tcMar>
              <w:top w:w="40" w:type="dxa"/>
              <w:left w:w="20" w:type="dxa"/>
              <w:bottom w:w="40" w:type="dxa"/>
              <w:right w:w="20" w:type="dxa"/>
            </w:tcMar>
            <w:vAlign w:val="center"/>
          </w:tcPr>
          <w:p w14:paraId="098AA432" w14:textId="77777777" w:rsidR="00141CDF" w:rsidRDefault="00DF45E0">
            <w:pPr>
              <w:textAlignment w:val="center"/>
            </w:pPr>
            <w:r>
              <w:rPr>
                <w:rFonts w:ascii="Times New Roman" w:eastAsia="宋体" w:hAnsi="Times New Roman"/>
                <w:color w:val="000000"/>
                <w:sz w:val="16"/>
                <w:szCs w:val="16"/>
              </w:rPr>
              <w:t>  </w:t>
            </w:r>
          </w:p>
        </w:tc>
        <w:tc>
          <w:tcPr>
            <w:tcW w:w="0" w:type="auto"/>
            <w:gridSpan w:val="3"/>
            <w:shd w:val="clear" w:color="auto" w:fill="FFFFFF"/>
            <w:tcMar>
              <w:top w:w="40" w:type="dxa"/>
              <w:left w:w="20" w:type="dxa"/>
              <w:bottom w:w="40" w:type="dxa"/>
              <w:right w:w="20" w:type="dxa"/>
            </w:tcMar>
            <w:vAlign w:val="center"/>
          </w:tcPr>
          <w:p w14:paraId="098AA433" w14:textId="77777777" w:rsidR="00141CDF" w:rsidRDefault="00DF45E0">
            <w:pPr>
              <w:jc w:val="center"/>
              <w:textAlignment w:val="center"/>
            </w:pPr>
            <w:r>
              <w:rPr>
                <w:rFonts w:ascii="Times New Roman" w:eastAsia="宋体" w:hAnsi="Times New Roman"/>
                <w:color w:val="000000"/>
                <w:sz w:val="16"/>
                <w:szCs w:val="16"/>
              </w:rPr>
              <w:t>Aa2</w:t>
            </w:r>
          </w:p>
        </w:tc>
      </w:tr>
      <w:tr w:rsidR="00141CDF" w14:paraId="098AA43A" w14:textId="77777777">
        <w:trPr>
          <w:jc w:val="center"/>
        </w:trPr>
        <w:tc>
          <w:tcPr>
            <w:tcW w:w="0" w:type="auto"/>
            <w:gridSpan w:val="3"/>
            <w:shd w:val="clear" w:color="auto" w:fill="CCEEFF"/>
            <w:tcMar>
              <w:top w:w="40" w:type="dxa"/>
              <w:left w:w="20" w:type="dxa"/>
              <w:bottom w:w="40" w:type="dxa"/>
              <w:right w:w="20" w:type="dxa"/>
            </w:tcMar>
            <w:vAlign w:val="center"/>
          </w:tcPr>
          <w:p w14:paraId="098AA435" w14:textId="77777777" w:rsidR="00141CDF" w:rsidRDefault="00DF45E0">
            <w:pPr>
              <w:textAlignment w:val="center"/>
            </w:pPr>
            <w:r>
              <w:rPr>
                <w:rFonts w:ascii="Times New Roman" w:eastAsia="宋体" w:hAnsi="Times New Roman"/>
                <w:color w:val="000000"/>
                <w:sz w:val="16"/>
                <w:szCs w:val="16"/>
              </w:rPr>
              <w:t>Fitch Ratings</w:t>
            </w:r>
          </w:p>
        </w:tc>
        <w:tc>
          <w:tcPr>
            <w:tcW w:w="0" w:type="auto"/>
            <w:gridSpan w:val="3"/>
            <w:shd w:val="clear" w:color="auto" w:fill="CCEEFF"/>
            <w:tcMar>
              <w:top w:w="40" w:type="dxa"/>
              <w:left w:w="20" w:type="dxa"/>
              <w:bottom w:w="40" w:type="dxa"/>
              <w:right w:w="20" w:type="dxa"/>
            </w:tcMar>
            <w:vAlign w:val="center"/>
          </w:tcPr>
          <w:p w14:paraId="098AA436" w14:textId="77777777" w:rsidR="00141CDF" w:rsidRDefault="00DF45E0">
            <w:pPr>
              <w:textAlignment w:val="center"/>
            </w:pPr>
            <w:r>
              <w:rPr>
                <w:rFonts w:ascii="Times New Roman" w:eastAsia="宋体" w:hAnsi="Times New Roman"/>
                <w:color w:val="000000"/>
                <w:sz w:val="16"/>
                <w:szCs w:val="16"/>
              </w:rPr>
              <w:t>  </w:t>
            </w:r>
          </w:p>
        </w:tc>
        <w:tc>
          <w:tcPr>
            <w:tcW w:w="0" w:type="auto"/>
            <w:gridSpan w:val="3"/>
            <w:shd w:val="clear" w:color="auto" w:fill="CCEEFF"/>
            <w:tcMar>
              <w:top w:w="40" w:type="dxa"/>
              <w:left w:w="20" w:type="dxa"/>
              <w:bottom w:w="40" w:type="dxa"/>
              <w:right w:w="20" w:type="dxa"/>
            </w:tcMar>
            <w:vAlign w:val="center"/>
          </w:tcPr>
          <w:p w14:paraId="098AA437" w14:textId="77777777" w:rsidR="00141CDF" w:rsidRDefault="00DF45E0">
            <w:pPr>
              <w:jc w:val="center"/>
              <w:textAlignment w:val="center"/>
            </w:pPr>
            <w:r>
              <w:rPr>
                <w:rFonts w:ascii="Times New Roman" w:eastAsia="宋体" w:hAnsi="Times New Roman"/>
                <w:color w:val="000000"/>
                <w:sz w:val="16"/>
                <w:szCs w:val="16"/>
              </w:rPr>
              <w:t>F1+</w:t>
            </w:r>
          </w:p>
        </w:tc>
        <w:tc>
          <w:tcPr>
            <w:tcW w:w="0" w:type="auto"/>
            <w:gridSpan w:val="3"/>
            <w:shd w:val="clear" w:color="auto" w:fill="CCEEFF"/>
            <w:tcMar>
              <w:top w:w="40" w:type="dxa"/>
              <w:left w:w="20" w:type="dxa"/>
              <w:bottom w:w="40" w:type="dxa"/>
              <w:right w:w="20" w:type="dxa"/>
            </w:tcMar>
            <w:vAlign w:val="center"/>
          </w:tcPr>
          <w:p w14:paraId="098AA438" w14:textId="77777777" w:rsidR="00141CDF" w:rsidRDefault="00DF45E0">
            <w:pPr>
              <w:textAlignment w:val="center"/>
            </w:pPr>
            <w:r>
              <w:rPr>
                <w:rFonts w:ascii="Times New Roman" w:eastAsia="宋体" w:hAnsi="Times New Roman"/>
                <w:color w:val="000000"/>
                <w:sz w:val="16"/>
                <w:szCs w:val="16"/>
              </w:rPr>
              <w:t>  </w:t>
            </w:r>
          </w:p>
        </w:tc>
        <w:tc>
          <w:tcPr>
            <w:tcW w:w="0" w:type="auto"/>
            <w:gridSpan w:val="3"/>
            <w:shd w:val="clear" w:color="auto" w:fill="CCEEFF"/>
            <w:tcMar>
              <w:top w:w="40" w:type="dxa"/>
              <w:left w:w="20" w:type="dxa"/>
              <w:bottom w:w="40" w:type="dxa"/>
              <w:right w:w="20" w:type="dxa"/>
            </w:tcMar>
            <w:vAlign w:val="center"/>
          </w:tcPr>
          <w:p w14:paraId="098AA439" w14:textId="77777777" w:rsidR="00141CDF" w:rsidRDefault="00DF45E0">
            <w:pPr>
              <w:jc w:val="center"/>
              <w:textAlignment w:val="center"/>
            </w:pPr>
            <w:r>
              <w:rPr>
                <w:rFonts w:ascii="Times New Roman" w:eastAsia="宋体" w:hAnsi="Times New Roman"/>
                <w:color w:val="000000"/>
                <w:sz w:val="16"/>
                <w:szCs w:val="16"/>
              </w:rPr>
              <w:t>AA</w:t>
            </w:r>
          </w:p>
        </w:tc>
      </w:tr>
    </w:tbl>
    <w:p w14:paraId="098AA43B" w14:textId="77777777" w:rsidR="00141CDF" w:rsidRDefault="00DF45E0">
      <w:pPr>
        <w:spacing w:before="100"/>
      </w:pPr>
      <w:r>
        <w:rPr>
          <w:rFonts w:ascii="Times New Roman" w:eastAsia="宋体" w:hAnsi="Times New Roman"/>
          <w:color w:val="000000"/>
          <w:sz w:val="20"/>
          <w:szCs w:val="20"/>
        </w:rPr>
        <w:t>Credit rating agencies review their ratings periodically and, therefore, the credit ratings assigned to us by each agency may be subject to revision at any time. Accordingly, we are not able to predict whether our current credit ratings will remain consist</w:t>
      </w:r>
      <w:r>
        <w:rPr>
          <w:rFonts w:ascii="Times New Roman" w:eastAsia="宋体" w:hAnsi="Times New Roman"/>
          <w:color w:val="000000"/>
          <w:sz w:val="20"/>
          <w:szCs w:val="20"/>
        </w:rPr>
        <w:t xml:space="preserve">ent over time. Factors that could affect our credit ratings include changes in our operating performance, the general economic environment, conditions in the retail industry, our financial position, including our total debt and capitalization, and changes </w:t>
      </w:r>
      <w:r>
        <w:rPr>
          <w:rFonts w:ascii="Times New Roman" w:eastAsia="宋体" w:hAnsi="Times New Roman"/>
          <w:color w:val="000000"/>
          <w:sz w:val="20"/>
          <w:szCs w:val="20"/>
        </w:rPr>
        <w:t xml:space="preserve">in our business strategy. Any downgrade of our credit ratings by a credit rating agency could increase our future borrowing costs or impair our ability to access capital and credit markets on terms commercially acceptable to us. In addition, any downgrade </w:t>
      </w:r>
      <w:r>
        <w:rPr>
          <w:rFonts w:ascii="Times New Roman" w:eastAsia="宋体" w:hAnsi="Times New Roman"/>
          <w:color w:val="000000"/>
          <w:sz w:val="20"/>
          <w:szCs w:val="20"/>
        </w:rPr>
        <w:t>of our current short-term credit ratings could impair our ability to access the commercial paper markets with the same flexibility that we have experienced historically, potentially requiring us to rely more heavily on more expensive types of debt financin</w:t>
      </w:r>
      <w:r>
        <w:rPr>
          <w:rFonts w:ascii="Times New Roman" w:eastAsia="宋体" w:hAnsi="Times New Roman"/>
          <w:color w:val="000000"/>
          <w:sz w:val="20"/>
          <w:szCs w:val="20"/>
        </w:rPr>
        <w:t xml:space="preserve">g. </w:t>
      </w:r>
    </w:p>
    <w:p w14:paraId="098AA43C" w14:textId="77777777" w:rsidR="00141CDF" w:rsidRDefault="00DF45E0">
      <w:pPr>
        <w:jc w:val="center"/>
      </w:pPr>
      <w:r>
        <w:rPr>
          <w:rFonts w:ascii="Times New Roman" w:eastAsia="宋体" w:hAnsi="Times New Roman"/>
          <w:color w:val="000000"/>
          <w:sz w:val="20"/>
          <w:szCs w:val="20"/>
        </w:rPr>
        <w:t>24</w:t>
      </w:r>
    </w:p>
    <w:p w14:paraId="098AA43D" w14:textId="77777777" w:rsidR="00141CDF" w:rsidRDefault="00DF45E0">
      <w:r>
        <w:pict w14:anchorId="098AA666">
          <v:rect id="_x0000_i1048" style="width:415.3pt;height:1.5pt" o:hralign="center" o:hrstd="t" o:hr="t" fillcolor="#a0a0a0" stroked="f"/>
        </w:pict>
      </w:r>
    </w:p>
    <w:p w14:paraId="098AA43E" w14:textId="77777777" w:rsidR="00141CDF" w:rsidRDefault="00DF45E0">
      <w:hyperlink r:id="rId90" w:anchor="i24a2f296795646fa8b5ba32fd1359591_7" w:history="1">
        <w:r>
          <w:rPr>
            <w:rStyle w:val="a5"/>
            <w:rFonts w:ascii="Times New Roman" w:eastAsia="宋体" w:hAnsi="Times New Roman"/>
            <w:sz w:val="20"/>
            <w:szCs w:val="20"/>
          </w:rPr>
          <w:t xml:space="preserve">Table of </w:t>
        </w:r>
      </w:hyperlink>
      <w:hyperlink r:id="rId91" w:anchor="i24a2f296795646fa8b5ba32fd1359591_7" w:history="1">
        <w:r>
          <w:rPr>
            <w:rStyle w:val="a5"/>
            <w:rFonts w:ascii="Times New Roman" w:eastAsia="宋体" w:hAnsi="Times New Roman"/>
            <w:sz w:val="20"/>
            <w:szCs w:val="20"/>
          </w:rPr>
          <w:t>Contents</w:t>
        </w:r>
      </w:hyperlink>
    </w:p>
    <w:p w14:paraId="098AA43F" w14:textId="77777777" w:rsidR="00141CDF" w:rsidRDefault="00DF45E0">
      <w:pPr>
        <w:spacing w:before="100"/>
      </w:pPr>
      <w:r>
        <w:rPr>
          <w:rFonts w:ascii="Times New Roman" w:eastAsia="宋体" w:hAnsi="Times New Roman"/>
          <w:color w:val="000000"/>
          <w:sz w:val="20"/>
          <w:szCs w:val="20"/>
        </w:rPr>
        <w:t>The credit rating agency ratings are not recommendations to buy, sell or hold our commercial paper or debt securities. Each rating may be subject to revision or withdrawal at any ti</w:t>
      </w:r>
      <w:r>
        <w:rPr>
          <w:rFonts w:ascii="Times New Roman" w:eastAsia="宋体" w:hAnsi="Times New Roman"/>
          <w:color w:val="000000"/>
          <w:sz w:val="20"/>
          <w:szCs w:val="20"/>
        </w:rPr>
        <w:t>me by the assigning rating organization and should be evaluated independently of any other rating. Moreover, each credit rating is specific to the security to which it applies.</w:t>
      </w:r>
    </w:p>
    <w:p w14:paraId="098AA440" w14:textId="77777777" w:rsidR="00141CDF" w:rsidRDefault="00DF45E0">
      <w:pPr>
        <w:spacing w:before="180"/>
      </w:pPr>
      <w:r>
        <w:rPr>
          <w:rFonts w:ascii="Times New Roman" w:eastAsia="宋体" w:hAnsi="Times New Roman"/>
          <w:b/>
          <w:bCs/>
          <w:color w:val="000000"/>
          <w:sz w:val="20"/>
          <w:szCs w:val="20"/>
        </w:rPr>
        <w:t>Other Matters</w:t>
      </w:r>
    </w:p>
    <w:p w14:paraId="098AA441" w14:textId="77777777" w:rsidR="00141CDF" w:rsidRDefault="00DF45E0">
      <w:r>
        <w:rPr>
          <w:rFonts w:ascii="Times New Roman" w:eastAsia="宋体" w:hAnsi="Times New Roman"/>
          <w:color w:val="000000"/>
          <w:sz w:val="20"/>
          <w:szCs w:val="20"/>
        </w:rPr>
        <w:t xml:space="preserve">In </w:t>
      </w:r>
      <w:hyperlink r:id="rId92" w:anchor="i24a2f296795646fa8b5ba32fd1359591_55" w:history="1">
        <w:r>
          <w:rPr>
            <w:rStyle w:val="a5"/>
            <w:rFonts w:ascii="Times New Roman" w:eastAsia="宋体" w:hAnsi="Times New Roman"/>
            <w:sz w:val="20"/>
            <w:szCs w:val="20"/>
          </w:rPr>
          <w:t>Note 6</w:t>
        </w:r>
      </w:hyperlink>
      <w:r>
        <w:rPr>
          <w:rFonts w:ascii="Times New Roman" w:eastAsia="宋体" w:hAnsi="Times New Roman"/>
          <w:color w:val="000000"/>
          <w:sz w:val="20"/>
          <w:szCs w:val="20"/>
        </w:rPr>
        <w:t xml:space="preserve"> to our Condensed Consolidated Financial Statements, which is captioned "Contingencies" and appears in Part I of this Quarterly Report on Form 10-Q under the c</w:t>
      </w:r>
      <w:r>
        <w:rPr>
          <w:rFonts w:ascii="Times New Roman" w:eastAsia="宋体" w:hAnsi="Times New Roman"/>
          <w:color w:val="000000"/>
          <w:sz w:val="20"/>
          <w:szCs w:val="20"/>
        </w:rPr>
        <w:t>aption "</w:t>
      </w:r>
      <w:hyperlink r:id="rId93" w:anchor="i24a2f296795646fa8b5ba32fd1359591_13" w:history="1">
        <w:r>
          <w:rPr>
            <w:rStyle w:val="a5"/>
            <w:rFonts w:ascii="Times New Roman" w:eastAsia="宋体" w:hAnsi="Times New Roman"/>
            <w:sz w:val="20"/>
            <w:szCs w:val="20"/>
          </w:rPr>
          <w:t>Item 1. Financial Statements</w:t>
        </w:r>
      </w:hyperlink>
      <w:r>
        <w:rPr>
          <w:rFonts w:ascii="Times New Roman" w:eastAsia="宋体" w:hAnsi="Times New Roman"/>
          <w:color w:val="000000"/>
          <w:sz w:val="20"/>
          <w:szCs w:val="20"/>
        </w:rPr>
        <w:t>," we discuss, under the sub-caption "</w:t>
      </w:r>
      <w:r>
        <w:rPr>
          <w:rFonts w:ascii="Times New Roman" w:eastAsia="宋体" w:hAnsi="Times New Roman"/>
          <w:i/>
          <w:iCs/>
          <w:color w:val="000000"/>
          <w:sz w:val="20"/>
          <w:szCs w:val="20"/>
        </w:rPr>
        <w:t>Opioids Litigation</w:t>
      </w:r>
      <w:r>
        <w:rPr>
          <w:rFonts w:ascii="Times New Roman" w:eastAsia="宋体" w:hAnsi="Times New Roman"/>
          <w:color w:val="000000"/>
          <w:sz w:val="20"/>
          <w:szCs w:val="20"/>
        </w:rPr>
        <w:t xml:space="preserve">," the Prescription Opiate Litigation and other matters, including certain risks arising therefrom. In that </w:t>
      </w:r>
      <w:hyperlink r:id="rId94" w:anchor="i24a2f296795646fa8b5ba32fd1359591_55" w:history="1">
        <w:r>
          <w:rPr>
            <w:rStyle w:val="a5"/>
            <w:rFonts w:ascii="Times New Roman" w:eastAsia="宋体" w:hAnsi="Times New Roman"/>
            <w:sz w:val="20"/>
            <w:szCs w:val="20"/>
          </w:rPr>
          <w:t>Note 6</w:t>
        </w:r>
      </w:hyperlink>
      <w:r>
        <w:rPr>
          <w:rFonts w:ascii="Times New Roman" w:eastAsia="宋体" w:hAnsi="Times New Roman"/>
          <w:color w:val="000000"/>
          <w:sz w:val="20"/>
          <w:szCs w:val="20"/>
        </w:rPr>
        <w:t>, we also discuss, under the sub-caption "</w:t>
      </w:r>
      <w:r>
        <w:rPr>
          <w:rFonts w:ascii="Times New Roman" w:eastAsia="宋体" w:hAnsi="Times New Roman"/>
          <w:i/>
          <w:iCs/>
          <w:color w:val="000000"/>
          <w:sz w:val="20"/>
          <w:szCs w:val="20"/>
        </w:rPr>
        <w:t xml:space="preserve">Asda Equal Value Claims," </w:t>
      </w:r>
      <w:r>
        <w:rPr>
          <w:rFonts w:ascii="Times New Roman" w:eastAsia="宋体" w:hAnsi="Times New Roman"/>
          <w:color w:val="000000"/>
          <w:sz w:val="20"/>
          <w:szCs w:val="20"/>
        </w:rPr>
        <w:t>the Company's indemnification obligation for the Asda Equal Value Claims matter as well as under the sub-caption "</w:t>
      </w:r>
      <w:r>
        <w:rPr>
          <w:rFonts w:ascii="Times New Roman" w:eastAsia="宋体" w:hAnsi="Times New Roman"/>
          <w:i/>
          <w:iCs/>
          <w:color w:val="000000"/>
          <w:sz w:val="20"/>
          <w:szCs w:val="20"/>
        </w:rPr>
        <w:t>Money Transfer Agent Services Matters,</w:t>
      </w:r>
      <w:r>
        <w:rPr>
          <w:rFonts w:ascii="Times New Roman" w:eastAsia="宋体" w:hAnsi="Times New Roman"/>
          <w:color w:val="000000"/>
          <w:sz w:val="20"/>
          <w:szCs w:val="20"/>
        </w:rPr>
        <w:t>" a United States Federal</w:t>
      </w:r>
      <w:r>
        <w:rPr>
          <w:rFonts w:ascii="Times New Roman" w:eastAsia="宋体" w:hAnsi="Times New Roman"/>
          <w:color w:val="000000"/>
          <w:sz w:val="20"/>
          <w:szCs w:val="20"/>
        </w:rPr>
        <w:t xml:space="preserve"> Trade Commission complaint related to money transfers and the Company's anti-fraud program and a government investigation by the U.S. Attorney's Office for the Middle District of Pennsylvania into the Company's consumer fraud prevention program and anti-m</w:t>
      </w:r>
      <w:r>
        <w:rPr>
          <w:rFonts w:ascii="Times New Roman" w:eastAsia="宋体" w:hAnsi="Times New Roman"/>
          <w:color w:val="000000"/>
          <w:sz w:val="20"/>
          <w:szCs w:val="20"/>
        </w:rPr>
        <w:t>oney laundering compliance related to the Company's money transfer agent services. We also discuss various legal proceedings related to the Federal and State Prescription Opiate Litigation, DOJ Opioid Civil Litigation and Opioids Related Securities Class A</w:t>
      </w:r>
      <w:r>
        <w:rPr>
          <w:rFonts w:ascii="Times New Roman" w:eastAsia="宋体" w:hAnsi="Times New Roman"/>
          <w:color w:val="000000"/>
          <w:sz w:val="20"/>
          <w:szCs w:val="20"/>
        </w:rPr>
        <w:t xml:space="preserve">ctions and Derivative Litigation, Asda Equal Value Claims, and Money Transfer Agent Services litigation in </w:t>
      </w:r>
      <w:hyperlink r:id="rId95" w:anchor="i24a2f296795646fa8b5ba32fd1359591_109" w:history="1">
        <w:r>
          <w:rPr>
            <w:rStyle w:val="a5"/>
            <w:rFonts w:ascii="Times New Roman" w:eastAsia="宋体" w:hAnsi="Times New Roman"/>
            <w:sz w:val="20"/>
            <w:szCs w:val="20"/>
          </w:rPr>
          <w:t>Part II</w:t>
        </w:r>
      </w:hyperlink>
      <w:r>
        <w:rPr>
          <w:rFonts w:ascii="Times New Roman" w:eastAsia="宋体" w:hAnsi="Times New Roman"/>
          <w:color w:val="000000"/>
          <w:sz w:val="20"/>
          <w:szCs w:val="20"/>
        </w:rPr>
        <w:t xml:space="preserve"> of this Quarterly Report on Form 10-Q under the caption "</w:t>
      </w:r>
      <w:hyperlink r:id="rId96" w:anchor="i24a2f296795646fa8b5ba32fd1359591_112" w:history="1">
        <w:r>
          <w:rPr>
            <w:rStyle w:val="a5"/>
            <w:rFonts w:ascii="Times New Roman" w:eastAsia="宋体" w:hAnsi="Times New Roman"/>
            <w:sz w:val="20"/>
            <w:szCs w:val="20"/>
          </w:rPr>
          <w:t>Item 1. Legal Proceedings</w:t>
        </w:r>
      </w:hyperlink>
      <w:r>
        <w:rPr>
          <w:rFonts w:ascii="Times New Roman" w:eastAsia="宋体" w:hAnsi="Times New Roman"/>
          <w:color w:val="000000"/>
          <w:sz w:val="20"/>
          <w:szCs w:val="20"/>
        </w:rPr>
        <w:t>," unde</w:t>
      </w:r>
      <w:r>
        <w:rPr>
          <w:rFonts w:ascii="Times New Roman" w:eastAsia="宋体" w:hAnsi="Times New Roman"/>
          <w:color w:val="000000"/>
          <w:sz w:val="20"/>
          <w:szCs w:val="20"/>
        </w:rPr>
        <w:t xml:space="preserve">r the sub-caption "I. Supplemental Information." We also discuss items related to the Foreign Direct Investment matter in India in </w:t>
      </w:r>
      <w:hyperlink r:id="rId97" w:anchor="i24a2f296795646fa8b5ba32fd1359591_109" w:history="1">
        <w:r>
          <w:rPr>
            <w:rStyle w:val="a5"/>
            <w:rFonts w:ascii="Times New Roman" w:eastAsia="宋体" w:hAnsi="Times New Roman"/>
            <w:sz w:val="20"/>
            <w:szCs w:val="20"/>
          </w:rPr>
          <w:t>Part II</w:t>
        </w:r>
      </w:hyperlink>
      <w:r>
        <w:rPr>
          <w:rFonts w:ascii="Times New Roman" w:eastAsia="宋体" w:hAnsi="Times New Roman"/>
          <w:color w:val="000000"/>
          <w:sz w:val="20"/>
          <w:szCs w:val="20"/>
        </w:rPr>
        <w:t xml:space="preserve"> of this Quarterly Report on Form 10-Q under the caption "</w:t>
      </w:r>
      <w:hyperlink r:id="rId98" w:anchor="i24a2f296795646fa8b5ba32fd1359591_112" w:history="1">
        <w:r>
          <w:rPr>
            <w:rStyle w:val="a5"/>
            <w:rFonts w:ascii="Times New Roman" w:eastAsia="宋体" w:hAnsi="Times New Roman"/>
            <w:sz w:val="20"/>
            <w:szCs w:val="20"/>
          </w:rPr>
          <w:t>Item 1. Leg</w:t>
        </w:r>
        <w:r>
          <w:rPr>
            <w:rStyle w:val="a5"/>
            <w:rFonts w:ascii="Times New Roman" w:eastAsia="宋体" w:hAnsi="Times New Roman"/>
            <w:sz w:val="20"/>
            <w:szCs w:val="20"/>
          </w:rPr>
          <w:t>al Proceedings</w:t>
        </w:r>
      </w:hyperlink>
      <w:r>
        <w:rPr>
          <w:rFonts w:ascii="Times New Roman" w:eastAsia="宋体" w:hAnsi="Times New Roman"/>
          <w:color w:val="000000"/>
          <w:sz w:val="20"/>
          <w:szCs w:val="20"/>
        </w:rPr>
        <w:t>," under the sub-caption "II. Certain Other Matters." We also discuss an environmental matter with the State of California in</w:t>
      </w:r>
      <w:hyperlink r:id="rId99" w:anchor="i24a2f296795646fa8b5ba32fd1359591_109" w:history="1">
        <w:r>
          <w:rPr>
            <w:rStyle w:val="a5"/>
            <w:rFonts w:ascii="Times New Roman" w:eastAsia="宋体" w:hAnsi="Times New Roman"/>
            <w:sz w:val="20"/>
            <w:szCs w:val="20"/>
            <w:u w:val="none"/>
          </w:rPr>
          <w:t xml:space="preserve"> </w:t>
        </w:r>
      </w:hyperlink>
      <w:hyperlink r:id="rId100" w:anchor="i24a2f296795646fa8b5ba32fd1359591_109" w:history="1">
        <w:r>
          <w:rPr>
            <w:rStyle w:val="a5"/>
            <w:rFonts w:ascii="Times New Roman" w:eastAsia="宋体" w:hAnsi="Times New Roman"/>
            <w:sz w:val="20"/>
            <w:szCs w:val="20"/>
          </w:rPr>
          <w:t>Part II</w:t>
        </w:r>
      </w:hyperlink>
      <w:r>
        <w:rPr>
          <w:rFonts w:ascii="Times New Roman" w:eastAsia="宋体" w:hAnsi="Times New Roman"/>
          <w:color w:val="000000"/>
          <w:sz w:val="20"/>
          <w:szCs w:val="20"/>
        </w:rPr>
        <w:t xml:space="preserve"> of this Quarterly Report on Form 10-Q under the caption "</w:t>
      </w:r>
      <w:hyperlink r:id="rId101" w:anchor="i24a2f296795646fa8b5ba32fd1359591_112" w:history="1">
        <w:r>
          <w:rPr>
            <w:rStyle w:val="a5"/>
            <w:rFonts w:ascii="Times New Roman" w:eastAsia="宋体" w:hAnsi="Times New Roman"/>
            <w:sz w:val="20"/>
            <w:szCs w:val="20"/>
          </w:rPr>
          <w:t>Item 1. Legal Proceedings</w:t>
        </w:r>
      </w:hyperlink>
      <w:r>
        <w:rPr>
          <w:rFonts w:ascii="Times New Roman" w:eastAsia="宋体" w:hAnsi="Times New Roman"/>
          <w:color w:val="000000"/>
          <w:sz w:val="20"/>
          <w:szCs w:val="20"/>
        </w:rPr>
        <w:t>," under the sub-ca</w:t>
      </w:r>
      <w:r>
        <w:rPr>
          <w:rFonts w:ascii="Times New Roman" w:eastAsia="宋体" w:hAnsi="Times New Roman"/>
          <w:color w:val="000000"/>
          <w:sz w:val="20"/>
          <w:szCs w:val="20"/>
        </w:rPr>
        <w:t>ption "III. Environmental Matters." The foregoing matters and other matters described elsewhere in this Quarterly Report on Form 10-Q represent contingent liabilities of the Company that may or may not result in the incurrence of a material liability by th</w:t>
      </w:r>
      <w:r>
        <w:rPr>
          <w:rFonts w:ascii="Times New Roman" w:eastAsia="宋体" w:hAnsi="Times New Roman"/>
          <w:color w:val="000000"/>
          <w:sz w:val="20"/>
          <w:szCs w:val="20"/>
        </w:rPr>
        <w:t>e Company upon their final resolution.</w:t>
      </w:r>
    </w:p>
    <w:p w14:paraId="098AA442" w14:textId="77777777" w:rsidR="00141CDF" w:rsidRDefault="00DF45E0">
      <w:pPr>
        <w:spacing w:before="180"/>
      </w:pPr>
      <w:r>
        <w:rPr>
          <w:rFonts w:ascii="Times New Roman" w:eastAsia="宋体" w:hAnsi="Times New Roman"/>
          <w:b/>
          <w:bCs/>
          <w:color w:val="000000"/>
          <w:sz w:val="20"/>
          <w:szCs w:val="20"/>
        </w:rPr>
        <w:t>Item 3. Quantitative and Qualitative Disclosures About Market Risk</w:t>
      </w:r>
    </w:p>
    <w:p w14:paraId="098AA443" w14:textId="77777777" w:rsidR="00141CDF" w:rsidRDefault="00DF45E0">
      <w:pPr>
        <w:spacing w:before="100"/>
      </w:pPr>
      <w:r>
        <w:rPr>
          <w:rFonts w:ascii="Times New Roman" w:eastAsia="宋体" w:hAnsi="Times New Roman"/>
          <w:color w:val="000000"/>
          <w:sz w:val="20"/>
          <w:szCs w:val="20"/>
        </w:rPr>
        <w:t xml:space="preserve">Market risks relating to our operations result primarily from changes in interest rates, currency exchange rates and the fair value of certain equity </w:t>
      </w:r>
      <w:r>
        <w:rPr>
          <w:rFonts w:ascii="Times New Roman" w:eastAsia="宋体" w:hAnsi="Times New Roman"/>
          <w:color w:val="000000"/>
          <w:sz w:val="20"/>
          <w:szCs w:val="20"/>
        </w:rPr>
        <w:t>investments. As of July 31, 2022, there were no material changes to our market risks disclosed in our Annual Report on Form 10-K for the fiscal year ended January 31, 2022. The information concerning market risk set forth in Part II, Item 7A. of our Annual</w:t>
      </w:r>
      <w:r>
        <w:rPr>
          <w:rFonts w:ascii="Times New Roman" w:eastAsia="宋体" w:hAnsi="Times New Roman"/>
          <w:color w:val="000000"/>
          <w:sz w:val="20"/>
          <w:szCs w:val="20"/>
        </w:rPr>
        <w:t xml:space="preserve"> Report on Form 10-K for the fiscal year ended January 31, 2022, as filed with the SEC on March 18, 2022, under the caption "</w:t>
      </w:r>
      <w:hyperlink r:id="rId102" w:anchor="i1ba69ebb72ec48f9b754a5e96c4cdf3f_118" w:history="1">
        <w:r>
          <w:rPr>
            <w:rStyle w:val="a5"/>
            <w:rFonts w:ascii="Times New Roman" w:eastAsia="宋体" w:hAnsi="Times New Roman"/>
            <w:sz w:val="20"/>
            <w:szCs w:val="20"/>
          </w:rPr>
          <w:t>Quantitative and Qualitative Disclosures About Market Risk</w:t>
        </w:r>
      </w:hyperlink>
      <w:r>
        <w:rPr>
          <w:rFonts w:ascii="Times New Roman" w:eastAsia="宋体" w:hAnsi="Times New Roman"/>
          <w:color w:val="000000"/>
          <w:sz w:val="20"/>
          <w:szCs w:val="20"/>
        </w:rPr>
        <w:t>," is hereby incorporated by reference into this Quarterly Report on Form 10-Q.</w:t>
      </w:r>
    </w:p>
    <w:p w14:paraId="098AA444" w14:textId="77777777" w:rsidR="00141CDF" w:rsidRDefault="00DF45E0">
      <w:pPr>
        <w:spacing w:before="180"/>
      </w:pPr>
      <w:r>
        <w:rPr>
          <w:rFonts w:ascii="Times New Roman" w:eastAsia="宋体" w:hAnsi="Times New Roman"/>
          <w:b/>
          <w:bCs/>
          <w:color w:val="000000"/>
          <w:sz w:val="20"/>
          <w:szCs w:val="20"/>
        </w:rPr>
        <w:t>Item 4. Controls and Procedures</w:t>
      </w:r>
    </w:p>
    <w:p w14:paraId="098AA445" w14:textId="77777777" w:rsidR="00141CDF" w:rsidRDefault="00DF45E0">
      <w:pPr>
        <w:spacing w:before="100"/>
      </w:pPr>
      <w:r>
        <w:rPr>
          <w:rFonts w:ascii="Times New Roman" w:eastAsia="宋体" w:hAnsi="Times New Roman"/>
          <w:color w:val="000000"/>
          <w:sz w:val="20"/>
          <w:szCs w:val="20"/>
        </w:rPr>
        <w:t>We maintain disclosure controls and procedures that are designed to</w:t>
      </w:r>
      <w:r>
        <w:rPr>
          <w:rFonts w:ascii="Times New Roman" w:eastAsia="宋体" w:hAnsi="Times New Roman"/>
          <w:color w:val="000000"/>
          <w:sz w:val="20"/>
          <w:szCs w:val="20"/>
        </w:rPr>
        <w:t xml:space="preserve"> provide reasonable assurance that information, which is required to be timely disclosed, is accumulated and communicated to management in a timely fashion. In designing and evaluating such controls and procedures, we recognize that any controls and proced</w:t>
      </w:r>
      <w:r>
        <w:rPr>
          <w:rFonts w:ascii="Times New Roman" w:eastAsia="宋体" w:hAnsi="Times New Roman"/>
          <w:color w:val="000000"/>
          <w:sz w:val="20"/>
          <w:szCs w:val="20"/>
        </w:rPr>
        <w:t>ures, no matter how well designed and operated, can provide only reasonable assurance of achieving the desired control objectives. Our management is necessarily required to use judgment in evaluating controls and procedures. Also, we have investments in un</w:t>
      </w:r>
      <w:r>
        <w:rPr>
          <w:rFonts w:ascii="Times New Roman" w:eastAsia="宋体" w:hAnsi="Times New Roman"/>
          <w:color w:val="000000"/>
          <w:sz w:val="20"/>
          <w:szCs w:val="20"/>
        </w:rPr>
        <w:t>consolidated entities. Since we do not control or manage those entities, our controls and procedures with respect to those entities are substantially more limited than those we maintain with respect to our consolidated subsidiaries.</w:t>
      </w:r>
    </w:p>
    <w:p w14:paraId="098AA446" w14:textId="77777777" w:rsidR="00141CDF" w:rsidRDefault="00DF45E0">
      <w:pPr>
        <w:spacing w:before="100"/>
      </w:pPr>
      <w:r>
        <w:rPr>
          <w:rFonts w:ascii="Times New Roman" w:eastAsia="宋体" w:hAnsi="Times New Roman"/>
          <w:color w:val="000000"/>
          <w:sz w:val="20"/>
          <w:szCs w:val="20"/>
        </w:rPr>
        <w:t xml:space="preserve">In the ordinary course </w:t>
      </w:r>
      <w:r>
        <w:rPr>
          <w:rFonts w:ascii="Times New Roman" w:eastAsia="宋体" w:hAnsi="Times New Roman"/>
          <w:color w:val="000000"/>
          <w:sz w:val="20"/>
          <w:szCs w:val="20"/>
        </w:rPr>
        <w:t>of business, we review our internal control over financial reporting and make changes to our systems and processes to improve such controls and increase efficiency, while ensuring that we maintain an effective internal control environment. Changes may incl</w:t>
      </w:r>
      <w:r>
        <w:rPr>
          <w:rFonts w:ascii="Times New Roman" w:eastAsia="宋体" w:hAnsi="Times New Roman"/>
          <w:color w:val="000000"/>
          <w:sz w:val="20"/>
          <w:szCs w:val="20"/>
        </w:rPr>
        <w:t>ude such activities as implementing new, more efficient systems, updating existing systems, automating manual processes, standardizing controls globally, migrating certain processes to our shared services organizations and increasing monitoring controls. T</w:t>
      </w:r>
      <w:r>
        <w:rPr>
          <w:rFonts w:ascii="Times New Roman" w:eastAsia="宋体" w:hAnsi="Times New Roman"/>
          <w:color w:val="000000"/>
          <w:sz w:val="20"/>
          <w:szCs w:val="20"/>
        </w:rPr>
        <w:t>hese changes have not materially affected, and are not reasonably likely to materially affect, the Company's internal control over financial reporting and they allow us to continue to enhance our internal controls over financial reporting and ensure that t</w:t>
      </w:r>
      <w:r>
        <w:rPr>
          <w:rFonts w:ascii="Times New Roman" w:eastAsia="宋体" w:hAnsi="Times New Roman"/>
          <w:color w:val="000000"/>
          <w:sz w:val="20"/>
          <w:szCs w:val="20"/>
        </w:rPr>
        <w:t xml:space="preserve">hey remain effective. </w:t>
      </w:r>
    </w:p>
    <w:p w14:paraId="098AA447" w14:textId="77777777" w:rsidR="00141CDF" w:rsidRDefault="00DF45E0">
      <w:pPr>
        <w:spacing w:before="100"/>
      </w:pPr>
      <w:r>
        <w:rPr>
          <w:rFonts w:ascii="Times New Roman" w:eastAsia="宋体" w:hAnsi="Times New Roman"/>
          <w:color w:val="000000"/>
          <w:sz w:val="20"/>
          <w:szCs w:val="20"/>
        </w:rPr>
        <w:t>An evaluation of the effectiveness of the design and operation of our disclosure controls and procedures as of the end of the period covered by this report was performed under the supervision and with the participation of management,</w:t>
      </w:r>
      <w:r>
        <w:rPr>
          <w:rFonts w:ascii="Times New Roman" w:eastAsia="宋体" w:hAnsi="Times New Roman"/>
          <w:color w:val="000000"/>
          <w:sz w:val="20"/>
          <w:szCs w:val="20"/>
        </w:rPr>
        <w:t xml:space="preserve"> including our Chief Executive Officer and Chief Financial Officer. Based upon that evaluation, our Chief Executive Officer and Chief Financial Officer concluded that our disclosure controls and procedures are effective to provide reasonable assurance that</w:t>
      </w:r>
      <w:r>
        <w:rPr>
          <w:rFonts w:ascii="Times New Roman" w:eastAsia="宋体" w:hAnsi="Times New Roman"/>
          <w:color w:val="000000"/>
          <w:sz w:val="20"/>
          <w:szCs w:val="20"/>
        </w:rPr>
        <w:t xml:space="preserve"> information required to be disclosed by the Company in the reports that it files or submits under the Securities Exchange Act of 1934, as amended, is accumulated and communicated to management, including our Chief Executive Officer and Chief Financial Off</w:t>
      </w:r>
      <w:r>
        <w:rPr>
          <w:rFonts w:ascii="Times New Roman" w:eastAsia="宋体" w:hAnsi="Times New Roman"/>
          <w:color w:val="000000"/>
          <w:sz w:val="20"/>
          <w:szCs w:val="20"/>
        </w:rPr>
        <w:t>icer, as appropriate, to allow timely decisions regarding required disclosure and are effective to provide reasonable assurance that such information is recorded, processed, summarized and reported within the time periods specified by the SEC's rules and f</w:t>
      </w:r>
      <w:r>
        <w:rPr>
          <w:rFonts w:ascii="Times New Roman" w:eastAsia="宋体" w:hAnsi="Times New Roman"/>
          <w:color w:val="000000"/>
          <w:sz w:val="20"/>
          <w:szCs w:val="20"/>
        </w:rPr>
        <w:t xml:space="preserve">orms. </w:t>
      </w:r>
    </w:p>
    <w:p w14:paraId="098AA448" w14:textId="77777777" w:rsidR="00141CDF" w:rsidRDefault="00DF45E0">
      <w:pPr>
        <w:spacing w:before="100"/>
      </w:pPr>
      <w:r>
        <w:rPr>
          <w:rFonts w:ascii="Times New Roman" w:eastAsia="宋体" w:hAnsi="Times New Roman"/>
          <w:color w:val="000000"/>
          <w:sz w:val="20"/>
          <w:szCs w:val="20"/>
        </w:rPr>
        <w:t>There has been no change in the Company's internal control over financial reporting during the most recently completed fiscal quarter that has materially affected, or is reasonably likely to materially affect, the Company's internal control over fin</w:t>
      </w:r>
      <w:r>
        <w:rPr>
          <w:rFonts w:ascii="Times New Roman" w:eastAsia="宋体" w:hAnsi="Times New Roman"/>
          <w:color w:val="000000"/>
          <w:sz w:val="20"/>
          <w:szCs w:val="20"/>
        </w:rPr>
        <w:t>ancial reporting.</w:t>
      </w:r>
    </w:p>
    <w:p w14:paraId="098AA449" w14:textId="77777777" w:rsidR="00141CDF" w:rsidRDefault="00DF45E0">
      <w:pPr>
        <w:jc w:val="center"/>
      </w:pPr>
      <w:r>
        <w:rPr>
          <w:rFonts w:ascii="Times New Roman" w:eastAsia="宋体" w:hAnsi="Times New Roman"/>
          <w:color w:val="000000"/>
          <w:sz w:val="20"/>
          <w:szCs w:val="20"/>
        </w:rPr>
        <w:t>25</w:t>
      </w:r>
    </w:p>
    <w:p w14:paraId="098AA44A" w14:textId="77777777" w:rsidR="00141CDF" w:rsidRDefault="00DF45E0">
      <w:r>
        <w:pict w14:anchorId="098AA667">
          <v:rect id="_x0000_i1049" style="width:415.3pt;height:1.5pt" o:hralign="center" o:hrstd="t" o:hr="t" fillcolor="#a0a0a0" stroked="f"/>
        </w:pict>
      </w:r>
    </w:p>
    <w:p w14:paraId="098AA44B" w14:textId="77777777" w:rsidR="00141CDF" w:rsidRDefault="00DF45E0">
      <w:hyperlink r:id="rId103" w:anchor="i24a2f296795646fa8b5ba32fd1359591_7" w:history="1">
        <w:r>
          <w:rPr>
            <w:rStyle w:val="a5"/>
            <w:rFonts w:ascii="Times New Roman" w:eastAsia="宋体" w:hAnsi="Times New Roman"/>
            <w:sz w:val="20"/>
            <w:szCs w:val="20"/>
          </w:rPr>
          <w:t xml:space="preserve">Table of </w:t>
        </w:r>
      </w:hyperlink>
      <w:hyperlink r:id="rId104" w:anchor="i24a2f296795646fa8b5ba32fd1359591_7" w:history="1">
        <w:r>
          <w:rPr>
            <w:rStyle w:val="a5"/>
            <w:rFonts w:ascii="Times New Roman" w:eastAsia="宋体" w:hAnsi="Times New Roman"/>
            <w:sz w:val="20"/>
            <w:szCs w:val="20"/>
          </w:rPr>
          <w:t>Contents</w:t>
        </w:r>
      </w:hyperlink>
    </w:p>
    <w:p w14:paraId="098AA44C" w14:textId="77777777" w:rsidR="00141CDF" w:rsidRDefault="00DF45E0">
      <w:pPr>
        <w:spacing w:before="180"/>
      </w:pPr>
      <w:r>
        <w:rPr>
          <w:rFonts w:ascii="Times New Roman" w:eastAsia="宋体" w:hAnsi="Times New Roman"/>
          <w:b/>
          <w:bCs/>
          <w:color w:val="000000"/>
          <w:sz w:val="20"/>
          <w:szCs w:val="20"/>
        </w:rPr>
        <w:t>PART II. OTHER INFORMATION</w:t>
      </w:r>
    </w:p>
    <w:p w14:paraId="098AA44D" w14:textId="77777777" w:rsidR="00141CDF" w:rsidRDefault="00DF45E0">
      <w:pPr>
        <w:spacing w:before="100"/>
      </w:pPr>
      <w:r>
        <w:rPr>
          <w:rFonts w:ascii="Times New Roman" w:eastAsia="宋体" w:hAnsi="Times New Roman"/>
          <w:b/>
          <w:bCs/>
          <w:color w:val="000000"/>
          <w:sz w:val="20"/>
          <w:szCs w:val="20"/>
        </w:rPr>
        <w:t>Item 1. Legal Proceedings</w:t>
      </w:r>
    </w:p>
    <w:p w14:paraId="098AA44E" w14:textId="77777777" w:rsidR="00141CDF" w:rsidRDefault="00DF45E0">
      <w:pPr>
        <w:spacing w:before="100"/>
      </w:pPr>
      <w:r>
        <w:rPr>
          <w:rFonts w:ascii="Times New Roman" w:eastAsia="宋体" w:hAnsi="Times New Roman"/>
          <w:b/>
          <w:bCs/>
          <w:color w:val="000000"/>
          <w:sz w:val="20"/>
          <w:szCs w:val="20"/>
        </w:rPr>
        <w:t>I. SUPPLEMENTAL INFORMATION:</w:t>
      </w:r>
      <w:r>
        <w:rPr>
          <w:rFonts w:ascii="Times New Roman" w:eastAsia="宋体" w:hAnsi="Times New Roman"/>
          <w:color w:val="000000"/>
          <w:sz w:val="20"/>
          <w:szCs w:val="20"/>
        </w:rPr>
        <w:t xml:space="preserve"> We discuss certain legal proceedings in Part I of this Quarterly Report on Form 10-Q under the caption "Item</w:t>
      </w:r>
      <w:r>
        <w:rPr>
          <w:rFonts w:ascii="Times New Roman" w:eastAsia="宋体" w:hAnsi="Times New Roman"/>
          <w:color w:val="000000"/>
          <w:sz w:val="20"/>
          <w:szCs w:val="20"/>
        </w:rPr>
        <w:t xml:space="preserve"> 1. Financial Statements," in </w:t>
      </w:r>
      <w:hyperlink r:id="rId105" w:anchor="i24a2f296795646fa8b5ba32fd1359591_55" w:history="1">
        <w:r>
          <w:rPr>
            <w:rStyle w:val="a5"/>
            <w:rFonts w:ascii="Times New Roman" w:eastAsia="宋体" w:hAnsi="Times New Roman"/>
            <w:sz w:val="20"/>
            <w:szCs w:val="20"/>
          </w:rPr>
          <w:t>Note 6</w:t>
        </w:r>
      </w:hyperlink>
      <w:r>
        <w:rPr>
          <w:rFonts w:ascii="Times New Roman" w:eastAsia="宋体" w:hAnsi="Times New Roman"/>
          <w:color w:val="000000"/>
          <w:sz w:val="20"/>
          <w:szCs w:val="20"/>
        </w:rPr>
        <w:t xml:space="preserve"> to our Condensed Consolidated Financial Statements, which is capti</w:t>
      </w:r>
      <w:r>
        <w:rPr>
          <w:rFonts w:ascii="Times New Roman" w:eastAsia="宋体" w:hAnsi="Times New Roman"/>
          <w:color w:val="000000"/>
          <w:sz w:val="20"/>
          <w:szCs w:val="20"/>
        </w:rPr>
        <w:t>oned "Contingencies," under the sub-caption "Legal Proceedings." We refer you to that discussion for important information concerning those legal proceedings, including the basis for such actions and, where known, the relief sought. We provide the followin</w:t>
      </w:r>
      <w:r>
        <w:rPr>
          <w:rFonts w:ascii="Times New Roman" w:eastAsia="宋体" w:hAnsi="Times New Roman"/>
          <w:color w:val="000000"/>
          <w:sz w:val="20"/>
          <w:szCs w:val="20"/>
        </w:rPr>
        <w:t>g additional information concerning those legal proceedings, including the name of the lawsuit, the court in which the lawsuit is pending, and the date on which the petition commencing the lawsuit was filed.</w:t>
      </w:r>
    </w:p>
    <w:p w14:paraId="098AA44F" w14:textId="77777777" w:rsidR="00141CDF" w:rsidRDefault="00DF45E0">
      <w:pPr>
        <w:spacing w:before="100"/>
      </w:pPr>
      <w:r>
        <w:rPr>
          <w:rFonts w:ascii="Times New Roman" w:eastAsia="宋体" w:hAnsi="Times New Roman"/>
          <w:b/>
          <w:bCs/>
          <w:color w:val="000000"/>
          <w:sz w:val="20"/>
          <w:szCs w:val="20"/>
        </w:rPr>
        <w:t xml:space="preserve">Prescription Opiate Litigation: </w:t>
      </w:r>
      <w:r>
        <w:rPr>
          <w:rFonts w:ascii="Times New Roman" w:eastAsia="宋体" w:hAnsi="Times New Roman"/>
          <w:i/>
          <w:iCs/>
          <w:color w:val="000000"/>
          <w:sz w:val="20"/>
          <w:szCs w:val="20"/>
        </w:rPr>
        <w:t>In re National P</w:t>
      </w:r>
      <w:r>
        <w:rPr>
          <w:rFonts w:ascii="Times New Roman" w:eastAsia="宋体" w:hAnsi="Times New Roman"/>
          <w:i/>
          <w:iCs/>
          <w:color w:val="000000"/>
          <w:sz w:val="20"/>
          <w:szCs w:val="20"/>
        </w:rPr>
        <w:t>rescription Opiate Litigation</w:t>
      </w:r>
      <w:r>
        <w:rPr>
          <w:rFonts w:ascii="Times New Roman" w:eastAsia="宋体" w:hAnsi="Times New Roman"/>
          <w:color w:val="000000"/>
          <w:sz w:val="20"/>
          <w:szCs w:val="20"/>
        </w:rPr>
        <w:t xml:space="preserve"> (MDL No. 2804) (the "MDL").</w:t>
      </w:r>
      <w:r>
        <w:rPr>
          <w:rFonts w:ascii="Times New Roman" w:eastAsia="宋体" w:hAnsi="Times New Roman"/>
          <w:color w:val="000000"/>
        </w:rPr>
        <w:t xml:space="preserve"> </w:t>
      </w:r>
      <w:r>
        <w:rPr>
          <w:rFonts w:ascii="Times New Roman" w:eastAsia="宋体" w:hAnsi="Times New Roman"/>
          <w:color w:val="000000"/>
          <w:sz w:val="20"/>
          <w:szCs w:val="20"/>
        </w:rPr>
        <w:t xml:space="preserve">The MDL is pending in the U.S. District Court for the Northern District of Ohio and includes over 2,150 cases as of August 17, 2022. The liability phase of a single, two-county trial in one of </w:t>
      </w:r>
      <w:r>
        <w:rPr>
          <w:rFonts w:ascii="Times New Roman" w:eastAsia="宋体" w:hAnsi="Times New Roman"/>
          <w:color w:val="000000"/>
          <w:sz w:val="20"/>
          <w:szCs w:val="20"/>
        </w:rPr>
        <w:t>the MDL cases began on October 4, 2021 against a number of parties, including the Company, regarding opioid dispensing claims. On November 23, 2021, the jury found in favor of the plaintiffs as to the liability of all defendants, including the Company. The</w:t>
      </w:r>
      <w:r>
        <w:rPr>
          <w:rFonts w:ascii="Times New Roman" w:eastAsia="宋体" w:hAnsi="Times New Roman"/>
          <w:color w:val="000000"/>
          <w:sz w:val="20"/>
          <w:szCs w:val="20"/>
        </w:rPr>
        <w:t xml:space="preserve"> abatement phase of the single, two-county trial to determine amounts owed by the defendants and injunctive relief ended on May 17, 2022. On August 17, 2022, the court ordered all three defendants, including the Company, to pay approximately $651 million o</w:t>
      </w:r>
      <w:r>
        <w:rPr>
          <w:rFonts w:ascii="Times New Roman" w:eastAsia="宋体" w:hAnsi="Times New Roman"/>
          <w:color w:val="000000"/>
          <w:sz w:val="20"/>
          <w:szCs w:val="20"/>
        </w:rPr>
        <w:t>ver fifteen years, on a joint and several liability basis. The court also ordered the defendants to pay approximately $87 million of the total abatement amount into an abatement fund on or before October 1, 2022, reflecting the first two years of abatement</w:t>
      </w:r>
      <w:r>
        <w:rPr>
          <w:rFonts w:ascii="Times New Roman" w:eastAsia="宋体" w:hAnsi="Times New Roman"/>
          <w:color w:val="000000"/>
          <w:sz w:val="20"/>
          <w:szCs w:val="20"/>
        </w:rPr>
        <w:t>. However, the Company plans to appeal the jury verdict from the liability phase and the court's abatement order. In addition, there are over 250 state court cases pending as of August 17, 2022. This includes certain cases that were remanded by the MDL cou</w:t>
      </w:r>
      <w:r>
        <w:rPr>
          <w:rFonts w:ascii="Times New Roman" w:eastAsia="宋体" w:hAnsi="Times New Roman"/>
          <w:color w:val="000000"/>
          <w:sz w:val="20"/>
          <w:szCs w:val="20"/>
        </w:rPr>
        <w:t xml:space="preserve">rt and a case brought by the Cherokee Nation that was remanded by the U.S. District Court for the Eastern District of Oklahoma to the District Court of Sequoya County, Oklahoma. The case citations and currently scheduled trial dates, where applicable, for </w:t>
      </w:r>
      <w:r>
        <w:rPr>
          <w:rFonts w:ascii="Times New Roman" w:eastAsia="宋体" w:hAnsi="Times New Roman"/>
          <w:color w:val="000000"/>
          <w:sz w:val="20"/>
          <w:szCs w:val="20"/>
        </w:rPr>
        <w:t>the state court cases are listed on Exhibit 99.1 to this Quarterly Report on Form 10-Q, including, among others, State of New Mexico ex rel. Balderas v. Purdue Pharma L.P., et al. and State of West Virginia ex rel. Morrisey v. Walmart Inc., et al., which c</w:t>
      </w:r>
      <w:r>
        <w:rPr>
          <w:rFonts w:ascii="Times New Roman" w:eastAsia="宋体" w:hAnsi="Times New Roman"/>
          <w:color w:val="000000"/>
          <w:sz w:val="20"/>
          <w:szCs w:val="20"/>
        </w:rPr>
        <w:t>urrently have trial dates scheduled to occur on September 6, 2022 and September 26, 2022, respectively.</w:t>
      </w:r>
    </w:p>
    <w:p w14:paraId="098AA450" w14:textId="77777777" w:rsidR="00141CDF" w:rsidRDefault="00DF45E0">
      <w:pPr>
        <w:spacing w:before="100"/>
      </w:pPr>
      <w:r>
        <w:rPr>
          <w:rFonts w:ascii="Times New Roman" w:eastAsia="宋体" w:hAnsi="Times New Roman"/>
          <w:b/>
          <w:bCs/>
          <w:color w:val="000000"/>
          <w:sz w:val="20"/>
          <w:szCs w:val="20"/>
        </w:rPr>
        <w:t xml:space="preserve">DOJ Opioid Civil Litigation: </w:t>
      </w:r>
      <w:r>
        <w:rPr>
          <w:rFonts w:ascii="Times New Roman" w:eastAsia="宋体" w:hAnsi="Times New Roman"/>
          <w:color w:val="000000"/>
          <w:sz w:val="20"/>
          <w:szCs w:val="20"/>
        </w:rPr>
        <w:t xml:space="preserve">A civil complaint pending in the U.S. District Court for the District of Delaware has been filed by the U.S. Department of </w:t>
      </w:r>
      <w:r>
        <w:rPr>
          <w:rFonts w:ascii="Times New Roman" w:eastAsia="宋体" w:hAnsi="Times New Roman"/>
          <w:color w:val="000000"/>
          <w:sz w:val="20"/>
          <w:szCs w:val="20"/>
        </w:rPr>
        <w:t>Justice (the "DOJ") against the Company, in which the DOJ alleges violations of the Controlled Substances Act (the "CSA") related to nationwide distribution and dispensing of opioids.</w:t>
      </w:r>
      <w:r>
        <w:rPr>
          <w:rFonts w:ascii="Times New Roman" w:eastAsia="宋体" w:hAnsi="Times New Roman"/>
          <w:i/>
          <w:iCs/>
          <w:color w:val="000000"/>
          <w:sz w:val="20"/>
          <w:szCs w:val="20"/>
        </w:rPr>
        <w:t xml:space="preserve"> U.S. v. Walmart Inc., et al</w:t>
      </w:r>
      <w:r>
        <w:rPr>
          <w:rFonts w:ascii="Times New Roman" w:eastAsia="宋体" w:hAnsi="Times New Roman"/>
          <w:color w:val="000000"/>
          <w:sz w:val="20"/>
          <w:szCs w:val="20"/>
        </w:rPr>
        <w:t>., USDC, Dist. of DE, 12/22/20. The Company f</w:t>
      </w:r>
      <w:r>
        <w:rPr>
          <w:rFonts w:ascii="Times New Roman" w:eastAsia="宋体" w:hAnsi="Times New Roman"/>
          <w:color w:val="000000"/>
          <w:sz w:val="20"/>
          <w:szCs w:val="20"/>
        </w:rPr>
        <w:t xml:space="preserve">iled a motion to dismiss the DOJ complaint on February 22, 2021. After the parties had fully briefed the Company's motion to dismiss, the District court stayed proceedings in the case pending the decision of the United States Supreme Court in </w:t>
      </w:r>
      <w:r>
        <w:rPr>
          <w:rFonts w:ascii="Times New Roman" w:eastAsia="宋体" w:hAnsi="Times New Roman"/>
          <w:i/>
          <w:iCs/>
          <w:color w:val="000000"/>
          <w:sz w:val="20"/>
          <w:szCs w:val="20"/>
        </w:rPr>
        <w:t>Ruan v. Unite</w:t>
      </w:r>
      <w:r>
        <w:rPr>
          <w:rFonts w:ascii="Times New Roman" w:eastAsia="宋体" w:hAnsi="Times New Roman"/>
          <w:i/>
          <w:iCs/>
          <w:color w:val="000000"/>
          <w:sz w:val="20"/>
          <w:szCs w:val="20"/>
        </w:rPr>
        <w:t>d States</w:t>
      </w:r>
      <w:r>
        <w:rPr>
          <w:rFonts w:ascii="Times New Roman" w:eastAsia="宋体" w:hAnsi="Times New Roman"/>
          <w:color w:val="000000"/>
          <w:sz w:val="20"/>
          <w:szCs w:val="20"/>
        </w:rPr>
        <w:t xml:space="preserve"> and </w:t>
      </w:r>
      <w:r>
        <w:rPr>
          <w:rFonts w:ascii="Times New Roman" w:eastAsia="宋体" w:hAnsi="Times New Roman"/>
          <w:i/>
          <w:iCs/>
          <w:color w:val="000000"/>
          <w:sz w:val="20"/>
          <w:szCs w:val="20"/>
        </w:rPr>
        <w:t>Kahn v. United States</w:t>
      </w:r>
      <w:r>
        <w:rPr>
          <w:rFonts w:ascii="Times New Roman" w:eastAsia="宋体" w:hAnsi="Times New Roman"/>
          <w:color w:val="000000"/>
          <w:sz w:val="20"/>
          <w:szCs w:val="20"/>
        </w:rPr>
        <w:t>, 142 S. Ct. 2370 (Jun. 27, 2022) ("</w:t>
      </w:r>
      <w:r>
        <w:rPr>
          <w:rFonts w:ascii="Times New Roman" w:eastAsia="宋体" w:hAnsi="Times New Roman"/>
          <w:i/>
          <w:iCs/>
          <w:color w:val="000000"/>
          <w:sz w:val="20"/>
          <w:szCs w:val="20"/>
        </w:rPr>
        <w:t>Ruan"</w:t>
      </w:r>
      <w:r>
        <w:rPr>
          <w:rFonts w:ascii="Times New Roman" w:eastAsia="宋体" w:hAnsi="Times New Roman"/>
          <w:color w:val="000000"/>
          <w:sz w:val="20"/>
          <w:szCs w:val="20"/>
        </w:rPr>
        <w:t xml:space="preserve">) regarding matters under the CSA. Following the decision in </w:t>
      </w:r>
      <w:r>
        <w:rPr>
          <w:rFonts w:ascii="Times New Roman" w:eastAsia="宋体" w:hAnsi="Times New Roman"/>
          <w:i/>
          <w:iCs/>
          <w:color w:val="000000"/>
          <w:sz w:val="20"/>
          <w:szCs w:val="20"/>
        </w:rPr>
        <w:t>Ruan</w:t>
      </w:r>
      <w:r>
        <w:rPr>
          <w:rFonts w:ascii="Times New Roman" w:eastAsia="宋体" w:hAnsi="Times New Roman"/>
          <w:color w:val="000000"/>
          <w:sz w:val="20"/>
          <w:szCs w:val="20"/>
        </w:rPr>
        <w:t xml:space="preserve"> and pursuant to an agreement of the parties, the District Court set a deadline of October 7, 2022 for the DOJ to fi</w:t>
      </w:r>
      <w:r>
        <w:rPr>
          <w:rFonts w:ascii="Times New Roman" w:eastAsia="宋体" w:hAnsi="Times New Roman"/>
          <w:color w:val="000000"/>
          <w:sz w:val="20"/>
          <w:szCs w:val="20"/>
        </w:rPr>
        <w:t xml:space="preserve">le an amended complaint or move for leave to amend its complaint. </w:t>
      </w:r>
    </w:p>
    <w:p w14:paraId="098AA451" w14:textId="77777777" w:rsidR="00141CDF" w:rsidRDefault="00DF45E0">
      <w:pPr>
        <w:spacing w:before="100"/>
      </w:pPr>
      <w:r>
        <w:rPr>
          <w:rFonts w:ascii="Times New Roman" w:eastAsia="宋体" w:hAnsi="Times New Roman"/>
          <w:b/>
          <w:bCs/>
          <w:color w:val="000000"/>
          <w:sz w:val="20"/>
          <w:szCs w:val="20"/>
        </w:rPr>
        <w:t xml:space="preserve">Opioids Related Securities Class Actions and Derivative Litigation: </w:t>
      </w:r>
      <w:r>
        <w:rPr>
          <w:rFonts w:ascii="Times New Roman" w:eastAsia="宋体" w:hAnsi="Times New Roman"/>
          <w:color w:val="000000"/>
          <w:sz w:val="20"/>
          <w:szCs w:val="20"/>
        </w:rPr>
        <w:t>Three derivative complaints and two securities class actions drawing heavily on the allegations of the DOJ complaint have</w:t>
      </w:r>
      <w:r>
        <w:rPr>
          <w:rFonts w:ascii="Times New Roman" w:eastAsia="宋体" w:hAnsi="Times New Roman"/>
          <w:color w:val="000000"/>
          <w:sz w:val="20"/>
          <w:szCs w:val="20"/>
        </w:rPr>
        <w:t xml:space="preserve"> been filed in Delaware naming the Company and various current and former directors and certain current and former officers as defendants. The plaintiffs in the derivative suits (in which the Company is a nominal defendant) allege, among other things, that</w:t>
      </w:r>
      <w:r>
        <w:rPr>
          <w:rFonts w:ascii="Times New Roman" w:eastAsia="宋体" w:hAnsi="Times New Roman"/>
          <w:color w:val="000000"/>
          <w:sz w:val="20"/>
          <w:szCs w:val="20"/>
        </w:rPr>
        <w:t xml:space="preserve"> the defendants breached their fiduciary duties in connection with oversight of opioids dispensing and distribution and that the defendants violated Section 14(a) of the Securities Exchange Act of 1934, as amended (the "Exchange Act"), and are liable for c</w:t>
      </w:r>
      <w:r>
        <w:rPr>
          <w:rFonts w:ascii="Times New Roman" w:eastAsia="宋体" w:hAnsi="Times New Roman"/>
          <w:color w:val="000000"/>
          <w:sz w:val="20"/>
          <w:szCs w:val="20"/>
        </w:rPr>
        <w:t>ontribution under Section 10(b) of the Exchange Act in connection with the Company's disclosures about opioids. Two of the derivative suits have been filed in the U.S. District Court in Delaware and those suits have been stayed pending further developments</w:t>
      </w:r>
      <w:r>
        <w:rPr>
          <w:rFonts w:ascii="Times New Roman" w:eastAsia="宋体" w:hAnsi="Times New Roman"/>
          <w:color w:val="000000"/>
          <w:sz w:val="20"/>
          <w:szCs w:val="20"/>
        </w:rPr>
        <w:t xml:space="preserve"> in other Opioids Litigation matters. The other derivative suit has been filed in the Chancery Court in Delaware. The securities class actions, alleging violations of Sections 10(b) and 20(a) of the Exchange Act regarding the Company's disclosures with res</w:t>
      </w:r>
      <w:r>
        <w:rPr>
          <w:rFonts w:ascii="Times New Roman" w:eastAsia="宋体" w:hAnsi="Times New Roman"/>
          <w:color w:val="000000"/>
          <w:sz w:val="20"/>
          <w:szCs w:val="20"/>
        </w:rPr>
        <w:t>pect to opioids, were purportedly filed on behalf of a class of investors who acquired Walmart stock from March 30, 2016, through December 22, 2020. On May 11, 2021, the U.S. District Court in Delaware consolidated the class actions and appointed a lead pl</w:t>
      </w:r>
      <w:r>
        <w:rPr>
          <w:rFonts w:ascii="Times New Roman" w:eastAsia="宋体" w:hAnsi="Times New Roman"/>
          <w:color w:val="000000"/>
          <w:sz w:val="20"/>
          <w:szCs w:val="20"/>
        </w:rPr>
        <w:t>aintiff and lead counsel. The defendants filed a motion to dismiss the consolidated securities class action on October 8, 2021; the lead plaintiff responded to the motion on January 10, 2022; and the defendants filed their reply brief on February 10, 2022.</w:t>
      </w:r>
      <w:r>
        <w:rPr>
          <w:rFonts w:ascii="Times New Roman" w:eastAsia="宋体" w:hAnsi="Times New Roman"/>
          <w:color w:val="000000"/>
          <w:sz w:val="20"/>
          <w:szCs w:val="20"/>
        </w:rPr>
        <w:t xml:space="preserve"> A hearing on the motion is currently scheduled for September 9, 2022. The defendants in the derivative suit pending in Delaware Chancery Court filed the opening brief on their motion to dismiss that case on December 21, 2021; and the plaintiffs responded </w:t>
      </w:r>
      <w:r>
        <w:rPr>
          <w:rFonts w:ascii="Times New Roman" w:eastAsia="宋体" w:hAnsi="Times New Roman"/>
          <w:color w:val="000000"/>
          <w:sz w:val="20"/>
          <w:szCs w:val="20"/>
        </w:rPr>
        <w:t>by filing an amended complaint on February 22, 2022. On April 27, 2022, the defendants filed their opening brief in support of their motion to dismiss the amended complaint. The plaintiffs filed an opposition to the motion on June 1, 2022; the defendants f</w:t>
      </w:r>
      <w:r>
        <w:rPr>
          <w:rFonts w:ascii="Times New Roman" w:eastAsia="宋体" w:hAnsi="Times New Roman"/>
          <w:color w:val="000000"/>
          <w:sz w:val="20"/>
          <w:szCs w:val="20"/>
        </w:rPr>
        <w:t xml:space="preserve">iled their reply brief on June 24, 2022; and the motion has been scheduled for a hearing on September 26, 2022. </w:t>
      </w:r>
    </w:p>
    <w:p w14:paraId="098AA452" w14:textId="77777777" w:rsidR="00141CDF" w:rsidRDefault="00DF45E0">
      <w:pPr>
        <w:spacing w:before="100"/>
      </w:pPr>
      <w:r>
        <w:rPr>
          <w:rFonts w:ascii="Times New Roman" w:eastAsia="宋体" w:hAnsi="Times New Roman"/>
          <w:b/>
          <w:bCs/>
          <w:color w:val="000000"/>
          <w:sz w:val="20"/>
          <w:szCs w:val="20"/>
        </w:rPr>
        <w:t xml:space="preserve">Derivative Lawsuits: </w:t>
      </w:r>
      <w:r>
        <w:rPr>
          <w:rFonts w:ascii="Times New Roman" w:eastAsia="宋体" w:hAnsi="Times New Roman"/>
          <w:i/>
          <w:iCs/>
          <w:color w:val="000000"/>
          <w:sz w:val="20"/>
          <w:szCs w:val="20"/>
        </w:rPr>
        <w:t>Abt v. Alvarez et al.</w:t>
      </w:r>
      <w:r>
        <w:rPr>
          <w:rFonts w:ascii="Times New Roman" w:eastAsia="宋体" w:hAnsi="Times New Roman"/>
          <w:color w:val="000000"/>
          <w:sz w:val="20"/>
          <w:szCs w:val="20"/>
        </w:rPr>
        <w:t xml:space="preserve">, USDC, Dist. of DE, 2/9/21; </w:t>
      </w:r>
      <w:r>
        <w:rPr>
          <w:rFonts w:ascii="Times New Roman" w:eastAsia="宋体" w:hAnsi="Times New Roman"/>
          <w:i/>
          <w:iCs/>
          <w:color w:val="000000"/>
          <w:sz w:val="20"/>
          <w:szCs w:val="20"/>
        </w:rPr>
        <w:t>Nguyen v. McMillon et al.,</w:t>
      </w:r>
      <w:r>
        <w:rPr>
          <w:rFonts w:ascii="Times New Roman" w:eastAsia="宋体" w:hAnsi="Times New Roman"/>
          <w:color w:val="000000"/>
          <w:sz w:val="20"/>
          <w:szCs w:val="20"/>
        </w:rPr>
        <w:t xml:space="preserve"> USDC, Dist. of DE, 4/16/21: </w:t>
      </w:r>
      <w:r>
        <w:rPr>
          <w:rFonts w:ascii="Times New Roman" w:eastAsia="宋体" w:hAnsi="Times New Roman"/>
          <w:i/>
          <w:iCs/>
          <w:color w:val="000000"/>
          <w:sz w:val="20"/>
          <w:szCs w:val="20"/>
        </w:rPr>
        <w:t>Ontario Provincia</w:t>
      </w:r>
      <w:r>
        <w:rPr>
          <w:rFonts w:ascii="Times New Roman" w:eastAsia="宋体" w:hAnsi="Times New Roman"/>
          <w:i/>
          <w:iCs/>
          <w:color w:val="000000"/>
          <w:sz w:val="20"/>
          <w:szCs w:val="20"/>
        </w:rPr>
        <w:t xml:space="preserve">l Council of Carpenters' Pension Trust Fund et al. v. Walton et al., </w:t>
      </w:r>
      <w:r>
        <w:rPr>
          <w:rFonts w:ascii="Times New Roman" w:eastAsia="宋体" w:hAnsi="Times New Roman"/>
          <w:color w:val="000000"/>
          <w:sz w:val="20"/>
          <w:szCs w:val="20"/>
        </w:rPr>
        <w:t>DE Court of Chancery, 9/27/21.</w:t>
      </w:r>
    </w:p>
    <w:p w14:paraId="098AA453" w14:textId="77777777" w:rsidR="00141CDF" w:rsidRDefault="00DF45E0">
      <w:pPr>
        <w:spacing w:before="100"/>
      </w:pPr>
      <w:r>
        <w:rPr>
          <w:rFonts w:ascii="Times New Roman" w:eastAsia="宋体" w:hAnsi="Times New Roman"/>
          <w:b/>
          <w:bCs/>
          <w:color w:val="000000"/>
          <w:sz w:val="20"/>
          <w:szCs w:val="20"/>
        </w:rPr>
        <w:t>Securities Class Actions:</w:t>
      </w:r>
      <w:r>
        <w:rPr>
          <w:rFonts w:ascii="Times New Roman" w:eastAsia="宋体" w:hAnsi="Times New Roman"/>
          <w:i/>
          <w:iCs/>
          <w:color w:val="000000"/>
          <w:sz w:val="20"/>
          <w:szCs w:val="20"/>
        </w:rPr>
        <w:t xml:space="preserve"> Stanton v. Walmart Inc.</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et al.</w:t>
      </w:r>
      <w:r>
        <w:rPr>
          <w:rFonts w:ascii="Times New Roman" w:eastAsia="宋体" w:hAnsi="Times New Roman"/>
          <w:color w:val="000000"/>
          <w:sz w:val="20"/>
          <w:szCs w:val="20"/>
        </w:rPr>
        <w:t>, USDC, Dist. of DE, 1/20/21 and</w:t>
      </w:r>
      <w:r>
        <w:rPr>
          <w:rFonts w:ascii="Times New Roman" w:eastAsia="宋体" w:hAnsi="Times New Roman"/>
          <w:i/>
          <w:iCs/>
          <w:color w:val="000000"/>
          <w:sz w:val="20"/>
          <w:szCs w:val="20"/>
        </w:rPr>
        <w:t xml:space="preserve"> Martin v. Walmart Inc. et al., </w:t>
      </w:r>
      <w:r>
        <w:rPr>
          <w:rFonts w:ascii="Times New Roman" w:eastAsia="宋体" w:hAnsi="Times New Roman"/>
          <w:color w:val="000000"/>
          <w:sz w:val="20"/>
          <w:szCs w:val="20"/>
        </w:rPr>
        <w:t>USDC</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Dist. of DE, 3/5/21, consolida</w:t>
      </w:r>
      <w:r>
        <w:rPr>
          <w:rFonts w:ascii="Times New Roman" w:eastAsia="宋体" w:hAnsi="Times New Roman"/>
          <w:color w:val="000000"/>
          <w:sz w:val="20"/>
          <w:szCs w:val="20"/>
        </w:rPr>
        <w:t xml:space="preserve">ted into </w:t>
      </w:r>
      <w:r>
        <w:rPr>
          <w:rFonts w:ascii="Times New Roman" w:eastAsia="宋体" w:hAnsi="Times New Roman"/>
          <w:i/>
          <w:iCs/>
          <w:color w:val="000000"/>
          <w:sz w:val="20"/>
          <w:szCs w:val="20"/>
        </w:rPr>
        <w:t>In re Walmart Inc. Securities Litigation</w:t>
      </w:r>
      <w:r>
        <w:rPr>
          <w:rFonts w:ascii="Times New Roman" w:eastAsia="宋体" w:hAnsi="Times New Roman"/>
          <w:color w:val="000000"/>
          <w:sz w:val="20"/>
          <w:szCs w:val="20"/>
        </w:rPr>
        <w:t>, USDC, Dist. of DE, 5/11/21.</w:t>
      </w:r>
    </w:p>
    <w:p w14:paraId="098AA454" w14:textId="77777777" w:rsidR="00141CDF" w:rsidRDefault="00DF45E0">
      <w:pPr>
        <w:jc w:val="center"/>
      </w:pPr>
      <w:r>
        <w:rPr>
          <w:rFonts w:ascii="Times New Roman" w:eastAsia="宋体" w:hAnsi="Times New Roman"/>
          <w:color w:val="000000"/>
          <w:sz w:val="20"/>
          <w:szCs w:val="20"/>
        </w:rPr>
        <w:t>26</w:t>
      </w:r>
    </w:p>
    <w:p w14:paraId="098AA455" w14:textId="77777777" w:rsidR="00141CDF" w:rsidRDefault="00DF45E0">
      <w:r>
        <w:pict w14:anchorId="098AA668">
          <v:rect id="_x0000_i1050" style="width:415.3pt;height:1.5pt" o:hralign="center" o:hrstd="t" o:hr="t" fillcolor="#a0a0a0" stroked="f"/>
        </w:pict>
      </w:r>
    </w:p>
    <w:p w14:paraId="098AA456" w14:textId="77777777" w:rsidR="00141CDF" w:rsidRDefault="00DF45E0">
      <w:hyperlink r:id="rId106" w:anchor="i24a2f296795646fa8b5ba32fd1359591_7" w:history="1">
        <w:r>
          <w:rPr>
            <w:rStyle w:val="a5"/>
            <w:rFonts w:ascii="Times New Roman" w:eastAsia="宋体" w:hAnsi="Times New Roman"/>
            <w:sz w:val="20"/>
            <w:szCs w:val="20"/>
          </w:rPr>
          <w:t xml:space="preserve">Table of </w:t>
        </w:r>
      </w:hyperlink>
      <w:hyperlink r:id="rId107" w:anchor="i24a2f296795646fa8b5ba32fd1359591_7" w:history="1">
        <w:r>
          <w:rPr>
            <w:rStyle w:val="a5"/>
            <w:rFonts w:ascii="Times New Roman" w:eastAsia="宋体" w:hAnsi="Times New Roman"/>
            <w:sz w:val="20"/>
            <w:szCs w:val="20"/>
          </w:rPr>
          <w:t>Contents</w:t>
        </w:r>
      </w:hyperlink>
    </w:p>
    <w:p w14:paraId="098AA457" w14:textId="77777777" w:rsidR="00141CDF" w:rsidRDefault="00DF45E0">
      <w:pPr>
        <w:spacing w:before="100"/>
      </w:pPr>
      <w:r>
        <w:rPr>
          <w:rFonts w:ascii="Times New Roman" w:eastAsia="宋体" w:hAnsi="Times New Roman"/>
          <w:b/>
          <w:bCs/>
          <w:color w:val="000000"/>
          <w:sz w:val="20"/>
          <w:szCs w:val="20"/>
        </w:rPr>
        <w:t>ASDA Equal Value Claims</w:t>
      </w:r>
      <w:r>
        <w:rPr>
          <w:rFonts w:ascii="Times New Roman" w:eastAsia="宋体" w:hAnsi="Times New Roman"/>
          <w:color w:val="000000"/>
          <w:sz w:val="20"/>
          <w:szCs w:val="20"/>
        </w:rPr>
        <w:t>: Ms S Brierley &amp; Others v. ASDA Stores Ltd (2406372/2008 &amp; Others – Man</w:t>
      </w:r>
      <w:r>
        <w:rPr>
          <w:rFonts w:ascii="Times New Roman" w:eastAsia="宋体" w:hAnsi="Times New Roman"/>
          <w:color w:val="000000"/>
          <w:sz w:val="20"/>
          <w:szCs w:val="20"/>
        </w:rPr>
        <w:t>chester Employment Tribunal); ASDA Stores Ltd v Brierley &amp; Ors (A2/2016/0973 – United Kingdom Court of Appeal); ASDA Stores Ltd v Ms S Brierley &amp; Others (UKEAT/0059/16/DM – United Kingdom Employment Appeal Tribunal); ASDA Stores Ltd v Ms S Brierley &amp; Other</w:t>
      </w:r>
      <w:r>
        <w:rPr>
          <w:rFonts w:ascii="Times New Roman" w:eastAsia="宋体" w:hAnsi="Times New Roman"/>
          <w:color w:val="000000"/>
          <w:sz w:val="20"/>
          <w:szCs w:val="20"/>
        </w:rPr>
        <w:t>s (UKEAT/0009/16/JOJ – United Kingdom Employment Appeal Tribunal).</w:t>
      </w:r>
    </w:p>
    <w:p w14:paraId="098AA458" w14:textId="77777777" w:rsidR="00141CDF" w:rsidRDefault="00DF45E0">
      <w:pPr>
        <w:spacing w:before="100"/>
      </w:pPr>
      <w:r>
        <w:rPr>
          <w:rFonts w:ascii="Times New Roman" w:eastAsia="宋体" w:hAnsi="Times New Roman"/>
          <w:b/>
          <w:bCs/>
          <w:color w:val="000000"/>
          <w:sz w:val="20"/>
          <w:szCs w:val="20"/>
        </w:rPr>
        <w:t>Money Transfer Agent Services Litigation:</w:t>
      </w:r>
      <w:r>
        <w:rPr>
          <w:rFonts w:ascii="Times New Roman" w:eastAsia="宋体" w:hAnsi="Times New Roman"/>
          <w:color w:val="000000"/>
          <w:sz w:val="20"/>
          <w:szCs w:val="20"/>
        </w:rPr>
        <w:t xml:space="preserve"> Federal Trade Commission v. Walmart Inc. (CV-3372), USDC, N. Dist. Of Ill, 6/28/22.</w:t>
      </w:r>
    </w:p>
    <w:p w14:paraId="098AA459" w14:textId="77777777" w:rsidR="00141CDF" w:rsidRDefault="00DF45E0">
      <w:pPr>
        <w:jc w:val="center"/>
      </w:pPr>
      <w:r>
        <w:rPr>
          <w:rFonts w:ascii="Times New Roman" w:eastAsia="宋体" w:hAnsi="Times New Roman"/>
          <w:color w:val="000000"/>
          <w:sz w:val="20"/>
          <w:szCs w:val="20"/>
        </w:rPr>
        <w:t>27</w:t>
      </w:r>
    </w:p>
    <w:p w14:paraId="098AA45A" w14:textId="77777777" w:rsidR="00141CDF" w:rsidRDefault="00DF45E0">
      <w:r>
        <w:pict w14:anchorId="098AA669">
          <v:rect id="_x0000_i1051" style="width:415.3pt;height:1.5pt" o:hralign="center" o:hrstd="t" o:hr="t" fillcolor="#a0a0a0" stroked="f"/>
        </w:pict>
      </w:r>
    </w:p>
    <w:p w14:paraId="098AA45B" w14:textId="77777777" w:rsidR="00141CDF" w:rsidRDefault="00DF45E0">
      <w:hyperlink r:id="rId108" w:anchor="i24a2f296795646fa8b5ba32fd1359591_7" w:history="1">
        <w:r>
          <w:rPr>
            <w:rStyle w:val="a5"/>
            <w:rFonts w:ascii="Times New Roman" w:eastAsia="宋体" w:hAnsi="Times New Roman"/>
            <w:sz w:val="20"/>
            <w:szCs w:val="20"/>
          </w:rPr>
          <w:t xml:space="preserve">Table of </w:t>
        </w:r>
      </w:hyperlink>
      <w:hyperlink r:id="rId109" w:anchor="i24a2f296795646fa8b5ba32fd1359591_7" w:history="1">
        <w:r>
          <w:rPr>
            <w:rStyle w:val="a5"/>
            <w:rFonts w:ascii="Times New Roman" w:eastAsia="宋体" w:hAnsi="Times New Roman"/>
            <w:sz w:val="20"/>
            <w:szCs w:val="20"/>
          </w:rPr>
          <w:t>Cont</w:t>
        </w:r>
        <w:r>
          <w:rPr>
            <w:rStyle w:val="a5"/>
            <w:rFonts w:ascii="Times New Roman" w:eastAsia="宋体" w:hAnsi="Times New Roman"/>
            <w:sz w:val="20"/>
            <w:szCs w:val="20"/>
          </w:rPr>
          <w:t>ents</w:t>
        </w:r>
      </w:hyperlink>
    </w:p>
    <w:p w14:paraId="098AA45C" w14:textId="77777777" w:rsidR="00141CDF" w:rsidRDefault="00DF45E0">
      <w:pPr>
        <w:spacing w:before="100"/>
      </w:pPr>
      <w:r>
        <w:rPr>
          <w:rFonts w:ascii="Times New Roman" w:eastAsia="宋体" w:hAnsi="Times New Roman"/>
          <w:b/>
          <w:bCs/>
          <w:color w:val="000000"/>
          <w:sz w:val="20"/>
          <w:szCs w:val="20"/>
        </w:rPr>
        <w:t xml:space="preserve">II. CERTAIN OTHER MATTERS </w:t>
      </w:r>
    </w:p>
    <w:p w14:paraId="098AA45D" w14:textId="77777777" w:rsidR="00141CDF" w:rsidRDefault="00DF45E0">
      <w:pPr>
        <w:spacing w:before="100"/>
      </w:pPr>
      <w:r>
        <w:rPr>
          <w:rFonts w:ascii="Times New Roman" w:eastAsia="宋体" w:hAnsi="Times New Roman"/>
          <w:b/>
          <w:bCs/>
          <w:color w:val="000000"/>
          <w:sz w:val="20"/>
          <w:szCs w:val="20"/>
        </w:rPr>
        <w:t>Foreign Direct Investment Matters:</w:t>
      </w:r>
      <w:r>
        <w:rPr>
          <w:rFonts w:ascii="Times New Roman" w:eastAsia="宋体" w:hAnsi="Times New Roman"/>
          <w:color w:val="000000"/>
          <w:sz w:val="20"/>
          <w:szCs w:val="20"/>
        </w:rPr>
        <w:t xml:space="preserve"> In July 2021, the Directorate of Enforcement in India issued a show cause notice to Flipkart Private Limited and one of its subsidiaries ("Flipkart"), and to unrelated companies and indi</w:t>
      </w:r>
      <w:r>
        <w:rPr>
          <w:rFonts w:ascii="Times New Roman" w:eastAsia="宋体" w:hAnsi="Times New Roman"/>
          <w:color w:val="000000"/>
          <w:sz w:val="20"/>
          <w:szCs w:val="20"/>
        </w:rPr>
        <w:t>viduals, including certain current and former shareholders and directors of Flipkart. The notice requests the recipients to show cause as to why further proceedings under India's Foreign Direct Investment rules and regulations (the "Rules") should not be i</w:t>
      </w:r>
      <w:r>
        <w:rPr>
          <w:rFonts w:ascii="Times New Roman" w:eastAsia="宋体" w:hAnsi="Times New Roman"/>
          <w:color w:val="000000"/>
          <w:sz w:val="20"/>
          <w:szCs w:val="20"/>
        </w:rPr>
        <w:t>nitiated against them based on alleged violations during the period from 2009 to 2015, prior to the Company's acquisition of a majority stake in Flipkart in 2018. The notice is an initial stage of proceedings under the Rules which could, depending upon the</w:t>
      </w:r>
      <w:r>
        <w:rPr>
          <w:rFonts w:ascii="Times New Roman" w:eastAsia="宋体" w:hAnsi="Times New Roman"/>
          <w:color w:val="000000"/>
          <w:sz w:val="20"/>
          <w:szCs w:val="20"/>
        </w:rPr>
        <w:t xml:space="preserve"> conclusions at the end of the initial stage, lead to a hearing to consider the merits of the allegations described in the notice. If a hearing is initiated and if it is determined that violations of the Rules occurred, the regulatory authority has the aut</w:t>
      </w:r>
      <w:r>
        <w:rPr>
          <w:rFonts w:ascii="Times New Roman" w:eastAsia="宋体" w:hAnsi="Times New Roman"/>
          <w:color w:val="000000"/>
          <w:sz w:val="20"/>
          <w:szCs w:val="20"/>
        </w:rPr>
        <w:t>hority to impose monetary and/or non-monetary relief. Flipkart has begun the process of responding to the notice and, if the matter progresses to a consideration of the merits of the allegations described in the notice is initiated, Flipkart intends to def</w:t>
      </w:r>
      <w:r>
        <w:rPr>
          <w:rFonts w:ascii="Times New Roman" w:eastAsia="宋体" w:hAnsi="Times New Roman"/>
          <w:color w:val="000000"/>
          <w:sz w:val="20"/>
          <w:szCs w:val="20"/>
        </w:rPr>
        <w:t>end against the allegations vigorously. Due to the fact that this process is in an early stage, the Company is unable to predict whether the notice will lead to a hearing on the merits or, if it does, the final outcome of the resulting proceedings. While t</w:t>
      </w:r>
      <w:r>
        <w:rPr>
          <w:rFonts w:ascii="Times New Roman" w:eastAsia="宋体" w:hAnsi="Times New Roman"/>
          <w:color w:val="000000"/>
          <w:sz w:val="20"/>
          <w:szCs w:val="20"/>
        </w:rPr>
        <w:t>he Company does not currently believe that this matter will have a material adverse effect on its business, financial condition, results of operations or cash flows, the Company can provide no assurance as to the scope or outcome of any proceeding that mig</w:t>
      </w:r>
      <w:r>
        <w:rPr>
          <w:rFonts w:ascii="Times New Roman" w:eastAsia="宋体" w:hAnsi="Times New Roman"/>
          <w:color w:val="000000"/>
          <w:sz w:val="20"/>
          <w:szCs w:val="20"/>
        </w:rPr>
        <w:t>ht result from the notice, the amount of the proceeds the Company may receive in indemnification from individuals and entities that sold shares to the Company under the 2018 agreement pursuant to which the Company acquired its majority stake in Flipkart, o</w:t>
      </w:r>
      <w:r>
        <w:rPr>
          <w:rFonts w:ascii="Times New Roman" w:eastAsia="宋体" w:hAnsi="Times New Roman"/>
          <w:color w:val="000000"/>
          <w:sz w:val="20"/>
          <w:szCs w:val="20"/>
        </w:rPr>
        <w:t>r whether the Company's business, financial position, results of operations or cash flows will not be materially adversely affected.</w:t>
      </w:r>
    </w:p>
    <w:p w14:paraId="098AA45E" w14:textId="77777777" w:rsidR="00141CDF" w:rsidRDefault="00DF45E0">
      <w:pPr>
        <w:spacing w:before="180"/>
      </w:pPr>
      <w:r>
        <w:rPr>
          <w:rFonts w:ascii="Times New Roman" w:eastAsia="宋体" w:hAnsi="Times New Roman"/>
          <w:b/>
          <w:bCs/>
          <w:color w:val="000000"/>
          <w:sz w:val="20"/>
          <w:szCs w:val="20"/>
        </w:rPr>
        <w:t>III. ENVIRONMENTAL MATTERS</w:t>
      </w:r>
      <w:r>
        <w:rPr>
          <w:rFonts w:ascii="Times New Roman" w:eastAsia="宋体" w:hAnsi="Times New Roman"/>
          <w:color w:val="000000"/>
          <w:sz w:val="20"/>
          <w:szCs w:val="20"/>
        </w:rPr>
        <w:t>: Item 103 of SEC Regulation S-K requires disclosure of certain environmental matters when a gove</w:t>
      </w:r>
      <w:r>
        <w:rPr>
          <w:rFonts w:ascii="Times New Roman" w:eastAsia="宋体" w:hAnsi="Times New Roman"/>
          <w:color w:val="000000"/>
          <w:sz w:val="20"/>
          <w:szCs w:val="20"/>
        </w:rPr>
        <w:t xml:space="preserve">rnmental authority is a party to the proceedings and such proceedings involve potential monetary sanctions that the Company reasonably believes will exceed an applied threshold not to exceed $1 million. </w:t>
      </w:r>
    </w:p>
    <w:p w14:paraId="098AA45F" w14:textId="77777777" w:rsidR="00141CDF" w:rsidRDefault="00DF45E0">
      <w:pPr>
        <w:spacing w:before="180"/>
      </w:pPr>
      <w:r>
        <w:rPr>
          <w:rFonts w:ascii="Times New Roman" w:eastAsia="宋体" w:hAnsi="Times New Roman"/>
          <w:color w:val="000000"/>
          <w:sz w:val="20"/>
          <w:szCs w:val="20"/>
        </w:rPr>
        <w:t>In December 2021, the Office of the Attorney General</w:t>
      </w:r>
      <w:r>
        <w:rPr>
          <w:rFonts w:ascii="Times New Roman" w:eastAsia="宋体" w:hAnsi="Times New Roman"/>
          <w:color w:val="000000"/>
          <w:sz w:val="20"/>
          <w:szCs w:val="20"/>
        </w:rPr>
        <w:t xml:space="preserve"> of the State of California filed suit against the Company, bringing enforcement claims regarding Walmart's management of waste consumer products at its California facilities that are alleged to be hazardous. The suit was filed in Superior Court of Alameda</w:t>
      </w:r>
      <w:r>
        <w:rPr>
          <w:rFonts w:ascii="Times New Roman" w:eastAsia="宋体" w:hAnsi="Times New Roman"/>
          <w:color w:val="000000"/>
          <w:sz w:val="20"/>
          <w:szCs w:val="20"/>
        </w:rPr>
        <w:t xml:space="preserve"> County, California, Case No. 21CV004367, </w:t>
      </w:r>
      <w:r>
        <w:rPr>
          <w:rFonts w:ascii="Times New Roman" w:eastAsia="宋体" w:hAnsi="Times New Roman"/>
          <w:i/>
          <w:iCs/>
          <w:color w:val="000000"/>
          <w:sz w:val="20"/>
          <w:szCs w:val="20"/>
        </w:rPr>
        <w:t>People v. Walmart Inc</w:t>
      </w:r>
      <w:r>
        <w:rPr>
          <w:rFonts w:ascii="Times New Roman" w:eastAsia="宋体" w:hAnsi="Times New Roman"/>
          <w:color w:val="000000"/>
          <w:sz w:val="20"/>
          <w:szCs w:val="20"/>
        </w:rPr>
        <w:t>. The Company believes the suit is without merit and is vigorously defending this litigation matter. While the Company cannot predict the ultimate outcome of this matter, the potential for pena</w:t>
      </w:r>
      <w:r>
        <w:rPr>
          <w:rFonts w:ascii="Times New Roman" w:eastAsia="宋体" w:hAnsi="Times New Roman"/>
          <w:color w:val="000000"/>
          <w:sz w:val="20"/>
          <w:szCs w:val="20"/>
        </w:rPr>
        <w:t>lties or settlement costs could exceed $1 million. Although the Company does not believe that this matter will have a material adverse effect on its business, financial position, results of operations, or cash flows, the Company can provide no assurance as</w:t>
      </w:r>
      <w:r>
        <w:rPr>
          <w:rFonts w:ascii="Times New Roman" w:eastAsia="宋体" w:hAnsi="Times New Roman"/>
          <w:color w:val="000000"/>
          <w:sz w:val="20"/>
          <w:szCs w:val="20"/>
        </w:rPr>
        <w:t xml:space="preserve"> to the scope and outcome of these matters and whether its business, financial position, results of operations or cash flows will not be materially adversely affected.</w:t>
      </w:r>
    </w:p>
    <w:p w14:paraId="098AA460" w14:textId="77777777" w:rsidR="00141CDF" w:rsidRDefault="00DF45E0">
      <w:pPr>
        <w:jc w:val="center"/>
      </w:pPr>
      <w:r>
        <w:rPr>
          <w:rFonts w:ascii="Times New Roman" w:eastAsia="宋体" w:hAnsi="Times New Roman"/>
          <w:color w:val="000000"/>
          <w:sz w:val="20"/>
          <w:szCs w:val="20"/>
        </w:rPr>
        <w:t>28</w:t>
      </w:r>
    </w:p>
    <w:p w14:paraId="098AA461" w14:textId="77777777" w:rsidR="00141CDF" w:rsidRDefault="00DF45E0">
      <w:r>
        <w:pict w14:anchorId="098AA66A">
          <v:rect id="_x0000_i1052" style="width:415.3pt;height:1.5pt" o:hralign="center" o:hrstd="t" o:hr="t" fillcolor="#a0a0a0" stroked="f"/>
        </w:pict>
      </w:r>
    </w:p>
    <w:p w14:paraId="098AA462" w14:textId="77777777" w:rsidR="00141CDF" w:rsidRDefault="00DF45E0">
      <w:hyperlink r:id="rId110" w:anchor="i24a2f296795646fa8b5ba32fd1359591_7" w:history="1">
        <w:r>
          <w:rPr>
            <w:rStyle w:val="a5"/>
            <w:rFonts w:ascii="Times New Roman" w:eastAsia="宋体" w:hAnsi="Times New Roman"/>
            <w:sz w:val="20"/>
            <w:szCs w:val="20"/>
          </w:rPr>
          <w:t xml:space="preserve">Table of </w:t>
        </w:r>
      </w:hyperlink>
      <w:hyperlink r:id="rId111" w:anchor="i24a2f296795646fa8b5ba32fd1359591_7" w:history="1">
        <w:r>
          <w:rPr>
            <w:rStyle w:val="a5"/>
            <w:rFonts w:ascii="Times New Roman" w:eastAsia="宋体" w:hAnsi="Times New Roman"/>
            <w:sz w:val="20"/>
            <w:szCs w:val="20"/>
          </w:rPr>
          <w:t>Contents</w:t>
        </w:r>
      </w:hyperlink>
    </w:p>
    <w:p w14:paraId="098AA463" w14:textId="77777777" w:rsidR="00141CDF" w:rsidRDefault="00DF45E0">
      <w:pPr>
        <w:spacing w:before="180" w:after="180"/>
      </w:pPr>
      <w:r>
        <w:rPr>
          <w:rFonts w:ascii="Times New Roman" w:eastAsia="宋体" w:hAnsi="Times New Roman"/>
          <w:b/>
          <w:bCs/>
          <w:color w:val="000000"/>
          <w:sz w:val="20"/>
          <w:szCs w:val="20"/>
        </w:rPr>
        <w:t xml:space="preserve">Item 1A. Risk </w:t>
      </w:r>
      <w:r>
        <w:rPr>
          <w:rFonts w:ascii="Times New Roman" w:eastAsia="宋体" w:hAnsi="Times New Roman"/>
          <w:b/>
          <w:bCs/>
          <w:color w:val="000000"/>
          <w:sz w:val="20"/>
          <w:szCs w:val="20"/>
        </w:rPr>
        <w:t>Factors</w:t>
      </w:r>
    </w:p>
    <w:p w14:paraId="098AA464" w14:textId="77777777" w:rsidR="00141CDF" w:rsidRDefault="00DF45E0">
      <w:r>
        <w:rPr>
          <w:rFonts w:ascii="Times New Roman" w:eastAsia="宋体" w:hAnsi="Times New Roman"/>
          <w:color w:val="000000"/>
          <w:sz w:val="20"/>
          <w:szCs w:val="20"/>
        </w:rPr>
        <w:t>In addition to the other information set forth in this report, you should carefully consider the risk factors disclosed in Part I, Item 1A, under the caption "Risk Factors," of our Annual Report on Form 10-K for the fiscal year ended January 31, 20</w:t>
      </w:r>
      <w:r>
        <w:rPr>
          <w:rFonts w:ascii="Times New Roman" w:eastAsia="宋体" w:hAnsi="Times New Roman"/>
          <w:color w:val="000000"/>
          <w:sz w:val="20"/>
          <w:szCs w:val="20"/>
        </w:rPr>
        <w:t xml:space="preserve">22 which risks could materially and adversely affect our business, results of operations, financial condition, and liquidity. No material change in the risk factors discussed in such Form 10-K has occurred. Such risk factors do not identify all risks that </w:t>
      </w:r>
      <w:r>
        <w:rPr>
          <w:rFonts w:ascii="Times New Roman" w:eastAsia="宋体" w:hAnsi="Times New Roman"/>
          <w:color w:val="000000"/>
          <w:sz w:val="20"/>
          <w:szCs w:val="20"/>
        </w:rPr>
        <w:t>we face because our business operations could also be affected by additional factors that are not presently known to us or that we currently consider to be immaterial to our operations. Our business operations could also be affected by additional factors t</w:t>
      </w:r>
      <w:r>
        <w:rPr>
          <w:rFonts w:ascii="Times New Roman" w:eastAsia="宋体" w:hAnsi="Times New Roman"/>
          <w:color w:val="000000"/>
          <w:sz w:val="20"/>
          <w:szCs w:val="20"/>
        </w:rPr>
        <w:t>hat apply to all companies operating in the U.S. and globally. </w:t>
      </w:r>
    </w:p>
    <w:p w14:paraId="098AA465" w14:textId="77777777" w:rsidR="00141CDF" w:rsidRDefault="00DF45E0">
      <w:pPr>
        <w:spacing w:before="240"/>
      </w:pPr>
      <w:r>
        <w:rPr>
          <w:rFonts w:ascii="Times New Roman" w:eastAsia="宋体" w:hAnsi="Times New Roman"/>
          <w:b/>
          <w:bCs/>
          <w:color w:val="000000"/>
          <w:sz w:val="20"/>
          <w:szCs w:val="20"/>
        </w:rPr>
        <w:t>Item 2. Unregistered Sales of Equity Securities and Use of Proceeds</w:t>
      </w:r>
    </w:p>
    <w:p w14:paraId="098AA466" w14:textId="77777777" w:rsidR="00141CDF" w:rsidRDefault="00DF45E0">
      <w:pPr>
        <w:spacing w:before="100"/>
      </w:pPr>
      <w:r>
        <w:rPr>
          <w:rFonts w:ascii="Times New Roman" w:eastAsia="宋体" w:hAnsi="Times New Roman"/>
          <w:color w:val="000000"/>
          <w:sz w:val="20"/>
          <w:szCs w:val="20"/>
        </w:rPr>
        <w:t>From time to time, the Company repurchases shares of its common stock under share repurchase programs authorized by the Company's Board of Directors. All repurchases made during the three months ended July 31, 2022 were made under the current $20 billion s</w:t>
      </w:r>
      <w:r>
        <w:rPr>
          <w:rFonts w:ascii="Times New Roman" w:eastAsia="宋体" w:hAnsi="Times New Roman"/>
          <w:color w:val="000000"/>
          <w:sz w:val="20"/>
          <w:szCs w:val="20"/>
        </w:rPr>
        <w:t>hare repurchase program approved in February 2021, which has no expiration date or other restrictions limiting the period over which the Company can make repurchases. As of July 31, 2022, authorization for $4.9 billion of share repurchases remained under t</w:t>
      </w:r>
      <w:r>
        <w:rPr>
          <w:rFonts w:ascii="Times New Roman" w:eastAsia="宋体" w:hAnsi="Times New Roman"/>
          <w:color w:val="000000"/>
          <w:sz w:val="20"/>
          <w:szCs w:val="20"/>
        </w:rPr>
        <w:t xml:space="preserve">he share repurchase program. Any repurchased shares are constructively retired and returned to an unissued status. </w:t>
      </w:r>
    </w:p>
    <w:p w14:paraId="098AA467" w14:textId="77777777" w:rsidR="00141CDF" w:rsidRDefault="00DF45E0">
      <w:pPr>
        <w:spacing w:before="100"/>
      </w:pPr>
      <w:r>
        <w:rPr>
          <w:rFonts w:ascii="Times New Roman" w:eastAsia="宋体" w:hAnsi="Times New Roman"/>
          <w:color w:val="000000"/>
          <w:sz w:val="20"/>
          <w:szCs w:val="20"/>
        </w:rPr>
        <w:t xml:space="preserve">The Company regularly reviews its share repurchase activity and considers several factors in determining when to execute share repurchases, </w:t>
      </w:r>
      <w:r>
        <w:rPr>
          <w:rFonts w:ascii="Times New Roman" w:eastAsia="宋体" w:hAnsi="Times New Roman"/>
          <w:color w:val="000000"/>
          <w:sz w:val="20"/>
          <w:szCs w:val="20"/>
        </w:rPr>
        <w:t xml:space="preserve">including, among other things, current cash needs, capacity for leverage, cost of borrowings and the market price of its common stock. Share repurchase activity under our share repurchase program, on a trade date basis, for the three months ended July 31, </w:t>
      </w:r>
      <w:r>
        <w:rPr>
          <w:rFonts w:ascii="Times New Roman" w:eastAsia="宋体" w:hAnsi="Times New Roman"/>
          <w:color w:val="000000"/>
          <w:sz w:val="20"/>
          <w:szCs w:val="20"/>
        </w:rPr>
        <w:t>2022, was as follows:</w:t>
      </w:r>
    </w:p>
    <w:tbl>
      <w:tblPr>
        <w:tblW w:w="4978" w:type="pct"/>
        <w:tblCellMar>
          <w:top w:w="15" w:type="dxa"/>
          <w:left w:w="15" w:type="dxa"/>
          <w:bottom w:w="15" w:type="dxa"/>
          <w:right w:w="15" w:type="dxa"/>
        </w:tblCellMar>
        <w:tblLook w:val="04A0" w:firstRow="1" w:lastRow="0" w:firstColumn="1" w:lastColumn="0" w:noHBand="0" w:noVBand="1"/>
      </w:tblPr>
      <w:tblGrid>
        <w:gridCol w:w="50"/>
        <w:gridCol w:w="3009"/>
        <w:gridCol w:w="36"/>
        <w:gridCol w:w="36"/>
        <w:gridCol w:w="36"/>
        <w:gridCol w:w="36"/>
        <w:gridCol w:w="58"/>
        <w:gridCol w:w="975"/>
        <w:gridCol w:w="36"/>
        <w:gridCol w:w="36"/>
        <w:gridCol w:w="36"/>
        <w:gridCol w:w="36"/>
        <w:gridCol w:w="101"/>
        <w:gridCol w:w="789"/>
        <w:gridCol w:w="36"/>
        <w:gridCol w:w="36"/>
        <w:gridCol w:w="36"/>
        <w:gridCol w:w="36"/>
        <w:gridCol w:w="48"/>
        <w:gridCol w:w="1277"/>
        <w:gridCol w:w="36"/>
        <w:gridCol w:w="36"/>
        <w:gridCol w:w="36"/>
        <w:gridCol w:w="36"/>
        <w:gridCol w:w="101"/>
        <w:gridCol w:w="1279"/>
        <w:gridCol w:w="36"/>
      </w:tblGrid>
      <w:tr w:rsidR="00141CDF" w14:paraId="098AA483" w14:textId="77777777">
        <w:tc>
          <w:tcPr>
            <w:tcW w:w="50" w:type="pct"/>
            <w:shd w:val="clear" w:color="auto" w:fill="auto"/>
            <w:vAlign w:val="bottom"/>
          </w:tcPr>
          <w:p w14:paraId="098AA468" w14:textId="77777777" w:rsidR="00141CDF" w:rsidRDefault="00141CDF">
            <w:pPr>
              <w:rPr>
                <w:rFonts w:ascii="宋体"/>
              </w:rPr>
            </w:pPr>
          </w:p>
        </w:tc>
        <w:tc>
          <w:tcPr>
            <w:tcW w:w="1831" w:type="pct"/>
            <w:shd w:val="clear" w:color="auto" w:fill="auto"/>
            <w:vAlign w:val="bottom"/>
          </w:tcPr>
          <w:p w14:paraId="098AA469" w14:textId="77777777" w:rsidR="00141CDF" w:rsidRDefault="00141CDF">
            <w:pPr>
              <w:rPr>
                <w:rFonts w:ascii="宋体"/>
              </w:rPr>
            </w:pPr>
          </w:p>
        </w:tc>
        <w:tc>
          <w:tcPr>
            <w:tcW w:w="5" w:type="pct"/>
            <w:shd w:val="clear" w:color="auto" w:fill="auto"/>
            <w:vAlign w:val="bottom"/>
          </w:tcPr>
          <w:p w14:paraId="098AA46A" w14:textId="77777777" w:rsidR="00141CDF" w:rsidRDefault="00141CDF">
            <w:pPr>
              <w:rPr>
                <w:rFonts w:ascii="宋体"/>
              </w:rPr>
            </w:pPr>
          </w:p>
        </w:tc>
        <w:tc>
          <w:tcPr>
            <w:tcW w:w="5" w:type="pct"/>
            <w:shd w:val="clear" w:color="auto" w:fill="auto"/>
            <w:vAlign w:val="bottom"/>
          </w:tcPr>
          <w:p w14:paraId="098AA46B" w14:textId="77777777" w:rsidR="00141CDF" w:rsidRDefault="00141CDF">
            <w:pPr>
              <w:rPr>
                <w:rFonts w:ascii="宋体"/>
              </w:rPr>
            </w:pPr>
          </w:p>
        </w:tc>
        <w:tc>
          <w:tcPr>
            <w:tcW w:w="26" w:type="pct"/>
            <w:shd w:val="clear" w:color="auto" w:fill="auto"/>
            <w:vAlign w:val="bottom"/>
          </w:tcPr>
          <w:p w14:paraId="098AA46C" w14:textId="77777777" w:rsidR="00141CDF" w:rsidRDefault="00141CDF">
            <w:pPr>
              <w:rPr>
                <w:rFonts w:ascii="宋体"/>
              </w:rPr>
            </w:pPr>
          </w:p>
        </w:tc>
        <w:tc>
          <w:tcPr>
            <w:tcW w:w="5" w:type="pct"/>
            <w:shd w:val="clear" w:color="auto" w:fill="auto"/>
            <w:vAlign w:val="bottom"/>
          </w:tcPr>
          <w:p w14:paraId="098AA46D" w14:textId="77777777" w:rsidR="00141CDF" w:rsidRDefault="00141CDF">
            <w:pPr>
              <w:rPr>
                <w:rFonts w:ascii="宋体"/>
              </w:rPr>
            </w:pPr>
          </w:p>
        </w:tc>
        <w:tc>
          <w:tcPr>
            <w:tcW w:w="50" w:type="pct"/>
            <w:shd w:val="clear" w:color="auto" w:fill="auto"/>
            <w:vAlign w:val="bottom"/>
          </w:tcPr>
          <w:p w14:paraId="098AA46E" w14:textId="77777777" w:rsidR="00141CDF" w:rsidRDefault="00141CDF">
            <w:pPr>
              <w:rPr>
                <w:rFonts w:ascii="宋体"/>
              </w:rPr>
            </w:pPr>
          </w:p>
        </w:tc>
        <w:tc>
          <w:tcPr>
            <w:tcW w:w="627" w:type="pct"/>
            <w:shd w:val="clear" w:color="auto" w:fill="auto"/>
            <w:vAlign w:val="bottom"/>
          </w:tcPr>
          <w:p w14:paraId="098AA46F" w14:textId="77777777" w:rsidR="00141CDF" w:rsidRDefault="00141CDF">
            <w:pPr>
              <w:rPr>
                <w:rFonts w:ascii="宋体"/>
              </w:rPr>
            </w:pPr>
          </w:p>
        </w:tc>
        <w:tc>
          <w:tcPr>
            <w:tcW w:w="5" w:type="pct"/>
            <w:shd w:val="clear" w:color="auto" w:fill="auto"/>
            <w:vAlign w:val="bottom"/>
          </w:tcPr>
          <w:p w14:paraId="098AA470" w14:textId="77777777" w:rsidR="00141CDF" w:rsidRDefault="00141CDF">
            <w:pPr>
              <w:rPr>
                <w:rFonts w:ascii="宋体"/>
              </w:rPr>
            </w:pPr>
          </w:p>
        </w:tc>
        <w:tc>
          <w:tcPr>
            <w:tcW w:w="5" w:type="pct"/>
            <w:shd w:val="clear" w:color="auto" w:fill="auto"/>
            <w:vAlign w:val="bottom"/>
          </w:tcPr>
          <w:p w14:paraId="098AA471" w14:textId="77777777" w:rsidR="00141CDF" w:rsidRDefault="00141CDF">
            <w:pPr>
              <w:rPr>
                <w:rFonts w:ascii="宋体"/>
              </w:rPr>
            </w:pPr>
          </w:p>
        </w:tc>
        <w:tc>
          <w:tcPr>
            <w:tcW w:w="26" w:type="pct"/>
            <w:shd w:val="clear" w:color="auto" w:fill="auto"/>
            <w:vAlign w:val="bottom"/>
          </w:tcPr>
          <w:p w14:paraId="098AA472" w14:textId="77777777" w:rsidR="00141CDF" w:rsidRDefault="00141CDF">
            <w:pPr>
              <w:rPr>
                <w:rFonts w:ascii="宋体"/>
              </w:rPr>
            </w:pPr>
          </w:p>
        </w:tc>
        <w:tc>
          <w:tcPr>
            <w:tcW w:w="5" w:type="pct"/>
            <w:shd w:val="clear" w:color="auto" w:fill="auto"/>
            <w:vAlign w:val="bottom"/>
          </w:tcPr>
          <w:p w14:paraId="098AA473" w14:textId="77777777" w:rsidR="00141CDF" w:rsidRDefault="00141CDF">
            <w:pPr>
              <w:rPr>
                <w:rFonts w:ascii="宋体"/>
              </w:rPr>
            </w:pPr>
          </w:p>
        </w:tc>
        <w:tc>
          <w:tcPr>
            <w:tcW w:w="50" w:type="pct"/>
            <w:shd w:val="clear" w:color="auto" w:fill="auto"/>
            <w:vAlign w:val="bottom"/>
          </w:tcPr>
          <w:p w14:paraId="098AA474" w14:textId="77777777" w:rsidR="00141CDF" w:rsidRDefault="00141CDF">
            <w:pPr>
              <w:rPr>
                <w:rFonts w:ascii="宋体"/>
              </w:rPr>
            </w:pPr>
          </w:p>
        </w:tc>
        <w:tc>
          <w:tcPr>
            <w:tcW w:w="510" w:type="pct"/>
            <w:shd w:val="clear" w:color="auto" w:fill="auto"/>
            <w:vAlign w:val="bottom"/>
          </w:tcPr>
          <w:p w14:paraId="098AA475" w14:textId="77777777" w:rsidR="00141CDF" w:rsidRDefault="00141CDF">
            <w:pPr>
              <w:rPr>
                <w:rFonts w:ascii="宋体"/>
              </w:rPr>
            </w:pPr>
          </w:p>
        </w:tc>
        <w:tc>
          <w:tcPr>
            <w:tcW w:w="5" w:type="pct"/>
            <w:shd w:val="clear" w:color="auto" w:fill="auto"/>
            <w:vAlign w:val="bottom"/>
          </w:tcPr>
          <w:p w14:paraId="098AA476" w14:textId="77777777" w:rsidR="00141CDF" w:rsidRDefault="00141CDF">
            <w:pPr>
              <w:rPr>
                <w:rFonts w:ascii="宋体"/>
              </w:rPr>
            </w:pPr>
          </w:p>
        </w:tc>
        <w:tc>
          <w:tcPr>
            <w:tcW w:w="5" w:type="pct"/>
            <w:shd w:val="clear" w:color="auto" w:fill="auto"/>
            <w:vAlign w:val="bottom"/>
          </w:tcPr>
          <w:p w14:paraId="098AA477" w14:textId="77777777" w:rsidR="00141CDF" w:rsidRDefault="00141CDF">
            <w:pPr>
              <w:rPr>
                <w:rFonts w:ascii="宋体"/>
              </w:rPr>
            </w:pPr>
          </w:p>
        </w:tc>
        <w:tc>
          <w:tcPr>
            <w:tcW w:w="26" w:type="pct"/>
            <w:shd w:val="clear" w:color="auto" w:fill="auto"/>
            <w:vAlign w:val="bottom"/>
          </w:tcPr>
          <w:p w14:paraId="098AA478" w14:textId="77777777" w:rsidR="00141CDF" w:rsidRDefault="00141CDF">
            <w:pPr>
              <w:rPr>
                <w:rFonts w:ascii="宋体"/>
              </w:rPr>
            </w:pPr>
          </w:p>
        </w:tc>
        <w:tc>
          <w:tcPr>
            <w:tcW w:w="5" w:type="pct"/>
            <w:shd w:val="clear" w:color="auto" w:fill="auto"/>
            <w:vAlign w:val="bottom"/>
          </w:tcPr>
          <w:p w14:paraId="098AA479" w14:textId="77777777" w:rsidR="00141CDF" w:rsidRDefault="00141CDF">
            <w:pPr>
              <w:rPr>
                <w:rFonts w:ascii="宋体"/>
              </w:rPr>
            </w:pPr>
          </w:p>
        </w:tc>
        <w:tc>
          <w:tcPr>
            <w:tcW w:w="50" w:type="pct"/>
            <w:shd w:val="clear" w:color="auto" w:fill="auto"/>
            <w:vAlign w:val="bottom"/>
          </w:tcPr>
          <w:p w14:paraId="098AA47A" w14:textId="77777777" w:rsidR="00141CDF" w:rsidRDefault="00141CDF">
            <w:pPr>
              <w:rPr>
                <w:rFonts w:ascii="宋体"/>
              </w:rPr>
            </w:pPr>
          </w:p>
        </w:tc>
        <w:tc>
          <w:tcPr>
            <w:tcW w:w="803" w:type="pct"/>
            <w:shd w:val="clear" w:color="auto" w:fill="auto"/>
            <w:vAlign w:val="bottom"/>
          </w:tcPr>
          <w:p w14:paraId="098AA47B" w14:textId="77777777" w:rsidR="00141CDF" w:rsidRDefault="00141CDF">
            <w:pPr>
              <w:rPr>
                <w:rFonts w:ascii="宋体"/>
              </w:rPr>
            </w:pPr>
          </w:p>
        </w:tc>
        <w:tc>
          <w:tcPr>
            <w:tcW w:w="5" w:type="pct"/>
            <w:shd w:val="clear" w:color="auto" w:fill="auto"/>
            <w:vAlign w:val="bottom"/>
          </w:tcPr>
          <w:p w14:paraId="098AA47C" w14:textId="77777777" w:rsidR="00141CDF" w:rsidRDefault="00141CDF">
            <w:pPr>
              <w:rPr>
                <w:rFonts w:ascii="宋体"/>
              </w:rPr>
            </w:pPr>
          </w:p>
        </w:tc>
        <w:tc>
          <w:tcPr>
            <w:tcW w:w="5" w:type="pct"/>
            <w:shd w:val="clear" w:color="auto" w:fill="auto"/>
            <w:vAlign w:val="bottom"/>
          </w:tcPr>
          <w:p w14:paraId="098AA47D" w14:textId="77777777" w:rsidR="00141CDF" w:rsidRDefault="00141CDF">
            <w:pPr>
              <w:rPr>
                <w:rFonts w:ascii="宋体"/>
              </w:rPr>
            </w:pPr>
          </w:p>
        </w:tc>
        <w:tc>
          <w:tcPr>
            <w:tcW w:w="26" w:type="pct"/>
            <w:shd w:val="clear" w:color="auto" w:fill="auto"/>
            <w:vAlign w:val="bottom"/>
          </w:tcPr>
          <w:p w14:paraId="098AA47E" w14:textId="77777777" w:rsidR="00141CDF" w:rsidRDefault="00141CDF">
            <w:pPr>
              <w:rPr>
                <w:rFonts w:ascii="宋体"/>
              </w:rPr>
            </w:pPr>
          </w:p>
        </w:tc>
        <w:tc>
          <w:tcPr>
            <w:tcW w:w="5" w:type="pct"/>
            <w:shd w:val="clear" w:color="auto" w:fill="auto"/>
            <w:vAlign w:val="bottom"/>
          </w:tcPr>
          <w:p w14:paraId="098AA47F" w14:textId="77777777" w:rsidR="00141CDF" w:rsidRDefault="00141CDF">
            <w:pPr>
              <w:rPr>
                <w:rFonts w:ascii="宋体"/>
              </w:rPr>
            </w:pPr>
          </w:p>
        </w:tc>
        <w:tc>
          <w:tcPr>
            <w:tcW w:w="50" w:type="pct"/>
            <w:shd w:val="clear" w:color="auto" w:fill="auto"/>
            <w:vAlign w:val="bottom"/>
          </w:tcPr>
          <w:p w14:paraId="098AA480" w14:textId="77777777" w:rsidR="00141CDF" w:rsidRDefault="00141CDF">
            <w:pPr>
              <w:rPr>
                <w:rFonts w:ascii="宋体"/>
              </w:rPr>
            </w:pPr>
          </w:p>
        </w:tc>
        <w:tc>
          <w:tcPr>
            <w:tcW w:w="804" w:type="pct"/>
            <w:shd w:val="clear" w:color="auto" w:fill="auto"/>
            <w:vAlign w:val="bottom"/>
          </w:tcPr>
          <w:p w14:paraId="098AA481" w14:textId="77777777" w:rsidR="00141CDF" w:rsidRDefault="00141CDF">
            <w:pPr>
              <w:rPr>
                <w:rFonts w:ascii="宋体"/>
              </w:rPr>
            </w:pPr>
          </w:p>
        </w:tc>
        <w:tc>
          <w:tcPr>
            <w:tcW w:w="5" w:type="pct"/>
            <w:shd w:val="clear" w:color="auto" w:fill="auto"/>
            <w:vAlign w:val="bottom"/>
          </w:tcPr>
          <w:p w14:paraId="098AA482" w14:textId="77777777" w:rsidR="00141CDF" w:rsidRDefault="00141CDF">
            <w:pPr>
              <w:rPr>
                <w:rFonts w:ascii="宋体"/>
              </w:rPr>
            </w:pPr>
          </w:p>
        </w:tc>
      </w:tr>
      <w:tr w:rsidR="00141CDF" w14:paraId="098AA492" w14:textId="77777777">
        <w:tc>
          <w:tcPr>
            <w:tcW w:w="0" w:type="auto"/>
            <w:gridSpan w:val="3"/>
            <w:shd w:val="clear" w:color="auto" w:fill="auto"/>
            <w:tcMar>
              <w:top w:w="40" w:type="dxa"/>
              <w:left w:w="20" w:type="dxa"/>
              <w:bottom w:w="40" w:type="dxa"/>
              <w:right w:w="20" w:type="dxa"/>
            </w:tcMar>
            <w:vAlign w:val="bottom"/>
          </w:tcPr>
          <w:p w14:paraId="098AA484" w14:textId="77777777" w:rsidR="00141CDF" w:rsidRDefault="00DF45E0">
            <w:pPr>
              <w:textAlignment w:val="bottom"/>
            </w:pPr>
            <w:r>
              <w:rPr>
                <w:rFonts w:ascii="Times New Roman" w:eastAsia="宋体" w:hAnsi="Times New Roman"/>
                <w:b/>
                <w:bCs/>
                <w:color w:val="000000"/>
                <w:sz w:val="16"/>
                <w:szCs w:val="16"/>
              </w:rPr>
              <w:t>Fiscal Period</w:t>
            </w:r>
          </w:p>
        </w:tc>
        <w:tc>
          <w:tcPr>
            <w:tcW w:w="0" w:type="auto"/>
            <w:gridSpan w:val="3"/>
            <w:shd w:val="clear" w:color="auto" w:fill="auto"/>
            <w:tcMar>
              <w:top w:w="0" w:type="dxa"/>
              <w:left w:w="20" w:type="dxa"/>
              <w:bottom w:w="0" w:type="dxa"/>
              <w:right w:w="20" w:type="dxa"/>
            </w:tcMar>
            <w:vAlign w:val="bottom"/>
          </w:tcPr>
          <w:p w14:paraId="098AA485"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A486" w14:textId="77777777" w:rsidR="00141CDF" w:rsidRDefault="00DF45E0">
            <w:pPr>
              <w:jc w:val="center"/>
              <w:textAlignment w:val="bottom"/>
            </w:pPr>
            <w:r>
              <w:rPr>
                <w:rFonts w:ascii="Times New Roman" w:eastAsia="宋体" w:hAnsi="Times New Roman"/>
                <w:b/>
                <w:bCs/>
                <w:color w:val="000000"/>
                <w:sz w:val="16"/>
                <w:szCs w:val="16"/>
              </w:rPr>
              <w:t>Total</w:t>
            </w:r>
            <w:r>
              <w:rPr>
                <w:rFonts w:ascii="Times New Roman" w:eastAsia="宋体" w:hAnsi="Times New Roman"/>
                <w:b/>
                <w:bCs/>
                <w:color w:val="000000"/>
                <w:sz w:val="16"/>
                <w:szCs w:val="16"/>
              </w:rPr>
              <w:br/>
              <w:t>Number of</w:t>
            </w:r>
            <w:r>
              <w:rPr>
                <w:rFonts w:ascii="Times New Roman" w:eastAsia="宋体" w:hAnsi="Times New Roman"/>
                <w:b/>
                <w:bCs/>
                <w:color w:val="000000"/>
                <w:sz w:val="16"/>
                <w:szCs w:val="16"/>
              </w:rPr>
              <w:br/>
              <w:t>Shares</w:t>
            </w:r>
            <w:r>
              <w:rPr>
                <w:rFonts w:ascii="Times New Roman" w:eastAsia="宋体" w:hAnsi="Times New Roman"/>
                <w:b/>
                <w:bCs/>
                <w:color w:val="000000"/>
                <w:sz w:val="16"/>
                <w:szCs w:val="16"/>
              </w:rPr>
              <w:br/>
              <w:t>Purchased</w:t>
            </w:r>
          </w:p>
        </w:tc>
        <w:tc>
          <w:tcPr>
            <w:tcW w:w="0" w:type="auto"/>
            <w:gridSpan w:val="3"/>
            <w:shd w:val="clear" w:color="auto" w:fill="auto"/>
            <w:tcMar>
              <w:top w:w="0" w:type="dxa"/>
              <w:left w:w="20" w:type="dxa"/>
              <w:bottom w:w="0" w:type="dxa"/>
              <w:right w:w="20" w:type="dxa"/>
            </w:tcMar>
            <w:vAlign w:val="bottom"/>
          </w:tcPr>
          <w:p w14:paraId="098AA487"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A488" w14:textId="77777777" w:rsidR="00141CDF" w:rsidRDefault="00DF45E0">
            <w:pPr>
              <w:jc w:val="center"/>
              <w:textAlignment w:val="bottom"/>
            </w:pPr>
            <w:r>
              <w:rPr>
                <w:rFonts w:ascii="Times New Roman" w:eastAsia="宋体" w:hAnsi="Times New Roman"/>
                <w:b/>
                <w:bCs/>
                <w:color w:val="000000"/>
                <w:sz w:val="16"/>
                <w:szCs w:val="16"/>
              </w:rPr>
              <w:t>Average</w:t>
            </w:r>
            <w:r>
              <w:rPr>
                <w:rFonts w:ascii="Times New Roman" w:eastAsia="宋体" w:hAnsi="Times New Roman"/>
                <w:b/>
                <w:bCs/>
                <w:color w:val="000000"/>
                <w:sz w:val="16"/>
                <w:szCs w:val="16"/>
              </w:rPr>
              <w:br/>
              <w:t>Price Paid</w:t>
            </w:r>
            <w:r>
              <w:rPr>
                <w:rFonts w:ascii="Times New Roman" w:eastAsia="宋体" w:hAnsi="Times New Roman"/>
                <w:b/>
                <w:bCs/>
                <w:color w:val="000000"/>
                <w:sz w:val="16"/>
                <w:szCs w:val="16"/>
              </w:rPr>
              <w:br/>
              <w:t>per Share</w:t>
            </w:r>
          </w:p>
        </w:tc>
        <w:tc>
          <w:tcPr>
            <w:tcW w:w="0" w:type="auto"/>
            <w:gridSpan w:val="3"/>
            <w:shd w:val="clear" w:color="auto" w:fill="auto"/>
            <w:tcMar>
              <w:top w:w="0" w:type="dxa"/>
              <w:left w:w="20" w:type="dxa"/>
              <w:bottom w:w="0" w:type="dxa"/>
              <w:right w:w="20" w:type="dxa"/>
            </w:tcMar>
            <w:vAlign w:val="bottom"/>
          </w:tcPr>
          <w:p w14:paraId="098AA489"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A48A" w14:textId="77777777" w:rsidR="00141CDF" w:rsidRDefault="00DF45E0">
            <w:pPr>
              <w:jc w:val="center"/>
              <w:textAlignment w:val="bottom"/>
            </w:pPr>
            <w:r>
              <w:rPr>
                <w:rFonts w:ascii="Times New Roman" w:eastAsia="宋体" w:hAnsi="Times New Roman"/>
                <w:b/>
                <w:bCs/>
                <w:color w:val="000000"/>
                <w:sz w:val="16"/>
                <w:szCs w:val="16"/>
              </w:rPr>
              <w:t>Total Number of</w:t>
            </w:r>
            <w:r>
              <w:rPr>
                <w:rFonts w:ascii="Times New Roman" w:eastAsia="宋体" w:hAnsi="Times New Roman"/>
                <w:b/>
                <w:bCs/>
                <w:color w:val="000000"/>
                <w:sz w:val="16"/>
                <w:szCs w:val="16"/>
              </w:rPr>
              <w:br/>
              <w:t>Shares Purchased</w:t>
            </w:r>
            <w:r>
              <w:rPr>
                <w:rFonts w:ascii="Times New Roman" w:eastAsia="宋体" w:hAnsi="Times New Roman"/>
                <w:b/>
                <w:bCs/>
                <w:color w:val="000000"/>
                <w:sz w:val="16"/>
                <w:szCs w:val="16"/>
              </w:rPr>
              <w:br/>
              <w:t>as Part of Publicly</w:t>
            </w:r>
            <w:r>
              <w:rPr>
                <w:rFonts w:ascii="Times New Roman" w:eastAsia="宋体" w:hAnsi="Times New Roman"/>
                <w:b/>
                <w:bCs/>
                <w:color w:val="000000"/>
                <w:sz w:val="16"/>
                <w:szCs w:val="16"/>
              </w:rPr>
              <w:br/>
              <w:t>Announced Plans or</w:t>
            </w:r>
            <w:r>
              <w:rPr>
                <w:rFonts w:ascii="Times New Roman" w:eastAsia="宋体" w:hAnsi="Times New Roman"/>
                <w:b/>
                <w:bCs/>
                <w:color w:val="000000"/>
                <w:sz w:val="16"/>
                <w:szCs w:val="16"/>
              </w:rPr>
              <w:br/>
              <w:t>Programs</w:t>
            </w:r>
          </w:p>
        </w:tc>
        <w:tc>
          <w:tcPr>
            <w:tcW w:w="0" w:type="auto"/>
            <w:gridSpan w:val="3"/>
            <w:shd w:val="clear" w:color="auto" w:fill="auto"/>
            <w:tcMar>
              <w:top w:w="0" w:type="dxa"/>
              <w:left w:w="20" w:type="dxa"/>
              <w:bottom w:w="0" w:type="dxa"/>
              <w:right w:w="20" w:type="dxa"/>
            </w:tcMar>
            <w:vAlign w:val="bottom"/>
          </w:tcPr>
          <w:p w14:paraId="098AA48B"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A48C" w14:textId="77777777" w:rsidR="00141CDF" w:rsidRDefault="00DF45E0">
            <w:pPr>
              <w:jc w:val="center"/>
              <w:textAlignment w:val="bottom"/>
            </w:pPr>
            <w:r>
              <w:rPr>
                <w:rFonts w:ascii="Times New Roman" w:eastAsia="宋体" w:hAnsi="Times New Roman"/>
                <w:b/>
                <w:bCs/>
                <w:color w:val="000000"/>
                <w:sz w:val="16"/>
                <w:szCs w:val="16"/>
              </w:rPr>
              <w:t>Approximate Dollar </w:t>
            </w:r>
          </w:p>
          <w:p w14:paraId="098AA48D" w14:textId="77777777" w:rsidR="00141CDF" w:rsidRDefault="00DF45E0">
            <w:pPr>
              <w:jc w:val="center"/>
              <w:textAlignment w:val="bottom"/>
            </w:pPr>
            <w:r>
              <w:rPr>
                <w:rFonts w:ascii="Times New Roman" w:eastAsia="宋体" w:hAnsi="Times New Roman"/>
                <w:b/>
                <w:bCs/>
                <w:color w:val="000000"/>
                <w:sz w:val="16"/>
                <w:szCs w:val="16"/>
              </w:rPr>
              <w:t>Value of Shares that</w:t>
            </w:r>
          </w:p>
          <w:p w14:paraId="098AA48E" w14:textId="77777777" w:rsidR="00141CDF" w:rsidRDefault="00DF45E0">
            <w:pPr>
              <w:jc w:val="center"/>
              <w:textAlignment w:val="bottom"/>
            </w:pPr>
            <w:r>
              <w:rPr>
                <w:rFonts w:ascii="Times New Roman" w:eastAsia="宋体" w:hAnsi="Times New Roman"/>
                <w:b/>
                <w:bCs/>
                <w:color w:val="000000"/>
                <w:sz w:val="16"/>
                <w:szCs w:val="16"/>
              </w:rPr>
              <w:t>May</w:t>
            </w:r>
            <w:r>
              <w:rPr>
                <w:rFonts w:ascii="Times New Roman" w:eastAsia="宋体" w:hAnsi="Times New Roman"/>
                <w:b/>
                <w:bCs/>
                <w:color w:val="000000"/>
                <w:sz w:val="16"/>
                <w:szCs w:val="16"/>
              </w:rPr>
              <w:t> Yet Be</w:t>
            </w:r>
          </w:p>
          <w:p w14:paraId="098AA48F" w14:textId="77777777" w:rsidR="00141CDF" w:rsidRDefault="00DF45E0">
            <w:pPr>
              <w:jc w:val="center"/>
              <w:textAlignment w:val="bottom"/>
            </w:pPr>
            <w:r>
              <w:rPr>
                <w:rFonts w:ascii="Times New Roman" w:eastAsia="宋体" w:hAnsi="Times New Roman"/>
                <w:b/>
                <w:bCs/>
                <w:color w:val="000000"/>
                <w:sz w:val="16"/>
                <w:szCs w:val="16"/>
              </w:rPr>
              <w:t>Purchased Under the</w:t>
            </w:r>
          </w:p>
          <w:p w14:paraId="098AA490" w14:textId="77777777" w:rsidR="00141CDF" w:rsidRDefault="00DF45E0">
            <w:pPr>
              <w:jc w:val="center"/>
              <w:textAlignment w:val="bottom"/>
            </w:pPr>
            <w:r>
              <w:rPr>
                <w:rFonts w:ascii="Times New Roman" w:eastAsia="宋体" w:hAnsi="Times New Roman"/>
                <w:b/>
                <w:bCs/>
                <w:color w:val="000000"/>
                <w:sz w:val="16"/>
                <w:szCs w:val="16"/>
              </w:rPr>
              <w:t>Plans or Programs</w:t>
            </w:r>
            <w:r>
              <w:rPr>
                <w:rFonts w:ascii="Times New Roman" w:eastAsia="宋体" w:hAnsi="Times New Roman"/>
                <w:b/>
                <w:bCs/>
                <w:color w:val="000000"/>
                <w:sz w:val="10"/>
                <w:szCs w:val="10"/>
              </w:rPr>
              <w:t>(1)</w:t>
            </w:r>
          </w:p>
          <w:p w14:paraId="098AA491" w14:textId="77777777" w:rsidR="00141CDF" w:rsidRDefault="00DF45E0">
            <w:pPr>
              <w:jc w:val="center"/>
              <w:textAlignment w:val="bottom"/>
            </w:pPr>
            <w:r>
              <w:rPr>
                <w:rFonts w:ascii="Times New Roman" w:eastAsia="宋体" w:hAnsi="Times New Roman"/>
                <w:b/>
                <w:bCs/>
                <w:color w:val="000000"/>
                <w:sz w:val="16"/>
                <w:szCs w:val="16"/>
              </w:rPr>
              <w:t>(billions)</w:t>
            </w:r>
          </w:p>
        </w:tc>
      </w:tr>
      <w:tr w:rsidR="00141CDF" w14:paraId="098AA4A2" w14:textId="77777777">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098AA493" w14:textId="77777777" w:rsidR="00141CDF" w:rsidRDefault="00DF45E0">
            <w:pPr>
              <w:textAlignment w:val="center"/>
            </w:pPr>
            <w:r>
              <w:rPr>
                <w:rFonts w:ascii="Times New Roman" w:eastAsia="宋体" w:hAnsi="Times New Roman"/>
                <w:color w:val="000000"/>
                <w:sz w:val="16"/>
                <w:szCs w:val="16"/>
              </w:rPr>
              <w:t>May 1 - 31, 2022</w:t>
            </w:r>
          </w:p>
        </w:tc>
        <w:tc>
          <w:tcPr>
            <w:tcW w:w="0" w:type="auto"/>
            <w:gridSpan w:val="3"/>
            <w:shd w:val="clear" w:color="auto" w:fill="CCEEFF"/>
            <w:tcMar>
              <w:top w:w="0" w:type="dxa"/>
              <w:left w:w="20" w:type="dxa"/>
              <w:bottom w:w="0" w:type="dxa"/>
              <w:right w:w="20" w:type="dxa"/>
            </w:tcMar>
            <w:vAlign w:val="bottom"/>
          </w:tcPr>
          <w:p w14:paraId="098AA494" w14:textId="77777777" w:rsidR="00141CDF" w:rsidRDefault="00141CD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98AA495" w14:textId="77777777" w:rsidR="00141CDF" w:rsidRDefault="00DF45E0">
            <w:pPr>
              <w:jc w:val="right"/>
              <w:textAlignment w:val="center"/>
            </w:pPr>
            <w:r>
              <w:rPr>
                <w:rFonts w:ascii="Times New Roman" w:eastAsia="宋体" w:hAnsi="Times New Roman"/>
                <w:color w:val="000000"/>
                <w:sz w:val="16"/>
                <w:szCs w:val="16"/>
              </w:rPr>
              <w:t>7,062,901 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A496"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A497"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A498"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A499" w14:textId="77777777" w:rsidR="00141CDF" w:rsidRDefault="00DF45E0">
            <w:pPr>
              <w:jc w:val="right"/>
              <w:textAlignment w:val="center"/>
            </w:pPr>
            <w:r>
              <w:rPr>
                <w:rFonts w:ascii="Times New Roman" w:eastAsia="宋体" w:hAnsi="Times New Roman"/>
                <w:color w:val="000000"/>
                <w:sz w:val="16"/>
                <w:szCs w:val="16"/>
              </w:rPr>
              <w:t>132.30 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A49A"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A49B" w14:textId="77777777" w:rsidR="00141CDF" w:rsidRDefault="00141CD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98AA49C" w14:textId="77777777" w:rsidR="00141CDF" w:rsidRDefault="00DF45E0">
            <w:pPr>
              <w:jc w:val="right"/>
              <w:textAlignment w:val="center"/>
            </w:pPr>
            <w:r>
              <w:rPr>
                <w:rFonts w:ascii="Times New Roman" w:eastAsia="宋体" w:hAnsi="Times New Roman"/>
                <w:color w:val="000000"/>
                <w:sz w:val="16"/>
                <w:szCs w:val="16"/>
              </w:rPr>
              <w:t>7,062,901 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A49D"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A49E" w14:textId="77777777" w:rsidR="00141CDF" w:rsidRDefault="00141CD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98AA49F" w14:textId="77777777" w:rsidR="00141CDF" w:rsidRDefault="00DF45E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98AA4A0" w14:textId="77777777" w:rsidR="00141CDF" w:rsidRDefault="00DF45E0">
            <w:pPr>
              <w:jc w:val="right"/>
              <w:textAlignment w:val="center"/>
            </w:pPr>
            <w:r>
              <w:rPr>
                <w:rFonts w:ascii="Times New Roman" w:eastAsia="宋体" w:hAnsi="Times New Roman"/>
                <w:color w:val="000000"/>
                <w:sz w:val="16"/>
                <w:szCs w:val="16"/>
              </w:rPr>
              <w:t>7.3 </w:t>
            </w:r>
          </w:p>
        </w:tc>
        <w:tc>
          <w:tcPr>
            <w:tcW w:w="0" w:type="auto"/>
            <w:tcBorders>
              <w:top w:val="single" w:sz="8" w:space="0" w:color="000000"/>
            </w:tcBorders>
            <w:shd w:val="clear" w:color="auto" w:fill="CCEEFF"/>
            <w:tcMar>
              <w:top w:w="40" w:type="dxa"/>
              <w:left w:w="0" w:type="dxa"/>
              <w:bottom w:w="40" w:type="dxa"/>
              <w:right w:w="20" w:type="dxa"/>
            </w:tcMar>
            <w:vAlign w:val="center"/>
          </w:tcPr>
          <w:p w14:paraId="098AA4A1" w14:textId="77777777" w:rsidR="00141CDF" w:rsidRDefault="00141CDF">
            <w:pPr>
              <w:jc w:val="right"/>
              <w:rPr>
                <w:rFonts w:ascii="宋体"/>
              </w:rPr>
            </w:pPr>
          </w:p>
        </w:tc>
      </w:tr>
      <w:tr w:rsidR="00141CDF" w14:paraId="098AA4B0" w14:textId="77777777">
        <w:tc>
          <w:tcPr>
            <w:tcW w:w="0" w:type="auto"/>
            <w:gridSpan w:val="3"/>
            <w:shd w:val="clear" w:color="auto" w:fill="FFFFFF"/>
            <w:tcMar>
              <w:top w:w="40" w:type="dxa"/>
              <w:left w:w="20" w:type="dxa"/>
              <w:bottom w:w="40" w:type="dxa"/>
              <w:right w:w="20" w:type="dxa"/>
            </w:tcMar>
            <w:vAlign w:val="center"/>
          </w:tcPr>
          <w:p w14:paraId="098AA4A3" w14:textId="77777777" w:rsidR="00141CDF" w:rsidRDefault="00DF45E0">
            <w:pPr>
              <w:textAlignment w:val="center"/>
            </w:pPr>
            <w:r>
              <w:rPr>
                <w:rFonts w:ascii="Times New Roman" w:eastAsia="宋体" w:hAnsi="Times New Roman"/>
                <w:color w:val="000000"/>
                <w:sz w:val="16"/>
                <w:szCs w:val="16"/>
              </w:rPr>
              <w:t>June 1 - 30, 2022</w:t>
            </w:r>
          </w:p>
        </w:tc>
        <w:tc>
          <w:tcPr>
            <w:tcW w:w="0" w:type="auto"/>
            <w:gridSpan w:val="3"/>
            <w:shd w:val="clear" w:color="auto" w:fill="FFFFFF"/>
            <w:tcMar>
              <w:top w:w="0" w:type="dxa"/>
              <w:left w:w="20" w:type="dxa"/>
              <w:bottom w:w="0" w:type="dxa"/>
              <w:right w:w="20" w:type="dxa"/>
            </w:tcMar>
            <w:vAlign w:val="bottom"/>
          </w:tcPr>
          <w:p w14:paraId="098AA4A4"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A4A5" w14:textId="77777777" w:rsidR="00141CDF" w:rsidRDefault="00DF45E0">
            <w:pPr>
              <w:jc w:val="right"/>
              <w:textAlignment w:val="center"/>
            </w:pPr>
            <w:r>
              <w:rPr>
                <w:rFonts w:ascii="Times New Roman" w:eastAsia="宋体" w:hAnsi="Times New Roman"/>
                <w:color w:val="000000"/>
                <w:sz w:val="16"/>
                <w:szCs w:val="16"/>
              </w:rPr>
              <w:t>10,979,635 </w:t>
            </w:r>
          </w:p>
        </w:tc>
        <w:tc>
          <w:tcPr>
            <w:tcW w:w="0" w:type="auto"/>
            <w:shd w:val="clear" w:color="auto" w:fill="FFFFFF"/>
            <w:tcMar>
              <w:top w:w="40" w:type="dxa"/>
              <w:left w:w="0" w:type="dxa"/>
              <w:bottom w:w="40" w:type="dxa"/>
              <w:right w:w="20" w:type="dxa"/>
            </w:tcMar>
            <w:vAlign w:val="center"/>
          </w:tcPr>
          <w:p w14:paraId="098AA4A6"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A4A7"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A4A8" w14:textId="77777777" w:rsidR="00141CDF" w:rsidRDefault="00DF45E0">
            <w:pPr>
              <w:jc w:val="right"/>
              <w:textAlignment w:val="center"/>
            </w:pPr>
            <w:r>
              <w:rPr>
                <w:rFonts w:ascii="Times New Roman" w:eastAsia="宋体" w:hAnsi="Times New Roman"/>
                <w:color w:val="000000"/>
                <w:sz w:val="16"/>
                <w:szCs w:val="16"/>
              </w:rPr>
              <w:t>122.28 </w:t>
            </w:r>
          </w:p>
        </w:tc>
        <w:tc>
          <w:tcPr>
            <w:tcW w:w="0" w:type="auto"/>
            <w:shd w:val="clear" w:color="auto" w:fill="FFFFFF"/>
            <w:tcMar>
              <w:top w:w="40" w:type="dxa"/>
              <w:left w:w="0" w:type="dxa"/>
              <w:bottom w:w="40" w:type="dxa"/>
              <w:right w:w="20" w:type="dxa"/>
            </w:tcMar>
            <w:vAlign w:val="center"/>
          </w:tcPr>
          <w:p w14:paraId="098AA4A9"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A4AA"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A4AB" w14:textId="77777777" w:rsidR="00141CDF" w:rsidRDefault="00DF45E0">
            <w:pPr>
              <w:jc w:val="right"/>
              <w:textAlignment w:val="center"/>
            </w:pPr>
            <w:r>
              <w:rPr>
                <w:rFonts w:ascii="Times New Roman" w:eastAsia="宋体" w:hAnsi="Times New Roman"/>
                <w:color w:val="000000"/>
                <w:sz w:val="16"/>
                <w:szCs w:val="16"/>
              </w:rPr>
              <w:t>10,979,635 </w:t>
            </w:r>
          </w:p>
        </w:tc>
        <w:tc>
          <w:tcPr>
            <w:tcW w:w="0" w:type="auto"/>
            <w:shd w:val="clear" w:color="auto" w:fill="FFFFFF"/>
            <w:tcMar>
              <w:top w:w="40" w:type="dxa"/>
              <w:left w:w="0" w:type="dxa"/>
              <w:bottom w:w="40" w:type="dxa"/>
              <w:right w:w="20" w:type="dxa"/>
            </w:tcMar>
            <w:vAlign w:val="center"/>
          </w:tcPr>
          <w:p w14:paraId="098AA4AC"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A4AD" w14:textId="77777777" w:rsidR="00141CDF" w:rsidRDefault="00141CDF">
            <w:pPr>
              <w:rPr>
                <w:rFonts w:ascii="宋体"/>
              </w:rPr>
            </w:pPr>
          </w:p>
        </w:tc>
        <w:tc>
          <w:tcPr>
            <w:tcW w:w="0" w:type="auto"/>
            <w:gridSpan w:val="2"/>
            <w:shd w:val="clear" w:color="auto" w:fill="FFFFFF"/>
            <w:tcMar>
              <w:top w:w="40" w:type="dxa"/>
              <w:left w:w="20" w:type="dxa"/>
              <w:bottom w:w="40" w:type="dxa"/>
              <w:right w:w="0" w:type="dxa"/>
            </w:tcMar>
            <w:vAlign w:val="center"/>
          </w:tcPr>
          <w:p w14:paraId="098AA4AE" w14:textId="77777777" w:rsidR="00141CDF" w:rsidRDefault="00DF45E0">
            <w:pPr>
              <w:jc w:val="right"/>
              <w:textAlignment w:val="center"/>
            </w:pPr>
            <w:r>
              <w:rPr>
                <w:rFonts w:ascii="Times New Roman" w:eastAsia="宋体" w:hAnsi="Times New Roman"/>
                <w:color w:val="000000"/>
                <w:sz w:val="16"/>
                <w:szCs w:val="16"/>
              </w:rPr>
              <w:t>6.0 </w:t>
            </w:r>
          </w:p>
        </w:tc>
        <w:tc>
          <w:tcPr>
            <w:tcW w:w="0" w:type="auto"/>
            <w:shd w:val="clear" w:color="auto" w:fill="FFFFFF"/>
            <w:tcMar>
              <w:top w:w="40" w:type="dxa"/>
              <w:left w:w="0" w:type="dxa"/>
              <w:bottom w:w="40" w:type="dxa"/>
              <w:right w:w="20" w:type="dxa"/>
            </w:tcMar>
            <w:vAlign w:val="center"/>
          </w:tcPr>
          <w:p w14:paraId="098AA4AF" w14:textId="77777777" w:rsidR="00141CDF" w:rsidRDefault="00141CDF">
            <w:pPr>
              <w:jc w:val="right"/>
              <w:rPr>
                <w:rFonts w:ascii="宋体"/>
              </w:rPr>
            </w:pPr>
          </w:p>
        </w:tc>
      </w:tr>
      <w:tr w:rsidR="00141CDF" w14:paraId="098AA4BE" w14:textId="77777777">
        <w:tc>
          <w:tcPr>
            <w:tcW w:w="0" w:type="auto"/>
            <w:gridSpan w:val="3"/>
            <w:shd w:val="clear" w:color="auto" w:fill="CCEEFF"/>
            <w:tcMar>
              <w:top w:w="40" w:type="dxa"/>
              <w:left w:w="20" w:type="dxa"/>
              <w:bottom w:w="40" w:type="dxa"/>
              <w:right w:w="20" w:type="dxa"/>
            </w:tcMar>
            <w:vAlign w:val="center"/>
          </w:tcPr>
          <w:p w14:paraId="098AA4B1" w14:textId="77777777" w:rsidR="00141CDF" w:rsidRDefault="00DF45E0">
            <w:pPr>
              <w:textAlignment w:val="center"/>
            </w:pPr>
            <w:r>
              <w:rPr>
                <w:rFonts w:ascii="Times New Roman" w:eastAsia="宋体" w:hAnsi="Times New Roman"/>
                <w:color w:val="000000"/>
                <w:sz w:val="16"/>
                <w:szCs w:val="16"/>
              </w:rPr>
              <w:t>July 1 - 31, 2022</w:t>
            </w:r>
          </w:p>
        </w:tc>
        <w:tc>
          <w:tcPr>
            <w:tcW w:w="0" w:type="auto"/>
            <w:gridSpan w:val="3"/>
            <w:shd w:val="clear" w:color="auto" w:fill="CCEEFF"/>
            <w:tcMar>
              <w:top w:w="0" w:type="dxa"/>
              <w:left w:w="20" w:type="dxa"/>
              <w:bottom w:w="0" w:type="dxa"/>
              <w:right w:w="20" w:type="dxa"/>
            </w:tcMar>
            <w:vAlign w:val="bottom"/>
          </w:tcPr>
          <w:p w14:paraId="098AA4B2"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A4B3" w14:textId="77777777" w:rsidR="00141CDF" w:rsidRDefault="00DF45E0">
            <w:pPr>
              <w:jc w:val="right"/>
              <w:textAlignment w:val="center"/>
            </w:pPr>
            <w:r>
              <w:rPr>
                <w:rFonts w:ascii="Times New Roman" w:eastAsia="宋体" w:hAnsi="Times New Roman"/>
                <w:color w:val="000000"/>
                <w:sz w:val="16"/>
                <w:szCs w:val="16"/>
              </w:rPr>
              <w:t>8,742,142 </w:t>
            </w:r>
          </w:p>
        </w:tc>
        <w:tc>
          <w:tcPr>
            <w:tcW w:w="0" w:type="auto"/>
            <w:shd w:val="clear" w:color="auto" w:fill="CCEEFF"/>
            <w:tcMar>
              <w:top w:w="40" w:type="dxa"/>
              <w:left w:w="0" w:type="dxa"/>
              <w:bottom w:w="40" w:type="dxa"/>
              <w:right w:w="20" w:type="dxa"/>
            </w:tcMar>
            <w:vAlign w:val="center"/>
          </w:tcPr>
          <w:p w14:paraId="098AA4B4"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A4B5"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A4B6" w14:textId="77777777" w:rsidR="00141CDF" w:rsidRDefault="00DF45E0">
            <w:pPr>
              <w:jc w:val="right"/>
              <w:textAlignment w:val="center"/>
            </w:pPr>
            <w:r>
              <w:rPr>
                <w:rFonts w:ascii="Times New Roman" w:eastAsia="宋体" w:hAnsi="Times New Roman"/>
                <w:color w:val="000000"/>
                <w:sz w:val="16"/>
                <w:szCs w:val="16"/>
              </w:rPr>
              <w:t>126.87 </w:t>
            </w:r>
          </w:p>
        </w:tc>
        <w:tc>
          <w:tcPr>
            <w:tcW w:w="0" w:type="auto"/>
            <w:shd w:val="clear" w:color="auto" w:fill="CCEEFF"/>
            <w:tcMar>
              <w:top w:w="40" w:type="dxa"/>
              <w:left w:w="0" w:type="dxa"/>
              <w:bottom w:w="40" w:type="dxa"/>
              <w:right w:w="20" w:type="dxa"/>
            </w:tcMar>
            <w:vAlign w:val="center"/>
          </w:tcPr>
          <w:p w14:paraId="098AA4B7"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A4B8"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A4B9" w14:textId="77777777" w:rsidR="00141CDF" w:rsidRDefault="00DF45E0">
            <w:pPr>
              <w:jc w:val="right"/>
              <w:textAlignment w:val="center"/>
            </w:pPr>
            <w:r>
              <w:rPr>
                <w:rFonts w:ascii="Times New Roman" w:eastAsia="宋体" w:hAnsi="Times New Roman"/>
                <w:color w:val="000000"/>
                <w:sz w:val="16"/>
                <w:szCs w:val="16"/>
              </w:rPr>
              <w:t>8,742,142 </w:t>
            </w:r>
          </w:p>
        </w:tc>
        <w:tc>
          <w:tcPr>
            <w:tcW w:w="0" w:type="auto"/>
            <w:shd w:val="clear" w:color="auto" w:fill="CCEEFF"/>
            <w:tcMar>
              <w:top w:w="40" w:type="dxa"/>
              <w:left w:w="0" w:type="dxa"/>
              <w:bottom w:w="40" w:type="dxa"/>
              <w:right w:w="20" w:type="dxa"/>
            </w:tcMar>
            <w:vAlign w:val="center"/>
          </w:tcPr>
          <w:p w14:paraId="098AA4BA" w14:textId="77777777" w:rsidR="00141CDF" w:rsidRDefault="00141CDF">
            <w:pPr>
              <w:jc w:val="right"/>
              <w:rPr>
                <w:rFonts w:ascii="宋体"/>
              </w:rPr>
            </w:pPr>
          </w:p>
        </w:tc>
        <w:tc>
          <w:tcPr>
            <w:tcW w:w="0" w:type="auto"/>
            <w:gridSpan w:val="3"/>
            <w:shd w:val="clear" w:color="auto" w:fill="CCEEFF"/>
            <w:tcMar>
              <w:top w:w="0" w:type="dxa"/>
              <w:left w:w="20" w:type="dxa"/>
              <w:bottom w:w="0" w:type="dxa"/>
              <w:right w:w="20" w:type="dxa"/>
            </w:tcMar>
            <w:vAlign w:val="bottom"/>
          </w:tcPr>
          <w:p w14:paraId="098AA4BB" w14:textId="77777777" w:rsidR="00141CDF" w:rsidRDefault="00141CDF">
            <w:pPr>
              <w:rPr>
                <w:rFonts w:ascii="宋体"/>
              </w:rPr>
            </w:pPr>
          </w:p>
        </w:tc>
        <w:tc>
          <w:tcPr>
            <w:tcW w:w="0" w:type="auto"/>
            <w:gridSpan w:val="2"/>
            <w:shd w:val="clear" w:color="auto" w:fill="CCEEFF"/>
            <w:tcMar>
              <w:top w:w="40" w:type="dxa"/>
              <w:left w:w="20" w:type="dxa"/>
              <w:bottom w:w="40" w:type="dxa"/>
              <w:right w:w="0" w:type="dxa"/>
            </w:tcMar>
            <w:vAlign w:val="center"/>
          </w:tcPr>
          <w:p w14:paraId="098AA4BC" w14:textId="77777777" w:rsidR="00141CDF" w:rsidRDefault="00DF45E0">
            <w:pPr>
              <w:jc w:val="right"/>
              <w:textAlignment w:val="center"/>
            </w:pPr>
            <w:r>
              <w:rPr>
                <w:rFonts w:ascii="Times New Roman" w:eastAsia="宋体" w:hAnsi="Times New Roman"/>
                <w:color w:val="000000"/>
                <w:sz w:val="16"/>
                <w:szCs w:val="16"/>
              </w:rPr>
              <w:t>4.9 </w:t>
            </w:r>
          </w:p>
        </w:tc>
        <w:tc>
          <w:tcPr>
            <w:tcW w:w="0" w:type="auto"/>
            <w:shd w:val="clear" w:color="auto" w:fill="CCEEFF"/>
            <w:tcMar>
              <w:top w:w="40" w:type="dxa"/>
              <w:left w:w="0" w:type="dxa"/>
              <w:bottom w:w="40" w:type="dxa"/>
              <w:right w:w="20" w:type="dxa"/>
            </w:tcMar>
            <w:vAlign w:val="center"/>
          </w:tcPr>
          <w:p w14:paraId="098AA4BD" w14:textId="77777777" w:rsidR="00141CDF" w:rsidRDefault="00141CDF">
            <w:pPr>
              <w:jc w:val="right"/>
              <w:rPr>
                <w:rFonts w:ascii="宋体"/>
              </w:rPr>
            </w:pPr>
          </w:p>
        </w:tc>
      </w:tr>
      <w:tr w:rsidR="00141CDF" w14:paraId="098AA4CA" w14:textId="77777777">
        <w:tc>
          <w:tcPr>
            <w:tcW w:w="0" w:type="auto"/>
            <w:gridSpan w:val="3"/>
            <w:shd w:val="clear" w:color="auto" w:fill="FFFFFF"/>
            <w:tcMar>
              <w:top w:w="40" w:type="dxa"/>
              <w:left w:w="20" w:type="dxa"/>
              <w:bottom w:w="40" w:type="dxa"/>
              <w:right w:w="20" w:type="dxa"/>
            </w:tcMar>
            <w:vAlign w:val="center"/>
          </w:tcPr>
          <w:p w14:paraId="098AA4BF" w14:textId="77777777" w:rsidR="00141CDF" w:rsidRDefault="00DF45E0">
            <w:pPr>
              <w:textAlignment w:val="center"/>
            </w:pPr>
            <w:r>
              <w:rPr>
                <w:rFonts w:ascii="Times New Roman" w:eastAsia="宋体" w:hAnsi="Times New Roman"/>
                <w:b/>
                <w:bCs/>
                <w:color w:val="000000"/>
                <w:sz w:val="16"/>
                <w:szCs w:val="16"/>
              </w:rPr>
              <w:t>Total</w:t>
            </w:r>
          </w:p>
        </w:tc>
        <w:tc>
          <w:tcPr>
            <w:tcW w:w="0" w:type="auto"/>
            <w:gridSpan w:val="3"/>
            <w:shd w:val="clear" w:color="auto" w:fill="FFFFFF"/>
            <w:tcMar>
              <w:top w:w="0" w:type="dxa"/>
              <w:left w:w="20" w:type="dxa"/>
              <w:bottom w:w="0" w:type="dxa"/>
              <w:right w:w="20" w:type="dxa"/>
            </w:tcMar>
            <w:vAlign w:val="bottom"/>
          </w:tcPr>
          <w:p w14:paraId="098AA4C0" w14:textId="77777777" w:rsidR="00141CDF" w:rsidRDefault="00141CDF">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98AA4C1" w14:textId="77777777" w:rsidR="00141CDF" w:rsidRDefault="00DF45E0">
            <w:pPr>
              <w:jc w:val="right"/>
              <w:textAlignment w:val="center"/>
            </w:pPr>
            <w:r>
              <w:rPr>
                <w:rFonts w:ascii="Times New Roman" w:eastAsia="宋体" w:hAnsi="Times New Roman"/>
                <w:color w:val="000000"/>
                <w:sz w:val="16"/>
                <w:szCs w:val="16"/>
              </w:rPr>
              <w:t>26,784,678 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98AA4C2"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A4C3"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A4C4"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A4C5" w14:textId="77777777" w:rsidR="00141CDF" w:rsidRDefault="00141CDF">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98AA4C6" w14:textId="77777777" w:rsidR="00141CDF" w:rsidRDefault="00DF45E0">
            <w:pPr>
              <w:jc w:val="right"/>
              <w:textAlignment w:val="center"/>
            </w:pPr>
            <w:r>
              <w:rPr>
                <w:rFonts w:ascii="Times New Roman" w:eastAsia="宋体" w:hAnsi="Times New Roman"/>
                <w:color w:val="000000"/>
                <w:sz w:val="16"/>
                <w:szCs w:val="16"/>
              </w:rPr>
              <w:t>26,784,678 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98AA4C7" w14:textId="77777777" w:rsidR="00141CDF" w:rsidRDefault="00141CDF">
            <w:pPr>
              <w:jc w:val="right"/>
              <w:rPr>
                <w:rFonts w:ascii="宋体"/>
              </w:rPr>
            </w:pPr>
          </w:p>
        </w:tc>
        <w:tc>
          <w:tcPr>
            <w:tcW w:w="0" w:type="auto"/>
            <w:gridSpan w:val="3"/>
            <w:shd w:val="clear" w:color="auto" w:fill="FFFFFF"/>
            <w:tcMar>
              <w:top w:w="0" w:type="dxa"/>
              <w:left w:w="20" w:type="dxa"/>
              <w:bottom w:w="0" w:type="dxa"/>
              <w:right w:w="20" w:type="dxa"/>
            </w:tcMar>
            <w:vAlign w:val="bottom"/>
          </w:tcPr>
          <w:p w14:paraId="098AA4C8" w14:textId="77777777" w:rsidR="00141CDF" w:rsidRDefault="00141CDF">
            <w:pPr>
              <w:rPr>
                <w:rFonts w:ascii="宋体"/>
              </w:rPr>
            </w:pPr>
          </w:p>
        </w:tc>
        <w:tc>
          <w:tcPr>
            <w:tcW w:w="0" w:type="auto"/>
            <w:gridSpan w:val="3"/>
            <w:shd w:val="clear" w:color="auto" w:fill="FFFFFF"/>
            <w:tcMar>
              <w:top w:w="0" w:type="dxa"/>
              <w:left w:w="20" w:type="dxa"/>
              <w:bottom w:w="0" w:type="dxa"/>
              <w:right w:w="20" w:type="dxa"/>
            </w:tcMar>
            <w:vAlign w:val="bottom"/>
          </w:tcPr>
          <w:p w14:paraId="098AA4C9" w14:textId="77777777" w:rsidR="00141CDF" w:rsidRDefault="00141CDF">
            <w:pPr>
              <w:rPr>
                <w:rFonts w:ascii="宋体"/>
              </w:rPr>
            </w:pPr>
          </w:p>
        </w:tc>
      </w:tr>
    </w:tbl>
    <w:p w14:paraId="098AA4CB" w14:textId="77777777" w:rsidR="00141CDF" w:rsidRDefault="00DF45E0">
      <w:pPr>
        <w:ind w:hanging="270"/>
      </w:pPr>
      <w:r>
        <w:rPr>
          <w:rFonts w:ascii="Times New Roman" w:eastAsia="宋体" w:hAnsi="Times New Roman"/>
          <w:color w:val="000000"/>
          <w:sz w:val="10"/>
          <w:szCs w:val="10"/>
        </w:rPr>
        <w:t>(1)</w:t>
      </w:r>
      <w:r>
        <w:rPr>
          <w:rFonts w:ascii="Times New Roman" w:eastAsia="宋体" w:hAnsi="Times New Roman"/>
          <w:color w:val="000000"/>
          <w:sz w:val="16"/>
          <w:szCs w:val="16"/>
        </w:rPr>
        <w:t xml:space="preserve"> Represents approximate dollar value of shares that could have been purchased under the plan in effect at the end of the month.</w:t>
      </w:r>
    </w:p>
    <w:p w14:paraId="098AA4CC" w14:textId="77777777" w:rsidR="00141CDF" w:rsidRDefault="00DF45E0">
      <w:pPr>
        <w:spacing w:before="240"/>
      </w:pPr>
      <w:r>
        <w:rPr>
          <w:rFonts w:ascii="Times New Roman" w:eastAsia="宋体" w:hAnsi="Times New Roman"/>
          <w:b/>
          <w:bCs/>
          <w:color w:val="000000"/>
          <w:sz w:val="20"/>
          <w:szCs w:val="20"/>
        </w:rPr>
        <w:t>Item 5. Other Information</w:t>
      </w:r>
    </w:p>
    <w:p w14:paraId="098AA4CD" w14:textId="77777777" w:rsidR="00141CDF" w:rsidRDefault="00DF45E0">
      <w:pPr>
        <w:spacing w:before="180"/>
      </w:pPr>
      <w:r>
        <w:rPr>
          <w:rFonts w:ascii="Times New Roman" w:eastAsia="宋体" w:hAnsi="Times New Roman"/>
          <w:b/>
          <w:bCs/>
          <w:i/>
          <w:iCs/>
          <w:color w:val="000000"/>
          <w:sz w:val="20"/>
          <w:szCs w:val="20"/>
        </w:rPr>
        <w:t>Cautionary Statement Regarding Forward-Looking Statements</w:t>
      </w:r>
    </w:p>
    <w:p w14:paraId="098AA4CE" w14:textId="77777777" w:rsidR="00141CDF" w:rsidRDefault="00DF45E0">
      <w:pPr>
        <w:spacing w:before="100"/>
      </w:pPr>
      <w:r>
        <w:rPr>
          <w:rFonts w:ascii="Times New Roman" w:eastAsia="宋体" w:hAnsi="Times New Roman"/>
          <w:color w:val="000000"/>
          <w:sz w:val="20"/>
          <w:szCs w:val="20"/>
        </w:rPr>
        <w:t xml:space="preserve">This Quarterly Report on Form 10-Q </w:t>
      </w:r>
      <w:r>
        <w:rPr>
          <w:rFonts w:ascii="Times New Roman" w:eastAsia="宋体" w:hAnsi="Times New Roman"/>
          <w:color w:val="000000"/>
          <w:sz w:val="20"/>
          <w:szCs w:val="20"/>
        </w:rPr>
        <w:t>contains statements that Walmart believes are "forward-looking statements" within the meaning of the Private Securities Litigation Reform Act of 1995. Those forward-looking statements are intended to enjoy the protection of the safe harbor for forward-look</w:t>
      </w:r>
      <w:r>
        <w:rPr>
          <w:rFonts w:ascii="Times New Roman" w:eastAsia="宋体" w:hAnsi="Times New Roman"/>
          <w:color w:val="000000"/>
          <w:sz w:val="20"/>
          <w:szCs w:val="20"/>
        </w:rPr>
        <w:t>ing statements provided by that Act as well as protections afforded by other federal securities laws.</w:t>
      </w:r>
    </w:p>
    <w:p w14:paraId="098AA4CF" w14:textId="77777777" w:rsidR="00141CDF" w:rsidRDefault="00DF45E0">
      <w:pPr>
        <w:spacing w:before="180"/>
      </w:pPr>
      <w:r>
        <w:rPr>
          <w:rFonts w:ascii="Times New Roman" w:eastAsia="宋体" w:hAnsi="Times New Roman"/>
          <w:b/>
          <w:bCs/>
          <w:i/>
          <w:iCs/>
          <w:color w:val="000000"/>
          <w:sz w:val="20"/>
          <w:szCs w:val="20"/>
        </w:rPr>
        <w:t>Forward-looking Statements</w:t>
      </w:r>
    </w:p>
    <w:p w14:paraId="098AA4D0" w14:textId="77777777" w:rsidR="00141CDF" w:rsidRDefault="00DF45E0">
      <w:pPr>
        <w:spacing w:before="100"/>
      </w:pPr>
      <w:r>
        <w:rPr>
          <w:rFonts w:ascii="Times New Roman" w:eastAsia="宋体" w:hAnsi="Times New Roman"/>
          <w:color w:val="000000"/>
          <w:sz w:val="20"/>
          <w:szCs w:val="20"/>
        </w:rPr>
        <w:t xml:space="preserve">The forward-looking statements in this report include, among other things: </w:t>
      </w:r>
    </w:p>
    <w:p w14:paraId="098AA4D1" w14:textId="77777777" w:rsidR="00141CDF" w:rsidRDefault="00DF45E0">
      <w:pPr>
        <w:spacing w:before="100"/>
        <w:ind w:hanging="360"/>
      </w:pPr>
      <w:r>
        <w:rPr>
          <w:rFonts w:ascii="Times New Roman" w:eastAsia="宋体" w:hAnsi="Times New Roman"/>
          <w:i/>
          <w:iCs/>
          <w:color w:val="000000"/>
          <w:sz w:val="20"/>
          <w:szCs w:val="20"/>
        </w:rPr>
        <w:t>•</w:t>
      </w:r>
      <w:r>
        <w:rPr>
          <w:rFonts w:ascii="Times New Roman" w:eastAsia="宋体" w:hAnsi="Times New Roman"/>
          <w:color w:val="000000"/>
          <w:sz w:val="20"/>
          <w:szCs w:val="20"/>
        </w:rPr>
        <w:t xml:space="preserve">statements in </w:t>
      </w:r>
      <w:hyperlink r:id="rId112" w:anchor="i24a2f296795646fa8b5ba32fd1359591_55" w:history="1">
        <w:r>
          <w:rPr>
            <w:rStyle w:val="a5"/>
            <w:rFonts w:ascii="Times New Roman" w:eastAsia="宋体" w:hAnsi="Times New Roman"/>
            <w:sz w:val="20"/>
            <w:szCs w:val="20"/>
          </w:rPr>
          <w:t>Note 6</w:t>
        </w:r>
      </w:hyperlink>
      <w:r>
        <w:rPr>
          <w:rFonts w:ascii="Times New Roman" w:eastAsia="宋体" w:hAnsi="Times New Roman"/>
          <w:color w:val="000000"/>
          <w:sz w:val="20"/>
          <w:szCs w:val="20"/>
        </w:rPr>
        <w:t xml:space="preserve"> to those Condensed Consolidated Financial Statements regarding the possible outcome of, and future effect on Walmart's financial con</w:t>
      </w:r>
      <w:r>
        <w:rPr>
          <w:rFonts w:ascii="Times New Roman" w:eastAsia="宋体" w:hAnsi="Times New Roman"/>
          <w:color w:val="000000"/>
          <w:sz w:val="20"/>
          <w:szCs w:val="20"/>
        </w:rPr>
        <w:t>dition and results of operations of, certain litigation and other proceedings to which Walmart is a party, the possible outcome of, and future effect on Walmart's business of, certain other matters to which Walmart is subject, including the Company's Opioi</w:t>
      </w:r>
      <w:r>
        <w:rPr>
          <w:rFonts w:ascii="Times New Roman" w:eastAsia="宋体" w:hAnsi="Times New Roman"/>
          <w:color w:val="000000"/>
          <w:sz w:val="20"/>
          <w:szCs w:val="20"/>
        </w:rPr>
        <w:t>ds Litigation, Walmart's ongoing indemnification obligation for the Asda Equal Value Claims, as well as the Company's Money Transfer Agent Services Matters and the liabilities, losses, expenses and costs that Walmart may incur in connection with such matte</w:t>
      </w:r>
      <w:r>
        <w:rPr>
          <w:rFonts w:ascii="Times New Roman" w:eastAsia="宋体" w:hAnsi="Times New Roman"/>
          <w:color w:val="000000"/>
          <w:sz w:val="20"/>
          <w:szCs w:val="20"/>
        </w:rPr>
        <w:t>rs;</w:t>
      </w:r>
    </w:p>
    <w:p w14:paraId="098AA4D2" w14:textId="77777777" w:rsidR="00141CDF" w:rsidRDefault="00DF45E0">
      <w:pPr>
        <w:spacing w:before="100"/>
        <w:ind w:hanging="360"/>
      </w:pPr>
      <w:r>
        <w:rPr>
          <w:rFonts w:ascii="Times New Roman" w:eastAsia="宋体" w:hAnsi="Times New Roman"/>
          <w:color w:val="000000"/>
          <w:sz w:val="20"/>
          <w:szCs w:val="20"/>
        </w:rPr>
        <w:t>•in Part I, Item 2 "</w:t>
      </w:r>
      <w:hyperlink r:id="rId113" w:anchor="i24a2f296795646fa8b5ba32fd1359591_61" w:history="1">
        <w:r>
          <w:rPr>
            <w:rStyle w:val="a5"/>
            <w:rFonts w:ascii="Times New Roman" w:eastAsia="宋体" w:hAnsi="Times New Roman"/>
            <w:sz w:val="20"/>
            <w:szCs w:val="20"/>
          </w:rPr>
          <w:t>Management's Discussion and Analysis of Financial Condition and Results of Operati</w:t>
        </w:r>
        <w:r>
          <w:rPr>
            <w:rStyle w:val="a5"/>
            <w:rFonts w:ascii="Times New Roman" w:eastAsia="宋体" w:hAnsi="Times New Roman"/>
            <w:sz w:val="20"/>
            <w:szCs w:val="20"/>
          </w:rPr>
          <w:t>ons</w:t>
        </w:r>
      </w:hyperlink>
      <w:r>
        <w:rPr>
          <w:rFonts w:ascii="Times New Roman" w:eastAsia="宋体" w:hAnsi="Times New Roman"/>
          <w:color w:val="000000"/>
          <w:sz w:val="20"/>
          <w:szCs w:val="20"/>
        </w:rPr>
        <w:t>": statements regarding future changes to our business and our expectations about the potential impacts on our business, financial position, results of operations or cash flows as a result of the COVID-19 pandemic; statements under the caption "</w:t>
      </w:r>
      <w:hyperlink r:id="rId114" w:anchor="i24a2f296795646fa8b5ba32fd1359591_64" w:history="1">
        <w:r>
          <w:rPr>
            <w:rStyle w:val="a5"/>
            <w:rFonts w:ascii="Times New Roman" w:eastAsia="宋体" w:hAnsi="Times New Roman"/>
            <w:sz w:val="20"/>
            <w:szCs w:val="20"/>
          </w:rPr>
          <w:t>Overview</w:t>
        </w:r>
      </w:hyperlink>
      <w:r>
        <w:rPr>
          <w:rFonts w:ascii="Times New Roman" w:eastAsia="宋体" w:hAnsi="Times New Roman"/>
          <w:color w:val="000000"/>
          <w:sz w:val="20"/>
          <w:szCs w:val="20"/>
        </w:rPr>
        <w:t>" relating to the possible impact of inflationary pressures and volatility in currency exchange rate</w:t>
      </w:r>
      <w:r>
        <w:rPr>
          <w:rFonts w:ascii="Times New Roman" w:eastAsia="宋体" w:hAnsi="Times New Roman"/>
          <w:color w:val="000000"/>
          <w:sz w:val="20"/>
          <w:szCs w:val="20"/>
        </w:rPr>
        <w:t>s on the results, including net sales and operating income, of Walmart and the Walmart International segment; statements under the caption "</w:t>
      </w:r>
      <w:hyperlink r:id="rId115" w:anchor="i24a2f296795646fa8b5ba32fd1359591_70" w:history="1">
        <w:r>
          <w:rPr>
            <w:rStyle w:val="a5"/>
            <w:rFonts w:ascii="Times New Roman" w:eastAsia="宋体" w:hAnsi="Times New Roman"/>
            <w:sz w:val="20"/>
            <w:szCs w:val="20"/>
          </w:rPr>
          <w:t>Company Performance Metrics - Strong, Efficient Growth</w:t>
        </w:r>
      </w:hyperlink>
      <w:r>
        <w:rPr>
          <w:rFonts w:ascii="Times New Roman" w:eastAsia="宋体" w:hAnsi="Times New Roman"/>
          <w:color w:val="000000"/>
          <w:sz w:val="20"/>
          <w:szCs w:val="20"/>
        </w:rPr>
        <w:t>" regarding the focus of our investments and the impact of such investments; statements under the caption "</w:t>
      </w:r>
      <w:hyperlink r:id="rId116" w:anchor="i24a2f296795646fa8b5ba32fd1359591_76" w:history="1">
        <w:r>
          <w:rPr>
            <w:rStyle w:val="a5"/>
            <w:rFonts w:ascii="Times New Roman" w:eastAsia="宋体" w:hAnsi="Times New Roman"/>
            <w:sz w:val="20"/>
            <w:szCs w:val="20"/>
          </w:rPr>
          <w:t>Company Performance Metrics – Strategic Capital Allocation</w:t>
        </w:r>
      </w:hyperlink>
      <w:r>
        <w:rPr>
          <w:rFonts w:ascii="Times New Roman" w:eastAsia="宋体" w:hAnsi="Times New Roman"/>
          <w:color w:val="000000"/>
          <w:sz w:val="20"/>
          <w:szCs w:val="20"/>
        </w:rPr>
        <w:t>" regarding our strategy and discipline for capital allocation; statements under the</w:t>
      </w:r>
      <w:r>
        <w:rPr>
          <w:rFonts w:ascii="Times New Roman" w:eastAsia="宋体" w:hAnsi="Times New Roman"/>
          <w:b/>
          <w:bCs/>
          <w:color w:val="0000FF"/>
          <w:sz w:val="20"/>
          <w:szCs w:val="20"/>
        </w:rPr>
        <w:t xml:space="preserve"> </w:t>
      </w:r>
      <w:r>
        <w:rPr>
          <w:rFonts w:ascii="Times New Roman" w:eastAsia="宋体" w:hAnsi="Times New Roman"/>
          <w:color w:val="000000"/>
          <w:sz w:val="20"/>
          <w:szCs w:val="20"/>
        </w:rPr>
        <w:t>caption "</w:t>
      </w:r>
      <w:hyperlink r:id="rId117" w:anchor="i24a2f296795646fa8b5ba32fd1359591_79" w:history="1">
        <w:r>
          <w:rPr>
            <w:rStyle w:val="a5"/>
            <w:rFonts w:ascii="Times New Roman" w:eastAsia="宋体" w:hAnsi="Times New Roman"/>
            <w:sz w:val="20"/>
            <w:szCs w:val="20"/>
          </w:rPr>
          <w:t>Company Performance Metrics</w:t>
        </w:r>
      </w:hyperlink>
      <w:hyperlink r:id="rId118" w:anchor="i24a2f296795646fa8b5ba32fd1359591_79" w:history="1">
        <w:r>
          <w:rPr>
            <w:rStyle w:val="a5"/>
            <w:rFonts w:ascii="Times New Roman" w:eastAsia="宋体" w:hAnsi="Times New Roman"/>
            <w:sz w:val="20"/>
            <w:szCs w:val="20"/>
          </w:rPr>
          <w:t xml:space="preserve"> - </w:t>
        </w:r>
      </w:hyperlink>
      <w:hyperlink r:id="rId119" w:anchor="i24a2f296795646fa8b5ba32fd1359591_79" w:history="1">
        <w:r>
          <w:rPr>
            <w:rStyle w:val="a5"/>
            <w:rFonts w:ascii="Times New Roman" w:eastAsia="宋体" w:hAnsi="Times New Roman"/>
            <w:sz w:val="20"/>
            <w:szCs w:val="20"/>
          </w:rPr>
          <w:t>Return</w:t>
        </w:r>
      </w:hyperlink>
      <w:hyperlink r:id="rId120" w:anchor="i24a2f296795646fa8b5ba32fd1359591_79" w:history="1">
        <w:r>
          <w:rPr>
            <w:rStyle w:val="a5"/>
            <w:rFonts w:ascii="Times New Roman" w:eastAsia="宋体" w:hAnsi="Times New Roman"/>
            <w:sz w:val="20"/>
            <w:szCs w:val="20"/>
          </w:rPr>
          <w:t>s</w:t>
        </w:r>
      </w:hyperlink>
      <w:r>
        <w:rPr>
          <w:rFonts w:ascii="Times New Roman" w:eastAsia="宋体" w:hAnsi="Times New Roman"/>
          <w:color w:val="000000"/>
          <w:sz w:val="20"/>
          <w:szCs w:val="20"/>
        </w:rPr>
        <w:t xml:space="preserve">" regarding our belief that returns on capital will improve as we execute on our financial framework; </w:t>
      </w:r>
      <w:r>
        <w:rPr>
          <w:rFonts w:ascii="Times New Roman" w:eastAsia="宋体" w:hAnsi="Times New Roman"/>
          <w:color w:val="000000"/>
          <w:sz w:val="20"/>
          <w:szCs w:val="20"/>
        </w:rPr>
        <w:t>statements under the caption "</w:t>
      </w:r>
      <w:hyperlink r:id="rId121" w:anchor="i24a2f296795646fa8b5ba32fd1359591_85" w:history="1">
        <w:r>
          <w:rPr>
            <w:rStyle w:val="a5"/>
            <w:rFonts w:ascii="Times New Roman" w:eastAsia="宋体" w:hAnsi="Times New Roman"/>
            <w:sz w:val="20"/>
            <w:szCs w:val="20"/>
          </w:rPr>
          <w:t>Results of Operations - Consolidated Results of Operations</w:t>
        </w:r>
      </w:hyperlink>
      <w:r>
        <w:rPr>
          <w:rFonts w:ascii="Times New Roman" w:eastAsia="宋体" w:hAnsi="Times New Roman"/>
          <w:color w:val="000000"/>
          <w:sz w:val="20"/>
          <w:szCs w:val="20"/>
        </w:rPr>
        <w:t xml:space="preserve">" </w:t>
      </w:r>
    </w:p>
    <w:p w14:paraId="098AA4D3" w14:textId="77777777" w:rsidR="00141CDF" w:rsidRDefault="00DF45E0">
      <w:pPr>
        <w:jc w:val="center"/>
      </w:pPr>
      <w:r>
        <w:rPr>
          <w:rFonts w:ascii="Times New Roman" w:eastAsia="宋体" w:hAnsi="Times New Roman"/>
          <w:color w:val="000000"/>
          <w:sz w:val="20"/>
          <w:szCs w:val="20"/>
        </w:rPr>
        <w:t>29</w:t>
      </w:r>
    </w:p>
    <w:p w14:paraId="098AA4D4" w14:textId="77777777" w:rsidR="00141CDF" w:rsidRDefault="00DF45E0">
      <w:r>
        <w:pict w14:anchorId="098AA66B">
          <v:rect id="_x0000_i1053" style="width:415.3pt;height:1.5pt" o:hralign="center" o:hrstd="t" o:hr="t" fillcolor="#a0a0a0" stroked="f"/>
        </w:pict>
      </w:r>
    </w:p>
    <w:p w14:paraId="098AA4D5" w14:textId="77777777" w:rsidR="00141CDF" w:rsidRDefault="00DF45E0">
      <w:hyperlink r:id="rId122" w:anchor="i24a2f296795646fa8b5ba32fd1359591_7" w:history="1">
        <w:r>
          <w:rPr>
            <w:rStyle w:val="a5"/>
            <w:rFonts w:ascii="Times New Roman" w:eastAsia="宋体" w:hAnsi="Times New Roman"/>
            <w:sz w:val="20"/>
            <w:szCs w:val="20"/>
          </w:rPr>
          <w:t xml:space="preserve">Table of </w:t>
        </w:r>
      </w:hyperlink>
      <w:hyperlink r:id="rId123" w:anchor="i24a2f296795646fa8b5ba32fd1359591_7" w:history="1">
        <w:r>
          <w:rPr>
            <w:rStyle w:val="a5"/>
            <w:rFonts w:ascii="Times New Roman" w:eastAsia="宋体" w:hAnsi="Times New Roman"/>
            <w:sz w:val="20"/>
            <w:szCs w:val="20"/>
          </w:rPr>
          <w:t>Contents</w:t>
        </w:r>
      </w:hyperlink>
    </w:p>
    <w:p w14:paraId="098AA4D6" w14:textId="77777777" w:rsidR="00141CDF" w:rsidRDefault="00DF45E0">
      <w:pPr>
        <w:spacing w:before="100"/>
      </w:pPr>
      <w:r>
        <w:rPr>
          <w:rFonts w:ascii="Times New Roman" w:eastAsia="宋体" w:hAnsi="Times New Roman"/>
          <w:color w:val="000000"/>
          <w:sz w:val="20"/>
          <w:szCs w:val="20"/>
        </w:rPr>
        <w:t>regarding the possibility of fluctuations in Walmart's effective income tax rate from quarter to quarter and the factors that may cause those fluctuations; a statement under the caption "</w:t>
      </w:r>
      <w:hyperlink r:id="rId124" w:anchor="i24a2f296795646fa8b5ba32fd1359591_94" w:history="1">
        <w:r>
          <w:rPr>
            <w:rStyle w:val="a5"/>
            <w:rFonts w:ascii="Times New Roman" w:eastAsia="宋体" w:hAnsi="Times New Roman"/>
            <w:sz w:val="20"/>
            <w:szCs w:val="20"/>
          </w:rPr>
          <w:t>Results of Operations - Sam's Club Segment</w:t>
        </w:r>
      </w:hyperlink>
      <w:r>
        <w:rPr>
          <w:rFonts w:ascii="Times New Roman" w:eastAsia="宋体" w:hAnsi="Times New Roman"/>
          <w:color w:val="000000"/>
          <w:sz w:val="20"/>
          <w:szCs w:val="20"/>
        </w:rPr>
        <w:t>" relating to the possible continuing impact of volatility in fu</w:t>
      </w:r>
      <w:r>
        <w:rPr>
          <w:rFonts w:ascii="Times New Roman" w:eastAsia="宋体" w:hAnsi="Times New Roman"/>
          <w:color w:val="000000"/>
          <w:sz w:val="20"/>
          <w:szCs w:val="20"/>
        </w:rPr>
        <w:t>el prices on the future operating results of the Sam's Club segment; a statement under the caption "</w:t>
      </w:r>
      <w:hyperlink r:id="rId125" w:anchor="i24a2f296795646fa8b5ba32fd1359591_97" w:history="1">
        <w:r>
          <w:rPr>
            <w:rStyle w:val="a5"/>
            <w:rFonts w:ascii="Times New Roman" w:eastAsia="宋体" w:hAnsi="Times New Roman"/>
            <w:sz w:val="20"/>
            <w:szCs w:val="20"/>
          </w:rPr>
          <w:t>Liquid</w:t>
        </w:r>
        <w:r>
          <w:rPr>
            <w:rStyle w:val="a5"/>
            <w:rFonts w:ascii="Times New Roman" w:eastAsia="宋体" w:hAnsi="Times New Roman"/>
            <w:sz w:val="20"/>
            <w:szCs w:val="20"/>
          </w:rPr>
          <w:t>ity and Capital Resources - Liquidity</w:t>
        </w:r>
      </w:hyperlink>
      <w:r>
        <w:rPr>
          <w:rFonts w:ascii="Times New Roman" w:eastAsia="宋体" w:hAnsi="Times New Roman"/>
          <w:color w:val="000000"/>
          <w:sz w:val="20"/>
          <w:szCs w:val="20"/>
        </w:rPr>
        <w:t>" that Walmart's sources of liquidity will be adequate to fund its operations, finance its global investment and expansion activities, pay dividends and fund share repurchases; statements under the caption "</w:t>
      </w:r>
      <w:hyperlink r:id="rId126" w:anchor="i24a2f296795646fa8b5ba32fd1359591_97" w:history="1">
        <w:r>
          <w:rPr>
            <w:rStyle w:val="a5"/>
            <w:rFonts w:ascii="Times New Roman" w:eastAsia="宋体" w:hAnsi="Times New Roman"/>
            <w:sz w:val="20"/>
            <w:szCs w:val="20"/>
          </w:rPr>
          <w:t>Liquidity and Capital Resources - Liquidity - Net Cash Provided by Operating Activities - Cash Equivalents and Work</w:t>
        </w:r>
        <w:r>
          <w:rPr>
            <w:rStyle w:val="a5"/>
            <w:rFonts w:ascii="Times New Roman" w:eastAsia="宋体" w:hAnsi="Times New Roman"/>
            <w:sz w:val="20"/>
            <w:szCs w:val="20"/>
          </w:rPr>
          <w:t>ing Capital Deficit</w:t>
        </w:r>
      </w:hyperlink>
      <w:r>
        <w:rPr>
          <w:rFonts w:ascii="Times New Roman" w:eastAsia="宋体" w:hAnsi="Times New Roman"/>
          <w:color w:val="000000"/>
          <w:sz w:val="20"/>
          <w:szCs w:val="20"/>
        </w:rPr>
        <w:t>" regarding management's expectation that cash in market will be utilized to fund Flipkart's operations; a statement under the caption "</w:t>
      </w:r>
      <w:hyperlink r:id="rId127" w:anchor="i24a2f296795646fa8b5ba32fd1359591_97" w:history="1">
        <w:r>
          <w:rPr>
            <w:rStyle w:val="a5"/>
            <w:rFonts w:ascii="Times New Roman" w:eastAsia="宋体" w:hAnsi="Times New Roman"/>
            <w:sz w:val="20"/>
            <w:szCs w:val="20"/>
          </w:rPr>
          <w:t xml:space="preserve">Liquidity and Capital Resources </w:t>
        </w:r>
      </w:hyperlink>
      <w:hyperlink r:id="rId128" w:anchor="i24a2f296795646fa8b5ba32fd1359591_97" w:history="1">
        <w:r>
          <w:rPr>
            <w:rStyle w:val="a5"/>
            <w:rFonts w:ascii="Times New Roman" w:eastAsia="宋体" w:hAnsi="Times New Roman"/>
            <w:sz w:val="20"/>
            <w:szCs w:val="20"/>
          </w:rPr>
          <w:t xml:space="preserve">- </w:t>
        </w:r>
      </w:hyperlink>
      <w:hyperlink r:id="rId129" w:anchor="i24a2f296795646fa8b5ba32fd1359591_97" w:history="1">
        <w:r>
          <w:rPr>
            <w:rStyle w:val="a5"/>
            <w:rFonts w:ascii="Times New Roman" w:eastAsia="宋体" w:hAnsi="Times New Roman"/>
            <w:sz w:val="20"/>
            <w:szCs w:val="20"/>
          </w:rPr>
          <w:t xml:space="preserve">Liquidity - Net Cash Used in </w:t>
        </w:r>
      </w:hyperlink>
      <w:hyperlink r:id="rId130" w:anchor="i24a2f296795646fa8b5ba32fd1359591_97" w:history="1">
        <w:r>
          <w:rPr>
            <w:rStyle w:val="a5"/>
            <w:rFonts w:ascii="Times New Roman" w:eastAsia="宋体" w:hAnsi="Times New Roman"/>
            <w:sz w:val="20"/>
            <w:szCs w:val="20"/>
          </w:rPr>
          <w:t>Financing</w:t>
        </w:r>
      </w:hyperlink>
      <w:hyperlink r:id="rId131" w:anchor="i24a2f296795646fa8b5ba32fd1359591_97" w:history="1">
        <w:r>
          <w:rPr>
            <w:rStyle w:val="a5"/>
            <w:rFonts w:ascii="Times New Roman" w:eastAsia="宋体" w:hAnsi="Times New Roman"/>
            <w:sz w:val="20"/>
            <w:szCs w:val="20"/>
          </w:rPr>
          <w:t xml:space="preserve"> Activities - Dividends</w:t>
        </w:r>
      </w:hyperlink>
      <w:r>
        <w:rPr>
          <w:rFonts w:ascii="Times New Roman" w:eastAsia="宋体" w:hAnsi="Times New Roman"/>
          <w:color w:val="000000"/>
          <w:sz w:val="20"/>
          <w:szCs w:val="20"/>
        </w:rPr>
        <w:t>" rega</w:t>
      </w:r>
      <w:r>
        <w:rPr>
          <w:rFonts w:ascii="Times New Roman" w:eastAsia="宋体" w:hAnsi="Times New Roman"/>
          <w:color w:val="000000"/>
          <w:sz w:val="20"/>
          <w:szCs w:val="20"/>
        </w:rPr>
        <w:t>rding the payment of annual dividends in fiscal 2022 and fiscal 2023; a statement under the caption "</w:t>
      </w:r>
      <w:hyperlink r:id="rId132" w:anchor="i24a2f296795646fa8b5ba32fd1359591_97" w:history="1">
        <w:r>
          <w:rPr>
            <w:rStyle w:val="a5"/>
            <w:rFonts w:ascii="Times New Roman" w:eastAsia="宋体" w:hAnsi="Times New Roman"/>
            <w:sz w:val="20"/>
            <w:szCs w:val="20"/>
          </w:rPr>
          <w:t>Liqui</w:t>
        </w:r>
        <w:r>
          <w:rPr>
            <w:rStyle w:val="a5"/>
            <w:rFonts w:ascii="Times New Roman" w:eastAsia="宋体" w:hAnsi="Times New Roman"/>
            <w:sz w:val="20"/>
            <w:szCs w:val="20"/>
          </w:rPr>
          <w:t>dity and Capital Resources</w:t>
        </w:r>
      </w:hyperlink>
      <w:hyperlink r:id="rId133" w:anchor="i24a2f296795646fa8b5ba32fd1359591_97" w:history="1">
        <w:r>
          <w:rPr>
            <w:rStyle w:val="a5"/>
            <w:rFonts w:ascii="Times New Roman" w:eastAsia="宋体" w:hAnsi="Times New Roman"/>
            <w:sz w:val="20"/>
            <w:szCs w:val="20"/>
          </w:rPr>
          <w:t xml:space="preserve"> -</w:t>
        </w:r>
      </w:hyperlink>
      <w:hyperlink r:id="rId134" w:anchor="i24a2f296795646fa8b5ba32fd1359591_97" w:history="1">
        <w:r>
          <w:rPr>
            <w:rStyle w:val="a5"/>
            <w:rFonts w:ascii="Times New Roman" w:eastAsia="宋体" w:hAnsi="Times New Roman"/>
            <w:sz w:val="20"/>
            <w:szCs w:val="20"/>
          </w:rPr>
          <w:t xml:space="preserve"> Liquidity - Net Cash Used</w:t>
        </w:r>
      </w:hyperlink>
      <w:hyperlink r:id="rId135" w:anchor="i24a2f296795646fa8b5ba32fd1359591_97" w:history="1">
        <w:r>
          <w:rPr>
            <w:rStyle w:val="a5"/>
            <w:rFonts w:ascii="Times New Roman" w:eastAsia="宋体" w:hAnsi="Times New Roman"/>
            <w:sz w:val="20"/>
            <w:szCs w:val="20"/>
          </w:rPr>
          <w:t xml:space="preserve"> in</w:t>
        </w:r>
      </w:hyperlink>
      <w:hyperlink r:id="rId136" w:anchor="i24a2f296795646fa8b5ba32fd1359591_97" w:history="1">
        <w:r>
          <w:rPr>
            <w:rStyle w:val="a5"/>
            <w:rFonts w:ascii="Times New Roman" w:eastAsia="宋体" w:hAnsi="Times New Roman"/>
            <w:sz w:val="20"/>
            <w:szCs w:val="20"/>
          </w:rPr>
          <w:t xml:space="preserve"> </w:t>
        </w:r>
      </w:hyperlink>
      <w:hyperlink r:id="rId137" w:anchor="i24a2f296795646fa8b5ba32fd1359591_97" w:history="1">
        <w:r>
          <w:rPr>
            <w:rStyle w:val="a5"/>
            <w:rFonts w:ascii="Times New Roman" w:eastAsia="宋体" w:hAnsi="Times New Roman"/>
            <w:sz w:val="20"/>
            <w:szCs w:val="20"/>
          </w:rPr>
          <w:t>Financing</w:t>
        </w:r>
      </w:hyperlink>
      <w:hyperlink r:id="rId138" w:anchor="i24a2f296795646fa8b5ba32fd1359591_97" w:history="1">
        <w:r>
          <w:rPr>
            <w:rStyle w:val="a5"/>
            <w:rFonts w:ascii="Times New Roman" w:eastAsia="宋体" w:hAnsi="Times New Roman"/>
            <w:sz w:val="20"/>
            <w:szCs w:val="20"/>
          </w:rPr>
          <w:t xml:space="preserve"> Activities - Company Share Repurchase Program</w:t>
        </w:r>
      </w:hyperlink>
      <w:r>
        <w:rPr>
          <w:rFonts w:ascii="Times New Roman" w:eastAsia="宋体" w:hAnsi="Times New Roman"/>
          <w:color w:val="000000"/>
          <w:sz w:val="20"/>
          <w:szCs w:val="20"/>
        </w:rPr>
        <w:t>" regarding funding of our share repurchase program; statements under the caption "</w:t>
      </w:r>
      <w:hyperlink r:id="rId139" w:anchor="i24a2f296795646fa8b5ba32fd1359591_97" w:history="1">
        <w:r>
          <w:rPr>
            <w:rStyle w:val="a5"/>
            <w:rFonts w:ascii="Times New Roman" w:eastAsia="宋体" w:hAnsi="Times New Roman"/>
            <w:sz w:val="20"/>
            <w:szCs w:val="20"/>
          </w:rPr>
          <w:t>Liquidity and Capita</w:t>
        </w:r>
        <w:r>
          <w:rPr>
            <w:rStyle w:val="a5"/>
            <w:rFonts w:ascii="Times New Roman" w:eastAsia="宋体" w:hAnsi="Times New Roman"/>
            <w:sz w:val="20"/>
            <w:szCs w:val="20"/>
          </w:rPr>
          <w:t>l Resources - Capital Resources</w:t>
        </w:r>
      </w:hyperlink>
      <w:r>
        <w:rPr>
          <w:rFonts w:ascii="Times New Roman" w:eastAsia="宋体" w:hAnsi="Times New Roman"/>
          <w:color w:val="000000"/>
          <w:sz w:val="20"/>
          <w:szCs w:val="20"/>
        </w:rPr>
        <w:t>" regarding management's expectations regarding the Company's cash flows from operations, current cash position and access to capital markets continuing to be sufficient to meet its anticipated operating cash needs, the Co</w:t>
      </w:r>
      <w:r>
        <w:rPr>
          <w:rFonts w:ascii="Times New Roman" w:eastAsia="宋体" w:hAnsi="Times New Roman"/>
          <w:color w:val="000000"/>
          <w:sz w:val="20"/>
          <w:szCs w:val="20"/>
        </w:rPr>
        <w:t>mpany's commercial paper and long-term debt ratings continuing to enable it to refinance its debts at favorable rates, factors that could affect its credit ratings, and the effect that lower credit ratings would have on its access to capital and credit mar</w:t>
      </w:r>
      <w:r>
        <w:rPr>
          <w:rFonts w:ascii="Times New Roman" w:eastAsia="宋体" w:hAnsi="Times New Roman"/>
          <w:color w:val="000000"/>
          <w:sz w:val="20"/>
          <w:szCs w:val="20"/>
        </w:rPr>
        <w:t>kets and borrowing costs; and statements under the caption "</w:t>
      </w:r>
      <w:hyperlink r:id="rId140" w:anchor="i24a2f296795646fa8b5ba32fd1359591_100" w:history="1">
        <w:r>
          <w:rPr>
            <w:rStyle w:val="a5"/>
            <w:rFonts w:ascii="Times New Roman" w:eastAsia="宋体" w:hAnsi="Times New Roman"/>
            <w:sz w:val="20"/>
            <w:szCs w:val="20"/>
          </w:rPr>
          <w:t>Other Matters</w:t>
        </w:r>
      </w:hyperlink>
      <w:r>
        <w:rPr>
          <w:rFonts w:ascii="Times New Roman" w:eastAsia="宋体" w:hAnsi="Times New Roman"/>
          <w:color w:val="000000"/>
          <w:sz w:val="20"/>
          <w:szCs w:val="20"/>
        </w:rPr>
        <w:t>"</w:t>
      </w:r>
      <w:r>
        <w:rPr>
          <w:rFonts w:ascii="Times New Roman" w:eastAsia="宋体" w:hAnsi="Times New Roman"/>
          <w:b/>
          <w:bCs/>
          <w:color w:val="0000FF"/>
          <w:sz w:val="20"/>
          <w:szCs w:val="20"/>
        </w:rPr>
        <w:t xml:space="preserve"> </w:t>
      </w:r>
      <w:r>
        <w:rPr>
          <w:rFonts w:ascii="Times New Roman" w:eastAsia="宋体" w:hAnsi="Times New Roman"/>
          <w:color w:val="000000"/>
          <w:sz w:val="20"/>
          <w:szCs w:val="20"/>
        </w:rPr>
        <w:t>regarding the contingent li</w:t>
      </w:r>
      <w:r>
        <w:rPr>
          <w:rFonts w:ascii="Times New Roman" w:eastAsia="宋体" w:hAnsi="Times New Roman"/>
          <w:color w:val="000000"/>
          <w:sz w:val="20"/>
          <w:szCs w:val="20"/>
        </w:rPr>
        <w:t>abilities of the Company that may or may not result in the incurrence of a material liability by the Company;</w:t>
      </w:r>
    </w:p>
    <w:p w14:paraId="098AA4D7" w14:textId="77777777" w:rsidR="00141CDF" w:rsidRDefault="00DF45E0">
      <w:pPr>
        <w:spacing w:before="100"/>
        <w:ind w:hanging="360"/>
      </w:pPr>
      <w:r>
        <w:rPr>
          <w:rFonts w:ascii="Times New Roman" w:eastAsia="宋体" w:hAnsi="Times New Roman"/>
          <w:color w:val="000000"/>
          <w:sz w:val="20"/>
          <w:szCs w:val="20"/>
        </w:rPr>
        <w:t>•in Part I, Item 4 "</w:t>
      </w:r>
      <w:hyperlink r:id="rId141" w:anchor="i24a2f296795646fa8b5ba32fd1359591_106" w:history="1">
        <w:r>
          <w:rPr>
            <w:rStyle w:val="a5"/>
            <w:rFonts w:ascii="Times New Roman" w:eastAsia="宋体" w:hAnsi="Times New Roman"/>
            <w:sz w:val="20"/>
            <w:szCs w:val="20"/>
          </w:rPr>
          <w:t>Controls and Procedures</w:t>
        </w:r>
      </w:hyperlink>
      <w:r>
        <w:rPr>
          <w:rFonts w:ascii="Times New Roman" w:eastAsia="宋体" w:hAnsi="Times New Roman"/>
          <w:color w:val="000000"/>
          <w:sz w:val="20"/>
          <w:szCs w:val="20"/>
        </w:rPr>
        <w:t>": statements regarding the effect of changes to systems and processes on our internal control over financial reporting; and</w:t>
      </w:r>
    </w:p>
    <w:p w14:paraId="098AA4D8" w14:textId="77777777" w:rsidR="00141CDF" w:rsidRDefault="00DF45E0">
      <w:pPr>
        <w:spacing w:before="100"/>
        <w:ind w:hanging="360"/>
      </w:pPr>
      <w:r>
        <w:rPr>
          <w:rFonts w:ascii="Times New Roman" w:eastAsia="宋体" w:hAnsi="Times New Roman"/>
          <w:color w:val="000000"/>
          <w:sz w:val="20"/>
          <w:szCs w:val="20"/>
        </w:rPr>
        <w:t>•in Part II, Item 1 "</w:t>
      </w:r>
      <w:hyperlink r:id="rId142" w:anchor="i24a2f296795646fa8b5ba32fd1359591_112" w:history="1">
        <w:r>
          <w:rPr>
            <w:rStyle w:val="a5"/>
            <w:rFonts w:ascii="Times New Roman" w:eastAsia="宋体" w:hAnsi="Times New Roman"/>
            <w:sz w:val="20"/>
            <w:szCs w:val="20"/>
          </w:rPr>
          <w:t>Legal Proceedings</w:t>
        </w:r>
      </w:hyperlink>
      <w:r>
        <w:rPr>
          <w:rFonts w:ascii="Times New Roman" w:eastAsia="宋体" w:hAnsi="Times New Roman"/>
          <w:color w:val="000000"/>
          <w:sz w:val="20"/>
          <w:szCs w:val="20"/>
        </w:rPr>
        <w:t>": statements regarding the effect that possible losses or the range of possible losses that might be incurred in connection with the legal proc</w:t>
      </w:r>
      <w:r>
        <w:rPr>
          <w:rFonts w:ascii="Times New Roman" w:eastAsia="宋体" w:hAnsi="Times New Roman"/>
          <w:color w:val="000000"/>
          <w:sz w:val="20"/>
          <w:szCs w:val="20"/>
        </w:rPr>
        <w:t>eedings and other matters discussed therein may have on our financial condition or results of operations.</w:t>
      </w:r>
    </w:p>
    <w:p w14:paraId="098AA4D9" w14:textId="77777777" w:rsidR="00141CDF" w:rsidRDefault="00141CDF">
      <w:pPr>
        <w:spacing w:before="100"/>
      </w:pPr>
    </w:p>
    <w:p w14:paraId="098AA4DA" w14:textId="77777777" w:rsidR="00141CDF" w:rsidRDefault="00DF45E0">
      <w:pPr>
        <w:jc w:val="center"/>
      </w:pPr>
      <w:r>
        <w:rPr>
          <w:rFonts w:ascii="Times New Roman" w:eastAsia="宋体" w:hAnsi="Times New Roman"/>
          <w:color w:val="000000"/>
          <w:sz w:val="20"/>
          <w:szCs w:val="20"/>
        </w:rPr>
        <w:t>30</w:t>
      </w:r>
    </w:p>
    <w:p w14:paraId="098AA4DB" w14:textId="77777777" w:rsidR="00141CDF" w:rsidRDefault="00DF45E0">
      <w:r>
        <w:pict w14:anchorId="098AA66C">
          <v:rect id="_x0000_i1054" style="width:415.3pt;height:1.5pt" o:hralign="center" o:hrstd="t" o:hr="t" fillcolor="#a0a0a0" stroked="f"/>
        </w:pict>
      </w:r>
    </w:p>
    <w:p w14:paraId="098AA4DC" w14:textId="77777777" w:rsidR="00141CDF" w:rsidRDefault="00DF45E0">
      <w:hyperlink r:id="rId143" w:anchor="i24a2f296795646fa8b5ba32fd1359591_7" w:history="1">
        <w:r>
          <w:rPr>
            <w:rStyle w:val="a5"/>
            <w:rFonts w:ascii="Times New Roman" w:eastAsia="宋体" w:hAnsi="Times New Roman"/>
            <w:sz w:val="20"/>
            <w:szCs w:val="20"/>
          </w:rPr>
          <w:t xml:space="preserve">Table of </w:t>
        </w:r>
      </w:hyperlink>
      <w:hyperlink r:id="rId144" w:anchor="i24a2f296795646fa8b5ba32fd1359591_7" w:history="1">
        <w:r>
          <w:rPr>
            <w:rStyle w:val="a5"/>
            <w:rFonts w:ascii="Times New Roman" w:eastAsia="宋体" w:hAnsi="Times New Roman"/>
            <w:sz w:val="20"/>
            <w:szCs w:val="20"/>
          </w:rPr>
          <w:t>Contents</w:t>
        </w:r>
      </w:hyperlink>
    </w:p>
    <w:p w14:paraId="098AA4DD" w14:textId="77777777" w:rsidR="00141CDF" w:rsidRDefault="00DF45E0">
      <w:pPr>
        <w:spacing w:before="180"/>
      </w:pPr>
      <w:r>
        <w:rPr>
          <w:rFonts w:ascii="Times New Roman" w:eastAsia="宋体" w:hAnsi="Times New Roman"/>
          <w:b/>
          <w:bCs/>
          <w:i/>
          <w:iCs/>
          <w:color w:val="000000"/>
          <w:sz w:val="20"/>
          <w:szCs w:val="20"/>
        </w:rPr>
        <w:t>Risks, Factors and Uncertainties Regarding Our Business</w:t>
      </w:r>
    </w:p>
    <w:p w14:paraId="098AA4DE" w14:textId="77777777" w:rsidR="00141CDF" w:rsidRDefault="00DF45E0">
      <w:pPr>
        <w:spacing w:before="100"/>
      </w:pPr>
      <w:r>
        <w:rPr>
          <w:rFonts w:ascii="Times New Roman" w:eastAsia="宋体" w:hAnsi="Times New Roman"/>
          <w:color w:val="000000"/>
          <w:sz w:val="20"/>
          <w:szCs w:val="20"/>
        </w:rPr>
        <w:t xml:space="preserve">These </w:t>
      </w:r>
      <w:r>
        <w:rPr>
          <w:rFonts w:ascii="Times New Roman" w:eastAsia="宋体" w:hAnsi="Times New Roman"/>
          <w:color w:val="000000"/>
          <w:sz w:val="20"/>
          <w:szCs w:val="20"/>
        </w:rPr>
        <w:t>forward-looking statements are subject to risks, uncertainties and other factors, domestically and internationally, including:</w:t>
      </w:r>
    </w:p>
    <w:p w14:paraId="098AA4DF" w14:textId="77777777" w:rsidR="00141CDF" w:rsidRDefault="00DF45E0">
      <w:pPr>
        <w:spacing w:before="100" w:after="120"/>
        <w:ind w:firstLine="360"/>
        <w:jc w:val="both"/>
      </w:pPr>
      <w:r>
        <w:rPr>
          <w:rFonts w:ascii="Times New Roman" w:eastAsia="宋体" w:hAnsi="Times New Roman"/>
          <w:b/>
          <w:bCs/>
          <w:color w:val="000000"/>
          <w:sz w:val="20"/>
          <w:szCs w:val="20"/>
        </w:rPr>
        <w:t>Economic Factors</w:t>
      </w:r>
    </w:p>
    <w:p w14:paraId="098AA4E0" w14:textId="77777777" w:rsidR="00141CDF" w:rsidRDefault="00DF45E0">
      <w:pPr>
        <w:ind w:hanging="360"/>
      </w:pPr>
      <w:r>
        <w:rPr>
          <w:rFonts w:ascii="Times New Roman" w:eastAsia="宋体" w:hAnsi="Times New Roman"/>
          <w:color w:val="000000"/>
          <w:sz w:val="20"/>
          <w:szCs w:val="20"/>
        </w:rPr>
        <w:t>•economic, geo-political, capital markets and business conditions, trends and events around the world and in the</w:t>
      </w:r>
      <w:r>
        <w:rPr>
          <w:rFonts w:ascii="Times New Roman" w:eastAsia="宋体" w:hAnsi="Times New Roman"/>
          <w:color w:val="000000"/>
          <w:sz w:val="20"/>
          <w:szCs w:val="20"/>
        </w:rPr>
        <w:t xml:space="preserve"> markets in which Walmart operates;</w:t>
      </w:r>
    </w:p>
    <w:p w14:paraId="098AA4E1" w14:textId="77777777" w:rsidR="00141CDF" w:rsidRDefault="00DF45E0">
      <w:pPr>
        <w:ind w:hanging="360"/>
      </w:pPr>
      <w:r>
        <w:rPr>
          <w:rFonts w:ascii="Times New Roman" w:eastAsia="宋体" w:hAnsi="Times New Roman"/>
          <w:color w:val="000000"/>
          <w:sz w:val="20"/>
          <w:szCs w:val="20"/>
        </w:rPr>
        <w:t>•currency exchange rate fluctuations;</w:t>
      </w:r>
    </w:p>
    <w:p w14:paraId="098AA4E2" w14:textId="77777777" w:rsidR="00141CDF" w:rsidRDefault="00DF45E0">
      <w:pPr>
        <w:ind w:hanging="360"/>
      </w:pPr>
      <w:r>
        <w:rPr>
          <w:rFonts w:ascii="Times New Roman" w:eastAsia="宋体" w:hAnsi="Times New Roman"/>
          <w:color w:val="000000"/>
          <w:sz w:val="20"/>
          <w:szCs w:val="20"/>
        </w:rPr>
        <w:t>•changes in market rates of interest;</w:t>
      </w:r>
    </w:p>
    <w:p w14:paraId="098AA4E3" w14:textId="77777777" w:rsidR="00141CDF" w:rsidRDefault="00DF45E0">
      <w:pPr>
        <w:ind w:hanging="360"/>
      </w:pPr>
      <w:r>
        <w:rPr>
          <w:rFonts w:ascii="Times New Roman" w:eastAsia="宋体" w:hAnsi="Times New Roman"/>
          <w:color w:val="000000"/>
          <w:sz w:val="20"/>
          <w:szCs w:val="20"/>
        </w:rPr>
        <w:t>•inflation or deflation, generally and in certain product categories;</w:t>
      </w:r>
    </w:p>
    <w:p w14:paraId="098AA4E4" w14:textId="77777777" w:rsidR="00141CDF" w:rsidRDefault="00DF45E0">
      <w:pPr>
        <w:ind w:hanging="360"/>
      </w:pPr>
      <w:r>
        <w:rPr>
          <w:rFonts w:ascii="Times New Roman" w:eastAsia="宋体" w:hAnsi="Times New Roman"/>
          <w:color w:val="000000"/>
          <w:sz w:val="20"/>
          <w:szCs w:val="20"/>
        </w:rPr>
        <w:t>•transportation, energy and utility costs;</w:t>
      </w:r>
    </w:p>
    <w:p w14:paraId="098AA4E5" w14:textId="77777777" w:rsidR="00141CDF" w:rsidRDefault="00DF45E0">
      <w:pPr>
        <w:ind w:hanging="360"/>
      </w:pPr>
      <w:r>
        <w:rPr>
          <w:rFonts w:ascii="Times New Roman" w:eastAsia="宋体" w:hAnsi="Times New Roman"/>
          <w:color w:val="000000"/>
          <w:sz w:val="20"/>
          <w:szCs w:val="20"/>
        </w:rPr>
        <w:t>•commodity prices, including th</w:t>
      </w:r>
      <w:r>
        <w:rPr>
          <w:rFonts w:ascii="Times New Roman" w:eastAsia="宋体" w:hAnsi="Times New Roman"/>
          <w:color w:val="000000"/>
          <w:sz w:val="20"/>
          <w:szCs w:val="20"/>
        </w:rPr>
        <w:t>e prices of oil and natural gas;</w:t>
      </w:r>
    </w:p>
    <w:p w14:paraId="098AA4E6" w14:textId="77777777" w:rsidR="00141CDF" w:rsidRDefault="00DF45E0">
      <w:pPr>
        <w:ind w:hanging="360"/>
      </w:pPr>
      <w:r>
        <w:rPr>
          <w:rFonts w:ascii="Times New Roman" w:eastAsia="宋体" w:hAnsi="Times New Roman"/>
          <w:color w:val="000000"/>
          <w:sz w:val="20"/>
          <w:szCs w:val="20"/>
        </w:rPr>
        <w:t>•changes in market levels of wages;</w:t>
      </w:r>
    </w:p>
    <w:p w14:paraId="098AA4E7" w14:textId="77777777" w:rsidR="00141CDF" w:rsidRDefault="00DF45E0">
      <w:pPr>
        <w:ind w:hanging="360"/>
      </w:pPr>
      <w:r>
        <w:rPr>
          <w:rFonts w:ascii="Times New Roman" w:eastAsia="宋体" w:hAnsi="Times New Roman"/>
          <w:color w:val="000000"/>
          <w:sz w:val="20"/>
          <w:szCs w:val="20"/>
        </w:rPr>
        <w:t>•changes in the size of various markets, including eCommerce markets;</w:t>
      </w:r>
    </w:p>
    <w:p w14:paraId="098AA4E8" w14:textId="77777777" w:rsidR="00141CDF" w:rsidRDefault="00DF45E0">
      <w:pPr>
        <w:ind w:hanging="360"/>
      </w:pPr>
      <w:r>
        <w:rPr>
          <w:rFonts w:ascii="Times New Roman" w:eastAsia="宋体" w:hAnsi="Times New Roman"/>
          <w:color w:val="000000"/>
          <w:sz w:val="20"/>
          <w:szCs w:val="20"/>
        </w:rPr>
        <w:t>•unemployment levels;</w:t>
      </w:r>
    </w:p>
    <w:p w14:paraId="098AA4E9" w14:textId="77777777" w:rsidR="00141CDF" w:rsidRDefault="00DF45E0">
      <w:pPr>
        <w:ind w:hanging="360"/>
        <w:jc w:val="both"/>
      </w:pPr>
      <w:r>
        <w:rPr>
          <w:rFonts w:ascii="Times New Roman" w:eastAsia="宋体" w:hAnsi="Times New Roman"/>
          <w:color w:val="000000"/>
          <w:sz w:val="20"/>
          <w:szCs w:val="20"/>
        </w:rPr>
        <w:t>•consumer confidence, disposable income, credit availability, spending levels, shopping pattern</w:t>
      </w:r>
      <w:r>
        <w:rPr>
          <w:rFonts w:ascii="Times New Roman" w:eastAsia="宋体" w:hAnsi="Times New Roman"/>
          <w:color w:val="000000"/>
          <w:sz w:val="20"/>
          <w:szCs w:val="20"/>
        </w:rPr>
        <w:t>s, debt levels, and demand for certain merchandise;</w:t>
      </w:r>
    </w:p>
    <w:p w14:paraId="098AA4EA" w14:textId="77777777" w:rsidR="00141CDF" w:rsidRDefault="00DF45E0">
      <w:pPr>
        <w:ind w:hanging="360"/>
        <w:jc w:val="both"/>
      </w:pPr>
      <w:r>
        <w:rPr>
          <w:rFonts w:ascii="Times New Roman" w:eastAsia="宋体" w:hAnsi="Times New Roman"/>
          <w:color w:val="000000"/>
          <w:sz w:val="20"/>
          <w:szCs w:val="20"/>
        </w:rPr>
        <w:t>•trends in consumer shopping habits around the world and in the markets in which Walmart operates;</w:t>
      </w:r>
    </w:p>
    <w:p w14:paraId="098AA4EB" w14:textId="77777777" w:rsidR="00141CDF" w:rsidRDefault="00DF45E0">
      <w:pPr>
        <w:ind w:hanging="360"/>
        <w:jc w:val="both"/>
      </w:pPr>
      <w:r>
        <w:rPr>
          <w:rFonts w:ascii="Times New Roman" w:eastAsia="宋体" w:hAnsi="Times New Roman"/>
          <w:color w:val="000000"/>
          <w:sz w:val="20"/>
          <w:szCs w:val="20"/>
        </w:rPr>
        <w:t>•consumer enrollment in health and drug insurance programs and such programs' reimbursement rates and dru</w:t>
      </w:r>
      <w:r>
        <w:rPr>
          <w:rFonts w:ascii="Times New Roman" w:eastAsia="宋体" w:hAnsi="Times New Roman"/>
          <w:color w:val="000000"/>
          <w:sz w:val="20"/>
          <w:szCs w:val="20"/>
        </w:rPr>
        <w:t>g formularies; and</w:t>
      </w:r>
    </w:p>
    <w:p w14:paraId="098AA4EC" w14:textId="77777777" w:rsidR="00141CDF" w:rsidRDefault="00DF45E0">
      <w:pPr>
        <w:ind w:hanging="360"/>
        <w:jc w:val="both"/>
      </w:pPr>
      <w:r>
        <w:rPr>
          <w:rFonts w:ascii="Times New Roman" w:eastAsia="宋体" w:hAnsi="Times New Roman"/>
          <w:color w:val="000000"/>
          <w:sz w:val="20"/>
          <w:szCs w:val="20"/>
        </w:rPr>
        <w:t>•initiatives of competitors, competitors' entry into and expansion in Walmart's markets or lines of business, and competitive pressures.</w:t>
      </w:r>
    </w:p>
    <w:p w14:paraId="098AA4ED" w14:textId="77777777" w:rsidR="00141CDF" w:rsidRDefault="00DF45E0">
      <w:pPr>
        <w:spacing w:before="100" w:after="120"/>
        <w:ind w:firstLine="360"/>
        <w:jc w:val="both"/>
      </w:pPr>
      <w:r>
        <w:rPr>
          <w:rFonts w:ascii="Times New Roman" w:eastAsia="宋体" w:hAnsi="Times New Roman"/>
          <w:b/>
          <w:bCs/>
          <w:color w:val="000000"/>
          <w:sz w:val="20"/>
          <w:szCs w:val="20"/>
        </w:rPr>
        <w:t>Operating Factors</w:t>
      </w:r>
    </w:p>
    <w:p w14:paraId="098AA4EE" w14:textId="77777777" w:rsidR="00141CDF" w:rsidRDefault="00DF45E0">
      <w:pPr>
        <w:ind w:hanging="360"/>
      </w:pPr>
      <w:r>
        <w:rPr>
          <w:rFonts w:ascii="Times New Roman" w:eastAsia="宋体" w:hAnsi="Times New Roman"/>
          <w:color w:val="000000"/>
          <w:sz w:val="20"/>
          <w:szCs w:val="20"/>
        </w:rPr>
        <w:t xml:space="preserve">•the amount of Walmart's net sales and operating expenses denominated in U.S. </w:t>
      </w:r>
      <w:r>
        <w:rPr>
          <w:rFonts w:ascii="Times New Roman" w:eastAsia="宋体" w:hAnsi="Times New Roman"/>
          <w:color w:val="000000"/>
          <w:sz w:val="20"/>
          <w:szCs w:val="20"/>
        </w:rPr>
        <w:t>dollar and various foreign currencies;</w:t>
      </w:r>
    </w:p>
    <w:p w14:paraId="098AA4EF" w14:textId="77777777" w:rsidR="00141CDF" w:rsidRDefault="00DF45E0">
      <w:pPr>
        <w:ind w:hanging="360"/>
      </w:pPr>
      <w:r>
        <w:rPr>
          <w:rFonts w:ascii="Times New Roman" w:eastAsia="宋体" w:hAnsi="Times New Roman"/>
          <w:color w:val="000000"/>
          <w:sz w:val="20"/>
          <w:szCs w:val="20"/>
        </w:rPr>
        <w:t>•the financial performance of Walmart and each of its segments, including the amount of Walmart's cash flow during various periods;</w:t>
      </w:r>
    </w:p>
    <w:p w14:paraId="098AA4F0" w14:textId="77777777" w:rsidR="00141CDF" w:rsidRDefault="00DF45E0">
      <w:pPr>
        <w:ind w:hanging="360"/>
      </w:pPr>
      <w:r>
        <w:rPr>
          <w:rFonts w:ascii="Times New Roman" w:eastAsia="宋体" w:hAnsi="Times New Roman"/>
          <w:color w:val="000000"/>
          <w:sz w:val="20"/>
          <w:szCs w:val="20"/>
        </w:rPr>
        <w:t>•customer transaction and average ticket in Walmart's stores and clubs and on its eCo</w:t>
      </w:r>
      <w:r>
        <w:rPr>
          <w:rFonts w:ascii="Times New Roman" w:eastAsia="宋体" w:hAnsi="Times New Roman"/>
          <w:color w:val="000000"/>
          <w:sz w:val="20"/>
          <w:szCs w:val="20"/>
        </w:rPr>
        <w:t>mmerce platforms;</w:t>
      </w:r>
    </w:p>
    <w:p w14:paraId="098AA4F1" w14:textId="77777777" w:rsidR="00141CDF" w:rsidRDefault="00DF45E0">
      <w:pPr>
        <w:ind w:hanging="360"/>
      </w:pPr>
      <w:r>
        <w:rPr>
          <w:rFonts w:ascii="Times New Roman" w:eastAsia="宋体" w:hAnsi="Times New Roman"/>
          <w:color w:val="000000"/>
          <w:sz w:val="20"/>
          <w:szCs w:val="20"/>
        </w:rPr>
        <w:t>•the mix of merchandise Walmart sells and its customers purchase;</w:t>
      </w:r>
    </w:p>
    <w:p w14:paraId="098AA4F2" w14:textId="77777777" w:rsidR="00141CDF" w:rsidRDefault="00DF45E0">
      <w:pPr>
        <w:ind w:hanging="360"/>
      </w:pPr>
      <w:r>
        <w:rPr>
          <w:rFonts w:ascii="Times New Roman" w:eastAsia="宋体" w:hAnsi="Times New Roman"/>
          <w:color w:val="000000"/>
          <w:sz w:val="20"/>
          <w:szCs w:val="20"/>
        </w:rPr>
        <w:t>•the availability of goods from suppliers and the cost of goods acquired from suppliers;</w:t>
      </w:r>
    </w:p>
    <w:p w14:paraId="098AA4F3" w14:textId="77777777" w:rsidR="00141CDF" w:rsidRDefault="00DF45E0">
      <w:pPr>
        <w:ind w:hanging="360"/>
      </w:pPr>
      <w:r>
        <w:rPr>
          <w:rFonts w:ascii="Times New Roman" w:eastAsia="宋体" w:hAnsi="Times New Roman"/>
          <w:color w:val="000000"/>
          <w:sz w:val="20"/>
          <w:szCs w:val="20"/>
        </w:rPr>
        <w:t>•the effectiveness of the implementation and operation of Walmart's strategies, pla</w:t>
      </w:r>
      <w:r>
        <w:rPr>
          <w:rFonts w:ascii="Times New Roman" w:eastAsia="宋体" w:hAnsi="Times New Roman"/>
          <w:color w:val="000000"/>
          <w:sz w:val="20"/>
          <w:szCs w:val="20"/>
        </w:rPr>
        <w:t>ns, programs and initiatives;</w:t>
      </w:r>
    </w:p>
    <w:p w14:paraId="098AA4F4" w14:textId="77777777" w:rsidR="00141CDF" w:rsidRDefault="00DF45E0">
      <w:pPr>
        <w:ind w:hanging="360"/>
      </w:pPr>
      <w:r>
        <w:rPr>
          <w:rFonts w:ascii="Times New Roman" w:eastAsia="宋体" w:hAnsi="Times New Roman"/>
          <w:color w:val="000000"/>
          <w:sz w:val="20"/>
          <w:szCs w:val="20"/>
        </w:rPr>
        <w:t>•COVID-19 related challenges, including reduced customer transactions and tickets, reduced store hours, shifts in demand from discretionary products, supply chain disruption and production, labor shortages and increases in lab</w:t>
      </w:r>
      <w:r>
        <w:rPr>
          <w:rFonts w:ascii="Times New Roman" w:eastAsia="宋体" w:hAnsi="Times New Roman"/>
          <w:color w:val="000000"/>
          <w:sz w:val="20"/>
          <w:szCs w:val="20"/>
        </w:rPr>
        <w:t>or costs, and dissemination of global vaccines, as well as potential impacts of any related vaccine mandates on our workforce;</w:t>
      </w:r>
    </w:p>
    <w:p w14:paraId="098AA4F5" w14:textId="77777777" w:rsidR="00141CDF" w:rsidRDefault="00DF45E0">
      <w:pPr>
        <w:ind w:hanging="360"/>
      </w:pPr>
      <w:r>
        <w:rPr>
          <w:rFonts w:ascii="Times New Roman" w:eastAsia="宋体" w:hAnsi="Times New Roman"/>
          <w:color w:val="000000"/>
        </w:rPr>
        <w:t>•</w:t>
      </w:r>
      <w:r>
        <w:rPr>
          <w:rFonts w:ascii="Times New Roman" w:eastAsia="宋体" w:hAnsi="Times New Roman"/>
          <w:color w:val="000000"/>
          <w:sz w:val="20"/>
          <w:szCs w:val="20"/>
        </w:rPr>
        <w:t>the impact of acquisitions, divestitures, store or club closures, and other strategic decisions;</w:t>
      </w:r>
    </w:p>
    <w:p w14:paraId="098AA4F6" w14:textId="77777777" w:rsidR="00141CDF" w:rsidRDefault="00DF45E0">
      <w:pPr>
        <w:ind w:hanging="360"/>
      </w:pPr>
      <w:r>
        <w:rPr>
          <w:rFonts w:ascii="Times New Roman" w:eastAsia="宋体" w:hAnsi="Times New Roman"/>
          <w:color w:val="000000"/>
          <w:sz w:val="20"/>
          <w:szCs w:val="20"/>
        </w:rPr>
        <w:t>•Walmart's ability to successfu</w:t>
      </w:r>
      <w:r>
        <w:rPr>
          <w:rFonts w:ascii="Times New Roman" w:eastAsia="宋体" w:hAnsi="Times New Roman"/>
          <w:color w:val="000000"/>
          <w:sz w:val="20"/>
          <w:szCs w:val="20"/>
        </w:rPr>
        <w:t>lly integrate acquired businesses;</w:t>
      </w:r>
    </w:p>
    <w:p w14:paraId="098AA4F7" w14:textId="77777777" w:rsidR="00141CDF" w:rsidRDefault="00DF45E0">
      <w:pPr>
        <w:ind w:hanging="360"/>
      </w:pPr>
      <w:r>
        <w:rPr>
          <w:rFonts w:ascii="Times New Roman" w:eastAsia="宋体" w:hAnsi="Times New Roman"/>
          <w:color w:val="000000"/>
          <w:sz w:val="20"/>
          <w:szCs w:val="20"/>
        </w:rPr>
        <w:t>•unexpected changes in Walmart's objectives and plans;</w:t>
      </w:r>
    </w:p>
    <w:p w14:paraId="098AA4F8" w14:textId="77777777" w:rsidR="00141CDF" w:rsidRDefault="00DF45E0">
      <w:pPr>
        <w:ind w:hanging="360"/>
      </w:pPr>
      <w:r>
        <w:rPr>
          <w:rFonts w:ascii="Times New Roman" w:eastAsia="宋体" w:hAnsi="Times New Roman"/>
          <w:color w:val="000000"/>
          <w:sz w:val="20"/>
          <w:szCs w:val="20"/>
        </w:rPr>
        <w:t>•the amount of shrinkage Walmart experiences;</w:t>
      </w:r>
    </w:p>
    <w:p w14:paraId="098AA4F9" w14:textId="77777777" w:rsidR="00141CDF" w:rsidRDefault="00DF45E0">
      <w:pPr>
        <w:ind w:hanging="360"/>
      </w:pPr>
      <w:r>
        <w:rPr>
          <w:rFonts w:ascii="Times New Roman" w:eastAsia="宋体" w:hAnsi="Times New Roman"/>
          <w:color w:val="000000"/>
          <w:sz w:val="20"/>
          <w:szCs w:val="20"/>
        </w:rPr>
        <w:t>•consumer acceptance of and response to Walmart's stores and clubs, eCommerce platforms, programs, merchandise offerings</w:t>
      </w:r>
      <w:r>
        <w:rPr>
          <w:rFonts w:ascii="Times New Roman" w:eastAsia="宋体" w:hAnsi="Times New Roman"/>
          <w:color w:val="000000"/>
          <w:sz w:val="20"/>
          <w:szCs w:val="20"/>
        </w:rPr>
        <w:t xml:space="preserve"> and delivery methods;</w:t>
      </w:r>
    </w:p>
    <w:p w14:paraId="098AA4FA" w14:textId="77777777" w:rsidR="00141CDF" w:rsidRDefault="00DF45E0">
      <w:pPr>
        <w:ind w:hanging="360"/>
      </w:pPr>
      <w:r>
        <w:rPr>
          <w:rFonts w:ascii="Times New Roman" w:eastAsia="宋体" w:hAnsi="Times New Roman"/>
          <w:color w:val="000000"/>
          <w:sz w:val="20"/>
          <w:szCs w:val="20"/>
        </w:rPr>
        <w:t>•Walmart's gross profit margins, including pharmacy margins and margins of other product categories;</w:t>
      </w:r>
    </w:p>
    <w:p w14:paraId="098AA4FB" w14:textId="77777777" w:rsidR="00141CDF" w:rsidRDefault="00DF45E0">
      <w:pPr>
        <w:ind w:hanging="360"/>
      </w:pPr>
      <w:r>
        <w:rPr>
          <w:rFonts w:ascii="Times New Roman" w:eastAsia="宋体" w:hAnsi="Times New Roman"/>
          <w:color w:val="000000"/>
          <w:sz w:val="20"/>
          <w:szCs w:val="20"/>
        </w:rPr>
        <w:t>•the selling prices of gasoline and diesel fuel;</w:t>
      </w:r>
    </w:p>
    <w:p w14:paraId="098AA4FC" w14:textId="77777777" w:rsidR="00141CDF" w:rsidRDefault="00DF45E0">
      <w:pPr>
        <w:ind w:hanging="360"/>
      </w:pPr>
      <w:r>
        <w:rPr>
          <w:rFonts w:ascii="Times New Roman" w:eastAsia="宋体" w:hAnsi="Times New Roman"/>
          <w:color w:val="000000"/>
          <w:sz w:val="20"/>
          <w:szCs w:val="20"/>
        </w:rPr>
        <w:t>•disruption of seasonal buying patterns in Walmart's markets;</w:t>
      </w:r>
    </w:p>
    <w:p w14:paraId="098AA4FD" w14:textId="77777777" w:rsidR="00141CDF" w:rsidRDefault="00DF45E0">
      <w:pPr>
        <w:ind w:hanging="360"/>
      </w:pPr>
      <w:r>
        <w:rPr>
          <w:rFonts w:ascii="Times New Roman" w:eastAsia="宋体" w:hAnsi="Times New Roman"/>
          <w:color w:val="000000"/>
          <w:sz w:val="20"/>
          <w:szCs w:val="20"/>
        </w:rPr>
        <w:t>•disruptions in Walma</w:t>
      </w:r>
      <w:r>
        <w:rPr>
          <w:rFonts w:ascii="Times New Roman" w:eastAsia="宋体" w:hAnsi="Times New Roman"/>
          <w:color w:val="000000"/>
          <w:sz w:val="20"/>
          <w:szCs w:val="20"/>
        </w:rPr>
        <w:t>rt's supply chain and inventory management;</w:t>
      </w:r>
    </w:p>
    <w:p w14:paraId="098AA4FE" w14:textId="77777777" w:rsidR="00141CDF" w:rsidRDefault="00DF45E0">
      <w:pPr>
        <w:ind w:hanging="360"/>
      </w:pPr>
      <w:r>
        <w:rPr>
          <w:rFonts w:ascii="Times New Roman" w:eastAsia="宋体" w:hAnsi="Times New Roman"/>
          <w:color w:val="000000"/>
          <w:sz w:val="20"/>
          <w:szCs w:val="20"/>
        </w:rPr>
        <w:t>•cybersecurity events affecting Walmart and related costs and impact of any disruption in business;</w:t>
      </w:r>
    </w:p>
    <w:p w14:paraId="098AA4FF" w14:textId="77777777" w:rsidR="00141CDF" w:rsidRDefault="00DF45E0">
      <w:pPr>
        <w:ind w:hanging="360"/>
      </w:pPr>
      <w:r>
        <w:rPr>
          <w:rFonts w:ascii="Times New Roman" w:eastAsia="宋体" w:hAnsi="Times New Roman"/>
          <w:color w:val="000000"/>
          <w:sz w:val="20"/>
          <w:szCs w:val="20"/>
        </w:rPr>
        <w:t>•Walmart's labor costs, including healthcare and other benefit costs;</w:t>
      </w:r>
    </w:p>
    <w:p w14:paraId="098AA500" w14:textId="77777777" w:rsidR="00141CDF" w:rsidRDefault="00DF45E0">
      <w:pPr>
        <w:ind w:hanging="360"/>
      </w:pPr>
      <w:r>
        <w:rPr>
          <w:rFonts w:ascii="Times New Roman" w:eastAsia="宋体" w:hAnsi="Times New Roman"/>
          <w:color w:val="000000"/>
          <w:sz w:val="20"/>
          <w:szCs w:val="20"/>
        </w:rPr>
        <w:t xml:space="preserve">•Walmart's casualty and </w:t>
      </w:r>
      <w:r>
        <w:rPr>
          <w:rFonts w:ascii="Times New Roman" w:eastAsia="宋体" w:hAnsi="Times New Roman"/>
          <w:color w:val="000000"/>
          <w:sz w:val="20"/>
          <w:szCs w:val="20"/>
        </w:rPr>
        <w:t>accident-related costs and insurance costs;</w:t>
      </w:r>
    </w:p>
    <w:p w14:paraId="098AA501" w14:textId="77777777" w:rsidR="00141CDF" w:rsidRDefault="00DF45E0">
      <w:pPr>
        <w:ind w:hanging="360"/>
      </w:pPr>
      <w:r>
        <w:rPr>
          <w:rFonts w:ascii="Times New Roman" w:eastAsia="宋体" w:hAnsi="Times New Roman"/>
          <w:color w:val="000000"/>
          <w:sz w:val="20"/>
          <w:szCs w:val="20"/>
        </w:rPr>
        <w:t>•the size of and turnover in Walmart's workforce and the number of associates at various pay levels within that workforce;</w:t>
      </w:r>
    </w:p>
    <w:p w14:paraId="098AA502" w14:textId="77777777" w:rsidR="00141CDF" w:rsidRDefault="00DF45E0">
      <w:pPr>
        <w:ind w:hanging="360"/>
      </w:pPr>
      <w:r>
        <w:rPr>
          <w:rFonts w:ascii="Times New Roman" w:eastAsia="宋体" w:hAnsi="Times New Roman"/>
          <w:color w:val="000000"/>
          <w:sz w:val="20"/>
          <w:szCs w:val="20"/>
        </w:rPr>
        <w:t>•the availability of necessary personnel to staff Walmart's stores, clubs and other facil</w:t>
      </w:r>
      <w:r>
        <w:rPr>
          <w:rFonts w:ascii="Times New Roman" w:eastAsia="宋体" w:hAnsi="Times New Roman"/>
          <w:color w:val="000000"/>
          <w:sz w:val="20"/>
          <w:szCs w:val="20"/>
        </w:rPr>
        <w:t>ities;</w:t>
      </w:r>
    </w:p>
    <w:p w14:paraId="098AA503" w14:textId="77777777" w:rsidR="00141CDF" w:rsidRDefault="00DF45E0">
      <w:pPr>
        <w:ind w:hanging="360"/>
      </w:pPr>
      <w:r>
        <w:rPr>
          <w:rFonts w:ascii="Times New Roman" w:eastAsia="宋体" w:hAnsi="Times New Roman"/>
          <w:color w:val="000000"/>
          <w:sz w:val="20"/>
          <w:szCs w:val="20"/>
        </w:rPr>
        <w:t>•delays in the opening of new, expanded, relocated or remodeled units;</w:t>
      </w:r>
    </w:p>
    <w:p w14:paraId="098AA504" w14:textId="77777777" w:rsidR="00141CDF" w:rsidRDefault="00DF45E0">
      <w:pPr>
        <w:ind w:hanging="360"/>
      </w:pPr>
      <w:r>
        <w:rPr>
          <w:rFonts w:ascii="Times New Roman" w:eastAsia="宋体" w:hAnsi="Times New Roman"/>
          <w:color w:val="000000"/>
          <w:sz w:val="20"/>
          <w:szCs w:val="20"/>
        </w:rPr>
        <w:t>•developments in, and the outcome of, legal and regulatory proceedings and investigations to which Walmart is a party or is subject, and the liabilities, obligations and expenses</w:t>
      </w:r>
      <w:r>
        <w:rPr>
          <w:rFonts w:ascii="Times New Roman" w:eastAsia="宋体" w:hAnsi="Times New Roman"/>
          <w:color w:val="000000"/>
          <w:sz w:val="20"/>
          <w:szCs w:val="20"/>
        </w:rPr>
        <w:t>, if any, that Walmart may incur in connection therewith;</w:t>
      </w:r>
    </w:p>
    <w:p w14:paraId="098AA505" w14:textId="77777777" w:rsidR="00141CDF" w:rsidRDefault="00DF45E0">
      <w:pPr>
        <w:ind w:hanging="360"/>
      </w:pPr>
      <w:r>
        <w:rPr>
          <w:rFonts w:ascii="Times New Roman" w:eastAsia="宋体" w:hAnsi="Times New Roman"/>
          <w:color w:val="000000"/>
          <w:sz w:val="20"/>
          <w:szCs w:val="20"/>
        </w:rPr>
        <w:t>•changes in the credit ratings assigned to the Company's commercial paper and debt securities by credit rating agencies;</w:t>
      </w:r>
    </w:p>
    <w:p w14:paraId="098AA506" w14:textId="77777777" w:rsidR="00141CDF" w:rsidRDefault="00DF45E0">
      <w:pPr>
        <w:ind w:hanging="360"/>
      </w:pPr>
      <w:r>
        <w:rPr>
          <w:rFonts w:ascii="Times New Roman" w:eastAsia="宋体" w:hAnsi="Times New Roman"/>
          <w:color w:val="000000"/>
          <w:sz w:val="20"/>
          <w:szCs w:val="20"/>
        </w:rPr>
        <w:t>•Walmart's effective tax rate; and</w:t>
      </w:r>
    </w:p>
    <w:p w14:paraId="098AA507" w14:textId="77777777" w:rsidR="00141CDF" w:rsidRDefault="00DF45E0">
      <w:pPr>
        <w:ind w:hanging="360"/>
      </w:pPr>
      <w:r>
        <w:rPr>
          <w:rFonts w:ascii="Times New Roman" w:eastAsia="宋体" w:hAnsi="Times New Roman"/>
          <w:color w:val="000000"/>
          <w:sz w:val="20"/>
          <w:szCs w:val="20"/>
        </w:rPr>
        <w:t xml:space="preserve">•unanticipated changes in </w:t>
      </w:r>
      <w:r>
        <w:rPr>
          <w:rFonts w:ascii="Times New Roman" w:eastAsia="宋体" w:hAnsi="Times New Roman"/>
          <w:color w:val="000000"/>
          <w:sz w:val="20"/>
          <w:szCs w:val="20"/>
        </w:rPr>
        <w:t>accounting judgments and estimates.</w:t>
      </w:r>
    </w:p>
    <w:p w14:paraId="098AA508" w14:textId="77777777" w:rsidR="00141CDF" w:rsidRDefault="00DF45E0">
      <w:pPr>
        <w:jc w:val="center"/>
      </w:pPr>
      <w:r>
        <w:rPr>
          <w:rFonts w:ascii="Times New Roman" w:eastAsia="宋体" w:hAnsi="Times New Roman"/>
          <w:color w:val="000000"/>
          <w:sz w:val="20"/>
          <w:szCs w:val="20"/>
        </w:rPr>
        <w:t>31</w:t>
      </w:r>
    </w:p>
    <w:p w14:paraId="098AA509" w14:textId="77777777" w:rsidR="00141CDF" w:rsidRDefault="00DF45E0">
      <w:r>
        <w:pict w14:anchorId="098AA66D">
          <v:rect id="_x0000_i1055" style="width:415.3pt;height:1.5pt" o:hralign="center" o:hrstd="t" o:hr="t" fillcolor="#a0a0a0" stroked="f"/>
        </w:pict>
      </w:r>
    </w:p>
    <w:p w14:paraId="098AA50A" w14:textId="77777777" w:rsidR="00141CDF" w:rsidRDefault="00DF45E0">
      <w:hyperlink r:id="rId145" w:anchor="i24a2f296795646fa8b5ba32fd1359591_7" w:history="1">
        <w:r>
          <w:rPr>
            <w:rStyle w:val="a5"/>
            <w:rFonts w:ascii="Times New Roman" w:eastAsia="宋体" w:hAnsi="Times New Roman"/>
            <w:sz w:val="20"/>
            <w:szCs w:val="20"/>
          </w:rPr>
          <w:t xml:space="preserve">Table of </w:t>
        </w:r>
      </w:hyperlink>
      <w:hyperlink r:id="rId146" w:anchor="i24a2f296795646fa8b5ba32fd1359591_7" w:history="1">
        <w:r>
          <w:rPr>
            <w:rStyle w:val="a5"/>
            <w:rFonts w:ascii="Times New Roman" w:eastAsia="宋体" w:hAnsi="Times New Roman"/>
            <w:sz w:val="20"/>
            <w:szCs w:val="20"/>
          </w:rPr>
          <w:t>Contents</w:t>
        </w:r>
      </w:hyperlink>
    </w:p>
    <w:p w14:paraId="098AA50B" w14:textId="77777777" w:rsidR="00141CDF" w:rsidRDefault="00DF45E0">
      <w:pPr>
        <w:spacing w:before="100" w:after="120"/>
        <w:ind w:firstLine="360"/>
      </w:pPr>
      <w:r>
        <w:rPr>
          <w:rFonts w:ascii="Times New Roman" w:eastAsia="宋体" w:hAnsi="Times New Roman"/>
          <w:b/>
          <w:bCs/>
          <w:color w:val="000000"/>
          <w:sz w:val="20"/>
          <w:szCs w:val="20"/>
        </w:rPr>
        <w:t>Regulatory and Other Factors</w:t>
      </w:r>
    </w:p>
    <w:p w14:paraId="098AA50C" w14:textId="77777777" w:rsidR="00141CDF" w:rsidRDefault="00DF45E0">
      <w:pPr>
        <w:ind w:hanging="360"/>
      </w:pPr>
      <w:r>
        <w:rPr>
          <w:rFonts w:ascii="Times New Roman" w:eastAsia="宋体" w:hAnsi="Times New Roman"/>
          <w:color w:val="000000"/>
          <w:sz w:val="20"/>
          <w:szCs w:val="20"/>
        </w:rPr>
        <w:t>•changes in existing, tax, labor and other laws and changes in tax rates, including the enactment of laws and the adopti</w:t>
      </w:r>
      <w:r>
        <w:rPr>
          <w:rFonts w:ascii="Times New Roman" w:eastAsia="宋体" w:hAnsi="Times New Roman"/>
          <w:color w:val="000000"/>
          <w:sz w:val="20"/>
          <w:szCs w:val="20"/>
        </w:rPr>
        <w:t>on and interpretation of administrative rules and regulations;</w:t>
      </w:r>
    </w:p>
    <w:p w14:paraId="098AA50D" w14:textId="77777777" w:rsidR="00141CDF" w:rsidRDefault="00DF45E0">
      <w:pPr>
        <w:ind w:hanging="360"/>
      </w:pPr>
      <w:r>
        <w:rPr>
          <w:rFonts w:ascii="Times New Roman" w:eastAsia="宋体" w:hAnsi="Times New Roman"/>
          <w:color w:val="000000"/>
          <w:sz w:val="20"/>
          <w:szCs w:val="20"/>
        </w:rPr>
        <w:t xml:space="preserve">•the imposition of new taxes on imports, new tariffs and changes in existing tariff rates; </w:t>
      </w:r>
    </w:p>
    <w:p w14:paraId="098AA50E" w14:textId="77777777" w:rsidR="00141CDF" w:rsidRDefault="00DF45E0">
      <w:pPr>
        <w:ind w:hanging="360"/>
      </w:pPr>
      <w:r>
        <w:rPr>
          <w:rFonts w:ascii="Times New Roman" w:eastAsia="宋体" w:hAnsi="Times New Roman"/>
          <w:color w:val="000000"/>
          <w:sz w:val="20"/>
          <w:szCs w:val="20"/>
        </w:rPr>
        <w:t>•the imposition of new trade restrictions and changes in existing trade restrictions;</w:t>
      </w:r>
    </w:p>
    <w:p w14:paraId="098AA50F" w14:textId="77777777" w:rsidR="00141CDF" w:rsidRDefault="00DF45E0">
      <w:pPr>
        <w:ind w:hanging="360"/>
      </w:pPr>
      <w:r>
        <w:rPr>
          <w:rFonts w:ascii="Times New Roman" w:eastAsia="宋体" w:hAnsi="Times New Roman"/>
          <w:color w:val="000000"/>
          <w:sz w:val="20"/>
          <w:szCs w:val="20"/>
        </w:rPr>
        <w:t>•adoption or cr</w:t>
      </w:r>
      <w:r>
        <w:rPr>
          <w:rFonts w:ascii="Times New Roman" w:eastAsia="宋体" w:hAnsi="Times New Roman"/>
          <w:color w:val="000000"/>
          <w:sz w:val="20"/>
          <w:szCs w:val="20"/>
        </w:rPr>
        <w:t>eation of new, and modification of existing, governmental policies, programs, initiatives and actions in the markets in which Walmart operates and elsewhere and actions with respect to such policies, programs and initiatives;</w:t>
      </w:r>
    </w:p>
    <w:p w14:paraId="098AA510" w14:textId="77777777" w:rsidR="00141CDF" w:rsidRDefault="00DF45E0">
      <w:pPr>
        <w:ind w:hanging="360"/>
      </w:pPr>
      <w:r>
        <w:rPr>
          <w:rFonts w:ascii="Times New Roman" w:eastAsia="宋体" w:hAnsi="Times New Roman"/>
          <w:color w:val="000000"/>
          <w:sz w:val="20"/>
          <w:szCs w:val="20"/>
        </w:rPr>
        <w:t xml:space="preserve">•changes in government-funded </w:t>
      </w:r>
      <w:r>
        <w:rPr>
          <w:rFonts w:ascii="Times New Roman" w:eastAsia="宋体" w:hAnsi="Times New Roman"/>
          <w:color w:val="000000"/>
          <w:sz w:val="20"/>
          <w:szCs w:val="20"/>
        </w:rPr>
        <w:t>benefit programs and the extent and effectiveness of any further COVID-19 related stimulus packages;</w:t>
      </w:r>
    </w:p>
    <w:p w14:paraId="098AA511" w14:textId="77777777" w:rsidR="00141CDF" w:rsidRDefault="00DF45E0">
      <w:pPr>
        <w:ind w:hanging="360"/>
      </w:pPr>
      <w:r>
        <w:rPr>
          <w:rFonts w:ascii="Times New Roman" w:eastAsia="宋体" w:hAnsi="Times New Roman"/>
          <w:color w:val="000000"/>
          <w:sz w:val="20"/>
          <w:szCs w:val="20"/>
        </w:rPr>
        <w:t>•changes in currency control laws;</w:t>
      </w:r>
    </w:p>
    <w:p w14:paraId="098AA512" w14:textId="77777777" w:rsidR="00141CDF" w:rsidRDefault="00DF45E0">
      <w:pPr>
        <w:ind w:hanging="360"/>
      </w:pPr>
      <w:r>
        <w:rPr>
          <w:rFonts w:ascii="Times New Roman" w:eastAsia="宋体" w:hAnsi="Times New Roman"/>
          <w:color w:val="000000"/>
          <w:sz w:val="20"/>
          <w:szCs w:val="20"/>
        </w:rPr>
        <w:t>•changes in the level of public assistance payments;</w:t>
      </w:r>
    </w:p>
    <w:p w14:paraId="098AA513" w14:textId="77777777" w:rsidR="00141CDF" w:rsidRDefault="00DF45E0">
      <w:pPr>
        <w:ind w:hanging="360"/>
      </w:pPr>
      <w:r>
        <w:rPr>
          <w:rFonts w:ascii="Times New Roman" w:eastAsia="宋体" w:hAnsi="Times New Roman"/>
          <w:color w:val="000000"/>
          <w:sz w:val="20"/>
          <w:szCs w:val="20"/>
        </w:rPr>
        <w:t>•one or more prolonged federal government shutdowns;</w:t>
      </w:r>
    </w:p>
    <w:p w14:paraId="098AA514" w14:textId="77777777" w:rsidR="00141CDF" w:rsidRDefault="00DF45E0">
      <w:pPr>
        <w:ind w:hanging="360"/>
      </w:pPr>
      <w:r>
        <w:rPr>
          <w:rFonts w:ascii="Times New Roman" w:eastAsia="宋体" w:hAnsi="Times New Roman"/>
          <w:color w:val="000000"/>
          <w:sz w:val="20"/>
          <w:szCs w:val="20"/>
        </w:rPr>
        <w:t>•the timing of</w:t>
      </w:r>
      <w:r>
        <w:rPr>
          <w:rFonts w:ascii="Times New Roman" w:eastAsia="宋体" w:hAnsi="Times New Roman"/>
          <w:color w:val="000000"/>
          <w:sz w:val="20"/>
          <w:szCs w:val="20"/>
        </w:rPr>
        <w:t xml:space="preserve"> federal income tax refunds;</w:t>
      </w:r>
    </w:p>
    <w:p w14:paraId="098AA515" w14:textId="77777777" w:rsidR="00141CDF" w:rsidRDefault="00DF45E0">
      <w:pPr>
        <w:ind w:hanging="360"/>
      </w:pPr>
      <w:r>
        <w:rPr>
          <w:rFonts w:ascii="Times New Roman" w:eastAsia="宋体" w:hAnsi="Times New Roman"/>
          <w:color w:val="000000"/>
          <w:sz w:val="20"/>
          <w:szCs w:val="20"/>
        </w:rPr>
        <w:t>•natural disasters, changes in climate, catastrophic events and global health epidemics or pandemics, including COVID-19; and</w:t>
      </w:r>
    </w:p>
    <w:p w14:paraId="098AA516" w14:textId="77777777" w:rsidR="00141CDF" w:rsidRDefault="00DF45E0">
      <w:pPr>
        <w:ind w:hanging="360"/>
      </w:pPr>
      <w:r>
        <w:rPr>
          <w:rFonts w:ascii="Times New Roman" w:eastAsia="宋体" w:hAnsi="Times New Roman"/>
          <w:color w:val="000000"/>
          <w:sz w:val="20"/>
          <w:szCs w:val="20"/>
        </w:rPr>
        <w:t>•changes in generally accepted accounting principles in the United States.</w:t>
      </w:r>
    </w:p>
    <w:p w14:paraId="098AA517" w14:textId="77777777" w:rsidR="00141CDF" w:rsidRDefault="00DF45E0">
      <w:pPr>
        <w:spacing w:before="180"/>
      </w:pPr>
      <w:r>
        <w:rPr>
          <w:rFonts w:ascii="Times New Roman" w:eastAsia="宋体" w:hAnsi="Times New Roman"/>
          <w:b/>
          <w:bCs/>
          <w:i/>
          <w:iCs/>
          <w:color w:val="000000"/>
          <w:sz w:val="20"/>
          <w:szCs w:val="20"/>
        </w:rPr>
        <w:t xml:space="preserve">Other Risk </w:t>
      </w:r>
      <w:r>
        <w:rPr>
          <w:rFonts w:ascii="Times New Roman" w:eastAsia="宋体" w:hAnsi="Times New Roman"/>
          <w:b/>
          <w:bCs/>
          <w:i/>
          <w:iCs/>
          <w:color w:val="000000"/>
          <w:sz w:val="20"/>
          <w:szCs w:val="20"/>
        </w:rPr>
        <w:t>Factors; No Duty to Update</w:t>
      </w:r>
    </w:p>
    <w:p w14:paraId="098AA518" w14:textId="77777777" w:rsidR="00141CDF" w:rsidRDefault="00DF45E0">
      <w:pPr>
        <w:spacing w:before="100"/>
      </w:pPr>
      <w:r>
        <w:rPr>
          <w:rFonts w:ascii="Times New Roman" w:eastAsia="宋体" w:hAnsi="Times New Roman"/>
          <w:color w:val="000000"/>
          <w:sz w:val="20"/>
          <w:szCs w:val="20"/>
        </w:rPr>
        <w:t xml:space="preserve">This Quarterly Report on Form 10-Q should be read in conjunction with Walmart's Annual Report on Form 10-K for the fiscal year ended January 31, 2022 and all of Walmart's subsequent other filings with the Securities and Exchange </w:t>
      </w:r>
      <w:r>
        <w:rPr>
          <w:rFonts w:ascii="Times New Roman" w:eastAsia="宋体" w:hAnsi="Times New Roman"/>
          <w:color w:val="000000"/>
          <w:sz w:val="20"/>
          <w:szCs w:val="20"/>
        </w:rPr>
        <w:t>Commission. Walmart urges investors to consider all of the risks, uncertainties and other factors disclosed in these filings carefully in evaluating the forward-looking statements contained in this Quarterly Report on Form 10-Q. The Company cannot assure y</w:t>
      </w:r>
      <w:r>
        <w:rPr>
          <w:rFonts w:ascii="Times New Roman" w:eastAsia="宋体" w:hAnsi="Times New Roman"/>
          <w:color w:val="000000"/>
          <w:sz w:val="20"/>
          <w:szCs w:val="20"/>
        </w:rPr>
        <w:t>ou that the results or developments anticipated by the Company and reflected or implied by any forward-looking statement contained in this Quarterly Report on Form 10-Q will be realized or, even if substantially realized, that those results or developments</w:t>
      </w:r>
      <w:r>
        <w:rPr>
          <w:rFonts w:ascii="Times New Roman" w:eastAsia="宋体" w:hAnsi="Times New Roman"/>
          <w:color w:val="000000"/>
          <w:sz w:val="20"/>
          <w:szCs w:val="20"/>
        </w:rPr>
        <w:t xml:space="preserve"> will result in the forecasted or expected consequences for the Company or affect the Company, its operations or its financial performance as the Company has forecasted or expected. As a result of the matters discussed above and other matters, including ch</w:t>
      </w:r>
      <w:r>
        <w:rPr>
          <w:rFonts w:ascii="Times New Roman" w:eastAsia="宋体" w:hAnsi="Times New Roman"/>
          <w:color w:val="000000"/>
          <w:sz w:val="20"/>
          <w:szCs w:val="20"/>
        </w:rPr>
        <w:t>anges in facts, assumptions not being realized or other factors, the actual results relating to the subject matter of any forward-looking statement in this Quarterly Report on Form 10-Q may differ materially from the anticipated results expressed or implie</w:t>
      </w:r>
      <w:r>
        <w:rPr>
          <w:rFonts w:ascii="Times New Roman" w:eastAsia="宋体" w:hAnsi="Times New Roman"/>
          <w:color w:val="000000"/>
          <w:sz w:val="20"/>
          <w:szCs w:val="20"/>
        </w:rPr>
        <w:t xml:space="preserve">d in that forward-looking statement. The forward-looking statements included in this Quarterly Report on Form 10-Q are made only as of the date of this report, and Walmart undertakes no obligation to update any such statements to reflect subsequent events </w:t>
      </w:r>
      <w:r>
        <w:rPr>
          <w:rFonts w:ascii="Times New Roman" w:eastAsia="宋体" w:hAnsi="Times New Roman"/>
          <w:color w:val="000000"/>
          <w:sz w:val="20"/>
          <w:szCs w:val="20"/>
        </w:rPr>
        <w:t>or circumstances.</w:t>
      </w:r>
    </w:p>
    <w:p w14:paraId="098AA519" w14:textId="77777777" w:rsidR="00141CDF" w:rsidRDefault="00DF45E0">
      <w:pPr>
        <w:jc w:val="center"/>
      </w:pPr>
      <w:r>
        <w:rPr>
          <w:rFonts w:ascii="Times New Roman" w:eastAsia="宋体" w:hAnsi="Times New Roman"/>
          <w:color w:val="000000"/>
          <w:sz w:val="20"/>
          <w:szCs w:val="20"/>
        </w:rPr>
        <w:t>32</w:t>
      </w:r>
    </w:p>
    <w:p w14:paraId="098AA51A" w14:textId="77777777" w:rsidR="00141CDF" w:rsidRDefault="00DF45E0">
      <w:r>
        <w:pict w14:anchorId="098AA66E">
          <v:rect id="_x0000_i1056" style="width:415.3pt;height:1.5pt" o:hralign="center" o:hrstd="t" o:hr="t" fillcolor="#a0a0a0" stroked="f"/>
        </w:pict>
      </w:r>
    </w:p>
    <w:p w14:paraId="098AA51B" w14:textId="77777777" w:rsidR="00141CDF" w:rsidRDefault="00DF45E0">
      <w:hyperlink r:id="rId147" w:anchor="i24a2f296795646fa8b5ba32fd1359591_7" w:history="1">
        <w:r>
          <w:rPr>
            <w:rStyle w:val="a5"/>
            <w:rFonts w:ascii="Times New Roman" w:eastAsia="宋体" w:hAnsi="Times New Roman"/>
            <w:sz w:val="20"/>
            <w:szCs w:val="20"/>
          </w:rPr>
          <w:t xml:space="preserve">Table of </w:t>
        </w:r>
      </w:hyperlink>
      <w:hyperlink r:id="rId148" w:anchor="i24a2f296795646fa8b5ba32fd1359591_7" w:history="1">
        <w:r>
          <w:rPr>
            <w:rStyle w:val="a5"/>
            <w:rFonts w:ascii="Times New Roman" w:eastAsia="宋体" w:hAnsi="Times New Roman"/>
            <w:sz w:val="20"/>
            <w:szCs w:val="20"/>
          </w:rPr>
          <w:t>Contents</w:t>
        </w:r>
      </w:hyperlink>
    </w:p>
    <w:p w14:paraId="098AA51C" w14:textId="77777777" w:rsidR="00141CDF" w:rsidRDefault="00DF45E0">
      <w:pPr>
        <w:spacing w:before="180"/>
      </w:pPr>
      <w:r>
        <w:rPr>
          <w:rFonts w:ascii="Times New Roman" w:eastAsia="宋体" w:hAnsi="Times New Roman"/>
          <w:b/>
          <w:bCs/>
          <w:color w:val="000000"/>
          <w:sz w:val="20"/>
          <w:szCs w:val="20"/>
        </w:rPr>
        <w:t>Item 6. Exhibits</w:t>
      </w:r>
    </w:p>
    <w:p w14:paraId="098AA51D" w14:textId="77777777" w:rsidR="00141CDF" w:rsidRDefault="00DF45E0">
      <w:pPr>
        <w:spacing w:before="120"/>
      </w:pPr>
      <w:r>
        <w:rPr>
          <w:rFonts w:ascii="Times New Roman" w:eastAsia="宋体" w:hAnsi="Times New Roman"/>
          <w:color w:val="000000"/>
          <w:sz w:val="20"/>
          <w:szCs w:val="20"/>
        </w:rPr>
        <w:t>The following documents are filed as an exhibit to this Quarterly Report on Form 10-Q:</w:t>
      </w:r>
    </w:p>
    <w:tbl>
      <w:tblPr>
        <w:tblW w:w="5000" w:type="pct"/>
        <w:tblCellMar>
          <w:top w:w="15" w:type="dxa"/>
          <w:left w:w="15" w:type="dxa"/>
          <w:bottom w:w="15" w:type="dxa"/>
          <w:right w:w="15" w:type="dxa"/>
        </w:tblCellMar>
        <w:tblLook w:val="04A0" w:firstRow="1" w:lastRow="0" w:firstColumn="1" w:lastColumn="0" w:noHBand="0" w:noVBand="1"/>
      </w:tblPr>
      <w:tblGrid>
        <w:gridCol w:w="93"/>
        <w:gridCol w:w="1343"/>
        <w:gridCol w:w="36"/>
        <w:gridCol w:w="36"/>
        <w:gridCol w:w="36"/>
        <w:gridCol w:w="36"/>
        <w:gridCol w:w="37"/>
        <w:gridCol w:w="6683"/>
        <w:gridCol w:w="36"/>
      </w:tblGrid>
      <w:tr w:rsidR="00141CDF" w14:paraId="098AA527" w14:textId="77777777">
        <w:tc>
          <w:tcPr>
            <w:tcW w:w="50" w:type="pct"/>
            <w:shd w:val="clear" w:color="auto" w:fill="auto"/>
            <w:vAlign w:val="bottom"/>
          </w:tcPr>
          <w:p w14:paraId="098AA51E" w14:textId="77777777" w:rsidR="00141CDF" w:rsidRDefault="00141CDF">
            <w:pPr>
              <w:rPr>
                <w:rFonts w:ascii="宋体"/>
              </w:rPr>
            </w:pPr>
          </w:p>
        </w:tc>
        <w:tc>
          <w:tcPr>
            <w:tcW w:w="727" w:type="pct"/>
            <w:shd w:val="clear" w:color="auto" w:fill="auto"/>
            <w:vAlign w:val="bottom"/>
          </w:tcPr>
          <w:p w14:paraId="098AA51F" w14:textId="77777777" w:rsidR="00141CDF" w:rsidRDefault="00141CDF">
            <w:pPr>
              <w:rPr>
                <w:rFonts w:ascii="宋体"/>
              </w:rPr>
            </w:pPr>
          </w:p>
        </w:tc>
        <w:tc>
          <w:tcPr>
            <w:tcW w:w="5" w:type="pct"/>
            <w:shd w:val="clear" w:color="auto" w:fill="auto"/>
            <w:vAlign w:val="bottom"/>
          </w:tcPr>
          <w:p w14:paraId="098AA520" w14:textId="77777777" w:rsidR="00141CDF" w:rsidRDefault="00141CDF">
            <w:pPr>
              <w:rPr>
                <w:rFonts w:ascii="宋体"/>
              </w:rPr>
            </w:pPr>
          </w:p>
        </w:tc>
        <w:tc>
          <w:tcPr>
            <w:tcW w:w="5" w:type="pct"/>
            <w:shd w:val="clear" w:color="auto" w:fill="auto"/>
            <w:vAlign w:val="bottom"/>
          </w:tcPr>
          <w:p w14:paraId="098AA521" w14:textId="77777777" w:rsidR="00141CDF" w:rsidRDefault="00141CDF">
            <w:pPr>
              <w:rPr>
                <w:rFonts w:ascii="宋体"/>
              </w:rPr>
            </w:pPr>
          </w:p>
        </w:tc>
        <w:tc>
          <w:tcPr>
            <w:tcW w:w="26" w:type="pct"/>
            <w:shd w:val="clear" w:color="auto" w:fill="auto"/>
            <w:vAlign w:val="bottom"/>
          </w:tcPr>
          <w:p w14:paraId="098AA522" w14:textId="77777777" w:rsidR="00141CDF" w:rsidRDefault="00141CDF">
            <w:pPr>
              <w:rPr>
                <w:rFonts w:ascii="宋体"/>
              </w:rPr>
            </w:pPr>
          </w:p>
        </w:tc>
        <w:tc>
          <w:tcPr>
            <w:tcW w:w="5" w:type="pct"/>
            <w:shd w:val="clear" w:color="auto" w:fill="auto"/>
            <w:vAlign w:val="bottom"/>
          </w:tcPr>
          <w:p w14:paraId="098AA523" w14:textId="77777777" w:rsidR="00141CDF" w:rsidRDefault="00141CDF">
            <w:pPr>
              <w:rPr>
                <w:rFonts w:ascii="宋体"/>
              </w:rPr>
            </w:pPr>
          </w:p>
        </w:tc>
        <w:tc>
          <w:tcPr>
            <w:tcW w:w="50" w:type="pct"/>
            <w:shd w:val="clear" w:color="auto" w:fill="auto"/>
            <w:vAlign w:val="bottom"/>
          </w:tcPr>
          <w:p w14:paraId="098AA524" w14:textId="77777777" w:rsidR="00141CDF" w:rsidRDefault="00141CDF">
            <w:pPr>
              <w:rPr>
                <w:rFonts w:ascii="宋体"/>
              </w:rPr>
            </w:pPr>
          </w:p>
        </w:tc>
        <w:tc>
          <w:tcPr>
            <w:tcW w:w="4126" w:type="pct"/>
            <w:shd w:val="clear" w:color="auto" w:fill="auto"/>
            <w:vAlign w:val="bottom"/>
          </w:tcPr>
          <w:p w14:paraId="098AA525" w14:textId="77777777" w:rsidR="00141CDF" w:rsidRDefault="00141CDF">
            <w:pPr>
              <w:rPr>
                <w:rFonts w:ascii="宋体"/>
              </w:rPr>
            </w:pPr>
          </w:p>
        </w:tc>
        <w:tc>
          <w:tcPr>
            <w:tcW w:w="5" w:type="pct"/>
            <w:shd w:val="clear" w:color="auto" w:fill="auto"/>
            <w:vAlign w:val="bottom"/>
          </w:tcPr>
          <w:p w14:paraId="098AA526" w14:textId="77777777" w:rsidR="00141CDF" w:rsidRDefault="00141CDF">
            <w:pPr>
              <w:rPr>
                <w:rFonts w:ascii="宋体"/>
              </w:rPr>
            </w:pPr>
          </w:p>
        </w:tc>
      </w:tr>
      <w:tr w:rsidR="00141CDF" w14:paraId="098AA52B" w14:textId="77777777">
        <w:tc>
          <w:tcPr>
            <w:tcW w:w="0" w:type="auto"/>
            <w:gridSpan w:val="3"/>
            <w:shd w:val="clear" w:color="auto" w:fill="auto"/>
            <w:tcMar>
              <w:top w:w="40" w:type="dxa"/>
              <w:left w:w="20" w:type="dxa"/>
              <w:bottom w:w="40" w:type="dxa"/>
              <w:right w:w="20" w:type="dxa"/>
            </w:tcMar>
          </w:tcPr>
          <w:p w14:paraId="098AA528" w14:textId="77777777" w:rsidR="00141CDF" w:rsidRDefault="00DF45E0">
            <w:pPr>
              <w:textAlignment w:val="top"/>
            </w:pPr>
            <w:r>
              <w:rPr>
                <w:rFonts w:ascii="Times New Roman" w:eastAsia="宋体" w:hAnsi="Times New Roman"/>
                <w:color w:val="000000"/>
                <w:sz w:val="19"/>
                <w:szCs w:val="19"/>
              </w:rPr>
              <w:t>Exhibit 3.1</w:t>
            </w:r>
          </w:p>
        </w:tc>
        <w:tc>
          <w:tcPr>
            <w:tcW w:w="0" w:type="auto"/>
            <w:gridSpan w:val="3"/>
            <w:shd w:val="clear" w:color="auto" w:fill="auto"/>
            <w:tcMar>
              <w:top w:w="0" w:type="dxa"/>
              <w:left w:w="20" w:type="dxa"/>
              <w:bottom w:w="0" w:type="dxa"/>
              <w:right w:w="20" w:type="dxa"/>
            </w:tcMar>
            <w:vAlign w:val="bottom"/>
          </w:tcPr>
          <w:p w14:paraId="098AA529"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tcPr>
          <w:p w14:paraId="098AA52A" w14:textId="77777777" w:rsidR="00141CDF" w:rsidRDefault="00DF45E0">
            <w:pPr>
              <w:textAlignment w:val="top"/>
            </w:pPr>
            <w:hyperlink r:id="rId149" w:history="1">
              <w:r>
                <w:rPr>
                  <w:rStyle w:val="a5"/>
                  <w:rFonts w:ascii="Times New Roman" w:eastAsia="宋体" w:hAnsi="Times New Roman"/>
                  <w:sz w:val="19"/>
                  <w:szCs w:val="19"/>
                </w:rPr>
                <w:t xml:space="preserve">Restated Certificate of Incorporation of the Company dated February 1, 2018 is incorporated herein by reference to Exhibit 3.1 to the Current Report on Form </w:t>
              </w:r>
              <w:r>
                <w:rPr>
                  <w:rStyle w:val="a5"/>
                  <w:rFonts w:ascii="Times New Roman" w:eastAsia="宋体" w:hAnsi="Times New Roman"/>
                  <w:sz w:val="19"/>
                  <w:szCs w:val="19"/>
                </w:rPr>
                <w:t>8-K that the Company filed on February 1, 2018</w:t>
              </w:r>
            </w:hyperlink>
          </w:p>
        </w:tc>
      </w:tr>
      <w:tr w:rsidR="00141CDF" w14:paraId="098AA52F" w14:textId="77777777">
        <w:trPr>
          <w:trHeight w:val="60"/>
        </w:trPr>
        <w:tc>
          <w:tcPr>
            <w:tcW w:w="0" w:type="auto"/>
            <w:gridSpan w:val="3"/>
            <w:shd w:val="clear" w:color="auto" w:fill="auto"/>
            <w:tcMar>
              <w:top w:w="0" w:type="dxa"/>
              <w:left w:w="20" w:type="dxa"/>
              <w:bottom w:w="0" w:type="dxa"/>
              <w:right w:w="20" w:type="dxa"/>
            </w:tcMar>
            <w:vAlign w:val="bottom"/>
          </w:tcPr>
          <w:p w14:paraId="098AA52C"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A52D"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A52E" w14:textId="77777777" w:rsidR="00141CDF" w:rsidRDefault="00141CDF">
            <w:pPr>
              <w:rPr>
                <w:rFonts w:ascii="宋体"/>
              </w:rPr>
            </w:pPr>
          </w:p>
        </w:tc>
      </w:tr>
      <w:tr w:rsidR="00141CDF" w14:paraId="098AA533" w14:textId="77777777">
        <w:tc>
          <w:tcPr>
            <w:tcW w:w="0" w:type="auto"/>
            <w:gridSpan w:val="3"/>
            <w:shd w:val="clear" w:color="auto" w:fill="auto"/>
            <w:tcMar>
              <w:top w:w="40" w:type="dxa"/>
              <w:left w:w="20" w:type="dxa"/>
              <w:bottom w:w="40" w:type="dxa"/>
              <w:right w:w="20" w:type="dxa"/>
            </w:tcMar>
          </w:tcPr>
          <w:p w14:paraId="098AA530" w14:textId="77777777" w:rsidR="00141CDF" w:rsidRDefault="00DF45E0">
            <w:pPr>
              <w:textAlignment w:val="top"/>
            </w:pPr>
            <w:r>
              <w:rPr>
                <w:rFonts w:ascii="Times New Roman" w:eastAsia="宋体" w:hAnsi="Times New Roman"/>
                <w:color w:val="000000"/>
                <w:sz w:val="19"/>
                <w:szCs w:val="19"/>
              </w:rPr>
              <w:t>Exhibit 3.2</w:t>
            </w:r>
          </w:p>
        </w:tc>
        <w:tc>
          <w:tcPr>
            <w:tcW w:w="0" w:type="auto"/>
            <w:gridSpan w:val="3"/>
            <w:shd w:val="clear" w:color="auto" w:fill="auto"/>
            <w:tcMar>
              <w:top w:w="0" w:type="dxa"/>
              <w:left w:w="20" w:type="dxa"/>
              <w:bottom w:w="0" w:type="dxa"/>
              <w:right w:w="20" w:type="dxa"/>
            </w:tcMar>
            <w:vAlign w:val="bottom"/>
          </w:tcPr>
          <w:p w14:paraId="098AA531"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A532" w14:textId="77777777" w:rsidR="00141CDF" w:rsidRDefault="00DF45E0">
            <w:pPr>
              <w:textAlignment w:val="bottom"/>
            </w:pPr>
            <w:hyperlink r:id="rId150" w:history="1">
              <w:r>
                <w:rPr>
                  <w:rStyle w:val="a5"/>
                  <w:rFonts w:ascii="Times New Roman" w:eastAsia="宋体" w:hAnsi="Times New Roman"/>
                  <w:sz w:val="19"/>
                  <w:szCs w:val="19"/>
                </w:rPr>
                <w:t>Amended and Restated Bylaws of the Company dated July 23, 2019 are incorporated herein by reference to Exhibit 3.1 to the Current Report on Form 8-K tha</w:t>
              </w:r>
              <w:r>
                <w:rPr>
                  <w:rStyle w:val="a5"/>
                  <w:rFonts w:ascii="Times New Roman" w:eastAsia="宋体" w:hAnsi="Times New Roman"/>
                  <w:sz w:val="19"/>
                  <w:szCs w:val="19"/>
                </w:rPr>
                <w:t>t the Company filed on July 26, 2019</w:t>
              </w:r>
            </w:hyperlink>
          </w:p>
        </w:tc>
      </w:tr>
      <w:tr w:rsidR="00141CDF" w14:paraId="098AA537" w14:textId="77777777">
        <w:trPr>
          <w:hidden/>
        </w:trPr>
        <w:tc>
          <w:tcPr>
            <w:tcW w:w="0" w:type="auto"/>
            <w:gridSpan w:val="3"/>
            <w:shd w:val="clear" w:color="auto" w:fill="auto"/>
            <w:vAlign w:val="bottom"/>
          </w:tcPr>
          <w:p w14:paraId="098AA534" w14:textId="77777777" w:rsidR="00141CDF" w:rsidRDefault="00141CDF">
            <w:pPr>
              <w:rPr>
                <w:rFonts w:ascii="宋体"/>
                <w:vanish/>
              </w:rPr>
            </w:pPr>
          </w:p>
        </w:tc>
        <w:tc>
          <w:tcPr>
            <w:tcW w:w="0" w:type="auto"/>
            <w:gridSpan w:val="3"/>
            <w:shd w:val="clear" w:color="auto" w:fill="auto"/>
            <w:vAlign w:val="bottom"/>
          </w:tcPr>
          <w:p w14:paraId="098AA535" w14:textId="77777777" w:rsidR="00141CDF" w:rsidRDefault="00141CDF">
            <w:pPr>
              <w:rPr>
                <w:rFonts w:ascii="宋体"/>
                <w:vanish/>
              </w:rPr>
            </w:pPr>
          </w:p>
        </w:tc>
        <w:tc>
          <w:tcPr>
            <w:tcW w:w="0" w:type="auto"/>
            <w:gridSpan w:val="3"/>
            <w:shd w:val="clear" w:color="auto" w:fill="auto"/>
            <w:vAlign w:val="bottom"/>
          </w:tcPr>
          <w:p w14:paraId="098AA536" w14:textId="77777777" w:rsidR="00141CDF" w:rsidRDefault="00141CDF">
            <w:pPr>
              <w:rPr>
                <w:rFonts w:ascii="宋体"/>
                <w:vanish/>
              </w:rPr>
            </w:pPr>
          </w:p>
        </w:tc>
      </w:tr>
      <w:tr w:rsidR="00141CDF" w14:paraId="098AA53B" w14:textId="77777777">
        <w:trPr>
          <w:hidden/>
        </w:trPr>
        <w:tc>
          <w:tcPr>
            <w:tcW w:w="0" w:type="auto"/>
            <w:gridSpan w:val="3"/>
            <w:shd w:val="clear" w:color="auto" w:fill="auto"/>
            <w:vAlign w:val="bottom"/>
          </w:tcPr>
          <w:p w14:paraId="098AA538" w14:textId="77777777" w:rsidR="00141CDF" w:rsidRDefault="00141CDF">
            <w:pPr>
              <w:rPr>
                <w:rFonts w:ascii="宋体"/>
                <w:vanish/>
              </w:rPr>
            </w:pPr>
          </w:p>
        </w:tc>
        <w:tc>
          <w:tcPr>
            <w:tcW w:w="0" w:type="auto"/>
            <w:gridSpan w:val="3"/>
            <w:shd w:val="clear" w:color="auto" w:fill="auto"/>
            <w:vAlign w:val="bottom"/>
          </w:tcPr>
          <w:p w14:paraId="098AA539" w14:textId="77777777" w:rsidR="00141CDF" w:rsidRDefault="00141CDF">
            <w:pPr>
              <w:rPr>
                <w:rFonts w:ascii="宋体"/>
                <w:vanish/>
              </w:rPr>
            </w:pPr>
          </w:p>
        </w:tc>
        <w:tc>
          <w:tcPr>
            <w:tcW w:w="0" w:type="auto"/>
            <w:gridSpan w:val="3"/>
            <w:shd w:val="clear" w:color="auto" w:fill="auto"/>
            <w:vAlign w:val="bottom"/>
          </w:tcPr>
          <w:p w14:paraId="098AA53A" w14:textId="77777777" w:rsidR="00141CDF" w:rsidRDefault="00141CDF">
            <w:pPr>
              <w:rPr>
                <w:rFonts w:ascii="宋体"/>
                <w:vanish/>
              </w:rPr>
            </w:pPr>
          </w:p>
        </w:tc>
      </w:tr>
      <w:tr w:rsidR="00141CDF" w14:paraId="098AA53F" w14:textId="77777777">
        <w:trPr>
          <w:trHeight w:val="60"/>
        </w:trPr>
        <w:tc>
          <w:tcPr>
            <w:tcW w:w="0" w:type="auto"/>
            <w:gridSpan w:val="3"/>
            <w:shd w:val="clear" w:color="auto" w:fill="auto"/>
            <w:tcMar>
              <w:top w:w="0" w:type="dxa"/>
              <w:left w:w="20" w:type="dxa"/>
              <w:bottom w:w="0" w:type="dxa"/>
              <w:right w:w="20" w:type="dxa"/>
            </w:tcMar>
            <w:vAlign w:val="bottom"/>
          </w:tcPr>
          <w:p w14:paraId="098AA53C"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A53D"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A53E" w14:textId="77777777" w:rsidR="00141CDF" w:rsidRDefault="00141CDF">
            <w:pPr>
              <w:rPr>
                <w:rFonts w:ascii="宋体"/>
              </w:rPr>
            </w:pPr>
          </w:p>
        </w:tc>
      </w:tr>
      <w:tr w:rsidR="00141CDF" w14:paraId="098AA543" w14:textId="77777777">
        <w:tc>
          <w:tcPr>
            <w:tcW w:w="0" w:type="auto"/>
            <w:gridSpan w:val="3"/>
            <w:shd w:val="clear" w:color="auto" w:fill="auto"/>
            <w:tcMar>
              <w:top w:w="40" w:type="dxa"/>
              <w:left w:w="20" w:type="dxa"/>
              <w:bottom w:w="40" w:type="dxa"/>
              <w:right w:w="20" w:type="dxa"/>
            </w:tcMar>
          </w:tcPr>
          <w:p w14:paraId="098AA540" w14:textId="77777777" w:rsidR="00141CDF" w:rsidRDefault="00DF45E0">
            <w:pPr>
              <w:textAlignment w:val="top"/>
            </w:pPr>
            <w:r>
              <w:rPr>
                <w:rFonts w:ascii="Times New Roman" w:eastAsia="宋体" w:hAnsi="Times New Roman"/>
                <w:color w:val="000000"/>
                <w:sz w:val="19"/>
                <w:szCs w:val="19"/>
              </w:rPr>
              <w:t>Exhibit 31.1*</w:t>
            </w:r>
          </w:p>
        </w:tc>
        <w:tc>
          <w:tcPr>
            <w:tcW w:w="0" w:type="auto"/>
            <w:gridSpan w:val="3"/>
            <w:shd w:val="clear" w:color="auto" w:fill="auto"/>
            <w:tcMar>
              <w:top w:w="0" w:type="dxa"/>
              <w:left w:w="20" w:type="dxa"/>
              <w:bottom w:w="0" w:type="dxa"/>
              <w:right w:w="20" w:type="dxa"/>
            </w:tcMar>
            <w:vAlign w:val="bottom"/>
          </w:tcPr>
          <w:p w14:paraId="098AA541"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tcPr>
          <w:p w14:paraId="098AA542" w14:textId="77777777" w:rsidR="00141CDF" w:rsidRDefault="00DF45E0">
            <w:pPr>
              <w:textAlignment w:val="top"/>
            </w:pPr>
            <w:hyperlink r:id="rId151" w:history="1">
              <w:r>
                <w:rPr>
                  <w:rStyle w:val="a5"/>
                  <w:rFonts w:ascii="Times New Roman" w:eastAsia="宋体" w:hAnsi="Times New Roman"/>
                  <w:sz w:val="19"/>
                  <w:szCs w:val="19"/>
                </w:rPr>
                <w:t>Chief Executive Officer Section 302 Certification</w:t>
              </w:r>
            </w:hyperlink>
          </w:p>
        </w:tc>
      </w:tr>
      <w:tr w:rsidR="00141CDF" w14:paraId="098AA546" w14:textId="77777777">
        <w:trPr>
          <w:trHeight w:val="60"/>
        </w:trPr>
        <w:tc>
          <w:tcPr>
            <w:tcW w:w="0" w:type="auto"/>
            <w:gridSpan w:val="3"/>
            <w:shd w:val="clear" w:color="auto" w:fill="auto"/>
            <w:tcMar>
              <w:top w:w="0" w:type="dxa"/>
              <w:left w:w="20" w:type="dxa"/>
              <w:bottom w:w="0" w:type="dxa"/>
              <w:right w:w="20" w:type="dxa"/>
            </w:tcMar>
            <w:vAlign w:val="bottom"/>
          </w:tcPr>
          <w:p w14:paraId="098AA544" w14:textId="77777777" w:rsidR="00141CDF" w:rsidRDefault="00141CDF">
            <w:pPr>
              <w:rPr>
                <w:rFonts w:ascii="宋体"/>
              </w:rPr>
            </w:pPr>
          </w:p>
        </w:tc>
        <w:tc>
          <w:tcPr>
            <w:tcW w:w="0" w:type="auto"/>
            <w:gridSpan w:val="6"/>
            <w:shd w:val="clear" w:color="auto" w:fill="auto"/>
            <w:tcMar>
              <w:top w:w="0" w:type="dxa"/>
              <w:left w:w="20" w:type="dxa"/>
              <w:bottom w:w="0" w:type="dxa"/>
              <w:right w:w="20" w:type="dxa"/>
            </w:tcMar>
            <w:vAlign w:val="bottom"/>
          </w:tcPr>
          <w:p w14:paraId="098AA545" w14:textId="77777777" w:rsidR="00141CDF" w:rsidRDefault="00141CDF">
            <w:pPr>
              <w:rPr>
                <w:rFonts w:ascii="宋体"/>
              </w:rPr>
            </w:pPr>
          </w:p>
        </w:tc>
      </w:tr>
      <w:tr w:rsidR="00141CDF" w14:paraId="098AA54A" w14:textId="77777777">
        <w:tc>
          <w:tcPr>
            <w:tcW w:w="0" w:type="auto"/>
            <w:gridSpan w:val="3"/>
            <w:shd w:val="clear" w:color="auto" w:fill="auto"/>
            <w:tcMar>
              <w:top w:w="40" w:type="dxa"/>
              <w:left w:w="20" w:type="dxa"/>
              <w:bottom w:w="40" w:type="dxa"/>
              <w:right w:w="20" w:type="dxa"/>
            </w:tcMar>
          </w:tcPr>
          <w:p w14:paraId="098AA547" w14:textId="77777777" w:rsidR="00141CDF" w:rsidRDefault="00DF45E0">
            <w:pPr>
              <w:textAlignment w:val="top"/>
            </w:pPr>
            <w:r>
              <w:rPr>
                <w:rFonts w:ascii="Times New Roman" w:eastAsia="宋体" w:hAnsi="Times New Roman"/>
                <w:color w:val="000000"/>
                <w:sz w:val="19"/>
                <w:szCs w:val="19"/>
              </w:rPr>
              <w:t>Exhibit 31.2*</w:t>
            </w:r>
          </w:p>
        </w:tc>
        <w:tc>
          <w:tcPr>
            <w:tcW w:w="0" w:type="auto"/>
            <w:gridSpan w:val="3"/>
            <w:shd w:val="clear" w:color="auto" w:fill="auto"/>
            <w:tcMar>
              <w:top w:w="0" w:type="dxa"/>
              <w:left w:w="20" w:type="dxa"/>
              <w:bottom w:w="0" w:type="dxa"/>
              <w:right w:w="20" w:type="dxa"/>
            </w:tcMar>
            <w:vAlign w:val="bottom"/>
          </w:tcPr>
          <w:p w14:paraId="098AA548"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tcPr>
          <w:p w14:paraId="098AA549" w14:textId="77777777" w:rsidR="00141CDF" w:rsidRDefault="00DF45E0">
            <w:pPr>
              <w:textAlignment w:val="top"/>
            </w:pPr>
            <w:hyperlink r:id="rId152" w:history="1">
              <w:r>
                <w:rPr>
                  <w:rStyle w:val="a5"/>
                  <w:rFonts w:ascii="Times New Roman" w:eastAsia="宋体" w:hAnsi="Times New Roman"/>
                  <w:sz w:val="19"/>
                  <w:szCs w:val="19"/>
                </w:rPr>
                <w:t>Chief Financial Officer Section 302 Certification</w:t>
              </w:r>
            </w:hyperlink>
          </w:p>
        </w:tc>
      </w:tr>
      <w:tr w:rsidR="00141CDF" w14:paraId="098AA54D" w14:textId="77777777">
        <w:trPr>
          <w:trHeight w:val="60"/>
        </w:trPr>
        <w:tc>
          <w:tcPr>
            <w:tcW w:w="0" w:type="auto"/>
            <w:gridSpan w:val="3"/>
            <w:shd w:val="clear" w:color="auto" w:fill="auto"/>
            <w:tcMar>
              <w:top w:w="0" w:type="dxa"/>
              <w:left w:w="20" w:type="dxa"/>
              <w:bottom w:w="0" w:type="dxa"/>
              <w:right w:w="20" w:type="dxa"/>
            </w:tcMar>
            <w:vAlign w:val="bottom"/>
          </w:tcPr>
          <w:p w14:paraId="098AA54B" w14:textId="77777777" w:rsidR="00141CDF" w:rsidRDefault="00141CDF">
            <w:pPr>
              <w:rPr>
                <w:rFonts w:ascii="宋体"/>
              </w:rPr>
            </w:pPr>
          </w:p>
        </w:tc>
        <w:tc>
          <w:tcPr>
            <w:tcW w:w="0" w:type="auto"/>
            <w:gridSpan w:val="6"/>
            <w:shd w:val="clear" w:color="auto" w:fill="auto"/>
            <w:tcMar>
              <w:top w:w="0" w:type="dxa"/>
              <w:left w:w="20" w:type="dxa"/>
              <w:bottom w:w="0" w:type="dxa"/>
              <w:right w:w="20" w:type="dxa"/>
            </w:tcMar>
            <w:vAlign w:val="bottom"/>
          </w:tcPr>
          <w:p w14:paraId="098AA54C" w14:textId="77777777" w:rsidR="00141CDF" w:rsidRDefault="00141CDF">
            <w:pPr>
              <w:rPr>
                <w:rFonts w:ascii="宋体"/>
              </w:rPr>
            </w:pPr>
          </w:p>
        </w:tc>
      </w:tr>
      <w:tr w:rsidR="00141CDF" w14:paraId="098AA551" w14:textId="77777777">
        <w:tc>
          <w:tcPr>
            <w:tcW w:w="0" w:type="auto"/>
            <w:gridSpan w:val="3"/>
            <w:shd w:val="clear" w:color="auto" w:fill="auto"/>
            <w:tcMar>
              <w:top w:w="40" w:type="dxa"/>
              <w:left w:w="20" w:type="dxa"/>
              <w:bottom w:w="40" w:type="dxa"/>
              <w:right w:w="20" w:type="dxa"/>
            </w:tcMar>
          </w:tcPr>
          <w:p w14:paraId="098AA54E" w14:textId="77777777" w:rsidR="00141CDF" w:rsidRDefault="00DF45E0">
            <w:pPr>
              <w:textAlignment w:val="top"/>
            </w:pPr>
            <w:r>
              <w:rPr>
                <w:rFonts w:ascii="Times New Roman" w:eastAsia="宋体" w:hAnsi="Times New Roman"/>
                <w:color w:val="000000"/>
                <w:sz w:val="19"/>
                <w:szCs w:val="19"/>
              </w:rPr>
              <w:t>Exhibit 32.1**</w:t>
            </w:r>
          </w:p>
        </w:tc>
        <w:tc>
          <w:tcPr>
            <w:tcW w:w="0" w:type="auto"/>
            <w:gridSpan w:val="3"/>
            <w:shd w:val="clear" w:color="auto" w:fill="auto"/>
            <w:tcMar>
              <w:top w:w="0" w:type="dxa"/>
              <w:left w:w="20" w:type="dxa"/>
              <w:bottom w:w="0" w:type="dxa"/>
              <w:right w:w="20" w:type="dxa"/>
            </w:tcMar>
            <w:vAlign w:val="bottom"/>
          </w:tcPr>
          <w:p w14:paraId="098AA54F"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tcPr>
          <w:p w14:paraId="098AA550" w14:textId="77777777" w:rsidR="00141CDF" w:rsidRDefault="00DF45E0">
            <w:pPr>
              <w:textAlignment w:val="top"/>
            </w:pPr>
            <w:hyperlink r:id="rId153" w:history="1">
              <w:r>
                <w:rPr>
                  <w:rStyle w:val="a5"/>
                  <w:rFonts w:ascii="Times New Roman" w:eastAsia="宋体" w:hAnsi="Times New Roman"/>
                  <w:sz w:val="19"/>
                  <w:szCs w:val="19"/>
                </w:rPr>
                <w:t>Chief Executive Officer Section 906 Certification</w:t>
              </w:r>
            </w:hyperlink>
          </w:p>
        </w:tc>
      </w:tr>
      <w:tr w:rsidR="00141CDF" w14:paraId="098AA554" w14:textId="77777777">
        <w:trPr>
          <w:trHeight w:val="60"/>
        </w:trPr>
        <w:tc>
          <w:tcPr>
            <w:tcW w:w="0" w:type="auto"/>
            <w:gridSpan w:val="3"/>
            <w:shd w:val="clear" w:color="auto" w:fill="auto"/>
            <w:tcMar>
              <w:top w:w="0" w:type="dxa"/>
              <w:left w:w="20" w:type="dxa"/>
              <w:bottom w:w="0" w:type="dxa"/>
              <w:right w:w="20" w:type="dxa"/>
            </w:tcMar>
            <w:vAlign w:val="bottom"/>
          </w:tcPr>
          <w:p w14:paraId="098AA552" w14:textId="77777777" w:rsidR="00141CDF" w:rsidRDefault="00141CDF">
            <w:pPr>
              <w:rPr>
                <w:rFonts w:ascii="宋体"/>
              </w:rPr>
            </w:pPr>
          </w:p>
        </w:tc>
        <w:tc>
          <w:tcPr>
            <w:tcW w:w="0" w:type="auto"/>
            <w:gridSpan w:val="6"/>
            <w:shd w:val="clear" w:color="auto" w:fill="auto"/>
            <w:tcMar>
              <w:top w:w="0" w:type="dxa"/>
              <w:left w:w="20" w:type="dxa"/>
              <w:bottom w:w="0" w:type="dxa"/>
              <w:right w:w="20" w:type="dxa"/>
            </w:tcMar>
            <w:vAlign w:val="bottom"/>
          </w:tcPr>
          <w:p w14:paraId="098AA553" w14:textId="77777777" w:rsidR="00141CDF" w:rsidRDefault="00141CDF">
            <w:pPr>
              <w:rPr>
                <w:rFonts w:ascii="宋体"/>
              </w:rPr>
            </w:pPr>
          </w:p>
        </w:tc>
      </w:tr>
      <w:tr w:rsidR="00141CDF" w14:paraId="098AA558" w14:textId="77777777">
        <w:tc>
          <w:tcPr>
            <w:tcW w:w="0" w:type="auto"/>
            <w:gridSpan w:val="3"/>
            <w:shd w:val="clear" w:color="auto" w:fill="auto"/>
            <w:tcMar>
              <w:top w:w="40" w:type="dxa"/>
              <w:left w:w="20" w:type="dxa"/>
              <w:bottom w:w="40" w:type="dxa"/>
              <w:right w:w="20" w:type="dxa"/>
            </w:tcMar>
          </w:tcPr>
          <w:p w14:paraId="098AA555" w14:textId="77777777" w:rsidR="00141CDF" w:rsidRDefault="00DF45E0">
            <w:pPr>
              <w:textAlignment w:val="top"/>
            </w:pPr>
            <w:r>
              <w:rPr>
                <w:rFonts w:ascii="Times New Roman" w:eastAsia="宋体" w:hAnsi="Times New Roman"/>
                <w:color w:val="000000"/>
                <w:sz w:val="19"/>
                <w:szCs w:val="19"/>
              </w:rPr>
              <w:t>Exhibit 32.2**</w:t>
            </w:r>
          </w:p>
        </w:tc>
        <w:tc>
          <w:tcPr>
            <w:tcW w:w="0" w:type="auto"/>
            <w:gridSpan w:val="3"/>
            <w:shd w:val="clear" w:color="auto" w:fill="auto"/>
            <w:tcMar>
              <w:top w:w="0" w:type="dxa"/>
              <w:left w:w="20" w:type="dxa"/>
              <w:bottom w:w="0" w:type="dxa"/>
              <w:right w:w="20" w:type="dxa"/>
            </w:tcMar>
            <w:vAlign w:val="bottom"/>
          </w:tcPr>
          <w:p w14:paraId="098AA556"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tcPr>
          <w:p w14:paraId="098AA557" w14:textId="77777777" w:rsidR="00141CDF" w:rsidRDefault="00DF45E0">
            <w:pPr>
              <w:textAlignment w:val="top"/>
            </w:pPr>
            <w:hyperlink r:id="rId154" w:history="1">
              <w:r>
                <w:rPr>
                  <w:rStyle w:val="a5"/>
                  <w:rFonts w:ascii="Times New Roman" w:eastAsia="宋体" w:hAnsi="Times New Roman"/>
                  <w:sz w:val="19"/>
                  <w:szCs w:val="19"/>
                </w:rPr>
                <w:t>Chief Financial Officer Section 906 Certification</w:t>
              </w:r>
            </w:hyperlink>
          </w:p>
        </w:tc>
      </w:tr>
      <w:tr w:rsidR="00141CDF" w14:paraId="098AA55E" w14:textId="77777777">
        <w:trPr>
          <w:hidden/>
        </w:trPr>
        <w:tc>
          <w:tcPr>
            <w:tcW w:w="0" w:type="auto"/>
            <w:gridSpan w:val="3"/>
            <w:shd w:val="clear" w:color="auto" w:fill="auto"/>
            <w:vAlign w:val="bottom"/>
          </w:tcPr>
          <w:p w14:paraId="098AA559" w14:textId="77777777" w:rsidR="00141CDF" w:rsidRDefault="00141CDF">
            <w:pPr>
              <w:rPr>
                <w:rFonts w:ascii="宋体"/>
                <w:vanish/>
              </w:rPr>
            </w:pPr>
          </w:p>
        </w:tc>
        <w:tc>
          <w:tcPr>
            <w:tcW w:w="0" w:type="auto"/>
            <w:gridSpan w:val="3"/>
            <w:shd w:val="clear" w:color="auto" w:fill="auto"/>
            <w:vAlign w:val="bottom"/>
          </w:tcPr>
          <w:p w14:paraId="098AA55A" w14:textId="77777777" w:rsidR="00141CDF" w:rsidRDefault="00141CDF">
            <w:pPr>
              <w:rPr>
                <w:rFonts w:ascii="宋体"/>
                <w:vanish/>
              </w:rPr>
            </w:pPr>
          </w:p>
        </w:tc>
        <w:tc>
          <w:tcPr>
            <w:tcW w:w="0" w:type="auto"/>
            <w:shd w:val="clear" w:color="auto" w:fill="auto"/>
            <w:vAlign w:val="bottom"/>
          </w:tcPr>
          <w:p w14:paraId="098AA55B" w14:textId="77777777" w:rsidR="00141CDF" w:rsidRDefault="00141CDF">
            <w:pPr>
              <w:rPr>
                <w:rFonts w:ascii="宋体"/>
              </w:rPr>
            </w:pPr>
          </w:p>
        </w:tc>
        <w:tc>
          <w:tcPr>
            <w:tcW w:w="0" w:type="auto"/>
            <w:shd w:val="clear" w:color="auto" w:fill="auto"/>
            <w:vAlign w:val="bottom"/>
          </w:tcPr>
          <w:p w14:paraId="098AA55C" w14:textId="77777777" w:rsidR="00141CDF" w:rsidRDefault="00141CDF">
            <w:pPr>
              <w:rPr>
                <w:rFonts w:ascii="宋体"/>
              </w:rPr>
            </w:pPr>
          </w:p>
        </w:tc>
        <w:tc>
          <w:tcPr>
            <w:tcW w:w="0" w:type="auto"/>
            <w:shd w:val="clear" w:color="auto" w:fill="auto"/>
            <w:vAlign w:val="bottom"/>
          </w:tcPr>
          <w:p w14:paraId="098AA55D" w14:textId="77777777" w:rsidR="00141CDF" w:rsidRDefault="00141CDF">
            <w:pPr>
              <w:rPr>
                <w:rFonts w:ascii="宋体"/>
              </w:rPr>
            </w:pPr>
          </w:p>
        </w:tc>
      </w:tr>
      <w:tr w:rsidR="00141CDF" w14:paraId="098AA562" w14:textId="77777777">
        <w:trPr>
          <w:hidden/>
        </w:trPr>
        <w:tc>
          <w:tcPr>
            <w:tcW w:w="0" w:type="auto"/>
            <w:gridSpan w:val="3"/>
            <w:shd w:val="clear" w:color="auto" w:fill="auto"/>
            <w:vAlign w:val="bottom"/>
          </w:tcPr>
          <w:p w14:paraId="098AA55F" w14:textId="77777777" w:rsidR="00141CDF" w:rsidRDefault="00141CDF">
            <w:pPr>
              <w:rPr>
                <w:rFonts w:ascii="宋体"/>
                <w:vanish/>
              </w:rPr>
            </w:pPr>
          </w:p>
        </w:tc>
        <w:tc>
          <w:tcPr>
            <w:tcW w:w="0" w:type="auto"/>
            <w:gridSpan w:val="3"/>
            <w:shd w:val="clear" w:color="auto" w:fill="auto"/>
            <w:vAlign w:val="bottom"/>
          </w:tcPr>
          <w:p w14:paraId="098AA560" w14:textId="77777777" w:rsidR="00141CDF" w:rsidRDefault="00141CDF">
            <w:pPr>
              <w:rPr>
                <w:rFonts w:ascii="宋体"/>
                <w:vanish/>
              </w:rPr>
            </w:pPr>
          </w:p>
        </w:tc>
        <w:tc>
          <w:tcPr>
            <w:tcW w:w="0" w:type="auto"/>
            <w:gridSpan w:val="3"/>
            <w:shd w:val="clear" w:color="auto" w:fill="auto"/>
            <w:vAlign w:val="bottom"/>
          </w:tcPr>
          <w:p w14:paraId="098AA561" w14:textId="77777777" w:rsidR="00141CDF" w:rsidRDefault="00141CDF">
            <w:pPr>
              <w:rPr>
                <w:rFonts w:ascii="宋体"/>
                <w:vanish/>
              </w:rPr>
            </w:pPr>
          </w:p>
        </w:tc>
      </w:tr>
      <w:tr w:rsidR="00141CDF" w14:paraId="098AA566" w14:textId="77777777">
        <w:trPr>
          <w:trHeight w:val="60"/>
        </w:trPr>
        <w:tc>
          <w:tcPr>
            <w:tcW w:w="0" w:type="auto"/>
            <w:gridSpan w:val="3"/>
            <w:shd w:val="clear" w:color="auto" w:fill="auto"/>
            <w:tcMar>
              <w:top w:w="0" w:type="dxa"/>
              <w:left w:w="20" w:type="dxa"/>
              <w:bottom w:w="0" w:type="dxa"/>
              <w:right w:w="20" w:type="dxa"/>
            </w:tcMar>
            <w:vAlign w:val="bottom"/>
          </w:tcPr>
          <w:p w14:paraId="098AA563"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A564"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A565" w14:textId="77777777" w:rsidR="00141CDF" w:rsidRDefault="00141CDF">
            <w:pPr>
              <w:rPr>
                <w:rFonts w:ascii="宋体"/>
              </w:rPr>
            </w:pPr>
          </w:p>
        </w:tc>
      </w:tr>
      <w:tr w:rsidR="00141CDF" w14:paraId="098AA56A" w14:textId="77777777">
        <w:tc>
          <w:tcPr>
            <w:tcW w:w="0" w:type="auto"/>
            <w:gridSpan w:val="3"/>
            <w:shd w:val="clear" w:color="auto" w:fill="auto"/>
            <w:tcMar>
              <w:top w:w="40" w:type="dxa"/>
              <w:left w:w="20" w:type="dxa"/>
              <w:bottom w:w="40" w:type="dxa"/>
              <w:right w:w="20" w:type="dxa"/>
            </w:tcMar>
            <w:vAlign w:val="bottom"/>
          </w:tcPr>
          <w:p w14:paraId="098AA567" w14:textId="77777777" w:rsidR="00141CDF" w:rsidRDefault="00DF45E0">
            <w:pPr>
              <w:textAlignment w:val="bottom"/>
            </w:pPr>
            <w:r>
              <w:rPr>
                <w:rFonts w:ascii="Times New Roman" w:eastAsia="宋体" w:hAnsi="Times New Roman"/>
                <w:color w:val="000000"/>
                <w:sz w:val="19"/>
                <w:szCs w:val="19"/>
              </w:rPr>
              <w:t>Exhibit 99.1*</w:t>
            </w:r>
          </w:p>
        </w:tc>
        <w:tc>
          <w:tcPr>
            <w:tcW w:w="0" w:type="auto"/>
            <w:gridSpan w:val="3"/>
            <w:shd w:val="clear" w:color="auto" w:fill="auto"/>
            <w:tcMar>
              <w:top w:w="0" w:type="dxa"/>
              <w:left w:w="20" w:type="dxa"/>
              <w:bottom w:w="0" w:type="dxa"/>
              <w:right w:w="20" w:type="dxa"/>
            </w:tcMar>
            <w:vAlign w:val="bottom"/>
          </w:tcPr>
          <w:p w14:paraId="098AA568"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A569" w14:textId="77777777" w:rsidR="00141CDF" w:rsidRDefault="00DF45E0">
            <w:pPr>
              <w:textAlignment w:val="bottom"/>
            </w:pPr>
            <w:hyperlink r:id="rId155" w:history="1">
              <w:r>
                <w:rPr>
                  <w:rStyle w:val="a5"/>
                  <w:rFonts w:ascii="Times New Roman" w:eastAsia="宋体" w:hAnsi="Times New Roman"/>
                  <w:sz w:val="19"/>
                  <w:szCs w:val="19"/>
                </w:rPr>
                <w:t>State Court Opioids Litigation Case Citations and Currently Scheduled Trial Dates</w:t>
              </w:r>
            </w:hyperlink>
          </w:p>
        </w:tc>
      </w:tr>
      <w:tr w:rsidR="00141CDF" w14:paraId="098AA56D" w14:textId="77777777">
        <w:trPr>
          <w:trHeight w:val="60"/>
        </w:trPr>
        <w:tc>
          <w:tcPr>
            <w:tcW w:w="0" w:type="auto"/>
            <w:gridSpan w:val="3"/>
            <w:shd w:val="clear" w:color="auto" w:fill="auto"/>
            <w:tcMar>
              <w:top w:w="0" w:type="dxa"/>
              <w:left w:w="20" w:type="dxa"/>
              <w:bottom w:w="0" w:type="dxa"/>
              <w:right w:w="20" w:type="dxa"/>
            </w:tcMar>
            <w:vAlign w:val="bottom"/>
          </w:tcPr>
          <w:p w14:paraId="098AA56B" w14:textId="77777777" w:rsidR="00141CDF" w:rsidRDefault="00141CDF">
            <w:pPr>
              <w:rPr>
                <w:rFonts w:ascii="宋体"/>
              </w:rPr>
            </w:pPr>
          </w:p>
        </w:tc>
        <w:tc>
          <w:tcPr>
            <w:tcW w:w="0" w:type="auto"/>
            <w:gridSpan w:val="6"/>
            <w:shd w:val="clear" w:color="auto" w:fill="auto"/>
            <w:tcMar>
              <w:top w:w="0" w:type="dxa"/>
              <w:left w:w="20" w:type="dxa"/>
              <w:bottom w:w="0" w:type="dxa"/>
              <w:right w:w="20" w:type="dxa"/>
            </w:tcMar>
            <w:vAlign w:val="bottom"/>
          </w:tcPr>
          <w:p w14:paraId="098AA56C" w14:textId="77777777" w:rsidR="00141CDF" w:rsidRDefault="00141CDF">
            <w:pPr>
              <w:rPr>
                <w:rFonts w:ascii="宋体"/>
              </w:rPr>
            </w:pPr>
          </w:p>
        </w:tc>
      </w:tr>
      <w:tr w:rsidR="00141CDF" w14:paraId="098AA571" w14:textId="77777777">
        <w:trPr>
          <w:hidden/>
        </w:trPr>
        <w:tc>
          <w:tcPr>
            <w:tcW w:w="0" w:type="auto"/>
            <w:gridSpan w:val="3"/>
            <w:shd w:val="clear" w:color="auto" w:fill="auto"/>
            <w:vAlign w:val="bottom"/>
          </w:tcPr>
          <w:p w14:paraId="098AA56E" w14:textId="77777777" w:rsidR="00141CDF" w:rsidRDefault="00141CDF">
            <w:pPr>
              <w:rPr>
                <w:rFonts w:ascii="宋体"/>
                <w:vanish/>
              </w:rPr>
            </w:pPr>
          </w:p>
        </w:tc>
        <w:tc>
          <w:tcPr>
            <w:tcW w:w="0" w:type="auto"/>
            <w:gridSpan w:val="3"/>
            <w:shd w:val="clear" w:color="auto" w:fill="auto"/>
            <w:vAlign w:val="bottom"/>
          </w:tcPr>
          <w:p w14:paraId="098AA56F" w14:textId="77777777" w:rsidR="00141CDF" w:rsidRDefault="00141CDF">
            <w:pPr>
              <w:rPr>
                <w:rFonts w:ascii="宋体"/>
                <w:vanish/>
              </w:rPr>
            </w:pPr>
          </w:p>
        </w:tc>
        <w:tc>
          <w:tcPr>
            <w:tcW w:w="0" w:type="auto"/>
            <w:gridSpan w:val="3"/>
            <w:shd w:val="clear" w:color="auto" w:fill="auto"/>
            <w:vAlign w:val="bottom"/>
          </w:tcPr>
          <w:p w14:paraId="098AA570" w14:textId="77777777" w:rsidR="00141CDF" w:rsidRDefault="00141CDF">
            <w:pPr>
              <w:rPr>
                <w:rFonts w:ascii="宋体"/>
                <w:vanish/>
              </w:rPr>
            </w:pPr>
          </w:p>
        </w:tc>
      </w:tr>
      <w:tr w:rsidR="00141CDF" w14:paraId="098AA575" w14:textId="77777777">
        <w:trPr>
          <w:hidden/>
        </w:trPr>
        <w:tc>
          <w:tcPr>
            <w:tcW w:w="0" w:type="auto"/>
            <w:gridSpan w:val="3"/>
            <w:shd w:val="clear" w:color="auto" w:fill="auto"/>
            <w:vAlign w:val="bottom"/>
          </w:tcPr>
          <w:p w14:paraId="098AA572" w14:textId="77777777" w:rsidR="00141CDF" w:rsidRDefault="00141CDF">
            <w:pPr>
              <w:rPr>
                <w:rFonts w:ascii="宋体"/>
                <w:vanish/>
              </w:rPr>
            </w:pPr>
          </w:p>
        </w:tc>
        <w:tc>
          <w:tcPr>
            <w:tcW w:w="0" w:type="auto"/>
            <w:gridSpan w:val="3"/>
            <w:shd w:val="clear" w:color="auto" w:fill="auto"/>
            <w:vAlign w:val="bottom"/>
          </w:tcPr>
          <w:p w14:paraId="098AA573" w14:textId="77777777" w:rsidR="00141CDF" w:rsidRDefault="00141CDF">
            <w:pPr>
              <w:rPr>
                <w:rFonts w:ascii="宋体"/>
                <w:vanish/>
              </w:rPr>
            </w:pPr>
          </w:p>
        </w:tc>
        <w:tc>
          <w:tcPr>
            <w:tcW w:w="0" w:type="auto"/>
            <w:gridSpan w:val="3"/>
            <w:shd w:val="clear" w:color="auto" w:fill="auto"/>
            <w:vAlign w:val="bottom"/>
          </w:tcPr>
          <w:p w14:paraId="098AA574" w14:textId="77777777" w:rsidR="00141CDF" w:rsidRDefault="00141CDF">
            <w:pPr>
              <w:rPr>
                <w:rFonts w:ascii="宋体"/>
                <w:vanish/>
              </w:rPr>
            </w:pPr>
          </w:p>
        </w:tc>
      </w:tr>
      <w:tr w:rsidR="00141CDF" w14:paraId="098AA579" w14:textId="77777777">
        <w:trPr>
          <w:hidden/>
        </w:trPr>
        <w:tc>
          <w:tcPr>
            <w:tcW w:w="0" w:type="auto"/>
            <w:gridSpan w:val="3"/>
            <w:shd w:val="clear" w:color="auto" w:fill="auto"/>
            <w:vAlign w:val="bottom"/>
          </w:tcPr>
          <w:p w14:paraId="098AA576" w14:textId="77777777" w:rsidR="00141CDF" w:rsidRDefault="00141CDF">
            <w:pPr>
              <w:rPr>
                <w:rFonts w:ascii="宋体"/>
                <w:vanish/>
              </w:rPr>
            </w:pPr>
          </w:p>
        </w:tc>
        <w:tc>
          <w:tcPr>
            <w:tcW w:w="0" w:type="auto"/>
            <w:gridSpan w:val="3"/>
            <w:shd w:val="clear" w:color="auto" w:fill="auto"/>
            <w:vAlign w:val="bottom"/>
          </w:tcPr>
          <w:p w14:paraId="098AA577" w14:textId="77777777" w:rsidR="00141CDF" w:rsidRDefault="00141CDF">
            <w:pPr>
              <w:rPr>
                <w:rFonts w:ascii="宋体"/>
                <w:vanish/>
              </w:rPr>
            </w:pPr>
          </w:p>
        </w:tc>
        <w:tc>
          <w:tcPr>
            <w:tcW w:w="0" w:type="auto"/>
            <w:gridSpan w:val="3"/>
            <w:shd w:val="clear" w:color="auto" w:fill="auto"/>
            <w:vAlign w:val="bottom"/>
          </w:tcPr>
          <w:p w14:paraId="098AA578" w14:textId="77777777" w:rsidR="00141CDF" w:rsidRDefault="00141CDF">
            <w:pPr>
              <w:rPr>
                <w:rFonts w:ascii="宋体"/>
                <w:vanish/>
              </w:rPr>
            </w:pPr>
          </w:p>
        </w:tc>
      </w:tr>
      <w:tr w:rsidR="00141CDF" w14:paraId="098AA57D" w14:textId="77777777">
        <w:trPr>
          <w:hidden/>
        </w:trPr>
        <w:tc>
          <w:tcPr>
            <w:tcW w:w="0" w:type="auto"/>
            <w:gridSpan w:val="3"/>
            <w:shd w:val="clear" w:color="auto" w:fill="auto"/>
            <w:vAlign w:val="bottom"/>
          </w:tcPr>
          <w:p w14:paraId="098AA57A" w14:textId="77777777" w:rsidR="00141CDF" w:rsidRDefault="00141CDF">
            <w:pPr>
              <w:rPr>
                <w:rFonts w:ascii="宋体"/>
                <w:vanish/>
              </w:rPr>
            </w:pPr>
          </w:p>
        </w:tc>
        <w:tc>
          <w:tcPr>
            <w:tcW w:w="0" w:type="auto"/>
            <w:gridSpan w:val="3"/>
            <w:shd w:val="clear" w:color="auto" w:fill="auto"/>
            <w:vAlign w:val="bottom"/>
          </w:tcPr>
          <w:p w14:paraId="098AA57B" w14:textId="77777777" w:rsidR="00141CDF" w:rsidRDefault="00141CDF">
            <w:pPr>
              <w:rPr>
                <w:rFonts w:ascii="宋体"/>
                <w:vanish/>
              </w:rPr>
            </w:pPr>
          </w:p>
        </w:tc>
        <w:tc>
          <w:tcPr>
            <w:tcW w:w="0" w:type="auto"/>
            <w:gridSpan w:val="3"/>
            <w:shd w:val="clear" w:color="auto" w:fill="auto"/>
            <w:vAlign w:val="bottom"/>
          </w:tcPr>
          <w:p w14:paraId="098AA57C" w14:textId="77777777" w:rsidR="00141CDF" w:rsidRDefault="00141CDF">
            <w:pPr>
              <w:rPr>
                <w:rFonts w:ascii="宋体"/>
                <w:vanish/>
              </w:rPr>
            </w:pPr>
          </w:p>
        </w:tc>
      </w:tr>
      <w:tr w:rsidR="00141CDF" w14:paraId="098AA581" w14:textId="77777777">
        <w:trPr>
          <w:hidden/>
        </w:trPr>
        <w:tc>
          <w:tcPr>
            <w:tcW w:w="0" w:type="auto"/>
            <w:gridSpan w:val="3"/>
            <w:shd w:val="clear" w:color="auto" w:fill="auto"/>
            <w:vAlign w:val="bottom"/>
          </w:tcPr>
          <w:p w14:paraId="098AA57E" w14:textId="77777777" w:rsidR="00141CDF" w:rsidRDefault="00141CDF">
            <w:pPr>
              <w:rPr>
                <w:rFonts w:ascii="宋体"/>
                <w:vanish/>
              </w:rPr>
            </w:pPr>
          </w:p>
        </w:tc>
        <w:tc>
          <w:tcPr>
            <w:tcW w:w="0" w:type="auto"/>
            <w:gridSpan w:val="3"/>
            <w:shd w:val="clear" w:color="auto" w:fill="auto"/>
            <w:vAlign w:val="bottom"/>
          </w:tcPr>
          <w:p w14:paraId="098AA57F" w14:textId="77777777" w:rsidR="00141CDF" w:rsidRDefault="00141CDF">
            <w:pPr>
              <w:rPr>
                <w:rFonts w:ascii="宋体"/>
                <w:vanish/>
              </w:rPr>
            </w:pPr>
          </w:p>
        </w:tc>
        <w:tc>
          <w:tcPr>
            <w:tcW w:w="0" w:type="auto"/>
            <w:gridSpan w:val="3"/>
            <w:shd w:val="clear" w:color="auto" w:fill="auto"/>
            <w:vAlign w:val="bottom"/>
          </w:tcPr>
          <w:p w14:paraId="098AA580" w14:textId="77777777" w:rsidR="00141CDF" w:rsidRDefault="00141CDF">
            <w:pPr>
              <w:rPr>
                <w:rFonts w:ascii="宋体"/>
                <w:vanish/>
              </w:rPr>
            </w:pPr>
          </w:p>
        </w:tc>
      </w:tr>
      <w:tr w:rsidR="00141CDF" w14:paraId="098AA585" w14:textId="77777777">
        <w:trPr>
          <w:hidden/>
        </w:trPr>
        <w:tc>
          <w:tcPr>
            <w:tcW w:w="0" w:type="auto"/>
            <w:gridSpan w:val="3"/>
            <w:shd w:val="clear" w:color="auto" w:fill="auto"/>
            <w:vAlign w:val="bottom"/>
          </w:tcPr>
          <w:p w14:paraId="098AA582" w14:textId="77777777" w:rsidR="00141CDF" w:rsidRDefault="00141CDF">
            <w:pPr>
              <w:rPr>
                <w:rFonts w:ascii="宋体"/>
                <w:vanish/>
              </w:rPr>
            </w:pPr>
          </w:p>
        </w:tc>
        <w:tc>
          <w:tcPr>
            <w:tcW w:w="0" w:type="auto"/>
            <w:gridSpan w:val="3"/>
            <w:shd w:val="clear" w:color="auto" w:fill="auto"/>
            <w:vAlign w:val="bottom"/>
          </w:tcPr>
          <w:p w14:paraId="098AA583" w14:textId="77777777" w:rsidR="00141CDF" w:rsidRDefault="00141CDF">
            <w:pPr>
              <w:rPr>
                <w:rFonts w:ascii="宋体"/>
                <w:vanish/>
              </w:rPr>
            </w:pPr>
          </w:p>
        </w:tc>
        <w:tc>
          <w:tcPr>
            <w:tcW w:w="0" w:type="auto"/>
            <w:gridSpan w:val="3"/>
            <w:shd w:val="clear" w:color="auto" w:fill="auto"/>
            <w:vAlign w:val="bottom"/>
          </w:tcPr>
          <w:p w14:paraId="098AA584" w14:textId="77777777" w:rsidR="00141CDF" w:rsidRDefault="00141CDF">
            <w:pPr>
              <w:rPr>
                <w:rFonts w:ascii="宋体"/>
                <w:vanish/>
              </w:rPr>
            </w:pPr>
          </w:p>
        </w:tc>
      </w:tr>
      <w:tr w:rsidR="00141CDF" w14:paraId="098AA589" w14:textId="77777777">
        <w:trPr>
          <w:hidden/>
        </w:trPr>
        <w:tc>
          <w:tcPr>
            <w:tcW w:w="0" w:type="auto"/>
            <w:gridSpan w:val="3"/>
            <w:shd w:val="clear" w:color="auto" w:fill="auto"/>
            <w:vAlign w:val="bottom"/>
          </w:tcPr>
          <w:p w14:paraId="098AA586" w14:textId="77777777" w:rsidR="00141CDF" w:rsidRDefault="00141CDF">
            <w:pPr>
              <w:rPr>
                <w:rFonts w:ascii="宋体"/>
                <w:vanish/>
              </w:rPr>
            </w:pPr>
          </w:p>
        </w:tc>
        <w:tc>
          <w:tcPr>
            <w:tcW w:w="0" w:type="auto"/>
            <w:gridSpan w:val="3"/>
            <w:shd w:val="clear" w:color="auto" w:fill="auto"/>
            <w:vAlign w:val="bottom"/>
          </w:tcPr>
          <w:p w14:paraId="098AA587" w14:textId="77777777" w:rsidR="00141CDF" w:rsidRDefault="00141CDF">
            <w:pPr>
              <w:rPr>
                <w:rFonts w:ascii="宋体"/>
                <w:vanish/>
              </w:rPr>
            </w:pPr>
          </w:p>
        </w:tc>
        <w:tc>
          <w:tcPr>
            <w:tcW w:w="0" w:type="auto"/>
            <w:gridSpan w:val="3"/>
            <w:shd w:val="clear" w:color="auto" w:fill="auto"/>
            <w:vAlign w:val="bottom"/>
          </w:tcPr>
          <w:p w14:paraId="098AA588" w14:textId="77777777" w:rsidR="00141CDF" w:rsidRDefault="00141CDF">
            <w:pPr>
              <w:rPr>
                <w:rFonts w:ascii="宋体"/>
                <w:vanish/>
              </w:rPr>
            </w:pPr>
          </w:p>
        </w:tc>
      </w:tr>
      <w:tr w:rsidR="00141CDF" w14:paraId="098AA58D" w14:textId="77777777">
        <w:trPr>
          <w:hidden/>
        </w:trPr>
        <w:tc>
          <w:tcPr>
            <w:tcW w:w="0" w:type="auto"/>
            <w:gridSpan w:val="3"/>
            <w:shd w:val="clear" w:color="auto" w:fill="auto"/>
            <w:vAlign w:val="bottom"/>
          </w:tcPr>
          <w:p w14:paraId="098AA58A" w14:textId="77777777" w:rsidR="00141CDF" w:rsidRDefault="00141CDF">
            <w:pPr>
              <w:rPr>
                <w:rFonts w:ascii="宋体"/>
                <w:vanish/>
              </w:rPr>
            </w:pPr>
          </w:p>
        </w:tc>
        <w:tc>
          <w:tcPr>
            <w:tcW w:w="0" w:type="auto"/>
            <w:gridSpan w:val="3"/>
            <w:shd w:val="clear" w:color="auto" w:fill="auto"/>
            <w:vAlign w:val="bottom"/>
          </w:tcPr>
          <w:p w14:paraId="098AA58B" w14:textId="77777777" w:rsidR="00141CDF" w:rsidRDefault="00141CDF">
            <w:pPr>
              <w:rPr>
                <w:rFonts w:ascii="宋体"/>
                <w:vanish/>
              </w:rPr>
            </w:pPr>
          </w:p>
        </w:tc>
        <w:tc>
          <w:tcPr>
            <w:tcW w:w="0" w:type="auto"/>
            <w:gridSpan w:val="3"/>
            <w:shd w:val="clear" w:color="auto" w:fill="auto"/>
            <w:vAlign w:val="bottom"/>
          </w:tcPr>
          <w:p w14:paraId="098AA58C" w14:textId="77777777" w:rsidR="00141CDF" w:rsidRDefault="00141CDF">
            <w:pPr>
              <w:rPr>
                <w:rFonts w:ascii="宋体"/>
                <w:vanish/>
              </w:rPr>
            </w:pPr>
          </w:p>
        </w:tc>
      </w:tr>
      <w:tr w:rsidR="00141CDF" w14:paraId="098AA591" w14:textId="77777777">
        <w:tc>
          <w:tcPr>
            <w:tcW w:w="0" w:type="auto"/>
            <w:gridSpan w:val="3"/>
            <w:shd w:val="clear" w:color="auto" w:fill="auto"/>
            <w:tcMar>
              <w:top w:w="40" w:type="dxa"/>
              <w:left w:w="20" w:type="dxa"/>
              <w:bottom w:w="40" w:type="dxa"/>
              <w:right w:w="20" w:type="dxa"/>
            </w:tcMar>
          </w:tcPr>
          <w:p w14:paraId="098AA58E" w14:textId="77777777" w:rsidR="00141CDF" w:rsidRDefault="00DF45E0">
            <w:pPr>
              <w:textAlignment w:val="top"/>
            </w:pPr>
            <w:r>
              <w:rPr>
                <w:rFonts w:ascii="Times New Roman" w:eastAsia="宋体" w:hAnsi="Times New Roman"/>
                <w:color w:val="000000"/>
                <w:sz w:val="19"/>
                <w:szCs w:val="19"/>
              </w:rPr>
              <w:t>Exhibit 101.INS*</w:t>
            </w:r>
          </w:p>
        </w:tc>
        <w:tc>
          <w:tcPr>
            <w:tcW w:w="0" w:type="auto"/>
            <w:gridSpan w:val="3"/>
            <w:shd w:val="clear" w:color="auto" w:fill="auto"/>
            <w:tcMar>
              <w:top w:w="0" w:type="dxa"/>
              <w:left w:w="20" w:type="dxa"/>
              <w:bottom w:w="0" w:type="dxa"/>
              <w:right w:w="20" w:type="dxa"/>
            </w:tcMar>
            <w:vAlign w:val="bottom"/>
          </w:tcPr>
          <w:p w14:paraId="098AA58F"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tcPr>
          <w:p w14:paraId="098AA590" w14:textId="77777777" w:rsidR="00141CDF" w:rsidRDefault="00DF45E0">
            <w:pPr>
              <w:textAlignment w:val="top"/>
            </w:pPr>
            <w:r>
              <w:rPr>
                <w:rFonts w:ascii="Times New Roman" w:eastAsia="宋体" w:hAnsi="Times New Roman"/>
                <w:color w:val="000000"/>
                <w:sz w:val="19"/>
                <w:szCs w:val="19"/>
              </w:rPr>
              <w:t>Inline XBRL Instance Document</w:t>
            </w:r>
          </w:p>
        </w:tc>
      </w:tr>
      <w:tr w:rsidR="00141CDF" w14:paraId="098AA594" w14:textId="77777777">
        <w:trPr>
          <w:trHeight w:val="60"/>
        </w:trPr>
        <w:tc>
          <w:tcPr>
            <w:tcW w:w="0" w:type="auto"/>
            <w:gridSpan w:val="3"/>
            <w:shd w:val="clear" w:color="auto" w:fill="auto"/>
            <w:tcMar>
              <w:top w:w="0" w:type="dxa"/>
              <w:left w:w="20" w:type="dxa"/>
              <w:bottom w:w="0" w:type="dxa"/>
              <w:right w:w="20" w:type="dxa"/>
            </w:tcMar>
            <w:vAlign w:val="bottom"/>
          </w:tcPr>
          <w:p w14:paraId="098AA592" w14:textId="77777777" w:rsidR="00141CDF" w:rsidRDefault="00141CDF">
            <w:pPr>
              <w:rPr>
                <w:rFonts w:ascii="宋体"/>
              </w:rPr>
            </w:pPr>
          </w:p>
        </w:tc>
        <w:tc>
          <w:tcPr>
            <w:tcW w:w="0" w:type="auto"/>
            <w:gridSpan w:val="6"/>
            <w:shd w:val="clear" w:color="auto" w:fill="auto"/>
            <w:tcMar>
              <w:top w:w="0" w:type="dxa"/>
              <w:left w:w="20" w:type="dxa"/>
              <w:bottom w:w="0" w:type="dxa"/>
              <w:right w:w="20" w:type="dxa"/>
            </w:tcMar>
            <w:vAlign w:val="bottom"/>
          </w:tcPr>
          <w:p w14:paraId="098AA593" w14:textId="77777777" w:rsidR="00141CDF" w:rsidRDefault="00141CDF">
            <w:pPr>
              <w:rPr>
                <w:rFonts w:ascii="宋体"/>
              </w:rPr>
            </w:pPr>
          </w:p>
        </w:tc>
      </w:tr>
      <w:tr w:rsidR="00141CDF" w14:paraId="098AA598" w14:textId="77777777">
        <w:tc>
          <w:tcPr>
            <w:tcW w:w="0" w:type="auto"/>
            <w:gridSpan w:val="3"/>
            <w:shd w:val="clear" w:color="auto" w:fill="auto"/>
            <w:tcMar>
              <w:top w:w="40" w:type="dxa"/>
              <w:left w:w="20" w:type="dxa"/>
              <w:bottom w:w="40" w:type="dxa"/>
              <w:right w:w="20" w:type="dxa"/>
            </w:tcMar>
          </w:tcPr>
          <w:p w14:paraId="098AA595" w14:textId="77777777" w:rsidR="00141CDF" w:rsidRDefault="00DF45E0">
            <w:pPr>
              <w:textAlignment w:val="top"/>
            </w:pPr>
            <w:r>
              <w:rPr>
                <w:rFonts w:ascii="Times New Roman" w:eastAsia="宋体" w:hAnsi="Times New Roman"/>
                <w:color w:val="000000"/>
                <w:sz w:val="19"/>
                <w:szCs w:val="19"/>
              </w:rPr>
              <w:t>Exhibit 101.SCH*</w:t>
            </w:r>
          </w:p>
        </w:tc>
        <w:tc>
          <w:tcPr>
            <w:tcW w:w="0" w:type="auto"/>
            <w:gridSpan w:val="3"/>
            <w:shd w:val="clear" w:color="auto" w:fill="auto"/>
            <w:tcMar>
              <w:top w:w="0" w:type="dxa"/>
              <w:left w:w="20" w:type="dxa"/>
              <w:bottom w:w="0" w:type="dxa"/>
              <w:right w:w="20" w:type="dxa"/>
            </w:tcMar>
            <w:vAlign w:val="bottom"/>
          </w:tcPr>
          <w:p w14:paraId="098AA596"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tcPr>
          <w:p w14:paraId="098AA597" w14:textId="77777777" w:rsidR="00141CDF" w:rsidRDefault="00DF45E0">
            <w:pPr>
              <w:textAlignment w:val="top"/>
            </w:pPr>
            <w:r>
              <w:rPr>
                <w:rFonts w:ascii="Times New Roman" w:eastAsia="宋体" w:hAnsi="Times New Roman"/>
                <w:color w:val="000000"/>
                <w:sz w:val="19"/>
                <w:szCs w:val="19"/>
              </w:rPr>
              <w:t>Inline XBRL Taxonomy Extension Schema Document</w:t>
            </w:r>
          </w:p>
        </w:tc>
      </w:tr>
      <w:tr w:rsidR="00141CDF" w14:paraId="098AA59B" w14:textId="77777777">
        <w:trPr>
          <w:trHeight w:val="60"/>
        </w:trPr>
        <w:tc>
          <w:tcPr>
            <w:tcW w:w="0" w:type="auto"/>
            <w:gridSpan w:val="3"/>
            <w:shd w:val="clear" w:color="auto" w:fill="auto"/>
            <w:tcMar>
              <w:top w:w="0" w:type="dxa"/>
              <w:left w:w="20" w:type="dxa"/>
              <w:bottom w:w="0" w:type="dxa"/>
              <w:right w:w="20" w:type="dxa"/>
            </w:tcMar>
            <w:vAlign w:val="bottom"/>
          </w:tcPr>
          <w:p w14:paraId="098AA599" w14:textId="77777777" w:rsidR="00141CDF" w:rsidRDefault="00141CDF">
            <w:pPr>
              <w:rPr>
                <w:rFonts w:ascii="宋体"/>
              </w:rPr>
            </w:pPr>
          </w:p>
        </w:tc>
        <w:tc>
          <w:tcPr>
            <w:tcW w:w="0" w:type="auto"/>
            <w:gridSpan w:val="6"/>
            <w:shd w:val="clear" w:color="auto" w:fill="auto"/>
            <w:tcMar>
              <w:top w:w="0" w:type="dxa"/>
              <w:left w:w="20" w:type="dxa"/>
              <w:bottom w:w="0" w:type="dxa"/>
              <w:right w:w="20" w:type="dxa"/>
            </w:tcMar>
            <w:vAlign w:val="bottom"/>
          </w:tcPr>
          <w:p w14:paraId="098AA59A" w14:textId="77777777" w:rsidR="00141CDF" w:rsidRDefault="00141CDF">
            <w:pPr>
              <w:rPr>
                <w:rFonts w:ascii="宋体"/>
              </w:rPr>
            </w:pPr>
          </w:p>
        </w:tc>
      </w:tr>
      <w:tr w:rsidR="00141CDF" w14:paraId="098AA59F" w14:textId="77777777">
        <w:tc>
          <w:tcPr>
            <w:tcW w:w="0" w:type="auto"/>
            <w:gridSpan w:val="3"/>
            <w:shd w:val="clear" w:color="auto" w:fill="auto"/>
            <w:tcMar>
              <w:top w:w="40" w:type="dxa"/>
              <w:left w:w="20" w:type="dxa"/>
              <w:bottom w:w="40" w:type="dxa"/>
              <w:right w:w="20" w:type="dxa"/>
            </w:tcMar>
          </w:tcPr>
          <w:p w14:paraId="098AA59C" w14:textId="77777777" w:rsidR="00141CDF" w:rsidRDefault="00DF45E0">
            <w:pPr>
              <w:textAlignment w:val="top"/>
            </w:pPr>
            <w:r>
              <w:rPr>
                <w:rFonts w:ascii="Times New Roman" w:eastAsia="宋体" w:hAnsi="Times New Roman"/>
                <w:color w:val="000000"/>
                <w:sz w:val="19"/>
                <w:szCs w:val="19"/>
              </w:rPr>
              <w:t>Exhibit 101.CAL*</w:t>
            </w:r>
          </w:p>
        </w:tc>
        <w:tc>
          <w:tcPr>
            <w:tcW w:w="0" w:type="auto"/>
            <w:gridSpan w:val="3"/>
            <w:shd w:val="clear" w:color="auto" w:fill="auto"/>
            <w:tcMar>
              <w:top w:w="0" w:type="dxa"/>
              <w:left w:w="20" w:type="dxa"/>
              <w:bottom w:w="0" w:type="dxa"/>
              <w:right w:w="20" w:type="dxa"/>
            </w:tcMar>
            <w:vAlign w:val="bottom"/>
          </w:tcPr>
          <w:p w14:paraId="098AA59D"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tcPr>
          <w:p w14:paraId="098AA59E" w14:textId="77777777" w:rsidR="00141CDF" w:rsidRDefault="00DF45E0">
            <w:pPr>
              <w:textAlignment w:val="top"/>
            </w:pPr>
            <w:r>
              <w:rPr>
                <w:rFonts w:ascii="Times New Roman" w:eastAsia="宋体" w:hAnsi="Times New Roman"/>
                <w:color w:val="000000"/>
                <w:sz w:val="19"/>
                <w:szCs w:val="19"/>
              </w:rPr>
              <w:t>Inline XBRL Taxonomy Extension Calculation Linkbase Document</w:t>
            </w:r>
          </w:p>
        </w:tc>
      </w:tr>
      <w:tr w:rsidR="00141CDF" w14:paraId="098AA5A2" w14:textId="77777777">
        <w:trPr>
          <w:trHeight w:val="60"/>
        </w:trPr>
        <w:tc>
          <w:tcPr>
            <w:tcW w:w="0" w:type="auto"/>
            <w:gridSpan w:val="3"/>
            <w:shd w:val="clear" w:color="auto" w:fill="auto"/>
            <w:tcMar>
              <w:top w:w="0" w:type="dxa"/>
              <w:left w:w="20" w:type="dxa"/>
              <w:bottom w:w="0" w:type="dxa"/>
              <w:right w:w="20" w:type="dxa"/>
            </w:tcMar>
            <w:vAlign w:val="bottom"/>
          </w:tcPr>
          <w:p w14:paraId="098AA5A0" w14:textId="77777777" w:rsidR="00141CDF" w:rsidRDefault="00141CDF">
            <w:pPr>
              <w:rPr>
                <w:rFonts w:ascii="宋体"/>
              </w:rPr>
            </w:pPr>
          </w:p>
        </w:tc>
        <w:tc>
          <w:tcPr>
            <w:tcW w:w="0" w:type="auto"/>
            <w:gridSpan w:val="6"/>
            <w:shd w:val="clear" w:color="auto" w:fill="auto"/>
            <w:tcMar>
              <w:top w:w="0" w:type="dxa"/>
              <w:left w:w="20" w:type="dxa"/>
              <w:bottom w:w="0" w:type="dxa"/>
              <w:right w:w="20" w:type="dxa"/>
            </w:tcMar>
            <w:vAlign w:val="bottom"/>
          </w:tcPr>
          <w:p w14:paraId="098AA5A1" w14:textId="77777777" w:rsidR="00141CDF" w:rsidRDefault="00141CDF">
            <w:pPr>
              <w:rPr>
                <w:rFonts w:ascii="宋体"/>
              </w:rPr>
            </w:pPr>
          </w:p>
        </w:tc>
      </w:tr>
      <w:tr w:rsidR="00141CDF" w14:paraId="098AA5A6" w14:textId="77777777">
        <w:tc>
          <w:tcPr>
            <w:tcW w:w="0" w:type="auto"/>
            <w:gridSpan w:val="3"/>
            <w:shd w:val="clear" w:color="auto" w:fill="auto"/>
            <w:tcMar>
              <w:top w:w="40" w:type="dxa"/>
              <w:left w:w="20" w:type="dxa"/>
              <w:bottom w:w="40" w:type="dxa"/>
              <w:right w:w="20" w:type="dxa"/>
            </w:tcMar>
          </w:tcPr>
          <w:p w14:paraId="098AA5A3" w14:textId="77777777" w:rsidR="00141CDF" w:rsidRDefault="00DF45E0">
            <w:pPr>
              <w:textAlignment w:val="top"/>
            </w:pPr>
            <w:r>
              <w:rPr>
                <w:rFonts w:ascii="Times New Roman" w:eastAsia="宋体" w:hAnsi="Times New Roman"/>
                <w:color w:val="000000"/>
                <w:sz w:val="19"/>
                <w:szCs w:val="19"/>
              </w:rPr>
              <w:t>Exhibit 101.DEF*</w:t>
            </w:r>
          </w:p>
        </w:tc>
        <w:tc>
          <w:tcPr>
            <w:tcW w:w="0" w:type="auto"/>
            <w:gridSpan w:val="3"/>
            <w:shd w:val="clear" w:color="auto" w:fill="auto"/>
            <w:tcMar>
              <w:top w:w="0" w:type="dxa"/>
              <w:left w:w="20" w:type="dxa"/>
              <w:bottom w:w="0" w:type="dxa"/>
              <w:right w:w="20" w:type="dxa"/>
            </w:tcMar>
            <w:vAlign w:val="bottom"/>
          </w:tcPr>
          <w:p w14:paraId="098AA5A4"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tcPr>
          <w:p w14:paraId="098AA5A5" w14:textId="77777777" w:rsidR="00141CDF" w:rsidRDefault="00DF45E0">
            <w:pPr>
              <w:textAlignment w:val="top"/>
            </w:pPr>
            <w:r>
              <w:rPr>
                <w:rFonts w:ascii="Times New Roman" w:eastAsia="宋体" w:hAnsi="Times New Roman"/>
                <w:color w:val="000000"/>
                <w:sz w:val="19"/>
                <w:szCs w:val="19"/>
              </w:rPr>
              <w:t xml:space="preserve">Inline XBRL Taxonomy </w:t>
            </w:r>
            <w:r>
              <w:rPr>
                <w:rFonts w:ascii="Times New Roman" w:eastAsia="宋体" w:hAnsi="Times New Roman"/>
                <w:color w:val="000000"/>
                <w:sz w:val="19"/>
                <w:szCs w:val="19"/>
              </w:rPr>
              <w:t>Extension Definition Linkbase Document</w:t>
            </w:r>
          </w:p>
        </w:tc>
      </w:tr>
      <w:tr w:rsidR="00141CDF" w14:paraId="098AA5A9" w14:textId="77777777">
        <w:trPr>
          <w:trHeight w:val="60"/>
        </w:trPr>
        <w:tc>
          <w:tcPr>
            <w:tcW w:w="0" w:type="auto"/>
            <w:gridSpan w:val="3"/>
            <w:shd w:val="clear" w:color="auto" w:fill="auto"/>
            <w:tcMar>
              <w:top w:w="0" w:type="dxa"/>
              <w:left w:w="20" w:type="dxa"/>
              <w:bottom w:w="0" w:type="dxa"/>
              <w:right w:w="20" w:type="dxa"/>
            </w:tcMar>
            <w:vAlign w:val="bottom"/>
          </w:tcPr>
          <w:p w14:paraId="098AA5A7" w14:textId="77777777" w:rsidR="00141CDF" w:rsidRDefault="00141CDF">
            <w:pPr>
              <w:rPr>
                <w:rFonts w:ascii="宋体"/>
              </w:rPr>
            </w:pPr>
          </w:p>
        </w:tc>
        <w:tc>
          <w:tcPr>
            <w:tcW w:w="0" w:type="auto"/>
            <w:gridSpan w:val="6"/>
            <w:shd w:val="clear" w:color="auto" w:fill="auto"/>
            <w:tcMar>
              <w:top w:w="0" w:type="dxa"/>
              <w:left w:w="20" w:type="dxa"/>
              <w:bottom w:w="0" w:type="dxa"/>
              <w:right w:w="20" w:type="dxa"/>
            </w:tcMar>
            <w:vAlign w:val="bottom"/>
          </w:tcPr>
          <w:p w14:paraId="098AA5A8" w14:textId="77777777" w:rsidR="00141CDF" w:rsidRDefault="00141CDF">
            <w:pPr>
              <w:rPr>
                <w:rFonts w:ascii="宋体"/>
              </w:rPr>
            </w:pPr>
          </w:p>
        </w:tc>
      </w:tr>
      <w:tr w:rsidR="00141CDF" w14:paraId="098AA5AD" w14:textId="77777777">
        <w:tc>
          <w:tcPr>
            <w:tcW w:w="0" w:type="auto"/>
            <w:gridSpan w:val="3"/>
            <w:shd w:val="clear" w:color="auto" w:fill="auto"/>
            <w:tcMar>
              <w:top w:w="40" w:type="dxa"/>
              <w:left w:w="20" w:type="dxa"/>
              <w:bottom w:w="40" w:type="dxa"/>
              <w:right w:w="20" w:type="dxa"/>
            </w:tcMar>
          </w:tcPr>
          <w:p w14:paraId="098AA5AA" w14:textId="77777777" w:rsidR="00141CDF" w:rsidRDefault="00DF45E0">
            <w:pPr>
              <w:textAlignment w:val="top"/>
            </w:pPr>
            <w:r>
              <w:rPr>
                <w:rFonts w:ascii="Times New Roman" w:eastAsia="宋体" w:hAnsi="Times New Roman"/>
                <w:color w:val="000000"/>
                <w:sz w:val="19"/>
                <w:szCs w:val="19"/>
              </w:rPr>
              <w:t>Exhibit 101.LAB*</w:t>
            </w:r>
          </w:p>
        </w:tc>
        <w:tc>
          <w:tcPr>
            <w:tcW w:w="0" w:type="auto"/>
            <w:gridSpan w:val="3"/>
            <w:shd w:val="clear" w:color="auto" w:fill="auto"/>
            <w:tcMar>
              <w:top w:w="0" w:type="dxa"/>
              <w:left w:w="20" w:type="dxa"/>
              <w:bottom w:w="0" w:type="dxa"/>
              <w:right w:w="20" w:type="dxa"/>
            </w:tcMar>
            <w:vAlign w:val="bottom"/>
          </w:tcPr>
          <w:p w14:paraId="098AA5AB"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tcPr>
          <w:p w14:paraId="098AA5AC" w14:textId="77777777" w:rsidR="00141CDF" w:rsidRDefault="00DF45E0">
            <w:pPr>
              <w:textAlignment w:val="top"/>
            </w:pPr>
            <w:r>
              <w:rPr>
                <w:rFonts w:ascii="Times New Roman" w:eastAsia="宋体" w:hAnsi="Times New Roman"/>
                <w:color w:val="000000"/>
                <w:sz w:val="19"/>
                <w:szCs w:val="19"/>
              </w:rPr>
              <w:t>Inline XBRL Taxonomy Extension Label Linkbase Document</w:t>
            </w:r>
          </w:p>
        </w:tc>
      </w:tr>
      <w:tr w:rsidR="00141CDF" w14:paraId="098AA5B0" w14:textId="77777777">
        <w:trPr>
          <w:trHeight w:val="60"/>
        </w:trPr>
        <w:tc>
          <w:tcPr>
            <w:tcW w:w="0" w:type="auto"/>
            <w:gridSpan w:val="3"/>
            <w:shd w:val="clear" w:color="auto" w:fill="auto"/>
            <w:tcMar>
              <w:top w:w="0" w:type="dxa"/>
              <w:left w:w="20" w:type="dxa"/>
              <w:bottom w:w="0" w:type="dxa"/>
              <w:right w:w="20" w:type="dxa"/>
            </w:tcMar>
            <w:vAlign w:val="bottom"/>
          </w:tcPr>
          <w:p w14:paraId="098AA5AE" w14:textId="77777777" w:rsidR="00141CDF" w:rsidRDefault="00141CDF">
            <w:pPr>
              <w:rPr>
                <w:rFonts w:ascii="宋体"/>
              </w:rPr>
            </w:pPr>
          </w:p>
        </w:tc>
        <w:tc>
          <w:tcPr>
            <w:tcW w:w="0" w:type="auto"/>
            <w:gridSpan w:val="6"/>
            <w:shd w:val="clear" w:color="auto" w:fill="auto"/>
            <w:tcMar>
              <w:top w:w="0" w:type="dxa"/>
              <w:left w:w="20" w:type="dxa"/>
              <w:bottom w:w="0" w:type="dxa"/>
              <w:right w:w="20" w:type="dxa"/>
            </w:tcMar>
            <w:vAlign w:val="bottom"/>
          </w:tcPr>
          <w:p w14:paraId="098AA5AF" w14:textId="77777777" w:rsidR="00141CDF" w:rsidRDefault="00141CDF">
            <w:pPr>
              <w:rPr>
                <w:rFonts w:ascii="宋体"/>
              </w:rPr>
            </w:pPr>
          </w:p>
        </w:tc>
      </w:tr>
      <w:tr w:rsidR="00141CDF" w14:paraId="098AA5B4" w14:textId="77777777">
        <w:tc>
          <w:tcPr>
            <w:tcW w:w="0" w:type="auto"/>
            <w:gridSpan w:val="3"/>
            <w:shd w:val="clear" w:color="auto" w:fill="auto"/>
            <w:tcMar>
              <w:top w:w="40" w:type="dxa"/>
              <w:left w:w="20" w:type="dxa"/>
              <w:bottom w:w="40" w:type="dxa"/>
              <w:right w:w="20" w:type="dxa"/>
            </w:tcMar>
          </w:tcPr>
          <w:p w14:paraId="098AA5B1" w14:textId="77777777" w:rsidR="00141CDF" w:rsidRDefault="00DF45E0">
            <w:pPr>
              <w:textAlignment w:val="top"/>
            </w:pPr>
            <w:r>
              <w:rPr>
                <w:rFonts w:ascii="Times New Roman" w:eastAsia="宋体" w:hAnsi="Times New Roman"/>
                <w:color w:val="000000"/>
                <w:sz w:val="19"/>
                <w:szCs w:val="19"/>
              </w:rPr>
              <w:t>Exhibit 101.PRE*</w:t>
            </w:r>
          </w:p>
        </w:tc>
        <w:tc>
          <w:tcPr>
            <w:tcW w:w="0" w:type="auto"/>
            <w:gridSpan w:val="3"/>
            <w:shd w:val="clear" w:color="auto" w:fill="auto"/>
            <w:tcMar>
              <w:top w:w="0" w:type="dxa"/>
              <w:left w:w="20" w:type="dxa"/>
              <w:bottom w:w="0" w:type="dxa"/>
              <w:right w:w="20" w:type="dxa"/>
            </w:tcMar>
            <w:vAlign w:val="bottom"/>
          </w:tcPr>
          <w:p w14:paraId="098AA5B2"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tcPr>
          <w:p w14:paraId="098AA5B3" w14:textId="77777777" w:rsidR="00141CDF" w:rsidRDefault="00DF45E0">
            <w:pPr>
              <w:textAlignment w:val="top"/>
            </w:pPr>
            <w:r>
              <w:rPr>
                <w:rFonts w:ascii="Times New Roman" w:eastAsia="宋体" w:hAnsi="Times New Roman"/>
                <w:color w:val="000000"/>
                <w:sz w:val="19"/>
                <w:szCs w:val="19"/>
              </w:rPr>
              <w:t>Inline XBRL Taxonomy Extension Presentation Linkbase Document</w:t>
            </w:r>
          </w:p>
        </w:tc>
      </w:tr>
      <w:tr w:rsidR="00141CDF" w14:paraId="098AA5B8" w14:textId="77777777">
        <w:trPr>
          <w:trHeight w:val="60"/>
        </w:trPr>
        <w:tc>
          <w:tcPr>
            <w:tcW w:w="0" w:type="auto"/>
            <w:gridSpan w:val="3"/>
            <w:shd w:val="clear" w:color="auto" w:fill="auto"/>
            <w:tcMar>
              <w:top w:w="0" w:type="dxa"/>
              <w:left w:w="20" w:type="dxa"/>
              <w:bottom w:w="0" w:type="dxa"/>
              <w:right w:w="20" w:type="dxa"/>
            </w:tcMar>
            <w:vAlign w:val="bottom"/>
          </w:tcPr>
          <w:p w14:paraId="098AA5B5"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A5B6"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A5B7" w14:textId="77777777" w:rsidR="00141CDF" w:rsidRDefault="00141CDF">
            <w:pPr>
              <w:rPr>
                <w:rFonts w:ascii="宋体"/>
              </w:rPr>
            </w:pPr>
          </w:p>
        </w:tc>
      </w:tr>
      <w:tr w:rsidR="00141CDF" w14:paraId="098AA5BC" w14:textId="77777777">
        <w:tc>
          <w:tcPr>
            <w:tcW w:w="0" w:type="auto"/>
            <w:gridSpan w:val="3"/>
            <w:shd w:val="clear" w:color="auto" w:fill="auto"/>
            <w:tcMar>
              <w:top w:w="40" w:type="dxa"/>
              <w:left w:w="20" w:type="dxa"/>
              <w:bottom w:w="40" w:type="dxa"/>
              <w:right w:w="20" w:type="dxa"/>
            </w:tcMar>
            <w:vAlign w:val="center"/>
          </w:tcPr>
          <w:p w14:paraId="098AA5B9" w14:textId="77777777" w:rsidR="00141CDF" w:rsidRDefault="00DF45E0">
            <w:pPr>
              <w:textAlignment w:val="center"/>
            </w:pPr>
            <w:r>
              <w:rPr>
                <w:rFonts w:ascii="Times New Roman" w:eastAsia="宋体" w:hAnsi="Times New Roman"/>
                <w:color w:val="000000"/>
                <w:sz w:val="19"/>
                <w:szCs w:val="19"/>
              </w:rPr>
              <w:t>Exhibit 104</w:t>
            </w:r>
          </w:p>
        </w:tc>
        <w:tc>
          <w:tcPr>
            <w:tcW w:w="0" w:type="auto"/>
            <w:gridSpan w:val="3"/>
            <w:shd w:val="clear" w:color="auto" w:fill="auto"/>
            <w:tcMar>
              <w:top w:w="0" w:type="dxa"/>
              <w:left w:w="20" w:type="dxa"/>
              <w:bottom w:w="0" w:type="dxa"/>
              <w:right w:w="20" w:type="dxa"/>
            </w:tcMar>
            <w:vAlign w:val="bottom"/>
          </w:tcPr>
          <w:p w14:paraId="098AA5BA"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A5BB" w14:textId="77777777" w:rsidR="00141CDF" w:rsidRDefault="00DF45E0">
            <w:pPr>
              <w:textAlignment w:val="bottom"/>
            </w:pPr>
            <w:r>
              <w:rPr>
                <w:rFonts w:ascii="Times New Roman" w:eastAsia="宋体" w:hAnsi="Times New Roman"/>
                <w:color w:val="000000"/>
                <w:sz w:val="19"/>
                <w:szCs w:val="19"/>
              </w:rPr>
              <w:t xml:space="preserve">The cover page from the </w:t>
            </w:r>
            <w:r>
              <w:rPr>
                <w:rFonts w:ascii="Times New Roman" w:eastAsia="宋体" w:hAnsi="Times New Roman"/>
                <w:color w:val="000000"/>
                <w:sz w:val="19"/>
                <w:szCs w:val="19"/>
              </w:rPr>
              <w:t>Company's Quarterly Report on Form 10-Q for the quarter ended July 31, 2022, formatted in Inline XBRL (included in Exhibit 101)</w:t>
            </w:r>
          </w:p>
        </w:tc>
      </w:tr>
    </w:tbl>
    <w:p w14:paraId="098AA5BD" w14:textId="77777777" w:rsidR="00141CDF" w:rsidRDefault="00141CDF"/>
    <w:tbl>
      <w:tblPr>
        <w:tblW w:w="3984" w:type="pct"/>
        <w:tblCellMar>
          <w:top w:w="15" w:type="dxa"/>
          <w:left w:w="15" w:type="dxa"/>
          <w:bottom w:w="15" w:type="dxa"/>
          <w:right w:w="15" w:type="dxa"/>
        </w:tblCellMar>
        <w:tblLook w:val="04A0" w:firstRow="1" w:lastRow="0" w:firstColumn="1" w:lastColumn="0" w:noHBand="0" w:noVBand="1"/>
      </w:tblPr>
      <w:tblGrid>
        <w:gridCol w:w="51"/>
        <w:gridCol w:w="398"/>
        <w:gridCol w:w="36"/>
        <w:gridCol w:w="51"/>
        <w:gridCol w:w="6069"/>
        <w:gridCol w:w="37"/>
      </w:tblGrid>
      <w:tr w:rsidR="00141CDF" w14:paraId="098AA5C4" w14:textId="77777777">
        <w:tc>
          <w:tcPr>
            <w:tcW w:w="50" w:type="pct"/>
            <w:shd w:val="clear" w:color="auto" w:fill="auto"/>
            <w:vAlign w:val="bottom"/>
          </w:tcPr>
          <w:p w14:paraId="098AA5BE" w14:textId="77777777" w:rsidR="00141CDF" w:rsidRDefault="00141CDF">
            <w:pPr>
              <w:rPr>
                <w:rFonts w:ascii="宋体"/>
              </w:rPr>
            </w:pPr>
          </w:p>
        </w:tc>
        <w:tc>
          <w:tcPr>
            <w:tcW w:w="311" w:type="pct"/>
            <w:shd w:val="clear" w:color="auto" w:fill="auto"/>
            <w:vAlign w:val="bottom"/>
          </w:tcPr>
          <w:p w14:paraId="098AA5BF" w14:textId="77777777" w:rsidR="00141CDF" w:rsidRDefault="00141CDF">
            <w:pPr>
              <w:rPr>
                <w:rFonts w:ascii="宋体"/>
              </w:rPr>
            </w:pPr>
          </w:p>
        </w:tc>
        <w:tc>
          <w:tcPr>
            <w:tcW w:w="5" w:type="pct"/>
            <w:shd w:val="clear" w:color="auto" w:fill="auto"/>
            <w:vAlign w:val="bottom"/>
          </w:tcPr>
          <w:p w14:paraId="098AA5C0" w14:textId="77777777" w:rsidR="00141CDF" w:rsidRDefault="00141CDF">
            <w:pPr>
              <w:rPr>
                <w:rFonts w:ascii="宋体"/>
              </w:rPr>
            </w:pPr>
          </w:p>
        </w:tc>
        <w:tc>
          <w:tcPr>
            <w:tcW w:w="50" w:type="pct"/>
            <w:shd w:val="clear" w:color="auto" w:fill="auto"/>
            <w:vAlign w:val="bottom"/>
          </w:tcPr>
          <w:p w14:paraId="098AA5C1" w14:textId="77777777" w:rsidR="00141CDF" w:rsidRDefault="00141CDF">
            <w:pPr>
              <w:rPr>
                <w:rFonts w:ascii="宋体"/>
              </w:rPr>
            </w:pPr>
          </w:p>
        </w:tc>
        <w:tc>
          <w:tcPr>
            <w:tcW w:w="4578" w:type="pct"/>
            <w:shd w:val="clear" w:color="auto" w:fill="auto"/>
            <w:vAlign w:val="bottom"/>
          </w:tcPr>
          <w:p w14:paraId="098AA5C2" w14:textId="77777777" w:rsidR="00141CDF" w:rsidRDefault="00141CDF">
            <w:pPr>
              <w:rPr>
                <w:rFonts w:ascii="宋体"/>
              </w:rPr>
            </w:pPr>
          </w:p>
        </w:tc>
        <w:tc>
          <w:tcPr>
            <w:tcW w:w="5" w:type="pct"/>
            <w:shd w:val="clear" w:color="auto" w:fill="auto"/>
            <w:vAlign w:val="bottom"/>
          </w:tcPr>
          <w:p w14:paraId="098AA5C3" w14:textId="77777777" w:rsidR="00141CDF" w:rsidRDefault="00141CDF">
            <w:pPr>
              <w:rPr>
                <w:rFonts w:ascii="宋体"/>
              </w:rPr>
            </w:pPr>
          </w:p>
        </w:tc>
      </w:tr>
      <w:tr w:rsidR="00141CDF" w14:paraId="098AA5C7" w14:textId="77777777">
        <w:tc>
          <w:tcPr>
            <w:tcW w:w="0" w:type="auto"/>
            <w:gridSpan w:val="3"/>
            <w:shd w:val="clear" w:color="auto" w:fill="auto"/>
            <w:tcMar>
              <w:top w:w="40" w:type="dxa"/>
              <w:left w:w="20" w:type="dxa"/>
              <w:bottom w:w="40" w:type="dxa"/>
              <w:right w:w="20" w:type="dxa"/>
            </w:tcMar>
          </w:tcPr>
          <w:p w14:paraId="098AA5C5" w14:textId="77777777" w:rsidR="00141CDF" w:rsidRDefault="00DF45E0">
            <w:pPr>
              <w:textAlignment w:val="top"/>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tcPr>
          <w:p w14:paraId="098AA5C6" w14:textId="77777777" w:rsidR="00141CDF" w:rsidRDefault="00DF45E0">
            <w:pPr>
              <w:textAlignment w:val="top"/>
            </w:pPr>
            <w:r>
              <w:rPr>
                <w:rFonts w:ascii="Times New Roman" w:eastAsia="宋体" w:hAnsi="Times New Roman"/>
                <w:color w:val="000000"/>
                <w:sz w:val="20"/>
                <w:szCs w:val="20"/>
              </w:rPr>
              <w:t>Filed herewith as an Exhibit.</w:t>
            </w:r>
          </w:p>
        </w:tc>
      </w:tr>
      <w:tr w:rsidR="00141CDF" w14:paraId="098AA5CA" w14:textId="77777777">
        <w:tc>
          <w:tcPr>
            <w:tcW w:w="0" w:type="auto"/>
            <w:gridSpan w:val="3"/>
            <w:shd w:val="clear" w:color="auto" w:fill="auto"/>
            <w:tcMar>
              <w:top w:w="40" w:type="dxa"/>
              <w:left w:w="20" w:type="dxa"/>
              <w:bottom w:w="40" w:type="dxa"/>
              <w:right w:w="20" w:type="dxa"/>
            </w:tcMar>
          </w:tcPr>
          <w:p w14:paraId="098AA5C8" w14:textId="77777777" w:rsidR="00141CDF" w:rsidRDefault="00DF45E0">
            <w:pPr>
              <w:textAlignment w:val="top"/>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tcPr>
          <w:p w14:paraId="098AA5C9" w14:textId="77777777" w:rsidR="00141CDF" w:rsidRDefault="00DF45E0">
            <w:pPr>
              <w:textAlignment w:val="top"/>
            </w:pPr>
            <w:r>
              <w:rPr>
                <w:rFonts w:ascii="Times New Roman" w:eastAsia="宋体" w:hAnsi="Times New Roman"/>
                <w:color w:val="000000"/>
                <w:sz w:val="20"/>
                <w:szCs w:val="20"/>
              </w:rPr>
              <w:t>Furnished herewith as an Exhibit.</w:t>
            </w:r>
          </w:p>
        </w:tc>
      </w:tr>
    </w:tbl>
    <w:p w14:paraId="098AA5CB" w14:textId="77777777" w:rsidR="00141CDF" w:rsidRDefault="00141CDF"/>
    <w:p w14:paraId="098AA5CC" w14:textId="77777777" w:rsidR="00141CDF" w:rsidRDefault="00DF45E0">
      <w:pPr>
        <w:jc w:val="center"/>
      </w:pPr>
      <w:r>
        <w:rPr>
          <w:rFonts w:ascii="Times New Roman" w:eastAsia="宋体" w:hAnsi="Times New Roman"/>
          <w:color w:val="000000"/>
          <w:sz w:val="20"/>
          <w:szCs w:val="20"/>
        </w:rPr>
        <w:t>33</w:t>
      </w:r>
    </w:p>
    <w:p w14:paraId="098AA5CD" w14:textId="77777777" w:rsidR="00141CDF" w:rsidRDefault="00DF45E0">
      <w:r>
        <w:pict w14:anchorId="098AA66F">
          <v:rect id="_x0000_i1057" style="width:415.3pt;height:1.5pt" o:hralign="center" o:hrstd="t" o:hr="t" fillcolor="#a0a0a0" stroked="f"/>
        </w:pict>
      </w:r>
    </w:p>
    <w:p w14:paraId="098AA5CE" w14:textId="77777777" w:rsidR="00141CDF" w:rsidRDefault="00DF45E0">
      <w:hyperlink r:id="rId156" w:anchor="i24a2f296795646fa8b5ba32fd1359591_7" w:history="1">
        <w:r>
          <w:rPr>
            <w:rStyle w:val="a5"/>
            <w:rFonts w:ascii="Times New Roman" w:eastAsia="宋体" w:hAnsi="Times New Roman"/>
            <w:sz w:val="20"/>
            <w:szCs w:val="20"/>
          </w:rPr>
          <w:t xml:space="preserve">Table of </w:t>
        </w:r>
      </w:hyperlink>
      <w:hyperlink r:id="rId157" w:anchor="i24a2f296795646fa8b5ba32fd1359591_7" w:history="1">
        <w:r>
          <w:rPr>
            <w:rStyle w:val="a5"/>
            <w:rFonts w:ascii="Times New Roman" w:eastAsia="宋体" w:hAnsi="Times New Roman"/>
            <w:sz w:val="20"/>
            <w:szCs w:val="20"/>
          </w:rPr>
          <w:t>Contents</w:t>
        </w:r>
      </w:hyperlink>
    </w:p>
    <w:p w14:paraId="098AA5CF" w14:textId="77777777" w:rsidR="00141CDF" w:rsidRDefault="00DF45E0">
      <w:pPr>
        <w:spacing w:before="100"/>
        <w:jc w:val="center"/>
      </w:pPr>
      <w:r>
        <w:rPr>
          <w:rFonts w:ascii="Times New Roman" w:eastAsia="宋体" w:hAnsi="Times New Roman"/>
          <w:b/>
          <w:bCs/>
          <w:color w:val="000000"/>
          <w:sz w:val="20"/>
          <w:szCs w:val="20"/>
        </w:rPr>
        <w:t>SIGNATURES</w:t>
      </w:r>
    </w:p>
    <w:p w14:paraId="098AA5D0" w14:textId="77777777" w:rsidR="00141CDF" w:rsidRDefault="00DF45E0">
      <w:pPr>
        <w:spacing w:before="180"/>
      </w:pPr>
      <w:r>
        <w:rPr>
          <w:rFonts w:ascii="Times New Roman" w:eastAsia="宋体" w:hAnsi="Times New Roman"/>
          <w:color w:val="000000"/>
          <w:sz w:val="20"/>
          <w:szCs w:val="20"/>
        </w:rPr>
        <w:t xml:space="preserve">Pursuant to the requirements of the Securities Exchange Act of 1934, the registrant has duly caused this report to be signed on its behalf by the undersigned thereunto duly </w:t>
      </w:r>
      <w:r>
        <w:rPr>
          <w:rFonts w:ascii="Times New Roman" w:eastAsia="宋体" w:hAnsi="Times New Roman"/>
          <w:color w:val="000000"/>
          <w:sz w:val="20"/>
          <w:szCs w:val="20"/>
        </w:rPr>
        <w:t>authorized.</w:t>
      </w:r>
    </w:p>
    <w:p w14:paraId="098AA5D1" w14:textId="77777777" w:rsidR="00141CDF" w:rsidRDefault="00DF45E0">
      <w:pPr>
        <w:jc w:val="center"/>
      </w:pPr>
      <w:r>
        <w:rPr>
          <w:rFonts w:ascii="Times New Roman" w:eastAsia="宋体" w:hAnsi="Times New Roman"/>
          <w:color w:val="000000"/>
          <w:sz w:val="18"/>
          <w:szCs w:val="18"/>
        </w:rPr>
        <w:t> </w:t>
      </w:r>
    </w:p>
    <w:p w14:paraId="098AA5D2" w14:textId="77777777" w:rsidR="00141CDF" w:rsidRDefault="00DF45E0">
      <w:pPr>
        <w:jc w:val="center"/>
      </w:pPr>
      <w:r>
        <w:rPr>
          <w:rFonts w:ascii="Times New Roman" w:eastAsia="宋体" w:hAnsi="Times New Roman"/>
          <w:b/>
          <w:bCs/>
          <w:color w:val="000000"/>
          <w:sz w:val="20"/>
          <w:szCs w:val="20"/>
        </w:rPr>
        <w:t>WALMART INC.</w:t>
      </w:r>
    </w:p>
    <w:tbl>
      <w:tblPr>
        <w:tblW w:w="4912" w:type="pct"/>
        <w:jc w:val="center"/>
        <w:tblCellMar>
          <w:top w:w="15" w:type="dxa"/>
          <w:left w:w="15" w:type="dxa"/>
          <w:bottom w:w="15" w:type="dxa"/>
          <w:right w:w="15" w:type="dxa"/>
        </w:tblCellMar>
        <w:tblLook w:val="04A0" w:firstRow="1" w:lastRow="0" w:firstColumn="1" w:lastColumn="0" w:noHBand="0" w:noVBand="1"/>
      </w:tblPr>
      <w:tblGrid>
        <w:gridCol w:w="62"/>
        <w:gridCol w:w="1937"/>
        <w:gridCol w:w="36"/>
        <w:gridCol w:w="62"/>
        <w:gridCol w:w="475"/>
        <w:gridCol w:w="36"/>
        <w:gridCol w:w="36"/>
        <w:gridCol w:w="36"/>
        <w:gridCol w:w="36"/>
        <w:gridCol w:w="50"/>
        <w:gridCol w:w="5386"/>
        <w:gridCol w:w="37"/>
      </w:tblGrid>
      <w:tr w:rsidR="00141CDF" w14:paraId="098AA5DF" w14:textId="77777777">
        <w:trPr>
          <w:jc w:val="center"/>
        </w:trPr>
        <w:tc>
          <w:tcPr>
            <w:tcW w:w="50" w:type="pct"/>
            <w:shd w:val="clear" w:color="auto" w:fill="auto"/>
            <w:vAlign w:val="bottom"/>
          </w:tcPr>
          <w:p w14:paraId="098AA5D3" w14:textId="77777777" w:rsidR="00141CDF" w:rsidRDefault="00141CDF">
            <w:pPr>
              <w:rPr>
                <w:rFonts w:ascii="宋体"/>
              </w:rPr>
            </w:pPr>
          </w:p>
        </w:tc>
        <w:tc>
          <w:tcPr>
            <w:tcW w:w="1195" w:type="pct"/>
            <w:shd w:val="clear" w:color="auto" w:fill="auto"/>
            <w:vAlign w:val="bottom"/>
          </w:tcPr>
          <w:p w14:paraId="098AA5D4" w14:textId="77777777" w:rsidR="00141CDF" w:rsidRDefault="00141CDF">
            <w:pPr>
              <w:rPr>
                <w:rFonts w:ascii="宋体"/>
              </w:rPr>
            </w:pPr>
          </w:p>
        </w:tc>
        <w:tc>
          <w:tcPr>
            <w:tcW w:w="5" w:type="pct"/>
            <w:shd w:val="clear" w:color="auto" w:fill="auto"/>
            <w:vAlign w:val="bottom"/>
          </w:tcPr>
          <w:p w14:paraId="098AA5D5" w14:textId="77777777" w:rsidR="00141CDF" w:rsidRDefault="00141CDF">
            <w:pPr>
              <w:rPr>
                <w:rFonts w:ascii="宋体"/>
              </w:rPr>
            </w:pPr>
          </w:p>
        </w:tc>
        <w:tc>
          <w:tcPr>
            <w:tcW w:w="50" w:type="pct"/>
            <w:shd w:val="clear" w:color="auto" w:fill="auto"/>
            <w:vAlign w:val="bottom"/>
          </w:tcPr>
          <w:p w14:paraId="098AA5D6" w14:textId="77777777" w:rsidR="00141CDF" w:rsidRDefault="00141CDF">
            <w:pPr>
              <w:rPr>
                <w:rFonts w:ascii="宋体"/>
              </w:rPr>
            </w:pPr>
          </w:p>
        </w:tc>
        <w:tc>
          <w:tcPr>
            <w:tcW w:w="302" w:type="pct"/>
            <w:shd w:val="clear" w:color="auto" w:fill="auto"/>
            <w:vAlign w:val="bottom"/>
          </w:tcPr>
          <w:p w14:paraId="098AA5D7" w14:textId="77777777" w:rsidR="00141CDF" w:rsidRDefault="00141CDF">
            <w:pPr>
              <w:rPr>
                <w:rFonts w:ascii="宋体"/>
              </w:rPr>
            </w:pPr>
          </w:p>
        </w:tc>
        <w:tc>
          <w:tcPr>
            <w:tcW w:w="5" w:type="pct"/>
            <w:shd w:val="clear" w:color="auto" w:fill="auto"/>
            <w:vAlign w:val="bottom"/>
          </w:tcPr>
          <w:p w14:paraId="098AA5D8" w14:textId="77777777" w:rsidR="00141CDF" w:rsidRDefault="00141CDF">
            <w:pPr>
              <w:rPr>
                <w:rFonts w:ascii="宋体"/>
              </w:rPr>
            </w:pPr>
          </w:p>
        </w:tc>
        <w:tc>
          <w:tcPr>
            <w:tcW w:w="5" w:type="pct"/>
            <w:shd w:val="clear" w:color="auto" w:fill="auto"/>
            <w:vAlign w:val="bottom"/>
          </w:tcPr>
          <w:p w14:paraId="098AA5D9" w14:textId="77777777" w:rsidR="00141CDF" w:rsidRDefault="00141CDF">
            <w:pPr>
              <w:rPr>
                <w:rFonts w:ascii="宋体"/>
              </w:rPr>
            </w:pPr>
          </w:p>
        </w:tc>
        <w:tc>
          <w:tcPr>
            <w:tcW w:w="27" w:type="pct"/>
            <w:shd w:val="clear" w:color="auto" w:fill="auto"/>
            <w:vAlign w:val="bottom"/>
          </w:tcPr>
          <w:p w14:paraId="098AA5DA" w14:textId="77777777" w:rsidR="00141CDF" w:rsidRDefault="00141CDF">
            <w:pPr>
              <w:rPr>
                <w:rFonts w:ascii="宋体"/>
              </w:rPr>
            </w:pPr>
          </w:p>
        </w:tc>
        <w:tc>
          <w:tcPr>
            <w:tcW w:w="5" w:type="pct"/>
            <w:shd w:val="clear" w:color="auto" w:fill="auto"/>
            <w:vAlign w:val="bottom"/>
          </w:tcPr>
          <w:p w14:paraId="098AA5DB" w14:textId="77777777" w:rsidR="00141CDF" w:rsidRDefault="00141CDF">
            <w:pPr>
              <w:rPr>
                <w:rFonts w:ascii="宋体"/>
              </w:rPr>
            </w:pPr>
          </w:p>
        </w:tc>
        <w:tc>
          <w:tcPr>
            <w:tcW w:w="50" w:type="pct"/>
            <w:shd w:val="clear" w:color="auto" w:fill="auto"/>
            <w:vAlign w:val="bottom"/>
          </w:tcPr>
          <w:p w14:paraId="098AA5DC" w14:textId="77777777" w:rsidR="00141CDF" w:rsidRDefault="00141CDF">
            <w:pPr>
              <w:rPr>
                <w:rFonts w:ascii="宋体"/>
              </w:rPr>
            </w:pPr>
          </w:p>
        </w:tc>
        <w:tc>
          <w:tcPr>
            <w:tcW w:w="3300" w:type="pct"/>
            <w:shd w:val="clear" w:color="auto" w:fill="auto"/>
            <w:vAlign w:val="bottom"/>
          </w:tcPr>
          <w:p w14:paraId="098AA5DD" w14:textId="77777777" w:rsidR="00141CDF" w:rsidRDefault="00141CDF">
            <w:pPr>
              <w:rPr>
                <w:rFonts w:ascii="宋体"/>
              </w:rPr>
            </w:pPr>
          </w:p>
        </w:tc>
        <w:tc>
          <w:tcPr>
            <w:tcW w:w="5" w:type="pct"/>
            <w:shd w:val="clear" w:color="auto" w:fill="auto"/>
            <w:vAlign w:val="bottom"/>
          </w:tcPr>
          <w:p w14:paraId="098AA5DE" w14:textId="77777777" w:rsidR="00141CDF" w:rsidRDefault="00141CDF">
            <w:pPr>
              <w:rPr>
                <w:rFonts w:ascii="宋体"/>
              </w:rPr>
            </w:pPr>
          </w:p>
        </w:tc>
      </w:tr>
      <w:tr w:rsidR="00141CDF" w14:paraId="098AA5E4" w14:textId="77777777">
        <w:trPr>
          <w:jc w:val="center"/>
        </w:trPr>
        <w:tc>
          <w:tcPr>
            <w:tcW w:w="0" w:type="auto"/>
            <w:gridSpan w:val="3"/>
            <w:shd w:val="clear" w:color="auto" w:fill="auto"/>
            <w:tcMar>
              <w:top w:w="40" w:type="dxa"/>
              <w:left w:w="20" w:type="dxa"/>
              <w:bottom w:w="40" w:type="dxa"/>
              <w:right w:w="20" w:type="dxa"/>
            </w:tcMar>
            <w:vAlign w:val="bottom"/>
          </w:tcPr>
          <w:p w14:paraId="098AA5E0" w14:textId="77777777" w:rsidR="00141CDF" w:rsidRDefault="00DF45E0">
            <w:pPr>
              <w:textAlignment w:val="bottom"/>
            </w:pPr>
            <w:r>
              <w:rPr>
                <w:rFonts w:ascii="Times New Roman" w:eastAsia="宋体" w:hAnsi="Times New Roman"/>
                <w:color w:val="000000"/>
                <w:sz w:val="18"/>
                <w:szCs w:val="18"/>
              </w:rPr>
              <w:t>Date: September 2, 2022</w:t>
            </w:r>
          </w:p>
        </w:tc>
        <w:tc>
          <w:tcPr>
            <w:tcW w:w="0" w:type="auto"/>
            <w:gridSpan w:val="3"/>
            <w:shd w:val="clear" w:color="auto" w:fill="auto"/>
            <w:tcMar>
              <w:top w:w="40" w:type="dxa"/>
              <w:left w:w="20" w:type="dxa"/>
              <w:bottom w:w="40" w:type="dxa"/>
              <w:right w:w="20" w:type="dxa"/>
            </w:tcMar>
            <w:vAlign w:val="bottom"/>
          </w:tcPr>
          <w:p w14:paraId="098AA5E1" w14:textId="77777777" w:rsidR="00141CDF" w:rsidRDefault="00DF45E0">
            <w:pPr>
              <w:textAlignment w:val="bottom"/>
            </w:pPr>
            <w:r>
              <w:rPr>
                <w:rFonts w:ascii="Times New Roman" w:eastAsia="宋体" w:hAnsi="Times New Roman"/>
                <w:color w:val="000000"/>
                <w:sz w:val="18"/>
                <w:szCs w:val="18"/>
              </w:rPr>
              <w:t>By:</w:t>
            </w:r>
          </w:p>
        </w:tc>
        <w:tc>
          <w:tcPr>
            <w:tcW w:w="0" w:type="auto"/>
            <w:gridSpan w:val="3"/>
            <w:shd w:val="clear" w:color="auto" w:fill="auto"/>
            <w:tcMar>
              <w:top w:w="0" w:type="dxa"/>
              <w:left w:w="20" w:type="dxa"/>
              <w:bottom w:w="0" w:type="dxa"/>
              <w:right w:w="20" w:type="dxa"/>
            </w:tcMar>
            <w:vAlign w:val="bottom"/>
          </w:tcPr>
          <w:p w14:paraId="098AA5E2"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A5E3" w14:textId="77777777" w:rsidR="00141CDF" w:rsidRDefault="00DF45E0">
            <w:pPr>
              <w:jc w:val="center"/>
              <w:textAlignment w:val="bottom"/>
            </w:pPr>
            <w:r>
              <w:rPr>
                <w:rFonts w:ascii="Times New Roman" w:eastAsia="宋体" w:hAnsi="Times New Roman"/>
                <w:color w:val="000000"/>
                <w:sz w:val="18"/>
                <w:szCs w:val="18"/>
              </w:rPr>
              <w:t>/s/ C. Douglas McMillon</w:t>
            </w:r>
          </w:p>
        </w:tc>
      </w:tr>
      <w:tr w:rsidR="00141CDF" w14:paraId="098AA5E9" w14:textId="77777777">
        <w:trPr>
          <w:jc w:val="center"/>
        </w:trPr>
        <w:tc>
          <w:tcPr>
            <w:tcW w:w="0" w:type="auto"/>
            <w:gridSpan w:val="3"/>
            <w:shd w:val="clear" w:color="auto" w:fill="auto"/>
            <w:tcMar>
              <w:top w:w="0" w:type="dxa"/>
              <w:left w:w="20" w:type="dxa"/>
              <w:bottom w:w="0" w:type="dxa"/>
              <w:right w:w="20" w:type="dxa"/>
            </w:tcMar>
            <w:vAlign w:val="bottom"/>
          </w:tcPr>
          <w:p w14:paraId="098AA5E5"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A5E6"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A5E7"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98AA5E8" w14:textId="77777777" w:rsidR="00141CDF" w:rsidRDefault="00DF45E0">
            <w:pPr>
              <w:jc w:val="center"/>
              <w:textAlignment w:val="bottom"/>
            </w:pPr>
            <w:r>
              <w:rPr>
                <w:rFonts w:ascii="Times New Roman" w:eastAsia="宋体" w:hAnsi="Times New Roman"/>
                <w:b/>
                <w:bCs/>
                <w:color w:val="000000"/>
                <w:sz w:val="16"/>
                <w:szCs w:val="16"/>
              </w:rPr>
              <w:t>C. Douglas McMillon</w:t>
            </w:r>
            <w:r>
              <w:rPr>
                <w:rFonts w:ascii="Times New Roman" w:eastAsia="宋体" w:hAnsi="Times New Roman"/>
                <w:b/>
                <w:bCs/>
                <w:color w:val="000000"/>
                <w:sz w:val="16"/>
                <w:szCs w:val="16"/>
              </w:rPr>
              <w:br/>
              <w:t>President and Chief Executive Officer</w:t>
            </w:r>
            <w:r>
              <w:rPr>
                <w:rFonts w:ascii="Times New Roman" w:eastAsia="宋体" w:hAnsi="Times New Roman"/>
                <w:b/>
                <w:bCs/>
                <w:color w:val="000000"/>
                <w:sz w:val="16"/>
                <w:szCs w:val="16"/>
              </w:rPr>
              <w:br/>
              <w:t>(Principal Executive Officer)</w:t>
            </w:r>
          </w:p>
        </w:tc>
      </w:tr>
      <w:tr w:rsidR="00141CDF" w14:paraId="098AA5EE" w14:textId="77777777">
        <w:trPr>
          <w:trHeight w:val="640"/>
          <w:jc w:val="center"/>
        </w:trPr>
        <w:tc>
          <w:tcPr>
            <w:tcW w:w="0" w:type="auto"/>
            <w:gridSpan w:val="3"/>
            <w:shd w:val="clear" w:color="auto" w:fill="auto"/>
            <w:tcMar>
              <w:top w:w="0" w:type="dxa"/>
              <w:left w:w="20" w:type="dxa"/>
              <w:bottom w:w="0" w:type="dxa"/>
              <w:right w:w="20" w:type="dxa"/>
            </w:tcMar>
            <w:vAlign w:val="bottom"/>
          </w:tcPr>
          <w:p w14:paraId="098AA5EA"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A5EB"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A5EC"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A5ED" w14:textId="77777777" w:rsidR="00141CDF" w:rsidRDefault="00141CDF">
            <w:pPr>
              <w:rPr>
                <w:rFonts w:ascii="宋体"/>
              </w:rPr>
            </w:pPr>
          </w:p>
        </w:tc>
      </w:tr>
      <w:tr w:rsidR="00141CDF" w14:paraId="098AA5F3" w14:textId="77777777">
        <w:trPr>
          <w:jc w:val="center"/>
        </w:trPr>
        <w:tc>
          <w:tcPr>
            <w:tcW w:w="0" w:type="auto"/>
            <w:gridSpan w:val="3"/>
            <w:shd w:val="clear" w:color="auto" w:fill="auto"/>
            <w:tcMar>
              <w:top w:w="40" w:type="dxa"/>
              <w:left w:w="20" w:type="dxa"/>
              <w:bottom w:w="40" w:type="dxa"/>
              <w:right w:w="20" w:type="dxa"/>
            </w:tcMar>
            <w:vAlign w:val="bottom"/>
          </w:tcPr>
          <w:p w14:paraId="098AA5EF" w14:textId="77777777" w:rsidR="00141CDF" w:rsidRDefault="00DF45E0">
            <w:pPr>
              <w:textAlignment w:val="bottom"/>
            </w:pPr>
            <w:r>
              <w:rPr>
                <w:rFonts w:ascii="Times New Roman" w:eastAsia="宋体" w:hAnsi="Times New Roman"/>
                <w:color w:val="000000"/>
                <w:sz w:val="18"/>
                <w:szCs w:val="18"/>
              </w:rPr>
              <w:t>Date: September 2, 2022</w:t>
            </w:r>
          </w:p>
        </w:tc>
        <w:tc>
          <w:tcPr>
            <w:tcW w:w="0" w:type="auto"/>
            <w:gridSpan w:val="3"/>
            <w:shd w:val="clear" w:color="auto" w:fill="auto"/>
            <w:tcMar>
              <w:top w:w="40" w:type="dxa"/>
              <w:left w:w="20" w:type="dxa"/>
              <w:bottom w:w="40" w:type="dxa"/>
              <w:right w:w="20" w:type="dxa"/>
            </w:tcMar>
            <w:vAlign w:val="bottom"/>
          </w:tcPr>
          <w:p w14:paraId="098AA5F0" w14:textId="77777777" w:rsidR="00141CDF" w:rsidRDefault="00DF45E0">
            <w:pPr>
              <w:textAlignment w:val="bottom"/>
            </w:pPr>
            <w:r>
              <w:rPr>
                <w:rFonts w:ascii="Times New Roman" w:eastAsia="宋体" w:hAnsi="Times New Roman"/>
                <w:color w:val="000000"/>
                <w:sz w:val="18"/>
                <w:szCs w:val="18"/>
              </w:rPr>
              <w:t>By:</w:t>
            </w:r>
          </w:p>
        </w:tc>
        <w:tc>
          <w:tcPr>
            <w:tcW w:w="0" w:type="auto"/>
            <w:gridSpan w:val="3"/>
            <w:shd w:val="clear" w:color="auto" w:fill="auto"/>
            <w:tcMar>
              <w:top w:w="0" w:type="dxa"/>
              <w:left w:w="20" w:type="dxa"/>
              <w:bottom w:w="0" w:type="dxa"/>
              <w:right w:w="20" w:type="dxa"/>
            </w:tcMar>
            <w:vAlign w:val="bottom"/>
          </w:tcPr>
          <w:p w14:paraId="098AA5F1"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A5F2" w14:textId="77777777" w:rsidR="00141CDF" w:rsidRDefault="00DF45E0">
            <w:pPr>
              <w:jc w:val="center"/>
              <w:textAlignment w:val="bottom"/>
            </w:pPr>
            <w:r>
              <w:rPr>
                <w:rFonts w:ascii="Times New Roman" w:eastAsia="宋体" w:hAnsi="Times New Roman"/>
                <w:color w:val="000000"/>
                <w:sz w:val="18"/>
                <w:szCs w:val="18"/>
              </w:rPr>
              <w:t>/s/ John David Rainey</w:t>
            </w:r>
          </w:p>
        </w:tc>
      </w:tr>
      <w:tr w:rsidR="00141CDF" w14:paraId="098AA5F8" w14:textId="77777777">
        <w:trPr>
          <w:jc w:val="center"/>
        </w:trPr>
        <w:tc>
          <w:tcPr>
            <w:tcW w:w="0" w:type="auto"/>
            <w:gridSpan w:val="3"/>
            <w:shd w:val="clear" w:color="auto" w:fill="auto"/>
            <w:tcMar>
              <w:top w:w="0" w:type="dxa"/>
              <w:left w:w="20" w:type="dxa"/>
              <w:bottom w:w="0" w:type="dxa"/>
              <w:right w:w="20" w:type="dxa"/>
            </w:tcMar>
            <w:vAlign w:val="bottom"/>
          </w:tcPr>
          <w:p w14:paraId="098AA5F4"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A5F5"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A5F6"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98AA5F7" w14:textId="77777777" w:rsidR="00141CDF" w:rsidRDefault="00DF45E0">
            <w:pPr>
              <w:jc w:val="center"/>
              <w:textAlignment w:val="bottom"/>
            </w:pPr>
            <w:r>
              <w:rPr>
                <w:rFonts w:ascii="Times New Roman" w:eastAsia="宋体" w:hAnsi="Times New Roman"/>
                <w:b/>
                <w:bCs/>
                <w:color w:val="000000"/>
                <w:sz w:val="16"/>
                <w:szCs w:val="16"/>
              </w:rPr>
              <w:t xml:space="preserve">John </w:t>
            </w:r>
            <w:r>
              <w:rPr>
                <w:rFonts w:ascii="Times New Roman" w:eastAsia="宋体" w:hAnsi="Times New Roman"/>
                <w:b/>
                <w:bCs/>
                <w:color w:val="000000"/>
                <w:sz w:val="16"/>
                <w:szCs w:val="16"/>
              </w:rPr>
              <w:t>David Rainey</w:t>
            </w:r>
            <w:r>
              <w:rPr>
                <w:rFonts w:ascii="Times New Roman" w:eastAsia="宋体" w:hAnsi="Times New Roman"/>
                <w:b/>
                <w:bCs/>
                <w:color w:val="000000"/>
                <w:sz w:val="16"/>
                <w:szCs w:val="16"/>
              </w:rPr>
              <w:br/>
              <w:t>Executive Vice President and Chief Financial Officer</w:t>
            </w:r>
            <w:r>
              <w:rPr>
                <w:rFonts w:ascii="Times New Roman" w:eastAsia="宋体" w:hAnsi="Times New Roman"/>
                <w:b/>
                <w:bCs/>
                <w:color w:val="000000"/>
                <w:sz w:val="16"/>
                <w:szCs w:val="16"/>
              </w:rPr>
              <w:br/>
              <w:t>(Principal Financial Officer)</w:t>
            </w:r>
          </w:p>
        </w:tc>
      </w:tr>
      <w:tr w:rsidR="00141CDF" w14:paraId="098AA5FD" w14:textId="77777777">
        <w:trPr>
          <w:trHeight w:val="640"/>
          <w:jc w:val="center"/>
        </w:trPr>
        <w:tc>
          <w:tcPr>
            <w:tcW w:w="0" w:type="auto"/>
            <w:gridSpan w:val="3"/>
            <w:shd w:val="clear" w:color="auto" w:fill="auto"/>
            <w:tcMar>
              <w:top w:w="0" w:type="dxa"/>
              <w:left w:w="20" w:type="dxa"/>
              <w:bottom w:w="0" w:type="dxa"/>
              <w:right w:w="20" w:type="dxa"/>
            </w:tcMar>
            <w:vAlign w:val="bottom"/>
          </w:tcPr>
          <w:p w14:paraId="098AA5F9"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A5FA"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A5FB"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A5FC" w14:textId="77777777" w:rsidR="00141CDF" w:rsidRDefault="00141CDF">
            <w:pPr>
              <w:rPr>
                <w:rFonts w:ascii="宋体"/>
              </w:rPr>
            </w:pPr>
          </w:p>
        </w:tc>
      </w:tr>
      <w:tr w:rsidR="00141CDF" w14:paraId="098AA602" w14:textId="77777777">
        <w:trPr>
          <w:jc w:val="center"/>
        </w:trPr>
        <w:tc>
          <w:tcPr>
            <w:tcW w:w="0" w:type="auto"/>
            <w:gridSpan w:val="3"/>
            <w:shd w:val="clear" w:color="auto" w:fill="auto"/>
            <w:tcMar>
              <w:top w:w="40" w:type="dxa"/>
              <w:left w:w="20" w:type="dxa"/>
              <w:bottom w:w="40" w:type="dxa"/>
              <w:right w:w="20" w:type="dxa"/>
            </w:tcMar>
            <w:vAlign w:val="bottom"/>
          </w:tcPr>
          <w:p w14:paraId="098AA5FE" w14:textId="77777777" w:rsidR="00141CDF" w:rsidRDefault="00DF45E0">
            <w:pPr>
              <w:textAlignment w:val="bottom"/>
            </w:pPr>
            <w:r>
              <w:rPr>
                <w:rFonts w:ascii="Times New Roman" w:eastAsia="宋体" w:hAnsi="Times New Roman"/>
                <w:color w:val="000000"/>
                <w:sz w:val="18"/>
                <w:szCs w:val="18"/>
              </w:rPr>
              <w:t>Date: September 2, 2022</w:t>
            </w:r>
          </w:p>
        </w:tc>
        <w:tc>
          <w:tcPr>
            <w:tcW w:w="0" w:type="auto"/>
            <w:gridSpan w:val="3"/>
            <w:shd w:val="clear" w:color="auto" w:fill="auto"/>
            <w:tcMar>
              <w:top w:w="40" w:type="dxa"/>
              <w:left w:w="20" w:type="dxa"/>
              <w:bottom w:w="40" w:type="dxa"/>
              <w:right w:w="20" w:type="dxa"/>
            </w:tcMar>
            <w:vAlign w:val="bottom"/>
          </w:tcPr>
          <w:p w14:paraId="098AA5FF" w14:textId="77777777" w:rsidR="00141CDF" w:rsidRDefault="00DF45E0">
            <w:pPr>
              <w:textAlignment w:val="bottom"/>
            </w:pPr>
            <w:r>
              <w:rPr>
                <w:rFonts w:ascii="Times New Roman" w:eastAsia="宋体" w:hAnsi="Times New Roman"/>
                <w:color w:val="000000"/>
                <w:sz w:val="18"/>
                <w:szCs w:val="18"/>
              </w:rPr>
              <w:t>By:</w:t>
            </w:r>
          </w:p>
        </w:tc>
        <w:tc>
          <w:tcPr>
            <w:tcW w:w="0" w:type="auto"/>
            <w:gridSpan w:val="3"/>
            <w:shd w:val="clear" w:color="auto" w:fill="auto"/>
            <w:tcMar>
              <w:top w:w="0" w:type="dxa"/>
              <w:left w:w="20" w:type="dxa"/>
              <w:bottom w:w="0" w:type="dxa"/>
              <w:right w:w="20" w:type="dxa"/>
            </w:tcMar>
            <w:vAlign w:val="bottom"/>
          </w:tcPr>
          <w:p w14:paraId="098AA600" w14:textId="77777777" w:rsidR="00141CDF" w:rsidRDefault="00141CDF">
            <w:pPr>
              <w:rPr>
                <w:rFonts w:ascii="宋体"/>
              </w:rPr>
            </w:pPr>
          </w:p>
        </w:tc>
        <w:tc>
          <w:tcPr>
            <w:tcW w:w="0" w:type="auto"/>
            <w:gridSpan w:val="3"/>
            <w:shd w:val="clear" w:color="auto" w:fill="auto"/>
            <w:tcMar>
              <w:top w:w="40" w:type="dxa"/>
              <w:left w:w="20" w:type="dxa"/>
              <w:bottom w:w="40" w:type="dxa"/>
              <w:right w:w="20" w:type="dxa"/>
            </w:tcMar>
            <w:vAlign w:val="bottom"/>
          </w:tcPr>
          <w:p w14:paraId="098AA601" w14:textId="77777777" w:rsidR="00141CDF" w:rsidRDefault="00DF45E0">
            <w:pPr>
              <w:jc w:val="center"/>
              <w:textAlignment w:val="bottom"/>
            </w:pPr>
            <w:r>
              <w:rPr>
                <w:rFonts w:ascii="Times New Roman" w:eastAsia="宋体" w:hAnsi="Times New Roman"/>
                <w:color w:val="000000"/>
                <w:sz w:val="18"/>
                <w:szCs w:val="18"/>
              </w:rPr>
              <w:t>/s/ David M. Chojnowski</w:t>
            </w:r>
          </w:p>
        </w:tc>
      </w:tr>
      <w:tr w:rsidR="00141CDF" w14:paraId="098AA607" w14:textId="77777777">
        <w:trPr>
          <w:jc w:val="center"/>
        </w:trPr>
        <w:tc>
          <w:tcPr>
            <w:tcW w:w="0" w:type="auto"/>
            <w:gridSpan w:val="3"/>
            <w:shd w:val="clear" w:color="auto" w:fill="auto"/>
            <w:tcMar>
              <w:top w:w="0" w:type="dxa"/>
              <w:left w:w="20" w:type="dxa"/>
              <w:bottom w:w="0" w:type="dxa"/>
              <w:right w:w="20" w:type="dxa"/>
            </w:tcMar>
            <w:vAlign w:val="bottom"/>
          </w:tcPr>
          <w:p w14:paraId="098AA603"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A604" w14:textId="77777777" w:rsidR="00141CDF" w:rsidRDefault="00141CDF">
            <w:pPr>
              <w:rPr>
                <w:rFonts w:ascii="宋体"/>
              </w:rPr>
            </w:pPr>
          </w:p>
        </w:tc>
        <w:tc>
          <w:tcPr>
            <w:tcW w:w="0" w:type="auto"/>
            <w:gridSpan w:val="3"/>
            <w:shd w:val="clear" w:color="auto" w:fill="auto"/>
            <w:tcMar>
              <w:top w:w="0" w:type="dxa"/>
              <w:left w:w="20" w:type="dxa"/>
              <w:bottom w:w="0" w:type="dxa"/>
              <w:right w:w="20" w:type="dxa"/>
            </w:tcMar>
            <w:vAlign w:val="bottom"/>
          </w:tcPr>
          <w:p w14:paraId="098AA605" w14:textId="77777777" w:rsidR="00141CDF" w:rsidRDefault="00141C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98AA606" w14:textId="77777777" w:rsidR="00141CDF" w:rsidRDefault="00DF45E0">
            <w:pPr>
              <w:jc w:val="center"/>
              <w:textAlignment w:val="bottom"/>
            </w:pPr>
            <w:r>
              <w:rPr>
                <w:rFonts w:ascii="Times New Roman" w:eastAsia="宋体" w:hAnsi="Times New Roman"/>
                <w:b/>
                <w:bCs/>
                <w:color w:val="000000"/>
                <w:sz w:val="16"/>
                <w:szCs w:val="16"/>
              </w:rPr>
              <w:t>David M. Chojnowski</w:t>
            </w:r>
            <w:r>
              <w:rPr>
                <w:rFonts w:ascii="Times New Roman" w:eastAsia="宋体" w:hAnsi="Times New Roman"/>
                <w:b/>
                <w:bCs/>
                <w:color w:val="000000"/>
                <w:sz w:val="16"/>
                <w:szCs w:val="16"/>
              </w:rPr>
              <w:br/>
              <w:t>Senior Vice President and Controller</w:t>
            </w:r>
            <w:r>
              <w:rPr>
                <w:rFonts w:ascii="Times New Roman" w:eastAsia="宋体" w:hAnsi="Times New Roman"/>
                <w:b/>
                <w:bCs/>
                <w:color w:val="000000"/>
                <w:sz w:val="16"/>
                <w:szCs w:val="16"/>
              </w:rPr>
              <w:br/>
              <w:t>(Principal Accounting Officer)</w:t>
            </w:r>
          </w:p>
        </w:tc>
      </w:tr>
    </w:tbl>
    <w:p w14:paraId="098AA608" w14:textId="77777777" w:rsidR="00141CDF" w:rsidRDefault="00141CDF"/>
    <w:p w14:paraId="098AA609" w14:textId="77777777" w:rsidR="00141CDF" w:rsidRDefault="00DF45E0">
      <w:pPr>
        <w:jc w:val="center"/>
      </w:pPr>
      <w:r>
        <w:rPr>
          <w:rFonts w:ascii="Times New Roman" w:eastAsia="宋体" w:hAnsi="Times New Roman"/>
          <w:color w:val="000000"/>
          <w:sz w:val="20"/>
          <w:szCs w:val="20"/>
        </w:rPr>
        <w:t>34</w:t>
      </w:r>
    </w:p>
    <w:p w14:paraId="098AA60A" w14:textId="77777777" w:rsidR="00141CDF" w:rsidRDefault="00DF45E0">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098AA670" wp14:editId="098AA671">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41CDF" w14:paraId="098AA60C" w14:textId="77777777">
        <w:trPr>
          <w:tblCellSpacing w:w="15" w:type="dxa"/>
        </w:trPr>
        <w:tc>
          <w:tcPr>
            <w:tcW w:w="0" w:type="auto"/>
            <w:shd w:val="clear" w:color="auto" w:fill="auto"/>
            <w:vAlign w:val="center"/>
          </w:tcPr>
          <w:p w14:paraId="098AA60B" w14:textId="77777777" w:rsidR="00141CDF" w:rsidRDefault="00141CDF">
            <w:pPr>
              <w:rPr>
                <w:rFonts w:ascii="宋体"/>
              </w:rPr>
            </w:pPr>
          </w:p>
        </w:tc>
      </w:tr>
    </w:tbl>
    <w:p w14:paraId="098AA60D" w14:textId="77777777" w:rsidR="00141CDF" w:rsidRDefault="00141CD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41CDF" w14:paraId="098AA60F" w14:textId="77777777">
        <w:trPr>
          <w:tblCellSpacing w:w="15" w:type="dxa"/>
        </w:trPr>
        <w:tc>
          <w:tcPr>
            <w:tcW w:w="0" w:type="auto"/>
            <w:shd w:val="clear" w:color="auto" w:fill="auto"/>
            <w:vAlign w:val="center"/>
          </w:tcPr>
          <w:p w14:paraId="098AA60E" w14:textId="77777777" w:rsidR="00141CDF" w:rsidRDefault="00141CDF">
            <w:pPr>
              <w:rPr>
                <w:rFonts w:ascii="宋体"/>
              </w:rPr>
            </w:pPr>
          </w:p>
        </w:tc>
      </w:tr>
    </w:tbl>
    <w:p w14:paraId="098AA610" w14:textId="77777777" w:rsidR="00141CDF" w:rsidRDefault="00141CD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41CDF" w14:paraId="098AA612" w14:textId="77777777">
        <w:trPr>
          <w:tblCellSpacing w:w="15" w:type="dxa"/>
        </w:trPr>
        <w:tc>
          <w:tcPr>
            <w:tcW w:w="0" w:type="auto"/>
            <w:shd w:val="clear" w:color="auto" w:fill="auto"/>
            <w:vAlign w:val="center"/>
          </w:tcPr>
          <w:p w14:paraId="098AA611" w14:textId="77777777" w:rsidR="00141CDF" w:rsidRDefault="00141CDF">
            <w:pPr>
              <w:rPr>
                <w:rFonts w:ascii="宋体"/>
              </w:rPr>
            </w:pPr>
          </w:p>
        </w:tc>
      </w:tr>
    </w:tbl>
    <w:p w14:paraId="098AA613" w14:textId="77777777" w:rsidR="00141CDF" w:rsidRDefault="00141CD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41CDF" w14:paraId="098AA615" w14:textId="77777777">
        <w:trPr>
          <w:tblCellSpacing w:w="15" w:type="dxa"/>
        </w:trPr>
        <w:tc>
          <w:tcPr>
            <w:tcW w:w="0" w:type="auto"/>
            <w:shd w:val="clear" w:color="auto" w:fill="auto"/>
            <w:vAlign w:val="center"/>
          </w:tcPr>
          <w:p w14:paraId="098AA614" w14:textId="77777777" w:rsidR="00141CDF" w:rsidRDefault="00141CDF">
            <w:pPr>
              <w:rPr>
                <w:rFonts w:ascii="宋体"/>
              </w:rPr>
            </w:pPr>
          </w:p>
        </w:tc>
      </w:tr>
    </w:tbl>
    <w:p w14:paraId="098AA616" w14:textId="77777777" w:rsidR="00141CDF" w:rsidRDefault="00DF45E0">
      <w:r>
        <w:rPr>
          <w:rFonts w:ascii="宋体" w:eastAsia="宋体" w:hAnsi="宋体" w:cs="宋体"/>
        </w:rPr>
        <w:t xml:space="preserve">Previous Next </w:t>
      </w:r>
    </w:p>
    <w:p w14:paraId="098AA617" w14:textId="77777777" w:rsidR="00141CDF" w:rsidRDefault="00DF45E0">
      <w:pPr>
        <w:pStyle w:val="a3"/>
      </w:pPr>
      <w:r>
        <w:t>Settings</w:t>
      </w:r>
    </w:p>
    <w:p w14:paraId="098AA618" w14:textId="77777777" w:rsidR="00141CDF" w:rsidRDefault="00DF45E0">
      <w:pPr>
        <w:pStyle w:val="Style4"/>
      </w:pPr>
      <w:r>
        <w:t>窗体顶端</w:t>
      </w:r>
    </w:p>
    <w:p w14:paraId="098AA619" w14:textId="77777777" w:rsidR="00141CDF" w:rsidRDefault="00DF45E0">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098AA672" wp14:editId="098AA673">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098AA61A" w14:textId="77777777" w:rsidR="00141CDF" w:rsidRDefault="00DF45E0">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098AA674" wp14:editId="098AA675">
                <wp:extent cx="635" cy="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H/dV3gACAAAaBAAADgAAAAAAAAAB&#10;ACAAAAAzAQAAZHJzL2Uyb0RvYy54bWxQSwUGAAAAAAYABgBZAQAApQU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098AA61B" w14:textId="77777777" w:rsidR="00141CDF" w:rsidRDefault="00DF45E0">
      <w:r>
        <w:pict w14:anchorId="098AA676">
          <v:rect id="_x0000_i1058" style="width:415.3pt;height:1.5pt" o:hralign="center" o:hrstd="t" o:hr="t" fillcolor="#a0a0a0" stroked="f"/>
        </w:pict>
      </w:r>
    </w:p>
    <w:p w14:paraId="098AA61C" w14:textId="77777777" w:rsidR="00141CDF" w:rsidRDefault="00DF45E0">
      <w:r>
        <w:rPr>
          <w:rFonts w:ascii="宋体" w:eastAsia="宋体" w:hAnsi="宋体" w:cs="宋体"/>
        </w:rPr>
        <w:t xml:space="preserve">Tagged Data </w:t>
      </w:r>
    </w:p>
    <w:p w14:paraId="098AA61D" w14:textId="77777777" w:rsidR="00141CDF" w:rsidRDefault="00DF45E0">
      <w:r>
        <w:rPr>
          <w:rFonts w:ascii="monospace" w:eastAsia="monospace" w:hAnsi="monospace" w:cs="monospace"/>
          <w:noProof/>
        </w:rPr>
        <mc:AlternateContent>
          <mc:Choice Requires="wps">
            <w:drawing>
              <wp:inline distT="0" distB="0" distL="114300" distR="114300" wp14:anchorId="098AA677" wp14:editId="098AA678">
                <wp:extent cx="635" cy="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By7Q/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BJLEgaWJ//7249fP74wcpM4QsKagh3AfMz8Md158Reb8TQ+uU+8wkMaUnWOrJ8H5gFPavo02&#10;pxNhti/qH07qq31igpxXry85E0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UHLtD/wEAABoEAAAOAAAAAAAAAAEA&#10;IAAAADMBAABkcnMvZTJvRG9jLnhtbFBLBQYAAAAABgAGAFkBAACkBQAAAAA=&#10;">
                <v:fill on="f" focussize="0,0"/>
                <v:stroke color="#000000" joinstyle="miter"/>
                <v:imagedata o:title=""/>
                <o:lock v:ext="edit" aspectratio="t"/>
                <w10:wrap type="none"/>
                <w10:anchorlock/>
              </v:rect>
            </w:pict>
          </mc:Fallback>
        </mc:AlternateContent>
      </w:r>
    </w:p>
    <w:p w14:paraId="098AA61E" w14:textId="77777777" w:rsidR="00141CDF" w:rsidRDefault="00DF45E0">
      <w:r>
        <w:rPr>
          <w:rFonts w:ascii="宋体" w:eastAsia="宋体" w:hAnsi="宋体" w:cs="宋体"/>
        </w:rPr>
        <w:t>Save</w:t>
      </w:r>
    </w:p>
    <w:p w14:paraId="098AA61F" w14:textId="77777777" w:rsidR="00141CDF" w:rsidRDefault="00DF45E0">
      <w:r>
        <w:rPr>
          <w:rFonts w:ascii="宋体" w:eastAsia="宋体" w:hAnsi="宋体" w:cs="宋体"/>
        </w:rPr>
        <w:t>Reset</w:t>
      </w:r>
    </w:p>
    <w:p w14:paraId="098AA620" w14:textId="77777777" w:rsidR="00141CDF" w:rsidRDefault="00DF45E0">
      <w:r>
        <w:pict w14:anchorId="098AA679">
          <v:rect id="_x0000_i1059" style="width:415.3pt;height:1.5pt" o:hralign="center" o:hrstd="t" o:hr="t" fillcolor="#a0a0a0" stroked="f"/>
        </w:pict>
      </w:r>
    </w:p>
    <w:p w14:paraId="098AA621" w14:textId="77777777" w:rsidR="00141CDF" w:rsidRDefault="00DF45E0">
      <w:r>
        <w:rPr>
          <w:rFonts w:ascii="宋体" w:eastAsia="宋体" w:hAnsi="宋体" w:cs="宋体"/>
        </w:rPr>
        <w:t xml:space="preserve">Search Results </w:t>
      </w:r>
    </w:p>
    <w:p w14:paraId="098AA622" w14:textId="77777777" w:rsidR="00141CDF" w:rsidRDefault="00DF45E0">
      <w:r>
        <w:rPr>
          <w:rFonts w:ascii="monospace" w:eastAsia="monospace" w:hAnsi="monospace" w:cs="monospace"/>
          <w:noProof/>
        </w:rPr>
        <mc:AlternateContent>
          <mc:Choice Requires="wps">
            <w:drawing>
              <wp:inline distT="0" distB="0" distL="114300" distR="114300" wp14:anchorId="098AA67A" wp14:editId="098AA67B">
                <wp:extent cx="635" cy="0"/>
                <wp:effectExtent l="0" t="0" r="0" b="0"/>
                <wp:docPr id="12"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A80Xow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A80Xow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098AA623" w14:textId="77777777" w:rsidR="00141CDF" w:rsidRDefault="00DF45E0">
      <w:r>
        <w:rPr>
          <w:rFonts w:ascii="宋体" w:eastAsia="宋体" w:hAnsi="宋体" w:cs="宋体"/>
        </w:rPr>
        <w:t>Save</w:t>
      </w:r>
    </w:p>
    <w:p w14:paraId="098AA624" w14:textId="77777777" w:rsidR="00141CDF" w:rsidRDefault="00DF45E0">
      <w:r>
        <w:rPr>
          <w:rFonts w:ascii="宋体" w:eastAsia="宋体" w:hAnsi="宋体" w:cs="宋体"/>
        </w:rPr>
        <w:t>Reset</w:t>
      </w:r>
    </w:p>
    <w:p w14:paraId="098AA625" w14:textId="77777777" w:rsidR="00141CDF" w:rsidRDefault="00DF45E0">
      <w:r>
        <w:pict w14:anchorId="098AA67C">
          <v:rect id="_x0000_i1060" style="width:415.3pt;height:1.5pt" o:hralign="center" o:hrstd="t" o:hr="t" fillcolor="#a0a0a0" stroked="f"/>
        </w:pict>
      </w:r>
    </w:p>
    <w:p w14:paraId="098AA626" w14:textId="77777777" w:rsidR="00141CDF" w:rsidRDefault="00DF45E0">
      <w:r>
        <w:rPr>
          <w:rFonts w:ascii="宋体" w:eastAsia="宋体" w:hAnsi="宋体" w:cs="宋体"/>
        </w:rPr>
        <w:t xml:space="preserve">Selected Fact </w:t>
      </w:r>
    </w:p>
    <w:p w14:paraId="098AA627" w14:textId="77777777" w:rsidR="00141CDF" w:rsidRDefault="00DF45E0">
      <w:r>
        <w:rPr>
          <w:rFonts w:ascii="monospace" w:eastAsia="monospace" w:hAnsi="monospace" w:cs="monospace"/>
          <w:noProof/>
        </w:rPr>
        <mc:AlternateContent>
          <mc:Choice Requires="wps">
            <w:drawing>
              <wp:inline distT="0" distB="0" distL="114300" distR="114300" wp14:anchorId="098AA67D" wp14:editId="098AA67E">
                <wp:extent cx="635" cy="0"/>
                <wp:effectExtent l="0" t="0" r="0" b="0"/>
                <wp:docPr id="13"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yCb5PgA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yCb5Pg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098AA628" w14:textId="77777777" w:rsidR="00141CDF" w:rsidRDefault="00DF45E0">
      <w:r>
        <w:rPr>
          <w:rFonts w:ascii="宋体" w:eastAsia="宋体" w:hAnsi="宋体" w:cs="宋体"/>
        </w:rPr>
        <w:t>Save</w:t>
      </w:r>
    </w:p>
    <w:p w14:paraId="098AA629" w14:textId="77777777" w:rsidR="00141CDF" w:rsidRDefault="00DF45E0">
      <w:r>
        <w:rPr>
          <w:rFonts w:ascii="宋体" w:eastAsia="宋体" w:hAnsi="宋体" w:cs="宋体"/>
        </w:rPr>
        <w:t>Reset</w:t>
      </w:r>
    </w:p>
    <w:p w14:paraId="098AA62A" w14:textId="77777777" w:rsidR="00141CDF" w:rsidRDefault="00DF45E0">
      <w:r>
        <w:pict w14:anchorId="098AA67F">
          <v:rect id="_x0000_i1061" style="width:415.3pt;height:1.5pt" o:hralign="center" o:hrstd="t" o:hr="t" fillcolor="#a0a0a0" stroked="f"/>
        </w:pict>
      </w:r>
    </w:p>
    <w:p w14:paraId="098AA62B" w14:textId="77777777" w:rsidR="00141CDF" w:rsidRDefault="00DF45E0">
      <w:r>
        <w:rPr>
          <w:rFonts w:ascii="宋体" w:eastAsia="宋体" w:hAnsi="宋体" w:cs="宋体"/>
        </w:rPr>
        <w:t xml:space="preserve">Tag Shading (hover) </w:t>
      </w:r>
    </w:p>
    <w:p w14:paraId="098AA62C" w14:textId="77777777" w:rsidR="00141CDF" w:rsidRDefault="00DF45E0">
      <w:r>
        <w:rPr>
          <w:rFonts w:ascii="monospace" w:eastAsia="monospace" w:hAnsi="monospace" w:cs="monospace"/>
          <w:noProof/>
        </w:rPr>
        <mc:AlternateContent>
          <mc:Choice Requires="wps">
            <w:drawing>
              <wp:inline distT="0" distB="0" distL="114300" distR="114300" wp14:anchorId="098AA680" wp14:editId="098AA681">
                <wp:extent cx="635" cy="0"/>
                <wp:effectExtent l="0" t="0" r="0" b="0"/>
                <wp:docPr id="14" name="矩形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O7mTWQ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O7mTWQ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098AA62D" w14:textId="77777777" w:rsidR="00141CDF" w:rsidRDefault="00DF45E0">
      <w:r>
        <w:rPr>
          <w:rFonts w:ascii="宋体" w:eastAsia="宋体" w:hAnsi="宋体" w:cs="宋体"/>
        </w:rPr>
        <w:t>Save</w:t>
      </w:r>
    </w:p>
    <w:p w14:paraId="098AA62E" w14:textId="77777777" w:rsidR="00141CDF" w:rsidRDefault="00DF45E0">
      <w:r>
        <w:rPr>
          <w:rFonts w:ascii="宋体" w:eastAsia="宋体" w:hAnsi="宋体" w:cs="宋体"/>
        </w:rPr>
        <w:t>Reset</w:t>
      </w:r>
    </w:p>
    <w:p w14:paraId="098AA62F" w14:textId="77777777" w:rsidR="00141CDF" w:rsidRDefault="00DF45E0">
      <w:pPr>
        <w:pStyle w:val="Style5"/>
      </w:pPr>
      <w:r>
        <w:t>窗体底端</w:t>
      </w:r>
    </w:p>
    <w:p w14:paraId="098AA630" w14:textId="77777777" w:rsidR="00141CDF" w:rsidRDefault="00DF45E0">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098AA682" wp14:editId="098AA683">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41CDF" w14:paraId="098AA632" w14:textId="77777777">
        <w:trPr>
          <w:tblCellSpacing w:w="15" w:type="dxa"/>
        </w:trPr>
        <w:tc>
          <w:tcPr>
            <w:tcW w:w="0" w:type="auto"/>
            <w:shd w:val="clear" w:color="auto" w:fill="auto"/>
            <w:vAlign w:val="center"/>
          </w:tcPr>
          <w:p w14:paraId="098AA631" w14:textId="77777777" w:rsidR="00141CDF" w:rsidRDefault="00141CDF">
            <w:pPr>
              <w:rPr>
                <w:rFonts w:ascii="宋体"/>
              </w:rPr>
            </w:pPr>
          </w:p>
        </w:tc>
      </w:tr>
    </w:tbl>
    <w:p w14:paraId="098AA633" w14:textId="77777777" w:rsidR="00141CDF" w:rsidRDefault="00141CD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41CDF" w14:paraId="098AA635" w14:textId="77777777">
        <w:trPr>
          <w:tblCellSpacing w:w="15" w:type="dxa"/>
        </w:trPr>
        <w:tc>
          <w:tcPr>
            <w:tcW w:w="0" w:type="auto"/>
            <w:shd w:val="clear" w:color="auto" w:fill="auto"/>
            <w:vAlign w:val="center"/>
          </w:tcPr>
          <w:p w14:paraId="098AA634" w14:textId="77777777" w:rsidR="00141CDF" w:rsidRDefault="00141CDF">
            <w:pPr>
              <w:rPr>
                <w:rFonts w:ascii="宋体"/>
              </w:rPr>
            </w:pPr>
          </w:p>
        </w:tc>
      </w:tr>
    </w:tbl>
    <w:p w14:paraId="098AA636" w14:textId="77777777" w:rsidR="00141CDF" w:rsidRDefault="00141CD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41CDF" w14:paraId="098AA638" w14:textId="77777777">
        <w:trPr>
          <w:tblCellSpacing w:w="15" w:type="dxa"/>
        </w:trPr>
        <w:tc>
          <w:tcPr>
            <w:tcW w:w="0" w:type="auto"/>
            <w:shd w:val="clear" w:color="auto" w:fill="auto"/>
            <w:vAlign w:val="center"/>
          </w:tcPr>
          <w:p w14:paraId="098AA637" w14:textId="77777777" w:rsidR="00141CDF" w:rsidRDefault="00141CDF">
            <w:pPr>
              <w:rPr>
                <w:rFonts w:ascii="宋体"/>
              </w:rPr>
            </w:pPr>
          </w:p>
        </w:tc>
      </w:tr>
    </w:tbl>
    <w:p w14:paraId="098AA639" w14:textId="77777777" w:rsidR="00141CDF" w:rsidRDefault="00141CD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41CDF" w14:paraId="098AA63B" w14:textId="77777777">
        <w:trPr>
          <w:tblCellSpacing w:w="15" w:type="dxa"/>
        </w:trPr>
        <w:tc>
          <w:tcPr>
            <w:tcW w:w="0" w:type="auto"/>
            <w:shd w:val="clear" w:color="auto" w:fill="auto"/>
            <w:vAlign w:val="center"/>
          </w:tcPr>
          <w:p w14:paraId="098AA63A" w14:textId="77777777" w:rsidR="00141CDF" w:rsidRDefault="00141CDF">
            <w:pPr>
              <w:rPr>
                <w:rFonts w:ascii="宋体"/>
              </w:rPr>
            </w:pPr>
          </w:p>
        </w:tc>
      </w:tr>
    </w:tbl>
    <w:p w14:paraId="098AA63C" w14:textId="77777777" w:rsidR="00141CDF" w:rsidRDefault="00DF45E0">
      <w:r>
        <w:rPr>
          <w:rFonts w:ascii="宋体" w:eastAsia="宋体" w:hAnsi="宋体" w:cs="宋体"/>
        </w:rPr>
        <w:t xml:space="preserve">Previous Next </w:t>
      </w:r>
    </w:p>
    <w:p w14:paraId="098AA63D" w14:textId="77777777" w:rsidR="00141CDF" w:rsidRDefault="00DF45E0">
      <w:pPr>
        <w:pStyle w:val="a3"/>
      </w:pPr>
      <w:r>
        <w:t xml:space="preserve">Nested Facts / </w:t>
      </w:r>
    </w:p>
    <w:p w14:paraId="098AA63E" w14:textId="77777777" w:rsidR="00141CDF" w:rsidRDefault="00DF45E0">
      <w:r>
        <w:rPr>
          <w:rFonts w:ascii="宋体" w:eastAsia="宋体" w:hAnsi="宋体" w:cs="宋体"/>
        </w:rPr>
        <w:t xml:space="preserve">Previous Next </w:t>
      </w:r>
    </w:p>
    <w:p w14:paraId="098AA63F" w14:textId="77777777" w:rsidR="00141CDF" w:rsidRDefault="00DF45E0">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098AA684" wp14:editId="098AA685">
                <wp:extent cx="635" cy="0"/>
                <wp:effectExtent l="0" t="0" r="0" b="0"/>
                <wp:docPr id="15" name="矩形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8FJ9x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hEvOHFia+O9vP379/M7IQeoMAWsKegj3MfPDcOfFV2TO3/TgOvUOA2lM2Tm2ehKcDzil7dto&#10;czoRZvui/uGkvtonJsh59Zo6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wUn3E/wEAABo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41CDF" w14:paraId="098AA641" w14:textId="77777777">
        <w:trPr>
          <w:tblCellSpacing w:w="15" w:type="dxa"/>
        </w:trPr>
        <w:tc>
          <w:tcPr>
            <w:tcW w:w="0" w:type="auto"/>
            <w:shd w:val="clear" w:color="auto" w:fill="auto"/>
            <w:vAlign w:val="center"/>
          </w:tcPr>
          <w:p w14:paraId="098AA640" w14:textId="77777777" w:rsidR="00141CDF" w:rsidRDefault="00141CDF">
            <w:pPr>
              <w:rPr>
                <w:rFonts w:ascii="宋体"/>
              </w:rPr>
            </w:pPr>
          </w:p>
        </w:tc>
      </w:tr>
    </w:tbl>
    <w:p w14:paraId="098AA642" w14:textId="77777777" w:rsidR="00141CDF" w:rsidRDefault="00141CD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41CDF" w14:paraId="098AA644" w14:textId="77777777">
        <w:trPr>
          <w:tblCellSpacing w:w="15" w:type="dxa"/>
        </w:trPr>
        <w:tc>
          <w:tcPr>
            <w:tcW w:w="0" w:type="auto"/>
            <w:shd w:val="clear" w:color="auto" w:fill="auto"/>
            <w:vAlign w:val="center"/>
          </w:tcPr>
          <w:p w14:paraId="098AA643" w14:textId="77777777" w:rsidR="00141CDF" w:rsidRDefault="00141CDF">
            <w:pPr>
              <w:rPr>
                <w:rFonts w:ascii="宋体"/>
              </w:rPr>
            </w:pPr>
          </w:p>
        </w:tc>
      </w:tr>
    </w:tbl>
    <w:p w14:paraId="098AA645" w14:textId="77777777" w:rsidR="00141CDF" w:rsidRDefault="00141CD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41CDF" w14:paraId="098AA647" w14:textId="77777777">
        <w:trPr>
          <w:tblCellSpacing w:w="15" w:type="dxa"/>
        </w:trPr>
        <w:tc>
          <w:tcPr>
            <w:tcW w:w="0" w:type="auto"/>
            <w:shd w:val="clear" w:color="auto" w:fill="auto"/>
            <w:vAlign w:val="center"/>
          </w:tcPr>
          <w:p w14:paraId="098AA646" w14:textId="77777777" w:rsidR="00141CDF" w:rsidRDefault="00141CDF">
            <w:pPr>
              <w:rPr>
                <w:rFonts w:ascii="宋体"/>
              </w:rPr>
            </w:pPr>
          </w:p>
        </w:tc>
      </w:tr>
    </w:tbl>
    <w:p w14:paraId="098AA648" w14:textId="77777777" w:rsidR="00141CDF" w:rsidRDefault="00141CD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41CDF" w14:paraId="098AA64A" w14:textId="77777777">
        <w:trPr>
          <w:tblCellSpacing w:w="15" w:type="dxa"/>
        </w:trPr>
        <w:tc>
          <w:tcPr>
            <w:tcW w:w="0" w:type="auto"/>
            <w:shd w:val="clear" w:color="auto" w:fill="auto"/>
            <w:vAlign w:val="center"/>
          </w:tcPr>
          <w:p w14:paraId="098AA649" w14:textId="77777777" w:rsidR="00141CDF" w:rsidRDefault="00141CDF">
            <w:pPr>
              <w:rPr>
                <w:rFonts w:ascii="宋体"/>
              </w:rPr>
            </w:pPr>
          </w:p>
        </w:tc>
      </w:tr>
    </w:tbl>
    <w:p w14:paraId="098AA64B" w14:textId="77777777" w:rsidR="00141CDF" w:rsidRDefault="00DF45E0">
      <w:r>
        <w:rPr>
          <w:rFonts w:ascii="宋体" w:eastAsia="宋体" w:hAnsi="宋体" w:cs="宋体"/>
        </w:rPr>
        <w:t xml:space="preserve">Previous Next </w:t>
      </w:r>
    </w:p>
    <w:p w14:paraId="098AA64C" w14:textId="77777777" w:rsidR="00141CDF" w:rsidRDefault="00141CDF"/>
    <w:sectPr w:rsidR="00141CDF">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74AFF" w14:textId="77777777" w:rsidR="00DF45E0" w:rsidRDefault="00DF45E0" w:rsidP="00DF45E0">
      <w:r>
        <w:separator/>
      </w:r>
    </w:p>
  </w:endnote>
  <w:endnote w:type="continuationSeparator" w:id="0">
    <w:p w14:paraId="02894580" w14:textId="77777777" w:rsidR="00DF45E0" w:rsidRDefault="00DF45E0" w:rsidP="00DF4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7E62B" w14:textId="77777777" w:rsidR="00DF45E0" w:rsidRDefault="00DF45E0" w:rsidP="00DF45E0">
      <w:r>
        <w:separator/>
      </w:r>
    </w:p>
  </w:footnote>
  <w:footnote w:type="continuationSeparator" w:id="0">
    <w:p w14:paraId="2149EC66" w14:textId="77777777" w:rsidR="00DF45E0" w:rsidRDefault="00DF45E0" w:rsidP="00DF45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9FFFEAAF"/>
    <w:rsid w:val="9FFFEAAF"/>
    <w:rsid w:val="00141CDF"/>
    <w:rsid w:val="00DF4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8A84CB"/>
  <w15:docId w15:val="{92C46744-B7B1-4DE8-95F4-5FD60F7AE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pBdr>
        <w:top w:val="single" w:sz="18" w:space="0" w:color="FFFFFF"/>
        <w:left w:val="single" w:sz="18" w:space="0" w:color="FFFFFF"/>
        <w:bottom w:val="single" w:sz="18" w:space="0" w:color="FFFFFF"/>
        <w:right w:val="single" w:sz="18" w:space="0" w:color="FFFFFF"/>
      </w:pBd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DF45E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DF45E0"/>
    <w:rPr>
      <w:rFonts w:asciiTheme="minorEastAsia" w:hAnsiTheme="minorEastAsia" w:cs="Times New Roman"/>
      <w:sz w:val="18"/>
      <w:szCs w:val="18"/>
    </w:rPr>
  </w:style>
  <w:style w:type="paragraph" w:styleId="a8">
    <w:name w:val="footer"/>
    <w:basedOn w:val="a"/>
    <w:link w:val="a9"/>
    <w:rsid w:val="00DF45E0"/>
    <w:pPr>
      <w:tabs>
        <w:tab w:val="center" w:pos="4153"/>
        <w:tab w:val="right" w:pos="8306"/>
      </w:tabs>
      <w:snapToGrid w:val="0"/>
    </w:pPr>
    <w:rPr>
      <w:sz w:val="18"/>
      <w:szCs w:val="18"/>
    </w:rPr>
  </w:style>
  <w:style w:type="character" w:customStyle="1" w:styleId="a9">
    <w:name w:val="页脚 字符"/>
    <w:basedOn w:val="a0"/>
    <w:link w:val="a8"/>
    <w:rsid w:val="00DF45E0"/>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0104169/000010416922000072/wmt-20220731.htm" TargetMode="External"/><Relationship Id="rId21" Type="http://schemas.openxmlformats.org/officeDocument/2006/relationships/hyperlink" Target="https://www.sec.gov/ix?doc=/Archives/edgar/data/0000104169/000010416922000072/wmt-20220731.htm" TargetMode="External"/><Relationship Id="rId42" Type="http://schemas.openxmlformats.org/officeDocument/2006/relationships/hyperlink" Target="https://www.sec.gov/ix?doc=/Archives/edgar/data/0000104169/000010416922000072/wmt-20220731.htm" TargetMode="External"/><Relationship Id="rId63" Type="http://schemas.openxmlformats.org/officeDocument/2006/relationships/hyperlink" Target="https://www.sec.gov/ix?doc=/Archives/edgar/data/0000104169/000010416922000072/wmt-20220731.htm" TargetMode="External"/><Relationship Id="rId84" Type="http://schemas.openxmlformats.org/officeDocument/2006/relationships/hyperlink" Target="https://www.sec.gov/ix?doc=/Archives/edgar/data/0000104169/000010416922000072/wmt-20220731.htm" TargetMode="External"/><Relationship Id="rId138" Type="http://schemas.openxmlformats.org/officeDocument/2006/relationships/hyperlink" Target="https://www.sec.gov/ix?doc=/Archives/edgar/data/0000104169/000010416922000072/wmt-20220731.htm" TargetMode="External"/><Relationship Id="rId159" Type="http://schemas.openxmlformats.org/officeDocument/2006/relationships/theme" Target="theme/theme1.xml"/><Relationship Id="rId107" Type="http://schemas.openxmlformats.org/officeDocument/2006/relationships/hyperlink" Target="https://www.sec.gov/ix?doc=/Archives/edgar/data/0000104169/000010416922000072/wmt-20220731.htm" TargetMode="External"/><Relationship Id="rId11" Type="http://schemas.openxmlformats.org/officeDocument/2006/relationships/hyperlink" Target="https://www.sec.gov/ix?doc=/Archives/edgar/data/0000104169/000010416922000072/wmt-20220731.htm" TargetMode="External"/><Relationship Id="rId32" Type="http://schemas.openxmlformats.org/officeDocument/2006/relationships/hyperlink" Target="https://www.sec.gov/ix?doc=/Archives/edgar/data/0000104169/000010416922000072/wmt-20220731.htm" TargetMode="External"/><Relationship Id="rId53" Type="http://schemas.openxmlformats.org/officeDocument/2006/relationships/hyperlink" Target="https://www.sec.gov/ix?doc=/Archives/edgar/data/0000104169/000010416922000072/wmt-20220731.htm" TargetMode="External"/><Relationship Id="rId74" Type="http://schemas.openxmlformats.org/officeDocument/2006/relationships/hyperlink" Target="https://www.sec.gov/ix?doc=/Archives/edgar/data/0000104169/000010416922000072/wmt-20220731.htm" TargetMode="External"/><Relationship Id="rId128" Type="http://schemas.openxmlformats.org/officeDocument/2006/relationships/hyperlink" Target="https://www.sec.gov/ix?doc=/Archives/edgar/data/0000104169/000010416922000072/wmt-20220731.htm" TargetMode="External"/><Relationship Id="rId149" Type="http://schemas.openxmlformats.org/officeDocument/2006/relationships/hyperlink" Target="http://www.sec.gov/Archives/edgar/data/104169/000010416918000013/exhibit31-212018.htm" TargetMode="External"/><Relationship Id="rId5" Type="http://schemas.openxmlformats.org/officeDocument/2006/relationships/endnotes" Target="endnotes.xml"/><Relationship Id="rId95" Type="http://schemas.openxmlformats.org/officeDocument/2006/relationships/hyperlink" Target="https://www.sec.gov/ix?doc=/Archives/edgar/data/0000104169/000010416922000072/wmt-20220731.htm" TargetMode="External"/><Relationship Id="rId22" Type="http://schemas.openxmlformats.org/officeDocument/2006/relationships/hyperlink" Target="https://www.sec.gov/ix?doc=/Archives/edgar/data/0000104169/000010416922000072/wmt-20220731.htm" TargetMode="External"/><Relationship Id="rId43" Type="http://schemas.openxmlformats.org/officeDocument/2006/relationships/hyperlink" Target="https://www.sec.gov/ix?doc=/Archives/edgar/data/0000104169/000010416922000072/wmt-20220731.htm" TargetMode="External"/><Relationship Id="rId64" Type="http://schemas.openxmlformats.org/officeDocument/2006/relationships/hyperlink" Target="https://www.sec.gov/ix?doc=/Archives/edgar/data/0000104169/000010416922000072/wmt-20220731.htm" TargetMode="External"/><Relationship Id="rId118" Type="http://schemas.openxmlformats.org/officeDocument/2006/relationships/hyperlink" Target="https://www.sec.gov/ix?doc=/Archives/edgar/data/0000104169/000010416922000072/wmt-20220731.htm" TargetMode="External"/><Relationship Id="rId139" Type="http://schemas.openxmlformats.org/officeDocument/2006/relationships/hyperlink" Target="https://www.sec.gov/ix?doc=/Archives/edgar/data/0000104169/000010416922000072/wmt-20220731.htm" TargetMode="External"/><Relationship Id="rId80" Type="http://schemas.openxmlformats.org/officeDocument/2006/relationships/hyperlink" Target="https://www.sec.gov/ix?doc=/Archives/edgar/data/0000104169/000010416922000072/wmt-20220731.htm" TargetMode="External"/><Relationship Id="rId85" Type="http://schemas.openxmlformats.org/officeDocument/2006/relationships/hyperlink" Target="https://www.sec.gov/ix?doc=/Archives/edgar/data/0000104169/000010416922000072/wmt-20220731.htm" TargetMode="External"/><Relationship Id="rId150" Type="http://schemas.openxmlformats.org/officeDocument/2006/relationships/hyperlink" Target="http://www.sec.gov/Archives/edgar/data/104169/000010416919000054/exhibit31dated7262019.htm" TargetMode="External"/><Relationship Id="rId155" Type="http://schemas.openxmlformats.org/officeDocument/2006/relationships/hyperlink" Target="https://www.sec.gov/Archives/edgar/data/0000104169/000010416922000072/wmtexhibit991fy23q2.htm" TargetMode="External"/><Relationship Id="rId12" Type="http://schemas.openxmlformats.org/officeDocument/2006/relationships/hyperlink" Target="https://www.sec.gov/ix?doc=/Archives/edgar/data/0000104169/000010416922000072/wmt-20220731.htm" TargetMode="External"/><Relationship Id="rId17" Type="http://schemas.openxmlformats.org/officeDocument/2006/relationships/hyperlink" Target="https://www.sec.gov/ix?doc=/Archives/edgar/data/0000104169/000010416922000072/wmt-20220731.htm" TargetMode="External"/><Relationship Id="rId33" Type="http://schemas.openxmlformats.org/officeDocument/2006/relationships/hyperlink" Target="https://www.sec.gov/ix?doc=/Archives/edgar/data/0000104169/000010416922000072/wmt-20220731.htm" TargetMode="External"/><Relationship Id="rId38" Type="http://schemas.openxmlformats.org/officeDocument/2006/relationships/hyperlink" Target="https://www.sec.gov/ix?doc=/Archives/edgar/data/0000104169/000010416922000072/wmt-20220731.htm" TargetMode="External"/><Relationship Id="rId59" Type="http://schemas.openxmlformats.org/officeDocument/2006/relationships/hyperlink" Target="https://www.sec.gov/ix?doc=/Archives/edgar/data/0000104169/000010416922000072/wmt-20220731.htm" TargetMode="External"/><Relationship Id="rId103" Type="http://schemas.openxmlformats.org/officeDocument/2006/relationships/hyperlink" Target="https://www.sec.gov/ix?doc=/Archives/edgar/data/0000104169/000010416922000072/wmt-20220731.htm" TargetMode="External"/><Relationship Id="rId108" Type="http://schemas.openxmlformats.org/officeDocument/2006/relationships/hyperlink" Target="https://www.sec.gov/ix?doc=/Archives/edgar/data/0000104169/000010416922000072/wmt-20220731.htm" TargetMode="External"/><Relationship Id="rId124" Type="http://schemas.openxmlformats.org/officeDocument/2006/relationships/hyperlink" Target="https://www.sec.gov/ix?doc=/Archives/edgar/data/0000104169/000010416922000072/wmt-20220731.htm" TargetMode="External"/><Relationship Id="rId129" Type="http://schemas.openxmlformats.org/officeDocument/2006/relationships/hyperlink" Target="https://www.sec.gov/ix?doc=/Archives/edgar/data/0000104169/000010416922000072/wmt-20220731.htm" TargetMode="External"/><Relationship Id="rId54" Type="http://schemas.openxmlformats.org/officeDocument/2006/relationships/hyperlink" Target="https://www.sec.gov/ix?doc=/Archives/edgar/data/0000104169/000010416922000072/wmt-20220731.htm" TargetMode="External"/><Relationship Id="rId70" Type="http://schemas.openxmlformats.org/officeDocument/2006/relationships/hyperlink" Target="https://www.sec.gov/ix?doc=/Archives/edgar/data/0000104169/000010416922000072/wmt-20220731.htm" TargetMode="External"/><Relationship Id="rId75" Type="http://schemas.openxmlformats.org/officeDocument/2006/relationships/hyperlink" Target="https://www.sec.gov/ix?doc=/Archives/edgar/data/0000104169/000010416922000072/wmt-20220731.htm" TargetMode="External"/><Relationship Id="rId91" Type="http://schemas.openxmlformats.org/officeDocument/2006/relationships/hyperlink" Target="https://www.sec.gov/ix?doc=/Archives/edgar/data/0000104169/000010416922000072/wmt-20220731.htm" TargetMode="External"/><Relationship Id="rId96" Type="http://schemas.openxmlformats.org/officeDocument/2006/relationships/hyperlink" Target="https://www.sec.gov/ix?doc=/Archives/edgar/data/0000104169/000010416922000072/wmt-20220731.htm" TargetMode="External"/><Relationship Id="rId140" Type="http://schemas.openxmlformats.org/officeDocument/2006/relationships/hyperlink" Target="https://www.sec.gov/ix?doc=/Archives/edgar/data/0000104169/000010416922000072/wmt-20220731.htm" TargetMode="External"/><Relationship Id="rId145" Type="http://schemas.openxmlformats.org/officeDocument/2006/relationships/hyperlink" Target="https://www.sec.gov/ix?doc=/Archives/edgar/data/0000104169/000010416922000072/wmt-20220731.htm" TargetMode="External"/><Relationship Id="rId1" Type="http://schemas.openxmlformats.org/officeDocument/2006/relationships/styles" Target="styles.xml"/><Relationship Id="rId23" Type="http://schemas.openxmlformats.org/officeDocument/2006/relationships/hyperlink" Target="https://www.sec.gov/ix?doc=/Archives/edgar/data/0000104169/000010416922000072/wmt-20220731.htm" TargetMode="External"/><Relationship Id="rId28" Type="http://schemas.openxmlformats.org/officeDocument/2006/relationships/hyperlink" Target="https://www.sec.gov/ix?doc=/Archives/edgar/data/0000104169/000010416922000072/wmt-20220731.htm" TargetMode="External"/><Relationship Id="rId49" Type="http://schemas.openxmlformats.org/officeDocument/2006/relationships/hyperlink" Target="https://www.sec.gov/ix?doc=/Archives/edgar/data/0000104169/000010416922000072/wmt-20220731.htm" TargetMode="External"/><Relationship Id="rId114" Type="http://schemas.openxmlformats.org/officeDocument/2006/relationships/hyperlink" Target="https://www.sec.gov/ix?doc=/Archives/edgar/data/0000104169/000010416922000072/wmt-20220731.htm" TargetMode="External"/><Relationship Id="rId119" Type="http://schemas.openxmlformats.org/officeDocument/2006/relationships/hyperlink" Target="https://www.sec.gov/ix?doc=/Archives/edgar/data/0000104169/000010416922000072/wmt-20220731.htm" TargetMode="External"/><Relationship Id="rId44" Type="http://schemas.openxmlformats.org/officeDocument/2006/relationships/hyperlink" Target="https://www.sec.gov/ix?doc=/Archives/edgar/data/0000104169/000010416922000072/wmt-20220731.htm" TargetMode="External"/><Relationship Id="rId60" Type="http://schemas.openxmlformats.org/officeDocument/2006/relationships/hyperlink" Target="https://www.sec.gov/ix?doc=/Archives/edgar/data/0000104169/000010416922000072/wmt-20220731.htm" TargetMode="External"/><Relationship Id="rId65" Type="http://schemas.openxmlformats.org/officeDocument/2006/relationships/hyperlink" Target="https://www.sec.gov/ix?doc=/Archives/edgar/data/0000104169/000010416922000072/wmt-20220731.htm" TargetMode="External"/><Relationship Id="rId81" Type="http://schemas.openxmlformats.org/officeDocument/2006/relationships/hyperlink" Target="https://www.sec.gov/ix?doc=/Archives/edgar/data/0000104169/000010416922000072/wmt-20220731.htm" TargetMode="External"/><Relationship Id="rId86" Type="http://schemas.openxmlformats.org/officeDocument/2006/relationships/hyperlink" Target="https://www.sec.gov/ix?doc=/Archives/edgar/data/0000104169/000010416922000072/wmt-20220731.htm" TargetMode="External"/><Relationship Id="rId130" Type="http://schemas.openxmlformats.org/officeDocument/2006/relationships/hyperlink" Target="https://www.sec.gov/ix?doc=/Archives/edgar/data/0000104169/000010416922000072/wmt-20220731.htm" TargetMode="External"/><Relationship Id="rId135" Type="http://schemas.openxmlformats.org/officeDocument/2006/relationships/hyperlink" Target="https://www.sec.gov/ix?doc=/Archives/edgar/data/0000104169/000010416922000072/wmt-20220731.htm" TargetMode="External"/><Relationship Id="rId151" Type="http://schemas.openxmlformats.org/officeDocument/2006/relationships/hyperlink" Target="https://www.sec.gov/Archives/edgar/data/0000104169/000010416922000072/wmtexhibit311fy23q2.htm" TargetMode="External"/><Relationship Id="rId156" Type="http://schemas.openxmlformats.org/officeDocument/2006/relationships/hyperlink" Target="https://www.sec.gov/ix?doc=/Archives/edgar/data/0000104169/000010416922000072/wmt-20220731.htm" TargetMode="External"/><Relationship Id="rId13" Type="http://schemas.openxmlformats.org/officeDocument/2006/relationships/hyperlink" Target="https://www.sec.gov/ix?doc=/Archives/edgar/data/0000104169/000010416922000072/wmt-20220731.htm" TargetMode="External"/><Relationship Id="rId18" Type="http://schemas.openxmlformats.org/officeDocument/2006/relationships/hyperlink" Target="https://www.sec.gov/ix?doc=/Archives/edgar/data/0000104169/000010416922000072/wmt-20220731.htm" TargetMode="External"/><Relationship Id="rId39" Type="http://schemas.openxmlformats.org/officeDocument/2006/relationships/hyperlink" Target="https://www.sec.gov/ix?doc=/Archives/edgar/data/0000104169/000010416922000072/wmt-20220731.htm" TargetMode="External"/><Relationship Id="rId109" Type="http://schemas.openxmlformats.org/officeDocument/2006/relationships/hyperlink" Target="https://www.sec.gov/ix?doc=/Archives/edgar/data/0000104169/000010416922000072/wmt-20220731.htm" TargetMode="External"/><Relationship Id="rId34" Type="http://schemas.openxmlformats.org/officeDocument/2006/relationships/hyperlink" Target="https://www.sec.gov/ix?doc=/Archives/edgar/data/0000104169/000010416922000072/wmt-20220731.htm" TargetMode="External"/><Relationship Id="rId50" Type="http://schemas.openxmlformats.org/officeDocument/2006/relationships/hyperlink" Target="https://www.sec.gov/ix?doc=/Archives/edgar/data/0000104169/000010416922000072/wmt-20220731.htm" TargetMode="External"/><Relationship Id="rId55" Type="http://schemas.openxmlformats.org/officeDocument/2006/relationships/hyperlink" Target="https://www.sec.gov/ix?doc=/Archives/edgar/data/0000104169/000010416922000072/wmt-20220731.htm" TargetMode="External"/><Relationship Id="rId76" Type="http://schemas.openxmlformats.org/officeDocument/2006/relationships/hyperlink" Target="https://www.sec.gov/ix?doc=/Archives/edgar/data/0000104169/000010416922000072/wmt-20220731.htm" TargetMode="External"/><Relationship Id="rId97" Type="http://schemas.openxmlformats.org/officeDocument/2006/relationships/hyperlink" Target="https://www.sec.gov/ix?doc=/Archives/edgar/data/0000104169/000010416922000072/wmt-20220731.htm" TargetMode="External"/><Relationship Id="rId104" Type="http://schemas.openxmlformats.org/officeDocument/2006/relationships/hyperlink" Target="https://www.sec.gov/ix?doc=/Archives/edgar/data/0000104169/000010416922000072/wmt-20220731.htm" TargetMode="External"/><Relationship Id="rId120" Type="http://schemas.openxmlformats.org/officeDocument/2006/relationships/hyperlink" Target="https://www.sec.gov/ix?doc=/Archives/edgar/data/0000104169/000010416922000072/wmt-20220731.htm" TargetMode="External"/><Relationship Id="rId125" Type="http://schemas.openxmlformats.org/officeDocument/2006/relationships/hyperlink" Target="https://www.sec.gov/ix?doc=/Archives/edgar/data/0000104169/000010416922000072/wmt-20220731.htm" TargetMode="External"/><Relationship Id="rId141" Type="http://schemas.openxmlformats.org/officeDocument/2006/relationships/hyperlink" Target="https://www.sec.gov/ix?doc=/Archives/edgar/data/0000104169/000010416922000072/wmt-20220731.htm" TargetMode="External"/><Relationship Id="rId146" Type="http://schemas.openxmlformats.org/officeDocument/2006/relationships/hyperlink" Target="https://www.sec.gov/ix?doc=/Archives/edgar/data/0000104169/000010416922000072/wmt-20220731.htm" TargetMode="External"/><Relationship Id="rId7" Type="http://schemas.openxmlformats.org/officeDocument/2006/relationships/hyperlink" Target="https://www.sec.gov/ix?doc=/Archives/edgar/data/0000104169/000010416922000072/wmt-20220731.htm" TargetMode="External"/><Relationship Id="rId71" Type="http://schemas.openxmlformats.org/officeDocument/2006/relationships/hyperlink" Target="https://www.sec.gov/ix?doc=/Archives/edgar/data/0000104169/000010416922000072/wmt-20220731.htm" TargetMode="External"/><Relationship Id="rId92" Type="http://schemas.openxmlformats.org/officeDocument/2006/relationships/hyperlink" Target="https://www.sec.gov/ix?doc=/Archives/edgar/data/0000104169/000010416922000072/wmt-20220731.htm" TargetMode="External"/><Relationship Id="rId2" Type="http://schemas.openxmlformats.org/officeDocument/2006/relationships/settings" Target="settings.xml"/><Relationship Id="rId29" Type="http://schemas.openxmlformats.org/officeDocument/2006/relationships/hyperlink" Target="https://www.sec.gov/ix?doc=/Archives/edgar/data/0000104169/000010416922000072/wmt-20220731.htm" TargetMode="External"/><Relationship Id="rId24" Type="http://schemas.openxmlformats.org/officeDocument/2006/relationships/hyperlink" Target="https://www.sec.gov/ix?doc=/Archives/edgar/data/0000104169/000010416922000072/wmt-20220731.htm" TargetMode="External"/><Relationship Id="rId40" Type="http://schemas.openxmlformats.org/officeDocument/2006/relationships/hyperlink" Target="https://www.sec.gov/ix?doc=/Archives/edgar/data/0000104169/000010416922000072/wmt-20220731.htm" TargetMode="External"/><Relationship Id="rId45" Type="http://schemas.openxmlformats.org/officeDocument/2006/relationships/hyperlink" Target="https://www.sec.gov/ix?doc=/Archives/edgar/data/0000104169/000010416922000072/wmt-20220731.htm" TargetMode="External"/><Relationship Id="rId66" Type="http://schemas.openxmlformats.org/officeDocument/2006/relationships/hyperlink" Target="https://www.sec.gov/ix?doc=/Archives/edgar/data/0000104169/000010416922000072/wmt-20220731.htm" TargetMode="External"/><Relationship Id="rId87" Type="http://schemas.openxmlformats.org/officeDocument/2006/relationships/hyperlink" Target="https://www.sec.gov/ix?doc=/Archives/edgar/data/0000104169/000010416922000072/wmt-20220731.htm" TargetMode="External"/><Relationship Id="rId110" Type="http://schemas.openxmlformats.org/officeDocument/2006/relationships/hyperlink" Target="https://www.sec.gov/ix?doc=/Archives/edgar/data/0000104169/000010416922000072/wmt-20220731.htm" TargetMode="External"/><Relationship Id="rId115" Type="http://schemas.openxmlformats.org/officeDocument/2006/relationships/hyperlink" Target="https://www.sec.gov/ix?doc=/Archives/edgar/data/0000104169/000010416922000072/wmt-20220731.htm" TargetMode="External"/><Relationship Id="rId131" Type="http://schemas.openxmlformats.org/officeDocument/2006/relationships/hyperlink" Target="https://www.sec.gov/ix?doc=/Archives/edgar/data/0000104169/000010416922000072/wmt-20220731.htm" TargetMode="External"/><Relationship Id="rId136" Type="http://schemas.openxmlformats.org/officeDocument/2006/relationships/hyperlink" Target="https://www.sec.gov/ix?doc=/Archives/edgar/data/0000104169/000010416922000072/wmt-20220731.htm" TargetMode="External"/><Relationship Id="rId157" Type="http://schemas.openxmlformats.org/officeDocument/2006/relationships/hyperlink" Target="https://www.sec.gov/ix?doc=/Archives/edgar/data/0000104169/000010416922000072/wmt-20220731.htm" TargetMode="External"/><Relationship Id="rId61" Type="http://schemas.openxmlformats.org/officeDocument/2006/relationships/hyperlink" Target="https://www.sec.gov/ix?doc=/Archives/edgar/data/0000104169/000010416922000072/wmt-20220731.htm" TargetMode="External"/><Relationship Id="rId82" Type="http://schemas.openxmlformats.org/officeDocument/2006/relationships/hyperlink" Target="https://www.sec.gov/ix?doc=/Archives/edgar/data/0000104169/000010416922000072/wmt-20220731.htm" TargetMode="External"/><Relationship Id="rId152" Type="http://schemas.openxmlformats.org/officeDocument/2006/relationships/hyperlink" Target="https://www.sec.gov/Archives/edgar/data/0000104169/000010416922000072/wmtexhibit312fy23q2.htm" TargetMode="External"/><Relationship Id="rId19" Type="http://schemas.openxmlformats.org/officeDocument/2006/relationships/hyperlink" Target="https://www.sec.gov/ix?doc=/Archives/edgar/data/0000104169/000010416922000072/wmt-20220731.htm" TargetMode="External"/><Relationship Id="rId14" Type="http://schemas.openxmlformats.org/officeDocument/2006/relationships/hyperlink" Target="https://www.sec.gov/ix?doc=/Archives/edgar/data/0000104169/000010416922000072/wmt-20220731.htm" TargetMode="External"/><Relationship Id="rId30" Type="http://schemas.openxmlformats.org/officeDocument/2006/relationships/hyperlink" Target="https://www.sec.gov/ix?doc=/Archives/edgar/data/0000104169/000010416922000072/wmt-20220731.htm" TargetMode="External"/><Relationship Id="rId35" Type="http://schemas.openxmlformats.org/officeDocument/2006/relationships/hyperlink" Target="https://www.sec.gov/ix?doc=/Archives/edgar/data/0000104169/000010416922000072/wmt-20220731.htm" TargetMode="External"/><Relationship Id="rId56" Type="http://schemas.openxmlformats.org/officeDocument/2006/relationships/hyperlink" Target="https://www.sec.gov/ix?doc=/Archives/edgar/data/0000104169/000010416922000072/wmt-20220731.htm" TargetMode="External"/><Relationship Id="rId77" Type="http://schemas.openxmlformats.org/officeDocument/2006/relationships/hyperlink" Target="https://www.sec.gov/ix?doc=/Archives/edgar/data/0000104169/000010416922000072/wmt-20220731.htm" TargetMode="External"/><Relationship Id="rId100" Type="http://schemas.openxmlformats.org/officeDocument/2006/relationships/hyperlink" Target="https://www.sec.gov/ix?doc=/Archives/edgar/data/0000104169/000010416922000072/wmt-20220731.htm" TargetMode="External"/><Relationship Id="rId105" Type="http://schemas.openxmlformats.org/officeDocument/2006/relationships/hyperlink" Target="https://www.sec.gov/ix?doc=/Archives/edgar/data/0000104169/000010416922000072/wmt-20220731.htm" TargetMode="External"/><Relationship Id="rId126" Type="http://schemas.openxmlformats.org/officeDocument/2006/relationships/hyperlink" Target="https://www.sec.gov/ix?doc=/Archives/edgar/data/0000104169/000010416922000072/wmt-20220731.htm" TargetMode="External"/><Relationship Id="rId147" Type="http://schemas.openxmlformats.org/officeDocument/2006/relationships/hyperlink" Target="https://www.sec.gov/ix?doc=/Archives/edgar/data/0000104169/000010416922000072/wmt-20220731.htm" TargetMode="External"/><Relationship Id="rId8" Type="http://schemas.openxmlformats.org/officeDocument/2006/relationships/hyperlink" Target="https://www.sec.gov/ix?doc=/Archives/edgar/data/0000104169/000010416922000072/wmt-20220731.htm" TargetMode="External"/><Relationship Id="rId51" Type="http://schemas.openxmlformats.org/officeDocument/2006/relationships/hyperlink" Target="https://www.sec.gov/ix?doc=/Archives/edgar/data/0000104169/000010416922000072/wmt-20220731.htm" TargetMode="External"/><Relationship Id="rId72" Type="http://schemas.openxmlformats.org/officeDocument/2006/relationships/hyperlink" Target="https://www.sec.gov/ix?doc=/Archives/edgar/data/0000104169/000010416922000072/wmt-20220731.htm" TargetMode="External"/><Relationship Id="rId93" Type="http://schemas.openxmlformats.org/officeDocument/2006/relationships/hyperlink" Target="https://www.sec.gov/ix?doc=/Archives/edgar/data/0000104169/000010416922000072/wmt-20220731.htm" TargetMode="External"/><Relationship Id="rId98" Type="http://schemas.openxmlformats.org/officeDocument/2006/relationships/hyperlink" Target="https://www.sec.gov/ix?doc=/Archives/edgar/data/0000104169/000010416922000072/wmt-20220731.htm" TargetMode="External"/><Relationship Id="rId121" Type="http://schemas.openxmlformats.org/officeDocument/2006/relationships/hyperlink" Target="https://www.sec.gov/ix?doc=/Archives/edgar/data/0000104169/000010416922000072/wmt-20220731.htm" TargetMode="External"/><Relationship Id="rId142" Type="http://schemas.openxmlformats.org/officeDocument/2006/relationships/hyperlink" Target="https://www.sec.gov/ix?doc=/Archives/edgar/data/0000104169/000010416922000072/wmt-20220731.htm" TargetMode="External"/><Relationship Id="rId3" Type="http://schemas.openxmlformats.org/officeDocument/2006/relationships/webSettings" Target="webSettings.xml"/><Relationship Id="rId25" Type="http://schemas.openxmlformats.org/officeDocument/2006/relationships/hyperlink" Target="https://www.sec.gov/ix?doc=/Archives/edgar/data/0000104169/000010416922000072/wmt-20220731.htm" TargetMode="External"/><Relationship Id="rId46" Type="http://schemas.openxmlformats.org/officeDocument/2006/relationships/hyperlink" Target="https://www.sec.gov/ix?doc=/Archives/edgar/data/0000104169/000010416922000072/wmt-20220731.htm" TargetMode="External"/><Relationship Id="rId67" Type="http://schemas.openxmlformats.org/officeDocument/2006/relationships/hyperlink" Target="https://www.sec.gov/ix?doc=/Archives/edgar/data/0000104169/000010416922000072/wmt-20220731.htm" TargetMode="External"/><Relationship Id="rId116" Type="http://schemas.openxmlformats.org/officeDocument/2006/relationships/hyperlink" Target="https://www.sec.gov/ix?doc=/Archives/edgar/data/0000104169/000010416922000072/wmt-20220731.htm" TargetMode="External"/><Relationship Id="rId137" Type="http://schemas.openxmlformats.org/officeDocument/2006/relationships/hyperlink" Target="https://www.sec.gov/ix?doc=/Archives/edgar/data/0000104169/000010416922000072/wmt-20220731.htm" TargetMode="External"/><Relationship Id="rId158" Type="http://schemas.openxmlformats.org/officeDocument/2006/relationships/fontTable" Target="fontTable.xml"/><Relationship Id="rId20" Type="http://schemas.openxmlformats.org/officeDocument/2006/relationships/hyperlink" Target="https://www.sec.gov/ix?doc=/Archives/edgar/data/0000104169/000010416922000072/wmt-20220731.htm" TargetMode="External"/><Relationship Id="rId41" Type="http://schemas.openxmlformats.org/officeDocument/2006/relationships/hyperlink" Target="https://www.sec.gov/ix?doc=/Archives/edgar/data/0000104169/000010416922000072/wmt-20220731.htm" TargetMode="External"/><Relationship Id="rId62" Type="http://schemas.openxmlformats.org/officeDocument/2006/relationships/hyperlink" Target="https://www.sec.gov/ix?doc=/Archives/edgar/data/0000104169/000010416922000072/wmt-20220731.htm" TargetMode="External"/><Relationship Id="rId83" Type="http://schemas.openxmlformats.org/officeDocument/2006/relationships/hyperlink" Target="https://www.sec.gov/ix?doc=/Archives/edgar/data/0000104169/000010416922000072/wmt-20220731.htm" TargetMode="External"/><Relationship Id="rId88" Type="http://schemas.openxmlformats.org/officeDocument/2006/relationships/hyperlink" Target="https://www.sec.gov/ix?doc=/Archives/edgar/data/0000104169/000010416922000072/wmt-20220731.htm" TargetMode="External"/><Relationship Id="rId111" Type="http://schemas.openxmlformats.org/officeDocument/2006/relationships/hyperlink" Target="https://www.sec.gov/ix?doc=/Archives/edgar/data/0000104169/000010416922000072/wmt-20220731.htm" TargetMode="External"/><Relationship Id="rId132" Type="http://schemas.openxmlformats.org/officeDocument/2006/relationships/hyperlink" Target="https://www.sec.gov/ix?doc=/Archives/edgar/data/0000104169/000010416922000072/wmt-20220731.htm" TargetMode="External"/><Relationship Id="rId153" Type="http://schemas.openxmlformats.org/officeDocument/2006/relationships/hyperlink" Target="https://www.sec.gov/Archives/edgar/data/0000104169/000010416922000072/wmtexhibit321fy23q2.htm" TargetMode="External"/><Relationship Id="rId15" Type="http://schemas.openxmlformats.org/officeDocument/2006/relationships/hyperlink" Target="https://www.sec.gov/ix?doc=/Archives/edgar/data/0000104169/000010416922000072/wmt-20220731.htm" TargetMode="External"/><Relationship Id="rId36" Type="http://schemas.openxmlformats.org/officeDocument/2006/relationships/hyperlink" Target="https://www.sec.gov/ix?doc=/Archives/edgar/data/0000104169/000010416922000072/wmt-20220731.htm" TargetMode="External"/><Relationship Id="rId57" Type="http://schemas.openxmlformats.org/officeDocument/2006/relationships/hyperlink" Target="https://www.sec.gov/ix?doc=/Archives/edgar/data/0000104169/000010416922000072/wmt-20220731.htm" TargetMode="External"/><Relationship Id="rId106" Type="http://schemas.openxmlformats.org/officeDocument/2006/relationships/hyperlink" Target="https://www.sec.gov/ix?doc=/Archives/edgar/data/0000104169/000010416922000072/wmt-20220731.htm" TargetMode="External"/><Relationship Id="rId127" Type="http://schemas.openxmlformats.org/officeDocument/2006/relationships/hyperlink" Target="https://www.sec.gov/ix?doc=/Archives/edgar/data/0000104169/000010416922000072/wmt-20220731.htm" TargetMode="External"/><Relationship Id="rId10" Type="http://schemas.openxmlformats.org/officeDocument/2006/relationships/hyperlink" Target="https://www.sec.gov/ix?doc=/Archives/edgar/data/0000104169/000010416922000072/wmt-20220731.htm" TargetMode="External"/><Relationship Id="rId31" Type="http://schemas.openxmlformats.org/officeDocument/2006/relationships/hyperlink" Target="https://www.sec.gov/ix?doc=/Archives/edgar/data/0000104169/000010416922000072/wmt-20220731.htm" TargetMode="External"/><Relationship Id="rId52" Type="http://schemas.openxmlformats.org/officeDocument/2006/relationships/hyperlink" Target="https://www.sec.gov/ix?doc=/Archives/edgar/data/0000104169/000010416922000072/wmt-20220731.htm" TargetMode="External"/><Relationship Id="rId73" Type="http://schemas.openxmlformats.org/officeDocument/2006/relationships/hyperlink" Target="https://www.sec.gov/ix?doc=/Archives/edgar/data/0000104169/000010416922000072/wmt-20220731.htm" TargetMode="External"/><Relationship Id="rId78" Type="http://schemas.openxmlformats.org/officeDocument/2006/relationships/hyperlink" Target="https://www.sec.gov/ix?doc=/Archives/edgar/data/0000104169/000010416922000072/wmt-20220731.htm" TargetMode="External"/><Relationship Id="rId94" Type="http://schemas.openxmlformats.org/officeDocument/2006/relationships/hyperlink" Target="https://www.sec.gov/ix?doc=/Archives/edgar/data/0000104169/000010416922000072/wmt-20220731.htm" TargetMode="External"/><Relationship Id="rId99" Type="http://schemas.openxmlformats.org/officeDocument/2006/relationships/hyperlink" Target="https://www.sec.gov/ix?doc=/Archives/edgar/data/0000104169/000010416922000072/wmt-20220731.htm" TargetMode="External"/><Relationship Id="rId101" Type="http://schemas.openxmlformats.org/officeDocument/2006/relationships/hyperlink" Target="https://www.sec.gov/ix?doc=/Archives/edgar/data/0000104169/000010416922000072/wmt-20220731.htm" TargetMode="External"/><Relationship Id="rId122" Type="http://schemas.openxmlformats.org/officeDocument/2006/relationships/hyperlink" Target="https://www.sec.gov/ix?doc=/Archives/edgar/data/0000104169/000010416922000072/wmt-20220731.htm" TargetMode="External"/><Relationship Id="rId143" Type="http://schemas.openxmlformats.org/officeDocument/2006/relationships/hyperlink" Target="https://www.sec.gov/ix?doc=/Archives/edgar/data/0000104169/000010416922000072/wmt-20220731.htm" TargetMode="External"/><Relationship Id="rId148" Type="http://schemas.openxmlformats.org/officeDocument/2006/relationships/hyperlink" Target="https://www.sec.gov/ix?doc=/Archives/edgar/data/0000104169/000010416922000072/wmt-20220731.htm" TargetMode="External"/><Relationship Id="rId4" Type="http://schemas.openxmlformats.org/officeDocument/2006/relationships/footnotes" Target="footnotes.xml"/><Relationship Id="rId9" Type="http://schemas.openxmlformats.org/officeDocument/2006/relationships/hyperlink" Target="https://www.sec.gov/ix?doc=/Archives/edgar/data/0000104169/000010416922000072/wmt-20220731.htm" TargetMode="External"/><Relationship Id="rId26" Type="http://schemas.openxmlformats.org/officeDocument/2006/relationships/hyperlink" Target="https://www.sec.gov/ix?doc=/Archives/edgar/data/0000104169/000010416922000072/wmt-20220731.htm" TargetMode="External"/><Relationship Id="rId47" Type="http://schemas.openxmlformats.org/officeDocument/2006/relationships/hyperlink" Target="https://www.sec.gov/ix?doc=/Archives/edgar/data/0000104169/000010416922000072/wmt-20220731.htm" TargetMode="External"/><Relationship Id="rId68" Type="http://schemas.openxmlformats.org/officeDocument/2006/relationships/hyperlink" Target="https://www.sec.gov/ix?doc=/Archives/edgar/data/0000104169/000010416922000072/wmt-20220731.htm" TargetMode="External"/><Relationship Id="rId89" Type="http://schemas.openxmlformats.org/officeDocument/2006/relationships/hyperlink" Target="https://www.sec.gov/ix?doc=/Archives/edgar/data/0000104169/000010416922000072/wmt-20220731.htm" TargetMode="External"/><Relationship Id="rId112" Type="http://schemas.openxmlformats.org/officeDocument/2006/relationships/hyperlink" Target="https://www.sec.gov/ix?doc=/Archives/edgar/data/0000104169/000010416922000072/wmt-20220731.htm" TargetMode="External"/><Relationship Id="rId133" Type="http://schemas.openxmlformats.org/officeDocument/2006/relationships/hyperlink" Target="https://www.sec.gov/ix?doc=/Archives/edgar/data/0000104169/000010416922000072/wmt-20220731.htm" TargetMode="External"/><Relationship Id="rId154" Type="http://schemas.openxmlformats.org/officeDocument/2006/relationships/hyperlink" Target="https://www.sec.gov/Archives/edgar/data/0000104169/000010416922000072/wmtexhibit322fy23q2.htm" TargetMode="External"/><Relationship Id="rId16" Type="http://schemas.openxmlformats.org/officeDocument/2006/relationships/hyperlink" Target="https://www.sec.gov/ix?doc=/Archives/edgar/data/0000104169/000010416922000072/wmt-20220731.htm" TargetMode="External"/><Relationship Id="rId37" Type="http://schemas.openxmlformats.org/officeDocument/2006/relationships/hyperlink" Target="https://www.sec.gov/ix?doc=/Archives/edgar/data/0000104169/000010416922000072/wmt-20220731.htm" TargetMode="External"/><Relationship Id="rId58" Type="http://schemas.openxmlformats.org/officeDocument/2006/relationships/hyperlink" Target="https://www.sec.gov/ix?doc=/Archives/edgar/data/0000104169/000010416922000072/wmt-20220731.htm" TargetMode="External"/><Relationship Id="rId79" Type="http://schemas.openxmlformats.org/officeDocument/2006/relationships/hyperlink" Target="https://www.sec.gov/ix?doc=/Archives/edgar/data/0000104169/000010416922000072/wmt-20220731.htm" TargetMode="External"/><Relationship Id="rId102" Type="http://schemas.openxmlformats.org/officeDocument/2006/relationships/hyperlink" Target="https://www.sec.gov/ix?doc=/Archives/edgar/data/104169/000010416922000012/wmt-20220131.htm" TargetMode="External"/><Relationship Id="rId123" Type="http://schemas.openxmlformats.org/officeDocument/2006/relationships/hyperlink" Target="https://www.sec.gov/ix?doc=/Archives/edgar/data/0000104169/000010416922000072/wmt-20220731.htm" TargetMode="External"/><Relationship Id="rId144" Type="http://schemas.openxmlformats.org/officeDocument/2006/relationships/hyperlink" Target="https://www.sec.gov/ix?doc=/Archives/edgar/data/0000104169/000010416922000072/wmt-20220731.htm" TargetMode="External"/><Relationship Id="rId90" Type="http://schemas.openxmlformats.org/officeDocument/2006/relationships/hyperlink" Target="https://www.sec.gov/ix?doc=/Archives/edgar/data/0000104169/000010416922000072/wmt-20220731.htm" TargetMode="External"/><Relationship Id="rId27" Type="http://schemas.openxmlformats.org/officeDocument/2006/relationships/hyperlink" Target="https://www.sec.gov/ix?doc=/Archives/edgar/data/0000104169/000010416922000072/wmt-20220731.htm" TargetMode="External"/><Relationship Id="rId48" Type="http://schemas.openxmlformats.org/officeDocument/2006/relationships/hyperlink" Target="https://www.sec.gov/ix?doc=/Archives/edgar/data/0000104169/000010416922000072/wmt-20220731.htm" TargetMode="External"/><Relationship Id="rId69" Type="http://schemas.openxmlformats.org/officeDocument/2006/relationships/hyperlink" Target="https://www.sec.gov/ix?doc=/Archives/edgar/data/0000104169/000010416922000072/wmt-20220731.htm" TargetMode="External"/><Relationship Id="rId113" Type="http://schemas.openxmlformats.org/officeDocument/2006/relationships/hyperlink" Target="https://www.sec.gov/ix?doc=/Archives/edgar/data/0000104169/000010416922000072/wmt-20220731.htm" TargetMode="External"/><Relationship Id="rId134" Type="http://schemas.openxmlformats.org/officeDocument/2006/relationships/hyperlink" Target="https://www.sec.gov/ix?doc=/Archives/edgar/data/0000104169/000010416922000072/wmt-2022073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25182</Words>
  <Characters>143538</Characters>
  <Application>Microsoft Office Word</Application>
  <DocSecurity>0</DocSecurity>
  <Lines>1196</Lines>
  <Paragraphs>336</Paragraphs>
  <ScaleCrop>false</ScaleCrop>
  <Company/>
  <LinksUpToDate>false</LinksUpToDate>
  <CharactersWithSpaces>168384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2023-02-11T23:59:00Z</dcterms:created>
  <dcterms:modified xsi:type="dcterms:W3CDTF">2023-02-13T11:35:00Z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783E6BCED52AC1A070BBE7639921EB5E</vt:lpwstr>
  </property>
</Properties>
</file>