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2932" w14:textId="06E59A71" w:rsidR="002A3970" w:rsidRDefault="00C35E63">
      <w:pPr>
        <w:jc w:val="center"/>
      </w:pPr>
      <w:r>
        <w:rPr>
          <w:rFonts w:ascii="Times New Roman" w:eastAsia="宋体" w:hAnsi="Times New Roman"/>
          <w:b/>
          <w:bCs/>
          <w:color w:val="000000"/>
          <w:sz w:val="32"/>
          <w:szCs w:val="32"/>
        </w:rPr>
        <w:t xml:space="preserve"> </w:t>
      </w:r>
      <w:r>
        <w:rPr>
          <w:rFonts w:ascii="Times New Roman" w:eastAsia="宋体" w:hAnsi="Times New Roman"/>
          <w:b/>
          <w:bCs/>
          <w:color w:val="000000"/>
          <w:sz w:val="32"/>
          <w:szCs w:val="32"/>
        </w:rPr>
        <w:t>UNITED STATES</w:t>
      </w:r>
    </w:p>
    <w:p w14:paraId="4B9A2933" w14:textId="77777777" w:rsidR="002A3970" w:rsidRDefault="00C35E63">
      <w:pPr>
        <w:jc w:val="center"/>
      </w:pPr>
      <w:r>
        <w:rPr>
          <w:rFonts w:ascii="Times New Roman" w:eastAsia="宋体" w:hAnsi="Times New Roman"/>
          <w:b/>
          <w:bCs/>
          <w:color w:val="000000"/>
          <w:sz w:val="32"/>
          <w:szCs w:val="32"/>
        </w:rPr>
        <w:t>SECURITIES AND EXCHANGE COMMISSION</w:t>
      </w:r>
    </w:p>
    <w:p w14:paraId="4B9A2934" w14:textId="77777777" w:rsidR="002A3970" w:rsidRDefault="00C35E63">
      <w:pPr>
        <w:jc w:val="center"/>
      </w:pPr>
      <w:r>
        <w:rPr>
          <w:rFonts w:ascii="Times New Roman" w:eastAsia="宋体" w:hAnsi="Times New Roman"/>
          <w:b/>
          <w:bCs/>
          <w:color w:val="000000"/>
          <w:sz w:val="22"/>
          <w:szCs w:val="22"/>
        </w:rPr>
        <w:t>Washington, D.C. 20549</w:t>
      </w:r>
    </w:p>
    <w:p w14:paraId="4B9A2935" w14:textId="77777777" w:rsidR="002A3970" w:rsidRDefault="00C35E63">
      <w:pPr>
        <w:jc w:val="center"/>
      </w:pPr>
      <w:r>
        <w:rPr>
          <w:rFonts w:ascii="Times New Roman" w:eastAsia="宋体" w:hAnsi="Times New Roman"/>
          <w:b/>
          <w:bCs/>
          <w:color w:val="000000"/>
          <w:sz w:val="28"/>
          <w:szCs w:val="28"/>
        </w:rPr>
        <w:t xml:space="preserve">FORM 10-Q </w:t>
      </w:r>
    </w:p>
    <w:p w14:paraId="4B9A2936" w14:textId="77777777" w:rsidR="002A3970" w:rsidRDefault="00C35E63">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2A3970" w14:paraId="4B9A293D" w14:textId="77777777">
        <w:tc>
          <w:tcPr>
            <w:tcW w:w="50" w:type="pct"/>
            <w:shd w:val="clear" w:color="auto" w:fill="auto"/>
            <w:vAlign w:val="bottom"/>
          </w:tcPr>
          <w:p w14:paraId="4B9A2937" w14:textId="77777777" w:rsidR="002A3970" w:rsidRDefault="002A3970">
            <w:pPr>
              <w:rPr>
                <w:rFonts w:ascii="宋体"/>
              </w:rPr>
            </w:pPr>
          </w:p>
        </w:tc>
        <w:tc>
          <w:tcPr>
            <w:tcW w:w="250" w:type="pct"/>
            <w:shd w:val="clear" w:color="auto" w:fill="auto"/>
            <w:vAlign w:val="bottom"/>
          </w:tcPr>
          <w:p w14:paraId="4B9A2938" w14:textId="77777777" w:rsidR="002A3970" w:rsidRDefault="002A3970">
            <w:pPr>
              <w:rPr>
                <w:rFonts w:ascii="宋体"/>
              </w:rPr>
            </w:pPr>
          </w:p>
        </w:tc>
        <w:tc>
          <w:tcPr>
            <w:tcW w:w="5" w:type="pct"/>
            <w:shd w:val="clear" w:color="auto" w:fill="auto"/>
            <w:vAlign w:val="bottom"/>
          </w:tcPr>
          <w:p w14:paraId="4B9A2939" w14:textId="77777777" w:rsidR="002A3970" w:rsidRDefault="002A3970">
            <w:pPr>
              <w:rPr>
                <w:rFonts w:ascii="宋体"/>
              </w:rPr>
            </w:pPr>
          </w:p>
        </w:tc>
        <w:tc>
          <w:tcPr>
            <w:tcW w:w="50" w:type="pct"/>
            <w:shd w:val="clear" w:color="auto" w:fill="auto"/>
            <w:vAlign w:val="bottom"/>
          </w:tcPr>
          <w:p w14:paraId="4B9A293A" w14:textId="77777777" w:rsidR="002A3970" w:rsidRDefault="002A3970">
            <w:pPr>
              <w:rPr>
                <w:rFonts w:ascii="宋体"/>
              </w:rPr>
            </w:pPr>
          </w:p>
        </w:tc>
        <w:tc>
          <w:tcPr>
            <w:tcW w:w="4639" w:type="pct"/>
            <w:shd w:val="clear" w:color="auto" w:fill="auto"/>
            <w:vAlign w:val="bottom"/>
          </w:tcPr>
          <w:p w14:paraId="4B9A293B" w14:textId="77777777" w:rsidR="002A3970" w:rsidRDefault="002A3970">
            <w:pPr>
              <w:rPr>
                <w:rFonts w:ascii="宋体"/>
              </w:rPr>
            </w:pPr>
          </w:p>
        </w:tc>
        <w:tc>
          <w:tcPr>
            <w:tcW w:w="5" w:type="pct"/>
            <w:shd w:val="clear" w:color="auto" w:fill="auto"/>
            <w:vAlign w:val="bottom"/>
          </w:tcPr>
          <w:p w14:paraId="4B9A293C" w14:textId="77777777" w:rsidR="002A3970" w:rsidRDefault="002A3970">
            <w:pPr>
              <w:rPr>
                <w:rFonts w:ascii="宋体"/>
              </w:rPr>
            </w:pPr>
          </w:p>
        </w:tc>
      </w:tr>
      <w:tr w:rsidR="002A3970" w14:paraId="4B9A2940" w14:textId="77777777">
        <w:tc>
          <w:tcPr>
            <w:tcW w:w="0" w:type="auto"/>
            <w:gridSpan w:val="3"/>
            <w:shd w:val="clear" w:color="auto" w:fill="auto"/>
            <w:tcMar>
              <w:top w:w="40" w:type="dxa"/>
              <w:left w:w="20" w:type="dxa"/>
              <w:bottom w:w="40" w:type="dxa"/>
              <w:right w:w="20" w:type="dxa"/>
            </w:tcMar>
          </w:tcPr>
          <w:p w14:paraId="4B9A293E" w14:textId="77777777" w:rsidR="002A3970" w:rsidRDefault="00C35E63">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4B9A293F" w14:textId="77777777" w:rsidR="002A3970" w:rsidRDefault="00C35E63">
            <w:pPr>
              <w:textAlignment w:val="top"/>
            </w:pPr>
            <w:r>
              <w:rPr>
                <w:rFonts w:ascii="Times New Roman" w:eastAsia="宋体" w:hAnsi="Times New Roman"/>
                <w:b/>
                <w:bCs/>
                <w:color w:val="000000"/>
                <w:sz w:val="18"/>
                <w:szCs w:val="18"/>
              </w:rPr>
              <w:t>Quarterly Report Pursuant to Section 13 or 15(d) of the Securities Exchange Act of 1934.</w:t>
            </w:r>
          </w:p>
        </w:tc>
      </w:tr>
    </w:tbl>
    <w:p w14:paraId="4B9A2941" w14:textId="77777777" w:rsidR="002A3970" w:rsidRDefault="00C35E63">
      <w:pPr>
        <w:jc w:val="center"/>
      </w:pPr>
      <w:r>
        <w:rPr>
          <w:rFonts w:ascii="Times New Roman" w:eastAsia="宋体" w:hAnsi="Times New Roman"/>
          <w:b/>
          <w:bCs/>
          <w:color w:val="000000"/>
          <w:sz w:val="18"/>
          <w:szCs w:val="18"/>
        </w:rPr>
        <w:t>For the quarterly period ended October 31, 2022.</w:t>
      </w:r>
    </w:p>
    <w:p w14:paraId="4B9A2942" w14:textId="77777777" w:rsidR="002A3970" w:rsidRDefault="00C35E63">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2A3970" w14:paraId="4B9A2949" w14:textId="77777777">
        <w:tc>
          <w:tcPr>
            <w:tcW w:w="50" w:type="pct"/>
            <w:shd w:val="clear" w:color="auto" w:fill="auto"/>
            <w:vAlign w:val="bottom"/>
          </w:tcPr>
          <w:p w14:paraId="4B9A2943" w14:textId="77777777" w:rsidR="002A3970" w:rsidRDefault="002A3970">
            <w:pPr>
              <w:rPr>
                <w:rFonts w:ascii="宋体"/>
              </w:rPr>
            </w:pPr>
          </w:p>
        </w:tc>
        <w:tc>
          <w:tcPr>
            <w:tcW w:w="249" w:type="pct"/>
            <w:shd w:val="clear" w:color="auto" w:fill="auto"/>
            <w:vAlign w:val="bottom"/>
          </w:tcPr>
          <w:p w14:paraId="4B9A2944" w14:textId="77777777" w:rsidR="002A3970" w:rsidRDefault="002A3970">
            <w:pPr>
              <w:rPr>
                <w:rFonts w:ascii="宋体"/>
              </w:rPr>
            </w:pPr>
          </w:p>
        </w:tc>
        <w:tc>
          <w:tcPr>
            <w:tcW w:w="5" w:type="pct"/>
            <w:shd w:val="clear" w:color="auto" w:fill="auto"/>
            <w:vAlign w:val="bottom"/>
          </w:tcPr>
          <w:p w14:paraId="4B9A2945" w14:textId="77777777" w:rsidR="002A3970" w:rsidRDefault="002A3970">
            <w:pPr>
              <w:rPr>
                <w:rFonts w:ascii="宋体"/>
              </w:rPr>
            </w:pPr>
          </w:p>
        </w:tc>
        <w:tc>
          <w:tcPr>
            <w:tcW w:w="50" w:type="pct"/>
            <w:shd w:val="clear" w:color="auto" w:fill="auto"/>
            <w:vAlign w:val="bottom"/>
          </w:tcPr>
          <w:p w14:paraId="4B9A2946" w14:textId="77777777" w:rsidR="002A3970" w:rsidRDefault="002A3970">
            <w:pPr>
              <w:rPr>
                <w:rFonts w:ascii="宋体"/>
              </w:rPr>
            </w:pPr>
          </w:p>
        </w:tc>
        <w:tc>
          <w:tcPr>
            <w:tcW w:w="4640" w:type="pct"/>
            <w:shd w:val="clear" w:color="auto" w:fill="auto"/>
            <w:vAlign w:val="bottom"/>
          </w:tcPr>
          <w:p w14:paraId="4B9A2947" w14:textId="77777777" w:rsidR="002A3970" w:rsidRDefault="002A3970">
            <w:pPr>
              <w:rPr>
                <w:rFonts w:ascii="宋体"/>
              </w:rPr>
            </w:pPr>
          </w:p>
        </w:tc>
        <w:tc>
          <w:tcPr>
            <w:tcW w:w="5" w:type="pct"/>
            <w:shd w:val="clear" w:color="auto" w:fill="auto"/>
            <w:vAlign w:val="bottom"/>
          </w:tcPr>
          <w:p w14:paraId="4B9A2948" w14:textId="77777777" w:rsidR="002A3970" w:rsidRDefault="002A3970">
            <w:pPr>
              <w:rPr>
                <w:rFonts w:ascii="宋体"/>
              </w:rPr>
            </w:pPr>
          </w:p>
        </w:tc>
      </w:tr>
      <w:tr w:rsidR="002A3970" w14:paraId="4B9A294C" w14:textId="77777777">
        <w:tc>
          <w:tcPr>
            <w:tcW w:w="0" w:type="auto"/>
            <w:gridSpan w:val="3"/>
            <w:shd w:val="clear" w:color="auto" w:fill="auto"/>
            <w:tcMar>
              <w:top w:w="40" w:type="dxa"/>
              <w:left w:w="20" w:type="dxa"/>
              <w:bottom w:w="40" w:type="dxa"/>
              <w:right w:w="20" w:type="dxa"/>
            </w:tcMar>
          </w:tcPr>
          <w:p w14:paraId="4B9A294A" w14:textId="77777777" w:rsidR="002A3970" w:rsidRDefault="00C35E63">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4B9A294B" w14:textId="77777777" w:rsidR="002A3970" w:rsidRDefault="00C35E63">
            <w:pPr>
              <w:textAlignment w:val="top"/>
            </w:pPr>
            <w:r>
              <w:rPr>
                <w:rFonts w:ascii="Times New Roman" w:eastAsia="宋体" w:hAnsi="Times New Roman"/>
                <w:b/>
                <w:bCs/>
                <w:color w:val="000000"/>
                <w:sz w:val="18"/>
                <w:szCs w:val="18"/>
              </w:rPr>
              <w:t>Transition Report Pursuant to Section 13 or 15(d) of the Securities Exchange Act of 1934.</w:t>
            </w:r>
          </w:p>
        </w:tc>
      </w:tr>
    </w:tbl>
    <w:p w14:paraId="4B9A294D" w14:textId="77777777" w:rsidR="002A3970" w:rsidRDefault="00C35E63">
      <w:pPr>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4B9A294E" w14:textId="77777777" w:rsidR="002A3970" w:rsidRDefault="00C35E63">
      <w:pPr>
        <w:spacing w:before="60"/>
        <w:jc w:val="center"/>
      </w:pPr>
      <w:r>
        <w:rPr>
          <w:rFonts w:ascii="Times New Roman" w:eastAsia="宋体" w:hAnsi="Times New Roman"/>
          <w:b/>
          <w:bCs/>
          <w:color w:val="000000"/>
          <w:sz w:val="18"/>
          <w:szCs w:val="18"/>
        </w:rPr>
        <w:t xml:space="preserve">Commission File Number 001-06991 </w:t>
      </w:r>
    </w:p>
    <w:p w14:paraId="4B9A294F" w14:textId="77777777" w:rsidR="002A3970" w:rsidRDefault="00C35E63">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/Walm</w:instrText>
      </w:r>
      <w:r>
        <w:rPr>
          <w:rFonts w:ascii="宋体" w:eastAsia="宋体" w:hAnsi="宋体" w:cs="宋体"/>
        </w:rPr>
        <w:instrText xml:space="preserve">art/./Inline XBRL Viewer_files/wmt-20221031_g1.jpg"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B9A4C14" wp14:editId="4B9A4C15">
            <wp:extent cx="304800" cy="304800"/>
            <wp:effectExtent l="0" t="0" r="0" b="0"/>
            <wp:docPr id="3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B9A2950" w14:textId="77777777" w:rsidR="002A3970" w:rsidRDefault="00C35E63">
      <w:pPr>
        <w:jc w:val="center"/>
      </w:pPr>
      <w:r>
        <w:rPr>
          <w:rFonts w:ascii="Times New Roman" w:eastAsia="宋体" w:hAnsi="Times New Roman"/>
          <w:b/>
          <w:bCs/>
          <w:color w:val="000000"/>
          <w:sz w:val="40"/>
          <w:szCs w:val="40"/>
        </w:rPr>
        <w:t xml:space="preserve">WALMART INC. </w:t>
      </w:r>
    </w:p>
    <w:p w14:paraId="4B9A2951" w14:textId="77777777" w:rsidR="002A3970" w:rsidRDefault="00C35E63">
      <w:pPr>
        <w:jc w:val="center"/>
      </w:pPr>
      <w:r>
        <w:rPr>
          <w:rFonts w:ascii="Times New Roman" w:eastAsia="宋体" w:hAnsi="Times New Roman"/>
          <w:b/>
          <w:bCs/>
          <w:color w:val="000000"/>
          <w:sz w:val="20"/>
          <w:szCs w:val="20"/>
        </w:rPr>
        <w:t>(Exact name of registrant as specified in its 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2A3970" w14:paraId="4B9A295E" w14:textId="77777777">
        <w:trPr>
          <w:jc w:val="center"/>
        </w:trPr>
        <w:tc>
          <w:tcPr>
            <w:tcW w:w="50" w:type="pct"/>
            <w:shd w:val="clear" w:color="auto" w:fill="auto"/>
            <w:vAlign w:val="bottom"/>
          </w:tcPr>
          <w:p w14:paraId="4B9A2952" w14:textId="77777777" w:rsidR="002A3970" w:rsidRDefault="002A3970">
            <w:pPr>
              <w:rPr>
                <w:rFonts w:ascii="宋体"/>
              </w:rPr>
            </w:pPr>
          </w:p>
        </w:tc>
        <w:tc>
          <w:tcPr>
            <w:tcW w:w="1254" w:type="pct"/>
            <w:shd w:val="clear" w:color="auto" w:fill="auto"/>
            <w:vAlign w:val="bottom"/>
          </w:tcPr>
          <w:p w14:paraId="4B9A2953" w14:textId="77777777" w:rsidR="002A3970" w:rsidRDefault="002A3970">
            <w:pPr>
              <w:rPr>
                <w:rFonts w:ascii="宋体"/>
              </w:rPr>
            </w:pPr>
          </w:p>
        </w:tc>
        <w:tc>
          <w:tcPr>
            <w:tcW w:w="5" w:type="pct"/>
            <w:shd w:val="clear" w:color="auto" w:fill="auto"/>
            <w:vAlign w:val="bottom"/>
          </w:tcPr>
          <w:p w14:paraId="4B9A2954" w14:textId="77777777" w:rsidR="002A3970" w:rsidRDefault="002A3970">
            <w:pPr>
              <w:rPr>
                <w:rFonts w:ascii="宋体"/>
              </w:rPr>
            </w:pPr>
          </w:p>
        </w:tc>
        <w:tc>
          <w:tcPr>
            <w:tcW w:w="50" w:type="pct"/>
            <w:shd w:val="clear" w:color="auto" w:fill="auto"/>
            <w:vAlign w:val="bottom"/>
          </w:tcPr>
          <w:p w14:paraId="4B9A2955" w14:textId="77777777" w:rsidR="002A3970" w:rsidRDefault="002A3970">
            <w:pPr>
              <w:rPr>
                <w:rFonts w:ascii="宋体"/>
              </w:rPr>
            </w:pPr>
          </w:p>
        </w:tc>
        <w:tc>
          <w:tcPr>
            <w:tcW w:w="1254" w:type="pct"/>
            <w:shd w:val="clear" w:color="auto" w:fill="auto"/>
            <w:vAlign w:val="bottom"/>
          </w:tcPr>
          <w:p w14:paraId="4B9A2956" w14:textId="77777777" w:rsidR="002A3970" w:rsidRDefault="002A3970">
            <w:pPr>
              <w:rPr>
                <w:rFonts w:ascii="宋体"/>
              </w:rPr>
            </w:pPr>
          </w:p>
        </w:tc>
        <w:tc>
          <w:tcPr>
            <w:tcW w:w="5" w:type="pct"/>
            <w:shd w:val="clear" w:color="auto" w:fill="auto"/>
            <w:vAlign w:val="bottom"/>
          </w:tcPr>
          <w:p w14:paraId="4B9A2957" w14:textId="77777777" w:rsidR="002A3970" w:rsidRDefault="002A3970">
            <w:pPr>
              <w:rPr>
                <w:rFonts w:ascii="宋体"/>
              </w:rPr>
            </w:pPr>
          </w:p>
        </w:tc>
        <w:tc>
          <w:tcPr>
            <w:tcW w:w="5" w:type="pct"/>
            <w:shd w:val="clear" w:color="auto" w:fill="auto"/>
            <w:vAlign w:val="bottom"/>
          </w:tcPr>
          <w:p w14:paraId="4B9A2958" w14:textId="77777777" w:rsidR="002A3970" w:rsidRDefault="002A3970">
            <w:pPr>
              <w:rPr>
                <w:rFonts w:ascii="宋体"/>
              </w:rPr>
            </w:pPr>
          </w:p>
        </w:tc>
        <w:tc>
          <w:tcPr>
            <w:tcW w:w="27" w:type="pct"/>
            <w:shd w:val="clear" w:color="auto" w:fill="auto"/>
            <w:vAlign w:val="bottom"/>
          </w:tcPr>
          <w:p w14:paraId="4B9A2959" w14:textId="77777777" w:rsidR="002A3970" w:rsidRDefault="002A3970">
            <w:pPr>
              <w:rPr>
                <w:rFonts w:ascii="宋体"/>
              </w:rPr>
            </w:pPr>
          </w:p>
        </w:tc>
        <w:tc>
          <w:tcPr>
            <w:tcW w:w="5" w:type="pct"/>
            <w:shd w:val="clear" w:color="auto" w:fill="auto"/>
            <w:vAlign w:val="bottom"/>
          </w:tcPr>
          <w:p w14:paraId="4B9A295A" w14:textId="77777777" w:rsidR="002A3970" w:rsidRDefault="002A3970">
            <w:pPr>
              <w:rPr>
                <w:rFonts w:ascii="宋体"/>
              </w:rPr>
            </w:pPr>
          </w:p>
        </w:tc>
        <w:tc>
          <w:tcPr>
            <w:tcW w:w="50" w:type="pct"/>
            <w:shd w:val="clear" w:color="auto" w:fill="auto"/>
            <w:vAlign w:val="bottom"/>
          </w:tcPr>
          <w:p w14:paraId="4B9A295B" w14:textId="77777777" w:rsidR="002A3970" w:rsidRDefault="002A3970">
            <w:pPr>
              <w:rPr>
                <w:rFonts w:ascii="宋体"/>
              </w:rPr>
            </w:pPr>
          </w:p>
        </w:tc>
        <w:tc>
          <w:tcPr>
            <w:tcW w:w="2288" w:type="pct"/>
            <w:shd w:val="clear" w:color="auto" w:fill="auto"/>
            <w:vAlign w:val="bottom"/>
          </w:tcPr>
          <w:p w14:paraId="4B9A295C" w14:textId="77777777" w:rsidR="002A3970" w:rsidRDefault="002A3970">
            <w:pPr>
              <w:rPr>
                <w:rFonts w:ascii="宋体"/>
              </w:rPr>
            </w:pPr>
          </w:p>
        </w:tc>
        <w:tc>
          <w:tcPr>
            <w:tcW w:w="5" w:type="pct"/>
            <w:shd w:val="clear" w:color="auto" w:fill="auto"/>
            <w:vAlign w:val="bottom"/>
          </w:tcPr>
          <w:p w14:paraId="4B9A295D" w14:textId="77777777" w:rsidR="002A3970" w:rsidRDefault="002A3970">
            <w:pPr>
              <w:rPr>
                <w:rFonts w:ascii="宋体"/>
              </w:rPr>
            </w:pPr>
          </w:p>
        </w:tc>
      </w:tr>
      <w:tr w:rsidR="002A3970" w14:paraId="4B9A2962" w14:textId="77777777">
        <w:trPr>
          <w:jc w:val="center"/>
        </w:trPr>
        <w:tc>
          <w:tcPr>
            <w:tcW w:w="0" w:type="auto"/>
            <w:gridSpan w:val="6"/>
            <w:shd w:val="clear" w:color="auto" w:fill="auto"/>
            <w:tcMar>
              <w:top w:w="40" w:type="dxa"/>
              <w:left w:w="20" w:type="dxa"/>
              <w:bottom w:w="40" w:type="dxa"/>
              <w:right w:w="20" w:type="dxa"/>
            </w:tcMar>
          </w:tcPr>
          <w:p w14:paraId="4B9A295F" w14:textId="77777777" w:rsidR="002A3970" w:rsidRDefault="00C35E63">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4B9A296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2961" w14:textId="77777777" w:rsidR="002A3970" w:rsidRDefault="00C35E63">
            <w:pPr>
              <w:jc w:val="center"/>
              <w:textAlignment w:val="top"/>
            </w:pPr>
            <w:r>
              <w:rPr>
                <w:rFonts w:ascii="Times New Roman" w:eastAsia="宋体" w:hAnsi="Times New Roman"/>
                <w:b/>
                <w:bCs/>
                <w:color w:val="000000"/>
                <w:sz w:val="20"/>
                <w:szCs w:val="20"/>
              </w:rPr>
              <w:t>71-0415188</w:t>
            </w:r>
          </w:p>
        </w:tc>
      </w:tr>
      <w:tr w:rsidR="002A3970" w14:paraId="4B9A2966" w14:textId="77777777">
        <w:trPr>
          <w:jc w:val="center"/>
        </w:trPr>
        <w:tc>
          <w:tcPr>
            <w:tcW w:w="0" w:type="auto"/>
            <w:gridSpan w:val="6"/>
            <w:shd w:val="clear" w:color="auto" w:fill="auto"/>
            <w:tcMar>
              <w:top w:w="40" w:type="dxa"/>
              <w:left w:w="20" w:type="dxa"/>
              <w:bottom w:w="40" w:type="dxa"/>
              <w:right w:w="20" w:type="dxa"/>
            </w:tcMar>
            <w:vAlign w:val="bottom"/>
          </w:tcPr>
          <w:p w14:paraId="4B9A2963" w14:textId="77777777" w:rsidR="002A3970" w:rsidRDefault="00C35E63">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4B9A2964"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965" w14:textId="77777777" w:rsidR="002A3970" w:rsidRDefault="00C35E63">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2A3970" w14:paraId="4B9A296A" w14:textId="77777777">
        <w:trPr>
          <w:trHeight w:val="100"/>
          <w:jc w:val="center"/>
        </w:trPr>
        <w:tc>
          <w:tcPr>
            <w:tcW w:w="0" w:type="auto"/>
            <w:gridSpan w:val="3"/>
            <w:shd w:val="clear" w:color="auto" w:fill="auto"/>
            <w:tcMar>
              <w:top w:w="0" w:type="dxa"/>
              <w:left w:w="20" w:type="dxa"/>
              <w:bottom w:w="0" w:type="dxa"/>
              <w:right w:w="20" w:type="dxa"/>
            </w:tcMar>
            <w:vAlign w:val="bottom"/>
          </w:tcPr>
          <w:p w14:paraId="4B9A2967"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68"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2969" w14:textId="77777777" w:rsidR="002A3970" w:rsidRDefault="002A3970">
            <w:pPr>
              <w:rPr>
                <w:rFonts w:ascii="宋体"/>
              </w:rPr>
            </w:pPr>
          </w:p>
        </w:tc>
      </w:tr>
      <w:tr w:rsidR="002A3970" w14:paraId="4B9A296E" w14:textId="77777777">
        <w:trPr>
          <w:trHeight w:val="280"/>
          <w:jc w:val="center"/>
        </w:trPr>
        <w:tc>
          <w:tcPr>
            <w:tcW w:w="0" w:type="auto"/>
            <w:gridSpan w:val="6"/>
            <w:shd w:val="clear" w:color="auto" w:fill="auto"/>
            <w:tcMar>
              <w:top w:w="40" w:type="dxa"/>
              <w:left w:w="20" w:type="dxa"/>
              <w:bottom w:w="40" w:type="dxa"/>
              <w:right w:w="20" w:type="dxa"/>
            </w:tcMar>
            <w:vAlign w:val="bottom"/>
          </w:tcPr>
          <w:p w14:paraId="4B9A296B" w14:textId="77777777" w:rsidR="002A3970" w:rsidRDefault="00C35E63">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vAlign w:val="bottom"/>
          </w:tcPr>
          <w:p w14:paraId="4B9A296C" w14:textId="77777777" w:rsidR="002A3970" w:rsidRDefault="002A3970">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B9A296D" w14:textId="77777777" w:rsidR="002A3970" w:rsidRDefault="00C35E63">
            <w:pPr>
              <w:jc w:val="center"/>
              <w:textAlignment w:val="bottom"/>
            </w:pPr>
            <w:r>
              <w:rPr>
                <w:rFonts w:ascii="Times New Roman" w:eastAsia="宋体" w:hAnsi="Times New Roman"/>
                <w:b/>
                <w:bCs/>
                <w:color w:val="000000"/>
                <w:sz w:val="20"/>
                <w:szCs w:val="20"/>
              </w:rPr>
              <w:t>72716</w:t>
            </w:r>
          </w:p>
        </w:tc>
      </w:tr>
      <w:tr w:rsidR="002A3970" w14:paraId="4B9A2973" w14:textId="77777777">
        <w:trPr>
          <w:trHeight w:val="280"/>
          <w:jc w:val="center"/>
        </w:trPr>
        <w:tc>
          <w:tcPr>
            <w:tcW w:w="0" w:type="auto"/>
            <w:gridSpan w:val="3"/>
            <w:shd w:val="clear" w:color="auto" w:fill="auto"/>
            <w:tcMar>
              <w:top w:w="40" w:type="dxa"/>
              <w:left w:w="20" w:type="dxa"/>
              <w:bottom w:w="40" w:type="dxa"/>
              <w:right w:w="20" w:type="dxa"/>
            </w:tcMar>
            <w:vAlign w:val="bottom"/>
          </w:tcPr>
          <w:p w14:paraId="4B9A296F" w14:textId="77777777" w:rsidR="002A3970" w:rsidRDefault="00C35E63">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4B9A2970" w14:textId="77777777" w:rsidR="002A3970" w:rsidRDefault="00C35E63">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vAlign w:val="bottom"/>
          </w:tcPr>
          <w:p w14:paraId="4B9A2971" w14:textId="77777777" w:rsidR="002A3970" w:rsidRDefault="002A3970">
            <w:pPr>
              <w:rPr>
                <w:rFonts w:ascii="宋体"/>
              </w:rPr>
            </w:pPr>
          </w:p>
        </w:tc>
        <w:tc>
          <w:tcPr>
            <w:tcW w:w="0" w:type="auto"/>
            <w:gridSpan w:val="3"/>
            <w:vMerge/>
            <w:shd w:val="clear" w:color="auto" w:fill="auto"/>
            <w:tcMar>
              <w:top w:w="40" w:type="dxa"/>
              <w:left w:w="20" w:type="dxa"/>
              <w:bottom w:w="40" w:type="dxa"/>
              <w:right w:w="20" w:type="dxa"/>
            </w:tcMar>
            <w:vAlign w:val="bottom"/>
          </w:tcPr>
          <w:p w14:paraId="4B9A2972" w14:textId="77777777" w:rsidR="002A3970" w:rsidRDefault="002A3970">
            <w:pPr>
              <w:jc w:val="center"/>
              <w:rPr>
                <w:rFonts w:ascii="宋体"/>
              </w:rPr>
            </w:pPr>
          </w:p>
        </w:tc>
      </w:tr>
      <w:tr w:rsidR="002A3970" w14:paraId="4B9A2977" w14:textId="77777777">
        <w:trPr>
          <w:jc w:val="center"/>
        </w:trPr>
        <w:tc>
          <w:tcPr>
            <w:tcW w:w="0" w:type="auto"/>
            <w:gridSpan w:val="6"/>
            <w:shd w:val="clear" w:color="auto" w:fill="auto"/>
            <w:tcMar>
              <w:top w:w="40" w:type="dxa"/>
              <w:left w:w="20" w:type="dxa"/>
              <w:bottom w:w="40" w:type="dxa"/>
              <w:right w:w="20" w:type="dxa"/>
            </w:tcMar>
          </w:tcPr>
          <w:p w14:paraId="4B9A2974" w14:textId="77777777" w:rsidR="002A3970" w:rsidRDefault="00C35E63">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4B9A297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2976" w14:textId="77777777" w:rsidR="002A3970" w:rsidRDefault="00C35E63">
            <w:pPr>
              <w:jc w:val="center"/>
              <w:textAlignment w:val="top"/>
            </w:pPr>
            <w:r>
              <w:rPr>
                <w:rFonts w:ascii="Times New Roman" w:eastAsia="宋体" w:hAnsi="Times New Roman"/>
                <w:b/>
                <w:bCs/>
                <w:color w:val="000000"/>
                <w:sz w:val="16"/>
                <w:szCs w:val="16"/>
              </w:rPr>
              <w:t>(Zip Code)</w:t>
            </w:r>
          </w:p>
        </w:tc>
      </w:tr>
    </w:tbl>
    <w:p w14:paraId="4B9A2978" w14:textId="77777777" w:rsidR="002A3970" w:rsidRDefault="002A3970">
      <w:pPr>
        <w:jc w:val="center"/>
      </w:pPr>
    </w:p>
    <w:p w14:paraId="4B9A2979" w14:textId="77777777" w:rsidR="002A3970" w:rsidRDefault="00C35E63">
      <w:pPr>
        <w:jc w:val="center"/>
      </w:pPr>
      <w:r>
        <w:rPr>
          <w:rFonts w:ascii="Times New Roman" w:eastAsia="宋体" w:hAnsi="Times New Roman"/>
          <w:b/>
          <w:bCs/>
          <w:color w:val="000000"/>
          <w:sz w:val="16"/>
          <w:szCs w:val="16"/>
        </w:rPr>
        <w:t xml:space="preserve">Registrant's telephone number, including area code: (479) 273-4000 </w:t>
      </w:r>
    </w:p>
    <w:p w14:paraId="4B9A297A" w14:textId="77777777" w:rsidR="002A3970" w:rsidRDefault="00C35E63">
      <w:pPr>
        <w:jc w:val="center"/>
      </w:pPr>
      <w:r>
        <w:rPr>
          <w:rFonts w:ascii="Times New Roman" w:eastAsia="宋体" w:hAnsi="Times New Roman"/>
          <w:b/>
          <w:bCs/>
          <w:color w:val="000000"/>
          <w:sz w:val="16"/>
          <w:szCs w:val="16"/>
        </w:rPr>
        <w:t>Former name, former address and former fiscal year, if changed since last report: N/A</w:t>
      </w:r>
    </w:p>
    <w:p w14:paraId="4B9A297B" w14:textId="77777777" w:rsidR="002A3970" w:rsidRDefault="00C35E63">
      <w:pPr>
        <w:spacing w:before="120"/>
      </w:pPr>
      <w:r>
        <w:rPr>
          <w:rFonts w:ascii="Times New Roman" w:eastAsia="宋体" w:hAnsi="Times New Roman"/>
          <w:color w:val="000000"/>
          <w:sz w:val="18"/>
          <w:szCs w:val="18"/>
        </w:rPr>
        <w:t>Securities registered pursuant to Section 12(b) of the Act:</w:t>
      </w: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2A3970" w14:paraId="4B9A298B" w14:textId="77777777">
        <w:tc>
          <w:tcPr>
            <w:tcW w:w="50" w:type="pct"/>
            <w:shd w:val="clear" w:color="auto" w:fill="auto"/>
            <w:vAlign w:val="bottom"/>
          </w:tcPr>
          <w:p w14:paraId="4B9A297C" w14:textId="77777777" w:rsidR="002A3970" w:rsidRDefault="002A3970">
            <w:pPr>
              <w:rPr>
                <w:rFonts w:ascii="宋体"/>
              </w:rPr>
            </w:pPr>
          </w:p>
        </w:tc>
        <w:tc>
          <w:tcPr>
            <w:tcW w:w="1577" w:type="pct"/>
            <w:shd w:val="clear" w:color="auto" w:fill="auto"/>
            <w:vAlign w:val="bottom"/>
          </w:tcPr>
          <w:p w14:paraId="4B9A297D" w14:textId="77777777" w:rsidR="002A3970" w:rsidRDefault="002A3970">
            <w:pPr>
              <w:rPr>
                <w:rFonts w:ascii="宋体"/>
              </w:rPr>
            </w:pPr>
          </w:p>
        </w:tc>
        <w:tc>
          <w:tcPr>
            <w:tcW w:w="5" w:type="pct"/>
            <w:shd w:val="clear" w:color="auto" w:fill="auto"/>
            <w:vAlign w:val="bottom"/>
          </w:tcPr>
          <w:p w14:paraId="4B9A297E" w14:textId="77777777" w:rsidR="002A3970" w:rsidRDefault="002A3970">
            <w:pPr>
              <w:rPr>
                <w:rFonts w:ascii="宋体"/>
              </w:rPr>
            </w:pPr>
          </w:p>
        </w:tc>
        <w:tc>
          <w:tcPr>
            <w:tcW w:w="5" w:type="pct"/>
            <w:shd w:val="clear" w:color="auto" w:fill="auto"/>
            <w:vAlign w:val="bottom"/>
          </w:tcPr>
          <w:p w14:paraId="4B9A297F" w14:textId="77777777" w:rsidR="002A3970" w:rsidRDefault="002A3970">
            <w:pPr>
              <w:rPr>
                <w:rFonts w:ascii="宋体"/>
              </w:rPr>
            </w:pPr>
          </w:p>
        </w:tc>
        <w:tc>
          <w:tcPr>
            <w:tcW w:w="40" w:type="pct"/>
            <w:shd w:val="clear" w:color="auto" w:fill="auto"/>
            <w:vAlign w:val="bottom"/>
          </w:tcPr>
          <w:p w14:paraId="4B9A2980" w14:textId="77777777" w:rsidR="002A3970" w:rsidRDefault="002A3970">
            <w:pPr>
              <w:rPr>
                <w:rFonts w:ascii="宋体"/>
              </w:rPr>
            </w:pPr>
          </w:p>
        </w:tc>
        <w:tc>
          <w:tcPr>
            <w:tcW w:w="5" w:type="pct"/>
            <w:shd w:val="clear" w:color="auto" w:fill="auto"/>
            <w:vAlign w:val="bottom"/>
          </w:tcPr>
          <w:p w14:paraId="4B9A2981" w14:textId="77777777" w:rsidR="002A3970" w:rsidRDefault="002A3970">
            <w:pPr>
              <w:rPr>
                <w:rFonts w:ascii="宋体"/>
              </w:rPr>
            </w:pPr>
          </w:p>
        </w:tc>
        <w:tc>
          <w:tcPr>
            <w:tcW w:w="50" w:type="pct"/>
            <w:shd w:val="clear" w:color="auto" w:fill="auto"/>
            <w:vAlign w:val="bottom"/>
          </w:tcPr>
          <w:p w14:paraId="4B9A2982" w14:textId="77777777" w:rsidR="002A3970" w:rsidRDefault="002A3970">
            <w:pPr>
              <w:rPr>
                <w:rFonts w:ascii="宋体"/>
              </w:rPr>
            </w:pPr>
          </w:p>
        </w:tc>
        <w:tc>
          <w:tcPr>
            <w:tcW w:w="1577" w:type="pct"/>
            <w:shd w:val="clear" w:color="auto" w:fill="auto"/>
            <w:vAlign w:val="bottom"/>
          </w:tcPr>
          <w:p w14:paraId="4B9A2983" w14:textId="77777777" w:rsidR="002A3970" w:rsidRDefault="002A3970">
            <w:pPr>
              <w:rPr>
                <w:rFonts w:ascii="宋体"/>
              </w:rPr>
            </w:pPr>
          </w:p>
        </w:tc>
        <w:tc>
          <w:tcPr>
            <w:tcW w:w="5" w:type="pct"/>
            <w:shd w:val="clear" w:color="auto" w:fill="auto"/>
            <w:vAlign w:val="bottom"/>
          </w:tcPr>
          <w:p w14:paraId="4B9A2984" w14:textId="77777777" w:rsidR="002A3970" w:rsidRDefault="002A3970">
            <w:pPr>
              <w:rPr>
                <w:rFonts w:ascii="宋体"/>
              </w:rPr>
            </w:pPr>
          </w:p>
        </w:tc>
        <w:tc>
          <w:tcPr>
            <w:tcW w:w="5" w:type="pct"/>
            <w:shd w:val="clear" w:color="auto" w:fill="auto"/>
            <w:vAlign w:val="bottom"/>
          </w:tcPr>
          <w:p w14:paraId="4B9A2985" w14:textId="77777777" w:rsidR="002A3970" w:rsidRDefault="002A3970">
            <w:pPr>
              <w:rPr>
                <w:rFonts w:ascii="宋体"/>
              </w:rPr>
            </w:pPr>
          </w:p>
        </w:tc>
        <w:tc>
          <w:tcPr>
            <w:tcW w:w="40" w:type="pct"/>
            <w:shd w:val="clear" w:color="auto" w:fill="auto"/>
            <w:vAlign w:val="bottom"/>
          </w:tcPr>
          <w:p w14:paraId="4B9A2986" w14:textId="77777777" w:rsidR="002A3970" w:rsidRDefault="002A3970">
            <w:pPr>
              <w:rPr>
                <w:rFonts w:ascii="宋体"/>
              </w:rPr>
            </w:pPr>
          </w:p>
        </w:tc>
        <w:tc>
          <w:tcPr>
            <w:tcW w:w="5" w:type="pct"/>
            <w:shd w:val="clear" w:color="auto" w:fill="auto"/>
            <w:vAlign w:val="bottom"/>
          </w:tcPr>
          <w:p w14:paraId="4B9A2987" w14:textId="77777777" w:rsidR="002A3970" w:rsidRDefault="002A3970">
            <w:pPr>
              <w:rPr>
                <w:rFonts w:ascii="宋体"/>
              </w:rPr>
            </w:pPr>
          </w:p>
        </w:tc>
        <w:tc>
          <w:tcPr>
            <w:tcW w:w="50" w:type="pct"/>
            <w:shd w:val="clear" w:color="auto" w:fill="auto"/>
            <w:vAlign w:val="bottom"/>
          </w:tcPr>
          <w:p w14:paraId="4B9A2988" w14:textId="77777777" w:rsidR="002A3970" w:rsidRDefault="002A3970">
            <w:pPr>
              <w:rPr>
                <w:rFonts w:ascii="宋体"/>
              </w:rPr>
            </w:pPr>
          </w:p>
        </w:tc>
        <w:tc>
          <w:tcPr>
            <w:tcW w:w="1577" w:type="pct"/>
            <w:shd w:val="clear" w:color="auto" w:fill="auto"/>
            <w:vAlign w:val="bottom"/>
          </w:tcPr>
          <w:p w14:paraId="4B9A2989" w14:textId="77777777" w:rsidR="002A3970" w:rsidRDefault="002A3970">
            <w:pPr>
              <w:rPr>
                <w:rFonts w:ascii="宋体"/>
              </w:rPr>
            </w:pPr>
          </w:p>
        </w:tc>
        <w:tc>
          <w:tcPr>
            <w:tcW w:w="5" w:type="pct"/>
            <w:shd w:val="clear" w:color="auto" w:fill="auto"/>
            <w:vAlign w:val="bottom"/>
          </w:tcPr>
          <w:p w14:paraId="4B9A298A" w14:textId="77777777" w:rsidR="002A3970" w:rsidRDefault="002A3970">
            <w:pPr>
              <w:rPr>
                <w:rFonts w:ascii="宋体"/>
              </w:rPr>
            </w:pPr>
          </w:p>
        </w:tc>
      </w:tr>
      <w:tr w:rsidR="002A3970" w14:paraId="4B9A2991" w14:textId="77777777">
        <w:tc>
          <w:tcPr>
            <w:tcW w:w="0" w:type="auto"/>
            <w:gridSpan w:val="3"/>
            <w:shd w:val="clear" w:color="auto" w:fill="auto"/>
            <w:tcMar>
              <w:top w:w="40" w:type="dxa"/>
              <w:left w:w="20" w:type="dxa"/>
              <w:bottom w:w="40" w:type="dxa"/>
              <w:right w:w="20" w:type="dxa"/>
            </w:tcMar>
          </w:tcPr>
          <w:p w14:paraId="4B9A298C" w14:textId="77777777" w:rsidR="002A3970" w:rsidRDefault="00C35E63">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vAlign w:val="bottom"/>
          </w:tcPr>
          <w:p w14:paraId="4B9A298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298E" w14:textId="77777777" w:rsidR="002A3970" w:rsidRDefault="00C35E63">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vAlign w:val="bottom"/>
          </w:tcPr>
          <w:p w14:paraId="4B9A298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2990" w14:textId="77777777" w:rsidR="002A3970" w:rsidRDefault="00C35E63">
            <w:pPr>
              <w:jc w:val="center"/>
              <w:textAlignment w:val="top"/>
            </w:pPr>
            <w:r>
              <w:rPr>
                <w:rFonts w:ascii="Times New Roman" w:eastAsia="宋体" w:hAnsi="Times New Roman"/>
                <w:color w:val="000000"/>
                <w:sz w:val="16"/>
                <w:szCs w:val="16"/>
              </w:rPr>
              <w:t>Name of each exchange on which registered</w:t>
            </w:r>
          </w:p>
        </w:tc>
      </w:tr>
      <w:tr w:rsidR="002A3970" w14:paraId="4B9A2997" w14:textId="77777777">
        <w:tc>
          <w:tcPr>
            <w:tcW w:w="0" w:type="auto"/>
            <w:gridSpan w:val="3"/>
            <w:tcBorders>
              <w:top w:val="single" w:sz="8" w:space="0" w:color="000000"/>
            </w:tcBorders>
            <w:shd w:val="clear" w:color="auto" w:fill="auto"/>
            <w:tcMar>
              <w:top w:w="40" w:type="dxa"/>
              <w:left w:w="20" w:type="dxa"/>
              <w:bottom w:w="40" w:type="dxa"/>
              <w:right w:w="20" w:type="dxa"/>
            </w:tcMar>
          </w:tcPr>
          <w:p w14:paraId="4B9A2992" w14:textId="77777777" w:rsidR="002A3970" w:rsidRDefault="00C35E63">
            <w:pPr>
              <w:jc w:val="center"/>
              <w:textAlignment w:val="top"/>
            </w:pPr>
            <w:r>
              <w:rPr>
                <w:rFonts w:ascii="Times New Roman" w:eastAsia="宋体" w:hAnsi="Times New Roman"/>
                <w:color w:val="000000"/>
                <w:sz w:val="16"/>
                <w:szCs w:val="16"/>
              </w:rPr>
              <w:t>Common Stock, par value $0.10 per share</w:t>
            </w:r>
          </w:p>
        </w:tc>
        <w:tc>
          <w:tcPr>
            <w:tcW w:w="0" w:type="auto"/>
            <w:gridSpan w:val="3"/>
            <w:shd w:val="clear" w:color="auto" w:fill="auto"/>
            <w:tcMar>
              <w:top w:w="0" w:type="dxa"/>
              <w:left w:w="20" w:type="dxa"/>
              <w:bottom w:w="0" w:type="dxa"/>
              <w:right w:w="20" w:type="dxa"/>
            </w:tcMar>
            <w:vAlign w:val="bottom"/>
          </w:tcPr>
          <w:p w14:paraId="4B9A2993"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B9A2994" w14:textId="77777777" w:rsidR="002A3970" w:rsidRDefault="00C35E63">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vAlign w:val="bottom"/>
          </w:tcPr>
          <w:p w14:paraId="4B9A2995"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B9A2996" w14:textId="77777777" w:rsidR="002A3970" w:rsidRDefault="00C35E63">
            <w:pPr>
              <w:jc w:val="center"/>
              <w:textAlignment w:val="top"/>
            </w:pPr>
            <w:r>
              <w:rPr>
                <w:rFonts w:ascii="Times New Roman" w:eastAsia="宋体" w:hAnsi="Times New Roman"/>
                <w:color w:val="000000"/>
                <w:sz w:val="16"/>
                <w:szCs w:val="16"/>
              </w:rPr>
              <w:t>New York Stock Exchange</w:t>
            </w:r>
          </w:p>
        </w:tc>
      </w:tr>
      <w:tr w:rsidR="002A3970" w14:paraId="4B9A299D" w14:textId="77777777">
        <w:tc>
          <w:tcPr>
            <w:tcW w:w="0" w:type="auto"/>
            <w:gridSpan w:val="3"/>
            <w:shd w:val="clear" w:color="auto" w:fill="auto"/>
            <w:tcMar>
              <w:top w:w="40" w:type="dxa"/>
              <w:left w:w="20" w:type="dxa"/>
              <w:bottom w:w="40" w:type="dxa"/>
              <w:right w:w="20" w:type="dxa"/>
            </w:tcMar>
          </w:tcPr>
          <w:p w14:paraId="4B9A2998" w14:textId="77777777" w:rsidR="002A3970" w:rsidRDefault="00C35E63">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vAlign w:val="bottom"/>
          </w:tcPr>
          <w:p w14:paraId="4B9A299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299A" w14:textId="77777777" w:rsidR="002A3970" w:rsidRDefault="00C35E63">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vAlign w:val="bottom"/>
          </w:tcPr>
          <w:p w14:paraId="4B9A299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299C" w14:textId="77777777" w:rsidR="002A3970" w:rsidRDefault="00C35E63">
            <w:pPr>
              <w:jc w:val="center"/>
              <w:textAlignment w:val="top"/>
            </w:pPr>
            <w:r>
              <w:rPr>
                <w:rFonts w:ascii="Times New Roman" w:eastAsia="宋体" w:hAnsi="Times New Roman"/>
                <w:color w:val="000000"/>
                <w:sz w:val="16"/>
                <w:szCs w:val="16"/>
              </w:rPr>
              <w:t>New York Stock Exchange</w:t>
            </w:r>
          </w:p>
        </w:tc>
      </w:tr>
    </w:tbl>
    <w:p w14:paraId="4B9A299E" w14:textId="77777777" w:rsidR="002A3970" w:rsidRDefault="00C35E63">
      <w:pPr>
        <w:spacing w:before="20"/>
      </w:pPr>
      <w:r>
        <w:rPr>
          <w:rFonts w:ascii="Times New Roman" w:eastAsia="宋体" w:hAnsi="Times New Roman"/>
          <w:color w:val="000000"/>
          <w:sz w:val="18"/>
          <w:szCs w:val="18"/>
        </w:rPr>
        <w:t xml:space="preserve">Indicate by check mark whether the registrant (1) has filed all </w:t>
      </w:r>
      <w:r>
        <w:rPr>
          <w:rFonts w:ascii="Times New Roman" w:eastAsia="宋体" w:hAnsi="Times New Roman"/>
          <w:color w:val="000000"/>
          <w:sz w:val="18"/>
          <w:szCs w:val="18"/>
        </w:rPr>
        <w:t xml:space="preserve">reports required to be filed by Section 13 or 15(d) of the Securities Exchange Act of 1934 during the preceding 12 months (or such shorter periods that the registrant was required to file such reports), and (2) has been subject to such filing requirements </w:t>
      </w:r>
      <w:r>
        <w:rPr>
          <w:rFonts w:ascii="Times New Roman" w:eastAsia="宋体" w:hAnsi="Times New Roman"/>
          <w:color w:val="000000"/>
          <w:sz w:val="18"/>
          <w:szCs w:val="18"/>
        </w:rPr>
        <w:t>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4B9A299F" w14:textId="77777777" w:rsidR="002A3970" w:rsidRDefault="00C35E63">
      <w:pPr>
        <w:spacing w:before="120"/>
      </w:pPr>
      <w:r>
        <w:rPr>
          <w:rFonts w:ascii="Times New Roman" w:eastAsia="宋体" w:hAnsi="Times New Roman"/>
          <w:color w:val="000000"/>
          <w:sz w:val="18"/>
          <w:szCs w:val="18"/>
        </w:rPr>
        <w:t xml:space="preserve">Indicate by check mark whether the registrant has submitted electronically every Interactive Data File required to be submitted pursuant to Rule 405 of Regulation S-T (§232.405 of this chapter) during the preceding </w:t>
      </w:r>
      <w:r>
        <w:rPr>
          <w:rFonts w:ascii="Times New Roman" w:eastAsia="宋体" w:hAnsi="Times New Roman"/>
          <w:color w:val="000000"/>
          <w:sz w:val="18"/>
          <w:szCs w:val="18"/>
        </w:rPr>
        <w:t>12 months (or for such shorter period 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4B9A29A0" w14:textId="77777777" w:rsidR="002A3970" w:rsidRDefault="00C35E63">
      <w:pPr>
        <w:spacing w:before="120"/>
      </w:pPr>
      <w:r>
        <w:rPr>
          <w:rFonts w:ascii="Times New Roman" w:eastAsia="宋体" w:hAnsi="Times New Roman"/>
          <w:color w:val="000000"/>
          <w:sz w:val="18"/>
          <w:szCs w:val="18"/>
        </w:rPr>
        <w:t>Indicate by check mark whether the registrant is a large accelerated filer, an accelerated filer, a non-accelerated filer, smaller reporting co</w:t>
      </w:r>
      <w:r>
        <w:rPr>
          <w:rFonts w:ascii="Times New Roman" w:eastAsia="宋体" w:hAnsi="Times New Roman"/>
          <w:color w:val="000000"/>
          <w:sz w:val="18"/>
          <w:szCs w:val="18"/>
        </w:rPr>
        <w:t xml:space="preserve">mpany, or an emerging growth company. See definitions of "large accelerated filer," "accelerated filer," "smaller reporting company," and "emerging growth company" in Rule 12b-2 of the Exchange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2A3970" w14:paraId="4B9A29B6" w14:textId="77777777">
        <w:tc>
          <w:tcPr>
            <w:tcW w:w="50" w:type="pct"/>
            <w:shd w:val="clear" w:color="auto" w:fill="auto"/>
            <w:vAlign w:val="bottom"/>
          </w:tcPr>
          <w:p w14:paraId="4B9A29A1" w14:textId="77777777" w:rsidR="002A3970" w:rsidRDefault="002A3970">
            <w:pPr>
              <w:rPr>
                <w:rFonts w:ascii="宋体"/>
              </w:rPr>
            </w:pPr>
          </w:p>
        </w:tc>
        <w:tc>
          <w:tcPr>
            <w:tcW w:w="1581" w:type="pct"/>
            <w:shd w:val="clear" w:color="auto" w:fill="auto"/>
            <w:vAlign w:val="bottom"/>
          </w:tcPr>
          <w:p w14:paraId="4B9A29A2" w14:textId="77777777" w:rsidR="002A3970" w:rsidRDefault="002A3970">
            <w:pPr>
              <w:rPr>
                <w:rFonts w:ascii="宋体"/>
              </w:rPr>
            </w:pPr>
          </w:p>
        </w:tc>
        <w:tc>
          <w:tcPr>
            <w:tcW w:w="5" w:type="pct"/>
            <w:shd w:val="clear" w:color="auto" w:fill="auto"/>
            <w:vAlign w:val="bottom"/>
          </w:tcPr>
          <w:p w14:paraId="4B9A29A3" w14:textId="77777777" w:rsidR="002A3970" w:rsidRDefault="002A3970">
            <w:pPr>
              <w:rPr>
                <w:rFonts w:ascii="宋体"/>
              </w:rPr>
            </w:pPr>
          </w:p>
        </w:tc>
        <w:tc>
          <w:tcPr>
            <w:tcW w:w="50" w:type="pct"/>
            <w:shd w:val="clear" w:color="auto" w:fill="auto"/>
            <w:vAlign w:val="bottom"/>
          </w:tcPr>
          <w:p w14:paraId="4B9A29A4" w14:textId="77777777" w:rsidR="002A3970" w:rsidRDefault="002A3970">
            <w:pPr>
              <w:rPr>
                <w:rFonts w:ascii="宋体"/>
              </w:rPr>
            </w:pPr>
          </w:p>
        </w:tc>
        <w:tc>
          <w:tcPr>
            <w:tcW w:w="127" w:type="pct"/>
            <w:shd w:val="clear" w:color="auto" w:fill="auto"/>
            <w:vAlign w:val="bottom"/>
          </w:tcPr>
          <w:p w14:paraId="4B9A29A5" w14:textId="77777777" w:rsidR="002A3970" w:rsidRDefault="002A3970">
            <w:pPr>
              <w:rPr>
                <w:rFonts w:ascii="宋体"/>
              </w:rPr>
            </w:pPr>
          </w:p>
        </w:tc>
        <w:tc>
          <w:tcPr>
            <w:tcW w:w="5" w:type="pct"/>
            <w:shd w:val="clear" w:color="auto" w:fill="auto"/>
            <w:vAlign w:val="bottom"/>
          </w:tcPr>
          <w:p w14:paraId="4B9A29A6" w14:textId="77777777" w:rsidR="002A3970" w:rsidRDefault="002A3970">
            <w:pPr>
              <w:rPr>
                <w:rFonts w:ascii="宋体"/>
              </w:rPr>
            </w:pPr>
          </w:p>
        </w:tc>
        <w:tc>
          <w:tcPr>
            <w:tcW w:w="50" w:type="pct"/>
            <w:shd w:val="clear" w:color="auto" w:fill="auto"/>
            <w:vAlign w:val="bottom"/>
          </w:tcPr>
          <w:p w14:paraId="4B9A29A7" w14:textId="77777777" w:rsidR="002A3970" w:rsidRDefault="002A3970">
            <w:pPr>
              <w:rPr>
                <w:rFonts w:ascii="宋体"/>
              </w:rPr>
            </w:pPr>
          </w:p>
        </w:tc>
        <w:tc>
          <w:tcPr>
            <w:tcW w:w="941" w:type="pct"/>
            <w:shd w:val="clear" w:color="auto" w:fill="auto"/>
            <w:vAlign w:val="bottom"/>
          </w:tcPr>
          <w:p w14:paraId="4B9A29A8" w14:textId="77777777" w:rsidR="002A3970" w:rsidRDefault="002A3970">
            <w:pPr>
              <w:rPr>
                <w:rFonts w:ascii="宋体"/>
              </w:rPr>
            </w:pPr>
          </w:p>
        </w:tc>
        <w:tc>
          <w:tcPr>
            <w:tcW w:w="5" w:type="pct"/>
            <w:shd w:val="clear" w:color="auto" w:fill="auto"/>
            <w:vAlign w:val="bottom"/>
          </w:tcPr>
          <w:p w14:paraId="4B9A29A9" w14:textId="77777777" w:rsidR="002A3970" w:rsidRDefault="002A3970">
            <w:pPr>
              <w:rPr>
                <w:rFonts w:ascii="宋体"/>
              </w:rPr>
            </w:pPr>
          </w:p>
        </w:tc>
        <w:tc>
          <w:tcPr>
            <w:tcW w:w="50" w:type="pct"/>
            <w:shd w:val="clear" w:color="auto" w:fill="auto"/>
            <w:vAlign w:val="bottom"/>
          </w:tcPr>
          <w:p w14:paraId="4B9A29AA" w14:textId="77777777" w:rsidR="002A3970" w:rsidRDefault="002A3970">
            <w:pPr>
              <w:rPr>
                <w:rFonts w:ascii="宋体"/>
              </w:rPr>
            </w:pPr>
          </w:p>
        </w:tc>
        <w:tc>
          <w:tcPr>
            <w:tcW w:w="127" w:type="pct"/>
            <w:shd w:val="clear" w:color="auto" w:fill="auto"/>
            <w:vAlign w:val="bottom"/>
          </w:tcPr>
          <w:p w14:paraId="4B9A29AB" w14:textId="77777777" w:rsidR="002A3970" w:rsidRDefault="002A3970">
            <w:pPr>
              <w:rPr>
                <w:rFonts w:ascii="宋体"/>
              </w:rPr>
            </w:pPr>
          </w:p>
        </w:tc>
        <w:tc>
          <w:tcPr>
            <w:tcW w:w="5" w:type="pct"/>
            <w:shd w:val="clear" w:color="auto" w:fill="auto"/>
            <w:vAlign w:val="bottom"/>
          </w:tcPr>
          <w:p w14:paraId="4B9A29AC" w14:textId="77777777" w:rsidR="002A3970" w:rsidRDefault="002A3970">
            <w:pPr>
              <w:rPr>
                <w:rFonts w:ascii="宋体"/>
              </w:rPr>
            </w:pPr>
          </w:p>
        </w:tc>
        <w:tc>
          <w:tcPr>
            <w:tcW w:w="50" w:type="pct"/>
            <w:shd w:val="clear" w:color="auto" w:fill="auto"/>
            <w:vAlign w:val="bottom"/>
          </w:tcPr>
          <w:p w14:paraId="4B9A29AD" w14:textId="77777777" w:rsidR="002A3970" w:rsidRDefault="002A3970">
            <w:pPr>
              <w:rPr>
                <w:rFonts w:ascii="宋体"/>
              </w:rPr>
            </w:pPr>
          </w:p>
        </w:tc>
        <w:tc>
          <w:tcPr>
            <w:tcW w:w="1581" w:type="pct"/>
            <w:shd w:val="clear" w:color="auto" w:fill="auto"/>
            <w:vAlign w:val="bottom"/>
          </w:tcPr>
          <w:p w14:paraId="4B9A29AE" w14:textId="77777777" w:rsidR="002A3970" w:rsidRDefault="002A3970">
            <w:pPr>
              <w:rPr>
                <w:rFonts w:ascii="宋体"/>
              </w:rPr>
            </w:pPr>
          </w:p>
        </w:tc>
        <w:tc>
          <w:tcPr>
            <w:tcW w:w="5" w:type="pct"/>
            <w:shd w:val="clear" w:color="auto" w:fill="auto"/>
            <w:vAlign w:val="bottom"/>
          </w:tcPr>
          <w:p w14:paraId="4B9A29AF" w14:textId="77777777" w:rsidR="002A3970" w:rsidRDefault="002A3970">
            <w:pPr>
              <w:rPr>
                <w:rFonts w:ascii="宋体"/>
              </w:rPr>
            </w:pPr>
          </w:p>
        </w:tc>
        <w:tc>
          <w:tcPr>
            <w:tcW w:w="50" w:type="pct"/>
            <w:shd w:val="clear" w:color="auto" w:fill="auto"/>
            <w:vAlign w:val="bottom"/>
          </w:tcPr>
          <w:p w14:paraId="4B9A29B0" w14:textId="77777777" w:rsidR="002A3970" w:rsidRDefault="002A3970">
            <w:pPr>
              <w:rPr>
                <w:rFonts w:ascii="宋体"/>
              </w:rPr>
            </w:pPr>
          </w:p>
        </w:tc>
        <w:tc>
          <w:tcPr>
            <w:tcW w:w="127" w:type="pct"/>
            <w:shd w:val="clear" w:color="auto" w:fill="auto"/>
            <w:vAlign w:val="bottom"/>
          </w:tcPr>
          <w:p w14:paraId="4B9A29B1" w14:textId="77777777" w:rsidR="002A3970" w:rsidRDefault="002A3970">
            <w:pPr>
              <w:rPr>
                <w:rFonts w:ascii="宋体"/>
              </w:rPr>
            </w:pPr>
          </w:p>
        </w:tc>
        <w:tc>
          <w:tcPr>
            <w:tcW w:w="5" w:type="pct"/>
            <w:shd w:val="clear" w:color="auto" w:fill="auto"/>
            <w:vAlign w:val="bottom"/>
          </w:tcPr>
          <w:p w14:paraId="4B9A29B2" w14:textId="77777777" w:rsidR="002A3970" w:rsidRDefault="002A3970">
            <w:pPr>
              <w:rPr>
                <w:rFonts w:ascii="宋体"/>
              </w:rPr>
            </w:pPr>
          </w:p>
        </w:tc>
        <w:tc>
          <w:tcPr>
            <w:tcW w:w="50" w:type="pct"/>
            <w:shd w:val="clear" w:color="auto" w:fill="auto"/>
            <w:vAlign w:val="bottom"/>
          </w:tcPr>
          <w:p w14:paraId="4B9A29B3" w14:textId="77777777" w:rsidR="002A3970" w:rsidRDefault="002A3970">
            <w:pPr>
              <w:rPr>
                <w:rFonts w:ascii="宋体"/>
              </w:rPr>
            </w:pPr>
          </w:p>
        </w:tc>
        <w:tc>
          <w:tcPr>
            <w:tcW w:w="128" w:type="pct"/>
            <w:shd w:val="clear" w:color="auto" w:fill="auto"/>
            <w:vAlign w:val="bottom"/>
          </w:tcPr>
          <w:p w14:paraId="4B9A29B4" w14:textId="77777777" w:rsidR="002A3970" w:rsidRDefault="002A3970">
            <w:pPr>
              <w:rPr>
                <w:rFonts w:ascii="宋体"/>
              </w:rPr>
            </w:pPr>
          </w:p>
        </w:tc>
        <w:tc>
          <w:tcPr>
            <w:tcW w:w="5" w:type="pct"/>
            <w:shd w:val="clear" w:color="auto" w:fill="auto"/>
            <w:vAlign w:val="bottom"/>
          </w:tcPr>
          <w:p w14:paraId="4B9A29B5" w14:textId="77777777" w:rsidR="002A3970" w:rsidRDefault="002A3970">
            <w:pPr>
              <w:rPr>
                <w:rFonts w:ascii="宋体"/>
              </w:rPr>
            </w:pPr>
          </w:p>
        </w:tc>
      </w:tr>
      <w:tr w:rsidR="002A3970" w14:paraId="4B9A29BE" w14:textId="77777777">
        <w:tc>
          <w:tcPr>
            <w:tcW w:w="0" w:type="auto"/>
            <w:gridSpan w:val="3"/>
            <w:shd w:val="clear" w:color="auto" w:fill="auto"/>
            <w:tcMar>
              <w:top w:w="40" w:type="dxa"/>
              <w:left w:w="20" w:type="dxa"/>
              <w:bottom w:w="40" w:type="dxa"/>
              <w:right w:w="20" w:type="dxa"/>
            </w:tcMar>
            <w:vAlign w:val="bottom"/>
          </w:tcPr>
          <w:p w14:paraId="4B9A29B7" w14:textId="77777777" w:rsidR="002A3970" w:rsidRDefault="00C35E63">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4B9A29B8" w14:textId="77777777" w:rsidR="002A3970" w:rsidRDefault="00C35E6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B9A29B9" w14:textId="77777777" w:rsidR="002A3970" w:rsidRDefault="00C35E63">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4B9A29BA" w14:textId="77777777" w:rsidR="002A3970" w:rsidRDefault="00C35E6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B9A29BB" w14:textId="77777777" w:rsidR="002A3970" w:rsidRDefault="00C35E63">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4B9A29BC" w14:textId="77777777" w:rsidR="002A3970" w:rsidRDefault="00C35E6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B9A29BD" w14:textId="77777777" w:rsidR="002A3970" w:rsidRDefault="00C35E63">
            <w:pPr>
              <w:textAlignment w:val="bottom"/>
            </w:pPr>
            <w:r>
              <w:rPr>
                <w:rFonts w:ascii="Arial Unicode MS" w:eastAsia="Arial Unicode MS" w:hAnsi="Arial Unicode MS" w:cs="Arial Unicode MS" w:hint="eastAsia"/>
                <w:color w:val="000000"/>
                <w:sz w:val="20"/>
                <w:szCs w:val="20"/>
              </w:rPr>
              <w:t>☐</w:t>
            </w:r>
          </w:p>
        </w:tc>
      </w:tr>
      <w:tr w:rsidR="002A3970" w14:paraId="4B9A29C6" w14:textId="77777777">
        <w:tc>
          <w:tcPr>
            <w:tcW w:w="0" w:type="auto"/>
            <w:gridSpan w:val="3"/>
            <w:shd w:val="clear" w:color="auto" w:fill="auto"/>
            <w:tcMar>
              <w:top w:w="40" w:type="dxa"/>
              <w:left w:w="20" w:type="dxa"/>
              <w:bottom w:w="40" w:type="dxa"/>
              <w:right w:w="20" w:type="dxa"/>
            </w:tcMar>
            <w:vAlign w:val="bottom"/>
          </w:tcPr>
          <w:p w14:paraId="4B9A29BF" w14:textId="77777777" w:rsidR="002A3970" w:rsidRDefault="00C35E63">
            <w:pPr>
              <w:textAlignment w:val="bottom"/>
            </w:pPr>
            <w:r>
              <w:rPr>
                <w:rFonts w:ascii="Times New Roman" w:eastAsia="宋体" w:hAnsi="Times New Roman"/>
                <w:color w:val="000000"/>
                <w:sz w:val="18"/>
                <w:szCs w:val="18"/>
              </w:rPr>
              <w:lastRenderedPageBreak/>
              <w:t>Non-Accelerated Filer</w:t>
            </w:r>
          </w:p>
        </w:tc>
        <w:tc>
          <w:tcPr>
            <w:tcW w:w="0" w:type="auto"/>
            <w:gridSpan w:val="3"/>
            <w:shd w:val="clear" w:color="auto" w:fill="auto"/>
            <w:tcMar>
              <w:top w:w="40" w:type="dxa"/>
              <w:left w:w="20" w:type="dxa"/>
              <w:bottom w:w="40" w:type="dxa"/>
              <w:right w:w="20" w:type="dxa"/>
            </w:tcMar>
            <w:vAlign w:val="bottom"/>
          </w:tcPr>
          <w:p w14:paraId="4B9A29C0" w14:textId="77777777" w:rsidR="002A3970" w:rsidRDefault="00C35E6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B9A29C1" w14:textId="77777777" w:rsidR="002A3970" w:rsidRDefault="00C35E63">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4B9A29C2" w14:textId="77777777" w:rsidR="002A3970" w:rsidRDefault="00C35E6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B9A29C3" w14:textId="77777777" w:rsidR="002A3970" w:rsidRDefault="00C35E63">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4B9A29C4" w14:textId="77777777" w:rsidR="002A3970" w:rsidRDefault="00C35E6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B9A29C5" w14:textId="77777777" w:rsidR="002A3970" w:rsidRDefault="00C35E63">
            <w:pPr>
              <w:textAlignment w:val="bottom"/>
            </w:pPr>
            <w:r>
              <w:rPr>
                <w:rFonts w:ascii="Arial Unicode MS" w:eastAsia="Arial Unicode MS" w:hAnsi="Arial Unicode MS" w:cs="Arial Unicode MS" w:hint="eastAsia"/>
                <w:color w:val="000000"/>
                <w:sz w:val="20"/>
                <w:szCs w:val="20"/>
              </w:rPr>
              <w:t>☐</w:t>
            </w:r>
          </w:p>
        </w:tc>
      </w:tr>
      <w:tr w:rsidR="002A3970" w14:paraId="4B9A29CE" w14:textId="77777777">
        <w:tc>
          <w:tcPr>
            <w:tcW w:w="0" w:type="auto"/>
            <w:gridSpan w:val="3"/>
            <w:shd w:val="clear" w:color="auto" w:fill="auto"/>
            <w:tcMar>
              <w:top w:w="0" w:type="dxa"/>
              <w:left w:w="20" w:type="dxa"/>
              <w:bottom w:w="0" w:type="dxa"/>
              <w:right w:w="20" w:type="dxa"/>
            </w:tcMar>
            <w:vAlign w:val="bottom"/>
          </w:tcPr>
          <w:p w14:paraId="4B9A29C7"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C8"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C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CA"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9CB" w14:textId="77777777" w:rsidR="002A3970" w:rsidRDefault="00C35E63">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4B9A29CC"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9CD" w14:textId="77777777" w:rsidR="002A3970" w:rsidRDefault="00C35E63">
            <w:pPr>
              <w:textAlignment w:val="bottom"/>
            </w:pPr>
            <w:r>
              <w:rPr>
                <w:rFonts w:ascii="Arial Unicode MS" w:eastAsia="Arial Unicode MS" w:hAnsi="Arial Unicode MS" w:cs="Arial Unicode MS" w:hint="eastAsia"/>
                <w:color w:val="000000"/>
                <w:sz w:val="20"/>
                <w:szCs w:val="20"/>
              </w:rPr>
              <w:t>☐</w:t>
            </w:r>
          </w:p>
        </w:tc>
      </w:tr>
    </w:tbl>
    <w:p w14:paraId="4B9A29CF" w14:textId="77777777" w:rsidR="002A3970" w:rsidRDefault="00C35E63">
      <w:pPr>
        <w:spacing w:before="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4B9A29D0" w14:textId="77777777" w:rsidR="002A3970" w:rsidRDefault="00C35E63">
      <w:pPr>
        <w:spacing w:before="120"/>
      </w:pPr>
      <w:r>
        <w:rPr>
          <w:rFonts w:ascii="Times New Roman" w:eastAsia="宋体" w:hAnsi="Times New Roman"/>
          <w:color w:val="000000"/>
          <w:sz w:val="18"/>
          <w:szCs w:val="18"/>
        </w:rPr>
        <w:t>Indicate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4B9A29D1" w14:textId="77777777" w:rsidR="002A3970" w:rsidRDefault="00C35E63">
      <w:pPr>
        <w:spacing w:before="100"/>
      </w:pPr>
      <w:r>
        <w:rPr>
          <w:rFonts w:ascii="Times New Roman" w:eastAsia="宋体" w:hAnsi="Times New Roman"/>
          <w:color w:val="000000"/>
          <w:sz w:val="18"/>
          <w:szCs w:val="18"/>
        </w:rPr>
        <w:t>The registrant had 2,696,800,054</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November 29, 2022.</w:t>
      </w:r>
    </w:p>
    <w:p w14:paraId="4B9A29D2" w14:textId="77777777" w:rsidR="002A3970" w:rsidRDefault="002A3970"/>
    <w:p w14:paraId="4B9A29D3" w14:textId="77777777" w:rsidR="002A3970" w:rsidRDefault="00C35E63">
      <w:r>
        <w:pict w14:anchorId="4B9A4C16">
          <v:rect id="_x0000_i1025" style="width:415.3pt;height:1.5pt" o:hralign="center" o:hrstd="t" o:hr="t" fillcolor="#a0a0a0" stroked="f"/>
        </w:pict>
      </w:r>
    </w:p>
    <w:p w14:paraId="4B9A29D4" w14:textId="77777777" w:rsidR="002A3970" w:rsidRDefault="00C35E63">
      <w:hyperlink r:id="rId7" w:anchor="i0522a2f6333e456295d59e779af751cb_7" w:history="1">
        <w:r>
          <w:rPr>
            <w:rStyle w:val="a5"/>
            <w:rFonts w:ascii="Times New Roman" w:eastAsia="宋体" w:hAnsi="Times New Roman"/>
            <w:sz w:val="20"/>
            <w:szCs w:val="20"/>
          </w:rPr>
          <w:t>Table of Contents</w:t>
        </w:r>
      </w:hyperlink>
    </w:p>
    <w:p w14:paraId="4B9A29D5" w14:textId="77777777" w:rsidR="002A3970" w:rsidRDefault="00C35E63">
      <w:pPr>
        <w:jc w:val="center"/>
      </w:pPr>
      <w:r>
        <w:rPr>
          <w:rFonts w:ascii="Times New Roman" w:eastAsia="宋体" w:hAnsi="Times New Roman"/>
          <w:b/>
          <w:bCs/>
          <w:color w:val="000000"/>
          <w:sz w:val="20"/>
          <w:szCs w:val="20"/>
        </w:rPr>
        <w:t>Walmart Inc.</w:t>
      </w:r>
    </w:p>
    <w:p w14:paraId="4B9A29D6" w14:textId="77777777" w:rsidR="002A3970" w:rsidRDefault="00C35E63">
      <w:pPr>
        <w:jc w:val="center"/>
      </w:pPr>
      <w:r>
        <w:rPr>
          <w:rFonts w:ascii="Times New Roman" w:eastAsia="宋体" w:hAnsi="Times New Roman"/>
          <w:b/>
          <w:bCs/>
          <w:color w:val="000000"/>
          <w:sz w:val="20"/>
          <w:szCs w:val="20"/>
        </w:rPr>
        <w:t>Form 10-Q</w:t>
      </w:r>
    </w:p>
    <w:p w14:paraId="4B9A29D7" w14:textId="77777777" w:rsidR="002A3970" w:rsidRDefault="00C35E63">
      <w:pPr>
        <w:jc w:val="center"/>
      </w:pPr>
      <w:r>
        <w:rPr>
          <w:rFonts w:ascii="Times New Roman" w:eastAsia="宋体" w:hAnsi="Times New Roman"/>
          <w:b/>
          <w:bCs/>
          <w:color w:val="000000"/>
          <w:sz w:val="20"/>
          <w:szCs w:val="20"/>
        </w:rPr>
        <w:t xml:space="preserve">For the Quarterly Period Ended October 31, 2022 </w:t>
      </w:r>
    </w:p>
    <w:p w14:paraId="4B9A29D8" w14:textId="77777777" w:rsidR="002A3970" w:rsidRDefault="002A3970">
      <w:pPr>
        <w:jc w:val="center"/>
      </w:pPr>
    </w:p>
    <w:p w14:paraId="4B9A29D9" w14:textId="77777777" w:rsidR="002A3970" w:rsidRDefault="002A3970">
      <w:pPr>
        <w:jc w:val="center"/>
      </w:pPr>
    </w:p>
    <w:p w14:paraId="4B9A29DA" w14:textId="77777777" w:rsidR="002A3970" w:rsidRDefault="002A3970">
      <w:pPr>
        <w:jc w:val="center"/>
      </w:pPr>
    </w:p>
    <w:p w14:paraId="4B9A29DB" w14:textId="77777777" w:rsidR="002A3970" w:rsidRDefault="00C35E63">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2A3970" w14:paraId="4B9A29E8" w14:textId="77777777">
        <w:trPr>
          <w:jc w:val="center"/>
        </w:trPr>
        <w:tc>
          <w:tcPr>
            <w:tcW w:w="50" w:type="pct"/>
            <w:shd w:val="clear" w:color="auto" w:fill="auto"/>
            <w:vAlign w:val="bottom"/>
          </w:tcPr>
          <w:p w14:paraId="4B9A29DC" w14:textId="77777777" w:rsidR="002A3970" w:rsidRDefault="002A3970">
            <w:pPr>
              <w:rPr>
                <w:rFonts w:ascii="宋体"/>
              </w:rPr>
            </w:pPr>
          </w:p>
        </w:tc>
        <w:tc>
          <w:tcPr>
            <w:tcW w:w="295" w:type="pct"/>
            <w:shd w:val="clear" w:color="auto" w:fill="auto"/>
            <w:vAlign w:val="bottom"/>
          </w:tcPr>
          <w:p w14:paraId="4B9A29DD" w14:textId="77777777" w:rsidR="002A3970" w:rsidRDefault="002A3970">
            <w:pPr>
              <w:rPr>
                <w:rFonts w:ascii="宋体"/>
              </w:rPr>
            </w:pPr>
          </w:p>
        </w:tc>
        <w:tc>
          <w:tcPr>
            <w:tcW w:w="5" w:type="pct"/>
            <w:shd w:val="clear" w:color="auto" w:fill="auto"/>
            <w:vAlign w:val="bottom"/>
          </w:tcPr>
          <w:p w14:paraId="4B9A29DE" w14:textId="77777777" w:rsidR="002A3970" w:rsidRDefault="002A3970">
            <w:pPr>
              <w:rPr>
                <w:rFonts w:ascii="宋体"/>
              </w:rPr>
            </w:pPr>
          </w:p>
        </w:tc>
        <w:tc>
          <w:tcPr>
            <w:tcW w:w="50" w:type="pct"/>
            <w:shd w:val="clear" w:color="auto" w:fill="auto"/>
            <w:vAlign w:val="bottom"/>
          </w:tcPr>
          <w:p w14:paraId="4B9A29DF" w14:textId="77777777" w:rsidR="002A3970" w:rsidRDefault="002A3970">
            <w:pPr>
              <w:rPr>
                <w:rFonts w:ascii="宋体"/>
              </w:rPr>
            </w:pPr>
          </w:p>
        </w:tc>
        <w:tc>
          <w:tcPr>
            <w:tcW w:w="390" w:type="pct"/>
            <w:shd w:val="clear" w:color="auto" w:fill="auto"/>
            <w:vAlign w:val="bottom"/>
          </w:tcPr>
          <w:p w14:paraId="4B9A29E0" w14:textId="77777777" w:rsidR="002A3970" w:rsidRDefault="002A3970">
            <w:pPr>
              <w:rPr>
                <w:rFonts w:ascii="宋体"/>
              </w:rPr>
            </w:pPr>
          </w:p>
        </w:tc>
        <w:tc>
          <w:tcPr>
            <w:tcW w:w="5" w:type="pct"/>
            <w:shd w:val="clear" w:color="auto" w:fill="auto"/>
            <w:vAlign w:val="bottom"/>
          </w:tcPr>
          <w:p w14:paraId="4B9A29E1" w14:textId="77777777" w:rsidR="002A3970" w:rsidRDefault="002A3970">
            <w:pPr>
              <w:rPr>
                <w:rFonts w:ascii="宋体"/>
              </w:rPr>
            </w:pPr>
          </w:p>
        </w:tc>
        <w:tc>
          <w:tcPr>
            <w:tcW w:w="50" w:type="pct"/>
            <w:shd w:val="clear" w:color="auto" w:fill="auto"/>
            <w:vAlign w:val="bottom"/>
          </w:tcPr>
          <w:p w14:paraId="4B9A29E2" w14:textId="77777777" w:rsidR="002A3970" w:rsidRDefault="002A3970">
            <w:pPr>
              <w:rPr>
                <w:rFonts w:ascii="宋体"/>
              </w:rPr>
            </w:pPr>
          </w:p>
        </w:tc>
        <w:tc>
          <w:tcPr>
            <w:tcW w:w="3768" w:type="pct"/>
            <w:shd w:val="clear" w:color="auto" w:fill="auto"/>
            <w:vAlign w:val="bottom"/>
          </w:tcPr>
          <w:p w14:paraId="4B9A29E3" w14:textId="77777777" w:rsidR="002A3970" w:rsidRDefault="002A3970">
            <w:pPr>
              <w:rPr>
                <w:rFonts w:ascii="宋体"/>
              </w:rPr>
            </w:pPr>
          </w:p>
        </w:tc>
        <w:tc>
          <w:tcPr>
            <w:tcW w:w="5" w:type="pct"/>
            <w:shd w:val="clear" w:color="auto" w:fill="auto"/>
            <w:vAlign w:val="bottom"/>
          </w:tcPr>
          <w:p w14:paraId="4B9A29E4" w14:textId="77777777" w:rsidR="002A3970" w:rsidRDefault="002A3970">
            <w:pPr>
              <w:rPr>
                <w:rFonts w:ascii="宋体"/>
              </w:rPr>
            </w:pPr>
          </w:p>
        </w:tc>
        <w:tc>
          <w:tcPr>
            <w:tcW w:w="50" w:type="pct"/>
            <w:shd w:val="clear" w:color="auto" w:fill="auto"/>
            <w:vAlign w:val="bottom"/>
          </w:tcPr>
          <w:p w14:paraId="4B9A29E5" w14:textId="77777777" w:rsidR="002A3970" w:rsidRDefault="002A3970">
            <w:pPr>
              <w:rPr>
                <w:rFonts w:ascii="宋体"/>
              </w:rPr>
            </w:pPr>
          </w:p>
        </w:tc>
        <w:tc>
          <w:tcPr>
            <w:tcW w:w="325" w:type="pct"/>
            <w:shd w:val="clear" w:color="auto" w:fill="auto"/>
            <w:vAlign w:val="bottom"/>
          </w:tcPr>
          <w:p w14:paraId="4B9A29E6" w14:textId="77777777" w:rsidR="002A3970" w:rsidRDefault="002A3970">
            <w:pPr>
              <w:rPr>
                <w:rFonts w:ascii="宋体"/>
              </w:rPr>
            </w:pPr>
          </w:p>
        </w:tc>
        <w:tc>
          <w:tcPr>
            <w:tcW w:w="5" w:type="pct"/>
            <w:shd w:val="clear" w:color="auto" w:fill="auto"/>
            <w:vAlign w:val="bottom"/>
          </w:tcPr>
          <w:p w14:paraId="4B9A29E7" w14:textId="77777777" w:rsidR="002A3970" w:rsidRDefault="002A3970">
            <w:pPr>
              <w:rPr>
                <w:rFonts w:ascii="宋体"/>
              </w:rPr>
            </w:pPr>
          </w:p>
        </w:tc>
      </w:tr>
      <w:tr w:rsidR="002A3970" w14:paraId="4B9A29ED" w14:textId="77777777">
        <w:trPr>
          <w:jc w:val="center"/>
        </w:trPr>
        <w:tc>
          <w:tcPr>
            <w:tcW w:w="0" w:type="auto"/>
            <w:gridSpan w:val="3"/>
            <w:shd w:val="clear" w:color="auto" w:fill="auto"/>
            <w:tcMar>
              <w:top w:w="0" w:type="dxa"/>
              <w:left w:w="20" w:type="dxa"/>
              <w:bottom w:w="0" w:type="dxa"/>
              <w:right w:w="20" w:type="dxa"/>
            </w:tcMar>
            <w:vAlign w:val="bottom"/>
          </w:tcPr>
          <w:p w14:paraId="4B9A29E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E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E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9EC" w14:textId="77777777" w:rsidR="002A3970" w:rsidRDefault="00C35E63">
            <w:pPr>
              <w:jc w:val="center"/>
              <w:textAlignment w:val="bottom"/>
            </w:pPr>
            <w:r>
              <w:rPr>
                <w:rFonts w:ascii="Times New Roman" w:eastAsia="宋体" w:hAnsi="Times New Roman"/>
                <w:b/>
                <w:bCs/>
                <w:color w:val="000000"/>
                <w:sz w:val="18"/>
                <w:szCs w:val="18"/>
              </w:rPr>
              <w:t>Page</w:t>
            </w:r>
          </w:p>
        </w:tc>
      </w:tr>
      <w:tr w:rsidR="002A3970" w14:paraId="4B9A29F0" w14:textId="77777777">
        <w:trPr>
          <w:jc w:val="center"/>
        </w:trPr>
        <w:tc>
          <w:tcPr>
            <w:tcW w:w="0" w:type="auto"/>
            <w:gridSpan w:val="9"/>
            <w:shd w:val="clear" w:color="auto" w:fill="auto"/>
            <w:tcMar>
              <w:top w:w="40" w:type="dxa"/>
              <w:left w:w="20" w:type="dxa"/>
              <w:bottom w:w="40" w:type="dxa"/>
              <w:right w:w="20" w:type="dxa"/>
            </w:tcMar>
            <w:vAlign w:val="bottom"/>
          </w:tcPr>
          <w:p w14:paraId="4B9A29EE" w14:textId="77777777" w:rsidR="002A3970" w:rsidRDefault="00C35E63">
            <w:pPr>
              <w:textAlignment w:val="bottom"/>
            </w:pPr>
            <w:hyperlink r:id="rId8" w:anchor="i0522a2f6333e456295d59e779af751cb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9EF" w14:textId="77777777" w:rsidR="002A3970" w:rsidRDefault="002A3970">
            <w:pPr>
              <w:rPr>
                <w:rFonts w:ascii="宋体"/>
              </w:rPr>
            </w:pPr>
          </w:p>
        </w:tc>
      </w:tr>
      <w:tr w:rsidR="002A3970" w14:paraId="4B9A29F4" w14:textId="77777777">
        <w:trPr>
          <w:jc w:val="center"/>
        </w:trPr>
        <w:tc>
          <w:tcPr>
            <w:tcW w:w="0" w:type="auto"/>
            <w:gridSpan w:val="3"/>
            <w:shd w:val="clear" w:color="auto" w:fill="auto"/>
            <w:tcMar>
              <w:top w:w="0" w:type="dxa"/>
              <w:left w:w="20" w:type="dxa"/>
              <w:bottom w:w="0" w:type="dxa"/>
              <w:right w:w="20" w:type="dxa"/>
            </w:tcMar>
            <w:vAlign w:val="bottom"/>
          </w:tcPr>
          <w:p w14:paraId="4B9A29F1"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9F2" w14:textId="77777777" w:rsidR="002A3970" w:rsidRDefault="00C35E63">
            <w:pPr>
              <w:textAlignment w:val="bottom"/>
            </w:pPr>
            <w:hyperlink r:id="rId9" w:anchor="i0522a2f6333e456295d59e779af751cb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vAlign w:val="bottom"/>
          </w:tcPr>
          <w:p w14:paraId="4B9A29F3" w14:textId="77777777" w:rsidR="002A3970" w:rsidRDefault="002A3970">
            <w:pPr>
              <w:rPr>
                <w:rFonts w:ascii="宋体"/>
              </w:rPr>
            </w:pPr>
          </w:p>
        </w:tc>
      </w:tr>
      <w:tr w:rsidR="002A3970" w14:paraId="4B9A29F9" w14:textId="77777777">
        <w:trPr>
          <w:jc w:val="center"/>
        </w:trPr>
        <w:tc>
          <w:tcPr>
            <w:tcW w:w="0" w:type="auto"/>
            <w:gridSpan w:val="3"/>
            <w:shd w:val="clear" w:color="auto" w:fill="auto"/>
            <w:tcMar>
              <w:top w:w="0" w:type="dxa"/>
              <w:left w:w="20" w:type="dxa"/>
              <w:bottom w:w="0" w:type="dxa"/>
              <w:right w:w="20" w:type="dxa"/>
            </w:tcMar>
            <w:vAlign w:val="bottom"/>
          </w:tcPr>
          <w:p w14:paraId="4B9A29F5"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F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9F7" w14:textId="77777777" w:rsidR="002A3970" w:rsidRDefault="00C35E63">
            <w:pPr>
              <w:textAlignment w:val="bottom"/>
            </w:pPr>
            <w:hyperlink r:id="rId10" w:anchor="i0522a2f6333e456295d59e779af751cb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4B9A29F8" w14:textId="77777777" w:rsidR="002A3970" w:rsidRDefault="00C35E63">
            <w:pPr>
              <w:jc w:val="center"/>
              <w:textAlignment w:val="bottom"/>
            </w:pPr>
            <w:hyperlink r:id="rId11" w:anchor="i0522a2f6333e456295d59e779af751cb_16" w:history="1">
              <w:r>
                <w:rPr>
                  <w:rStyle w:val="a5"/>
                  <w:rFonts w:ascii="Times New Roman" w:eastAsia="宋体" w:hAnsi="Times New Roman"/>
                  <w:sz w:val="18"/>
                  <w:szCs w:val="18"/>
                </w:rPr>
                <w:t>3</w:t>
              </w:r>
            </w:hyperlink>
          </w:p>
        </w:tc>
      </w:tr>
      <w:tr w:rsidR="002A3970" w14:paraId="4B9A29FE" w14:textId="77777777">
        <w:trPr>
          <w:jc w:val="center"/>
        </w:trPr>
        <w:tc>
          <w:tcPr>
            <w:tcW w:w="0" w:type="auto"/>
            <w:gridSpan w:val="3"/>
            <w:shd w:val="clear" w:color="auto" w:fill="auto"/>
            <w:tcMar>
              <w:top w:w="0" w:type="dxa"/>
              <w:left w:w="20" w:type="dxa"/>
              <w:bottom w:w="0" w:type="dxa"/>
              <w:right w:w="20" w:type="dxa"/>
            </w:tcMar>
            <w:vAlign w:val="bottom"/>
          </w:tcPr>
          <w:p w14:paraId="4B9A29F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9F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9FC" w14:textId="77777777" w:rsidR="002A3970" w:rsidRDefault="00C35E63">
            <w:pPr>
              <w:textAlignment w:val="bottom"/>
            </w:pPr>
            <w:hyperlink r:id="rId12" w:anchor="i0522a2f6333e456295d59e779af751cb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4B9A29FD" w14:textId="77777777" w:rsidR="002A3970" w:rsidRDefault="00C35E63">
            <w:pPr>
              <w:jc w:val="center"/>
              <w:textAlignment w:val="bottom"/>
            </w:pPr>
            <w:hyperlink r:id="rId13" w:anchor="i0522a2f6333e456295d59e779af751cb_19" w:history="1">
              <w:r>
                <w:rPr>
                  <w:rStyle w:val="a5"/>
                  <w:rFonts w:ascii="Times New Roman" w:eastAsia="宋体" w:hAnsi="Times New Roman"/>
                  <w:sz w:val="18"/>
                  <w:szCs w:val="18"/>
                </w:rPr>
                <w:t>4</w:t>
              </w:r>
            </w:hyperlink>
          </w:p>
        </w:tc>
      </w:tr>
      <w:tr w:rsidR="002A3970" w14:paraId="4B9A2A03" w14:textId="77777777">
        <w:trPr>
          <w:jc w:val="center"/>
        </w:trPr>
        <w:tc>
          <w:tcPr>
            <w:tcW w:w="0" w:type="auto"/>
            <w:gridSpan w:val="3"/>
            <w:shd w:val="clear" w:color="auto" w:fill="auto"/>
            <w:tcMar>
              <w:top w:w="0" w:type="dxa"/>
              <w:left w:w="20" w:type="dxa"/>
              <w:bottom w:w="0" w:type="dxa"/>
              <w:right w:w="20" w:type="dxa"/>
            </w:tcMar>
            <w:vAlign w:val="bottom"/>
          </w:tcPr>
          <w:p w14:paraId="4B9A29F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0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A01" w14:textId="77777777" w:rsidR="002A3970" w:rsidRDefault="00C35E63">
            <w:pPr>
              <w:textAlignment w:val="bottom"/>
            </w:pPr>
            <w:hyperlink r:id="rId14" w:anchor="i0522a2f6333e456295d59e779af751cb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4B9A2A02" w14:textId="77777777" w:rsidR="002A3970" w:rsidRDefault="00C35E63">
            <w:pPr>
              <w:jc w:val="center"/>
              <w:textAlignment w:val="bottom"/>
            </w:pPr>
            <w:hyperlink r:id="rId15" w:anchor="i0522a2f6333e456295d59e779af751cb_22" w:history="1">
              <w:r>
                <w:rPr>
                  <w:rStyle w:val="a5"/>
                  <w:rFonts w:ascii="Times New Roman" w:eastAsia="宋体" w:hAnsi="Times New Roman"/>
                  <w:sz w:val="18"/>
                  <w:szCs w:val="18"/>
                </w:rPr>
                <w:t>5</w:t>
              </w:r>
            </w:hyperlink>
          </w:p>
        </w:tc>
      </w:tr>
      <w:tr w:rsidR="002A3970" w14:paraId="4B9A2A08" w14:textId="77777777">
        <w:trPr>
          <w:jc w:val="center"/>
        </w:trPr>
        <w:tc>
          <w:tcPr>
            <w:tcW w:w="0" w:type="auto"/>
            <w:gridSpan w:val="3"/>
            <w:shd w:val="clear" w:color="auto" w:fill="auto"/>
            <w:tcMar>
              <w:top w:w="0" w:type="dxa"/>
              <w:left w:w="20" w:type="dxa"/>
              <w:bottom w:w="0" w:type="dxa"/>
              <w:right w:w="20" w:type="dxa"/>
            </w:tcMar>
            <w:vAlign w:val="bottom"/>
          </w:tcPr>
          <w:p w14:paraId="4B9A2A0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0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A06" w14:textId="77777777" w:rsidR="002A3970" w:rsidRDefault="00C35E63">
            <w:pPr>
              <w:textAlignment w:val="bottom"/>
            </w:pPr>
            <w:hyperlink r:id="rId16" w:anchor="i0522a2f6333e456295d59e779af751cb_25" w:history="1">
              <w:r>
                <w:rPr>
                  <w:rStyle w:val="a5"/>
                  <w:rFonts w:ascii="Times New Roman" w:eastAsia="宋体" w:hAnsi="Times New Roman"/>
                  <w:sz w:val="18"/>
                  <w:szCs w:val="18"/>
                </w:rPr>
                <w:t>Condensed Consolidated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4B9A2A07" w14:textId="77777777" w:rsidR="002A3970" w:rsidRDefault="00C35E63">
            <w:pPr>
              <w:jc w:val="center"/>
              <w:textAlignment w:val="bottom"/>
            </w:pPr>
            <w:hyperlink r:id="rId17" w:anchor="i0522a2f6333e456295d59e779af751cb_25" w:history="1">
              <w:r>
                <w:rPr>
                  <w:rStyle w:val="a5"/>
                  <w:rFonts w:ascii="Times New Roman" w:eastAsia="宋体" w:hAnsi="Times New Roman"/>
                  <w:sz w:val="18"/>
                  <w:szCs w:val="18"/>
                </w:rPr>
                <w:t>6</w:t>
              </w:r>
            </w:hyperlink>
          </w:p>
        </w:tc>
      </w:tr>
      <w:tr w:rsidR="002A3970" w14:paraId="4B9A2A0D" w14:textId="77777777">
        <w:trPr>
          <w:jc w:val="center"/>
        </w:trPr>
        <w:tc>
          <w:tcPr>
            <w:tcW w:w="0" w:type="auto"/>
            <w:gridSpan w:val="3"/>
            <w:shd w:val="clear" w:color="auto" w:fill="auto"/>
            <w:tcMar>
              <w:top w:w="0" w:type="dxa"/>
              <w:left w:w="20" w:type="dxa"/>
              <w:bottom w:w="0" w:type="dxa"/>
              <w:right w:w="20" w:type="dxa"/>
            </w:tcMar>
            <w:vAlign w:val="bottom"/>
          </w:tcPr>
          <w:p w14:paraId="4B9A2A0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0A"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A0B" w14:textId="77777777" w:rsidR="002A3970" w:rsidRDefault="00C35E63">
            <w:pPr>
              <w:textAlignment w:val="bottom"/>
            </w:pPr>
            <w:hyperlink r:id="rId18" w:anchor="i0522a2f6333e456295d59e779af751cb_31"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4B9A2A0C" w14:textId="77777777" w:rsidR="002A3970" w:rsidRDefault="00C35E63">
            <w:pPr>
              <w:jc w:val="center"/>
              <w:textAlignment w:val="bottom"/>
            </w:pPr>
            <w:hyperlink r:id="rId19" w:anchor="i0522a2f6333e456295d59e779af751cb_31" w:history="1">
              <w:r>
                <w:rPr>
                  <w:rStyle w:val="a5"/>
                  <w:rFonts w:ascii="Times New Roman" w:eastAsia="宋体" w:hAnsi="Times New Roman"/>
                  <w:sz w:val="18"/>
                  <w:szCs w:val="18"/>
                </w:rPr>
                <w:t>8</w:t>
              </w:r>
            </w:hyperlink>
          </w:p>
        </w:tc>
      </w:tr>
      <w:tr w:rsidR="002A3970" w14:paraId="4B9A2A12" w14:textId="77777777">
        <w:trPr>
          <w:jc w:val="center"/>
        </w:trPr>
        <w:tc>
          <w:tcPr>
            <w:tcW w:w="0" w:type="auto"/>
            <w:gridSpan w:val="3"/>
            <w:shd w:val="clear" w:color="auto" w:fill="auto"/>
            <w:tcMar>
              <w:top w:w="0" w:type="dxa"/>
              <w:left w:w="20" w:type="dxa"/>
              <w:bottom w:w="0" w:type="dxa"/>
              <w:right w:w="20" w:type="dxa"/>
            </w:tcMar>
            <w:vAlign w:val="bottom"/>
          </w:tcPr>
          <w:p w14:paraId="4B9A2A0E"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0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A10" w14:textId="77777777" w:rsidR="002A3970" w:rsidRDefault="00C35E63">
            <w:pPr>
              <w:textAlignment w:val="bottom"/>
            </w:pPr>
            <w:hyperlink r:id="rId20" w:anchor="i0522a2f6333e456295d59e779af751cb_34"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4B9A2A11" w14:textId="77777777" w:rsidR="002A3970" w:rsidRDefault="00C35E63">
            <w:pPr>
              <w:jc w:val="center"/>
              <w:textAlignment w:val="bottom"/>
            </w:pPr>
            <w:hyperlink r:id="rId21" w:anchor="i0522a2f6333e456295d59e779af751cb_34" w:history="1">
              <w:r>
                <w:rPr>
                  <w:rStyle w:val="a5"/>
                  <w:rFonts w:ascii="Times New Roman" w:eastAsia="宋体" w:hAnsi="Times New Roman"/>
                  <w:sz w:val="18"/>
                  <w:szCs w:val="18"/>
                </w:rPr>
                <w:t>9</w:t>
              </w:r>
            </w:hyperlink>
          </w:p>
        </w:tc>
      </w:tr>
      <w:tr w:rsidR="002A3970" w14:paraId="4B9A2A16" w14:textId="77777777">
        <w:trPr>
          <w:jc w:val="center"/>
        </w:trPr>
        <w:tc>
          <w:tcPr>
            <w:tcW w:w="0" w:type="auto"/>
            <w:gridSpan w:val="3"/>
            <w:shd w:val="clear" w:color="auto" w:fill="auto"/>
            <w:tcMar>
              <w:top w:w="0" w:type="dxa"/>
              <w:left w:w="20" w:type="dxa"/>
              <w:bottom w:w="0" w:type="dxa"/>
              <w:right w:w="20" w:type="dxa"/>
            </w:tcMar>
            <w:vAlign w:val="bottom"/>
          </w:tcPr>
          <w:p w14:paraId="4B9A2A13"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14" w14:textId="77777777" w:rsidR="002A3970" w:rsidRDefault="00C35E63">
            <w:pPr>
              <w:textAlignment w:val="bottom"/>
            </w:pPr>
            <w:hyperlink r:id="rId22" w:anchor="i0522a2f6333e456295d59e779af751cb_61"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B9A2A15" w14:textId="77777777" w:rsidR="002A3970" w:rsidRDefault="00C35E63">
            <w:pPr>
              <w:jc w:val="center"/>
              <w:textAlignment w:val="bottom"/>
            </w:pPr>
            <w:hyperlink r:id="rId23" w:anchor="i0522a2f6333e456295d59e779af751cb_61" w:history="1">
              <w:r>
                <w:rPr>
                  <w:rStyle w:val="a5"/>
                  <w:rFonts w:ascii="Times New Roman" w:eastAsia="宋体" w:hAnsi="Times New Roman"/>
                  <w:sz w:val="18"/>
                  <w:szCs w:val="18"/>
                </w:rPr>
                <w:t>17</w:t>
              </w:r>
            </w:hyperlink>
          </w:p>
        </w:tc>
      </w:tr>
      <w:tr w:rsidR="002A3970" w14:paraId="4B9A2A1A" w14:textId="77777777">
        <w:trPr>
          <w:jc w:val="center"/>
        </w:trPr>
        <w:tc>
          <w:tcPr>
            <w:tcW w:w="0" w:type="auto"/>
            <w:gridSpan w:val="3"/>
            <w:shd w:val="clear" w:color="auto" w:fill="auto"/>
            <w:tcMar>
              <w:top w:w="0" w:type="dxa"/>
              <w:left w:w="20" w:type="dxa"/>
              <w:bottom w:w="0" w:type="dxa"/>
              <w:right w:w="20" w:type="dxa"/>
            </w:tcMar>
            <w:vAlign w:val="bottom"/>
          </w:tcPr>
          <w:p w14:paraId="4B9A2A17"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18" w14:textId="77777777" w:rsidR="002A3970" w:rsidRDefault="00C35E63">
            <w:pPr>
              <w:textAlignment w:val="bottom"/>
            </w:pPr>
            <w:hyperlink r:id="rId24" w:anchor="i0522a2f6333e456295d59e779af751cb_103"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4B9A2A19" w14:textId="77777777" w:rsidR="002A3970" w:rsidRDefault="00C35E63">
            <w:pPr>
              <w:jc w:val="center"/>
              <w:textAlignment w:val="bottom"/>
            </w:pPr>
            <w:hyperlink r:id="rId25" w:anchor="i0522a2f6333e456295d59e779af751cb_103" w:history="1">
              <w:r>
                <w:rPr>
                  <w:rStyle w:val="a5"/>
                  <w:rFonts w:ascii="Times New Roman" w:eastAsia="宋体" w:hAnsi="Times New Roman"/>
                  <w:sz w:val="18"/>
                  <w:szCs w:val="18"/>
                </w:rPr>
                <w:t>27</w:t>
              </w:r>
            </w:hyperlink>
          </w:p>
        </w:tc>
      </w:tr>
      <w:tr w:rsidR="002A3970" w14:paraId="4B9A2A1E" w14:textId="77777777">
        <w:trPr>
          <w:jc w:val="center"/>
        </w:trPr>
        <w:tc>
          <w:tcPr>
            <w:tcW w:w="0" w:type="auto"/>
            <w:gridSpan w:val="3"/>
            <w:shd w:val="clear" w:color="auto" w:fill="auto"/>
            <w:tcMar>
              <w:top w:w="0" w:type="dxa"/>
              <w:left w:w="20" w:type="dxa"/>
              <w:bottom w:w="0" w:type="dxa"/>
              <w:right w:w="20" w:type="dxa"/>
            </w:tcMar>
            <w:vAlign w:val="bottom"/>
          </w:tcPr>
          <w:p w14:paraId="4B9A2A1B"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1C" w14:textId="77777777" w:rsidR="002A3970" w:rsidRDefault="00C35E63">
            <w:pPr>
              <w:textAlignment w:val="bottom"/>
            </w:pPr>
            <w:hyperlink r:id="rId26" w:anchor="i0522a2f6333e456295d59e779af751cb_106"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4B9A2A1D" w14:textId="77777777" w:rsidR="002A3970" w:rsidRDefault="00C35E63">
            <w:pPr>
              <w:jc w:val="center"/>
              <w:textAlignment w:val="bottom"/>
            </w:pPr>
            <w:hyperlink r:id="rId27" w:anchor="i0522a2f6333e456295d59e779af751cb_106" w:history="1">
              <w:r>
                <w:rPr>
                  <w:rStyle w:val="a5"/>
                  <w:rFonts w:ascii="Times New Roman" w:eastAsia="宋体" w:hAnsi="Times New Roman"/>
                  <w:sz w:val="18"/>
                  <w:szCs w:val="18"/>
                </w:rPr>
                <w:t>28</w:t>
              </w:r>
            </w:hyperlink>
          </w:p>
        </w:tc>
      </w:tr>
      <w:tr w:rsidR="002A3970" w14:paraId="4B9A2A23" w14:textId="77777777">
        <w:trPr>
          <w:trHeight w:val="240"/>
          <w:jc w:val="center"/>
        </w:trPr>
        <w:tc>
          <w:tcPr>
            <w:tcW w:w="0" w:type="auto"/>
            <w:gridSpan w:val="3"/>
            <w:shd w:val="clear" w:color="auto" w:fill="auto"/>
            <w:tcMar>
              <w:top w:w="0" w:type="dxa"/>
              <w:left w:w="20" w:type="dxa"/>
              <w:bottom w:w="0" w:type="dxa"/>
              <w:right w:w="20" w:type="dxa"/>
            </w:tcMar>
            <w:vAlign w:val="bottom"/>
          </w:tcPr>
          <w:p w14:paraId="4B9A2A1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20"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2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22" w14:textId="77777777" w:rsidR="002A3970" w:rsidRDefault="002A3970">
            <w:pPr>
              <w:rPr>
                <w:rFonts w:ascii="宋体"/>
              </w:rPr>
            </w:pPr>
          </w:p>
        </w:tc>
      </w:tr>
      <w:tr w:rsidR="002A3970" w14:paraId="4B9A2A26" w14:textId="77777777">
        <w:trPr>
          <w:jc w:val="center"/>
        </w:trPr>
        <w:tc>
          <w:tcPr>
            <w:tcW w:w="0" w:type="auto"/>
            <w:gridSpan w:val="9"/>
            <w:shd w:val="clear" w:color="auto" w:fill="auto"/>
            <w:tcMar>
              <w:top w:w="40" w:type="dxa"/>
              <w:left w:w="20" w:type="dxa"/>
              <w:bottom w:w="40" w:type="dxa"/>
              <w:right w:w="20" w:type="dxa"/>
            </w:tcMar>
            <w:vAlign w:val="bottom"/>
          </w:tcPr>
          <w:p w14:paraId="4B9A2A24" w14:textId="77777777" w:rsidR="002A3970" w:rsidRDefault="00C35E63">
            <w:pPr>
              <w:textAlignment w:val="bottom"/>
            </w:pPr>
            <w:hyperlink r:id="rId28" w:anchor="i0522a2f6333e456295d59e779af751cb_109"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vAlign w:val="bottom"/>
          </w:tcPr>
          <w:p w14:paraId="4B9A2A25" w14:textId="77777777" w:rsidR="002A3970" w:rsidRDefault="002A3970">
            <w:pPr>
              <w:rPr>
                <w:rFonts w:ascii="宋体"/>
              </w:rPr>
            </w:pPr>
          </w:p>
        </w:tc>
      </w:tr>
      <w:tr w:rsidR="002A3970" w14:paraId="4B9A2A2A" w14:textId="77777777">
        <w:trPr>
          <w:jc w:val="center"/>
        </w:trPr>
        <w:tc>
          <w:tcPr>
            <w:tcW w:w="0" w:type="auto"/>
            <w:gridSpan w:val="3"/>
            <w:shd w:val="clear" w:color="auto" w:fill="auto"/>
            <w:tcMar>
              <w:top w:w="0" w:type="dxa"/>
              <w:left w:w="20" w:type="dxa"/>
              <w:bottom w:w="0" w:type="dxa"/>
              <w:right w:w="20" w:type="dxa"/>
            </w:tcMar>
            <w:vAlign w:val="bottom"/>
          </w:tcPr>
          <w:p w14:paraId="4B9A2A27"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28" w14:textId="77777777" w:rsidR="002A3970" w:rsidRDefault="00C35E63">
            <w:pPr>
              <w:textAlignment w:val="bottom"/>
            </w:pPr>
            <w:hyperlink r:id="rId29" w:anchor="i0522a2f6333e456295d59e779af751cb_112"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4B9A2A29" w14:textId="77777777" w:rsidR="002A3970" w:rsidRDefault="00C35E63">
            <w:pPr>
              <w:jc w:val="center"/>
              <w:textAlignment w:val="bottom"/>
            </w:pPr>
            <w:hyperlink r:id="rId30" w:anchor="i0522a2f6333e456295d59e779af751cb_112" w:history="1">
              <w:r>
                <w:rPr>
                  <w:rStyle w:val="a5"/>
                  <w:rFonts w:ascii="Times New Roman" w:eastAsia="宋体" w:hAnsi="Times New Roman"/>
                  <w:sz w:val="18"/>
                  <w:szCs w:val="18"/>
                </w:rPr>
                <w:t>29</w:t>
              </w:r>
            </w:hyperlink>
          </w:p>
        </w:tc>
      </w:tr>
      <w:tr w:rsidR="002A3970" w14:paraId="4B9A2A2E" w14:textId="77777777">
        <w:trPr>
          <w:jc w:val="center"/>
        </w:trPr>
        <w:tc>
          <w:tcPr>
            <w:tcW w:w="0" w:type="auto"/>
            <w:gridSpan w:val="3"/>
            <w:shd w:val="clear" w:color="auto" w:fill="auto"/>
            <w:tcMar>
              <w:top w:w="0" w:type="dxa"/>
              <w:left w:w="20" w:type="dxa"/>
              <w:bottom w:w="0" w:type="dxa"/>
              <w:right w:w="20" w:type="dxa"/>
            </w:tcMar>
            <w:vAlign w:val="bottom"/>
          </w:tcPr>
          <w:p w14:paraId="4B9A2A2B"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2C" w14:textId="77777777" w:rsidR="002A3970" w:rsidRDefault="00C35E63">
            <w:pPr>
              <w:textAlignment w:val="bottom"/>
            </w:pPr>
            <w:hyperlink r:id="rId31" w:anchor="i0522a2f6333e456295d59e779af751cb_115"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4B9A2A2D" w14:textId="77777777" w:rsidR="002A3970" w:rsidRDefault="00C35E63">
            <w:pPr>
              <w:jc w:val="center"/>
              <w:textAlignment w:val="bottom"/>
            </w:pPr>
            <w:hyperlink r:id="rId32" w:anchor="i0522a2f6333e456295d59e779af751cb_115" w:history="1">
              <w:r>
                <w:rPr>
                  <w:rStyle w:val="a5"/>
                  <w:rFonts w:ascii="Times New Roman" w:eastAsia="宋体" w:hAnsi="Times New Roman"/>
                  <w:sz w:val="18"/>
                  <w:szCs w:val="18"/>
                </w:rPr>
                <w:t>32</w:t>
              </w:r>
            </w:hyperlink>
          </w:p>
        </w:tc>
      </w:tr>
      <w:tr w:rsidR="002A3970" w14:paraId="4B9A2A32" w14:textId="77777777">
        <w:trPr>
          <w:jc w:val="center"/>
        </w:trPr>
        <w:tc>
          <w:tcPr>
            <w:tcW w:w="0" w:type="auto"/>
            <w:gridSpan w:val="3"/>
            <w:shd w:val="clear" w:color="auto" w:fill="auto"/>
            <w:tcMar>
              <w:top w:w="0" w:type="dxa"/>
              <w:left w:w="20" w:type="dxa"/>
              <w:bottom w:w="0" w:type="dxa"/>
              <w:right w:w="20" w:type="dxa"/>
            </w:tcMar>
            <w:vAlign w:val="bottom"/>
          </w:tcPr>
          <w:p w14:paraId="4B9A2A2F"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30" w14:textId="77777777" w:rsidR="002A3970" w:rsidRDefault="00C35E63">
            <w:pPr>
              <w:textAlignment w:val="bottom"/>
            </w:pPr>
            <w:hyperlink r:id="rId33" w:anchor="i0522a2f6333e456295d59e779af751cb_118" w:history="1">
              <w:r>
                <w:rPr>
                  <w:rStyle w:val="a5"/>
                  <w:rFonts w:ascii="Times New Roman" w:eastAsia="宋体" w:hAnsi="Times New Roman"/>
                  <w:sz w:val="18"/>
                  <w:szCs w:val="18"/>
                </w:rPr>
                <w:t>Item 2. Unregistered Sales</w:t>
              </w:r>
              <w:r>
                <w:rPr>
                  <w:rStyle w:val="a5"/>
                  <w:rFonts w:ascii="Times New Roman" w:eastAsia="宋体" w:hAnsi="Times New Roman"/>
                  <w:sz w:val="18"/>
                  <w:szCs w:val="18"/>
                </w:rPr>
                <w:t xml:space="preserve"> of Equity Securities and Use of Proceeds</w:t>
              </w:r>
            </w:hyperlink>
          </w:p>
        </w:tc>
        <w:tc>
          <w:tcPr>
            <w:tcW w:w="0" w:type="auto"/>
            <w:gridSpan w:val="3"/>
            <w:shd w:val="clear" w:color="auto" w:fill="auto"/>
            <w:tcMar>
              <w:top w:w="40" w:type="dxa"/>
              <w:left w:w="20" w:type="dxa"/>
              <w:bottom w:w="40" w:type="dxa"/>
              <w:right w:w="20" w:type="dxa"/>
            </w:tcMar>
            <w:vAlign w:val="bottom"/>
          </w:tcPr>
          <w:p w14:paraId="4B9A2A31" w14:textId="77777777" w:rsidR="002A3970" w:rsidRDefault="00C35E63">
            <w:pPr>
              <w:jc w:val="center"/>
              <w:textAlignment w:val="bottom"/>
            </w:pPr>
            <w:hyperlink r:id="rId34" w:anchor="i0522a2f6333e456295d59e779af751cb_118" w:history="1">
              <w:r>
                <w:rPr>
                  <w:rStyle w:val="a5"/>
                  <w:rFonts w:ascii="Times New Roman" w:eastAsia="宋体" w:hAnsi="Times New Roman"/>
                  <w:sz w:val="18"/>
                  <w:szCs w:val="18"/>
                </w:rPr>
                <w:t>32</w:t>
              </w:r>
            </w:hyperlink>
          </w:p>
        </w:tc>
      </w:tr>
      <w:tr w:rsidR="002A3970" w14:paraId="4B9A2A36" w14:textId="77777777">
        <w:trPr>
          <w:jc w:val="center"/>
        </w:trPr>
        <w:tc>
          <w:tcPr>
            <w:tcW w:w="0" w:type="auto"/>
            <w:gridSpan w:val="3"/>
            <w:shd w:val="clear" w:color="auto" w:fill="auto"/>
            <w:tcMar>
              <w:top w:w="0" w:type="dxa"/>
              <w:left w:w="20" w:type="dxa"/>
              <w:bottom w:w="0" w:type="dxa"/>
              <w:right w:w="20" w:type="dxa"/>
            </w:tcMar>
            <w:vAlign w:val="bottom"/>
          </w:tcPr>
          <w:p w14:paraId="4B9A2A33"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34" w14:textId="77777777" w:rsidR="002A3970" w:rsidRDefault="00C35E63">
            <w:pPr>
              <w:textAlignment w:val="bottom"/>
            </w:pPr>
            <w:hyperlink r:id="rId35" w:anchor="i0522a2f6333e456295d59e779af751cb_121"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4B9A2A35" w14:textId="77777777" w:rsidR="002A3970" w:rsidRDefault="00C35E63">
            <w:pPr>
              <w:jc w:val="center"/>
              <w:textAlignment w:val="bottom"/>
            </w:pPr>
            <w:hyperlink r:id="rId36" w:anchor="i0522a2f6333e456295d59e779af751cb_121" w:history="1">
              <w:r>
                <w:rPr>
                  <w:rStyle w:val="a5"/>
                  <w:rFonts w:ascii="Times New Roman" w:eastAsia="宋体" w:hAnsi="Times New Roman"/>
                  <w:sz w:val="18"/>
                  <w:szCs w:val="18"/>
                </w:rPr>
                <w:t>32</w:t>
              </w:r>
            </w:hyperlink>
          </w:p>
        </w:tc>
      </w:tr>
      <w:tr w:rsidR="002A3970" w14:paraId="4B9A2A3A" w14:textId="77777777">
        <w:trPr>
          <w:jc w:val="center"/>
        </w:trPr>
        <w:tc>
          <w:tcPr>
            <w:tcW w:w="0" w:type="auto"/>
            <w:gridSpan w:val="3"/>
            <w:shd w:val="clear" w:color="auto" w:fill="auto"/>
            <w:tcMar>
              <w:top w:w="0" w:type="dxa"/>
              <w:left w:w="20" w:type="dxa"/>
              <w:bottom w:w="0" w:type="dxa"/>
              <w:right w:w="20" w:type="dxa"/>
            </w:tcMar>
            <w:vAlign w:val="bottom"/>
          </w:tcPr>
          <w:p w14:paraId="4B9A2A37" w14:textId="77777777" w:rsidR="002A3970" w:rsidRDefault="002A3970">
            <w:pPr>
              <w:rPr>
                <w:rFonts w:ascii="宋体"/>
              </w:rPr>
            </w:pPr>
          </w:p>
        </w:tc>
        <w:tc>
          <w:tcPr>
            <w:tcW w:w="0" w:type="auto"/>
            <w:gridSpan w:val="6"/>
            <w:shd w:val="clear" w:color="auto" w:fill="auto"/>
            <w:tcMar>
              <w:top w:w="40" w:type="dxa"/>
              <w:left w:w="20" w:type="dxa"/>
              <w:bottom w:w="40" w:type="dxa"/>
              <w:right w:w="20" w:type="dxa"/>
            </w:tcMar>
            <w:vAlign w:val="bottom"/>
          </w:tcPr>
          <w:p w14:paraId="4B9A2A38" w14:textId="77777777" w:rsidR="002A3970" w:rsidRDefault="00C35E63">
            <w:pPr>
              <w:textAlignment w:val="bottom"/>
            </w:pPr>
            <w:hyperlink r:id="rId37" w:anchor="i0522a2f6333e456295d59e779af751cb_124"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4B9A2A39" w14:textId="77777777" w:rsidR="002A3970" w:rsidRDefault="00C35E63">
            <w:pPr>
              <w:jc w:val="center"/>
              <w:textAlignment w:val="bottom"/>
            </w:pPr>
            <w:hyperlink r:id="rId38" w:anchor="i0522a2f6333e456295d59e779af751cb_124" w:history="1">
              <w:r>
                <w:rPr>
                  <w:rStyle w:val="a5"/>
                  <w:rFonts w:ascii="Times New Roman" w:eastAsia="宋体" w:hAnsi="Times New Roman"/>
                  <w:sz w:val="18"/>
                  <w:szCs w:val="18"/>
                </w:rPr>
                <w:t>36</w:t>
              </w:r>
            </w:hyperlink>
          </w:p>
        </w:tc>
      </w:tr>
      <w:tr w:rsidR="002A3970" w14:paraId="4B9A2A3F" w14:textId="77777777">
        <w:trPr>
          <w:trHeight w:val="240"/>
          <w:jc w:val="center"/>
        </w:trPr>
        <w:tc>
          <w:tcPr>
            <w:tcW w:w="0" w:type="auto"/>
            <w:gridSpan w:val="3"/>
            <w:shd w:val="clear" w:color="auto" w:fill="auto"/>
            <w:tcMar>
              <w:top w:w="0" w:type="dxa"/>
              <w:left w:w="20" w:type="dxa"/>
              <w:bottom w:w="0" w:type="dxa"/>
              <w:right w:w="20" w:type="dxa"/>
            </w:tcMar>
            <w:vAlign w:val="bottom"/>
          </w:tcPr>
          <w:p w14:paraId="4B9A2A3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3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3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3E" w14:textId="77777777" w:rsidR="002A3970" w:rsidRDefault="002A3970">
            <w:pPr>
              <w:rPr>
                <w:rFonts w:ascii="宋体"/>
              </w:rPr>
            </w:pPr>
          </w:p>
        </w:tc>
      </w:tr>
      <w:tr w:rsidR="002A3970" w14:paraId="4B9A2A43" w14:textId="77777777">
        <w:trPr>
          <w:jc w:val="center"/>
        </w:trPr>
        <w:tc>
          <w:tcPr>
            <w:tcW w:w="0" w:type="auto"/>
            <w:gridSpan w:val="6"/>
            <w:shd w:val="clear" w:color="auto" w:fill="auto"/>
            <w:tcMar>
              <w:top w:w="40" w:type="dxa"/>
              <w:left w:w="20" w:type="dxa"/>
              <w:bottom w:w="40" w:type="dxa"/>
              <w:right w:w="20" w:type="dxa"/>
            </w:tcMar>
            <w:vAlign w:val="bottom"/>
          </w:tcPr>
          <w:p w14:paraId="4B9A2A40" w14:textId="77777777" w:rsidR="002A3970" w:rsidRDefault="00C35E63">
            <w:pPr>
              <w:textAlignment w:val="bottom"/>
            </w:pPr>
            <w:hyperlink r:id="rId39" w:anchor="i0522a2f6333e456295d59e779af751cb_127"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vAlign w:val="bottom"/>
          </w:tcPr>
          <w:p w14:paraId="4B9A2A4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A42" w14:textId="77777777" w:rsidR="002A3970" w:rsidRDefault="00C35E63">
            <w:pPr>
              <w:jc w:val="center"/>
              <w:textAlignment w:val="bottom"/>
            </w:pPr>
            <w:hyperlink r:id="rId40" w:anchor="i0522a2f6333e456295d59e779af751cb_127" w:history="1">
              <w:r>
                <w:rPr>
                  <w:rStyle w:val="a5"/>
                  <w:rFonts w:ascii="Times New Roman" w:eastAsia="宋体" w:hAnsi="Times New Roman"/>
                  <w:sz w:val="18"/>
                  <w:szCs w:val="18"/>
                </w:rPr>
                <w:t>37</w:t>
              </w:r>
            </w:hyperlink>
          </w:p>
        </w:tc>
      </w:tr>
    </w:tbl>
    <w:p w14:paraId="4B9A2A44" w14:textId="77777777" w:rsidR="002A3970" w:rsidRDefault="002A3970">
      <w:pPr>
        <w:jc w:val="center"/>
      </w:pPr>
    </w:p>
    <w:p w14:paraId="4B9A2A45" w14:textId="77777777" w:rsidR="002A3970" w:rsidRDefault="002A3970">
      <w:pPr>
        <w:jc w:val="center"/>
      </w:pPr>
    </w:p>
    <w:p w14:paraId="4B9A2A46" w14:textId="77777777" w:rsidR="002A3970" w:rsidRDefault="00C35E63">
      <w:pPr>
        <w:jc w:val="center"/>
      </w:pPr>
      <w:r>
        <w:rPr>
          <w:rFonts w:ascii="Times New Roman" w:eastAsia="宋体" w:hAnsi="Times New Roman"/>
          <w:color w:val="000000"/>
          <w:sz w:val="20"/>
          <w:szCs w:val="20"/>
        </w:rPr>
        <w:t>2</w:t>
      </w:r>
    </w:p>
    <w:p w14:paraId="4B9A2A47" w14:textId="77777777" w:rsidR="002A3970" w:rsidRDefault="00C35E63">
      <w:r>
        <w:pict w14:anchorId="4B9A4C17">
          <v:rect id="_x0000_i1026" style="width:415.3pt;height:1.5pt" o:hralign="center" o:hrstd="t" o:hr="t" fillcolor="#a0a0a0" stroked="f"/>
        </w:pict>
      </w:r>
    </w:p>
    <w:p w14:paraId="4B9A2A48" w14:textId="77777777" w:rsidR="002A3970" w:rsidRDefault="00C35E63">
      <w:hyperlink r:id="rId41" w:anchor="i0522a2f6333e456295d59e779af751cb_7" w:history="1">
        <w:r>
          <w:rPr>
            <w:rStyle w:val="a5"/>
            <w:rFonts w:ascii="Times New Roman" w:eastAsia="宋体" w:hAnsi="Times New Roman"/>
            <w:sz w:val="20"/>
            <w:szCs w:val="20"/>
          </w:rPr>
          <w:t>Table of Contents</w:t>
        </w:r>
      </w:hyperlink>
    </w:p>
    <w:p w14:paraId="4B9A2A49" w14:textId="77777777" w:rsidR="002A3970" w:rsidRDefault="00C35E63">
      <w:pPr>
        <w:spacing w:after="100"/>
      </w:pPr>
      <w:r>
        <w:rPr>
          <w:rFonts w:ascii="Times New Roman" w:eastAsia="宋体" w:hAnsi="Times New Roman"/>
          <w:b/>
          <w:bCs/>
          <w:color w:val="000000"/>
          <w:sz w:val="20"/>
          <w:szCs w:val="20"/>
        </w:rPr>
        <w:t>PART I. FINANCIAL INFORMATION</w:t>
      </w:r>
    </w:p>
    <w:p w14:paraId="4B9A2A4A" w14:textId="77777777" w:rsidR="002A3970" w:rsidRDefault="00C35E63">
      <w:pPr>
        <w:spacing w:before="180" w:after="100"/>
        <w:ind w:hanging="360"/>
      </w:pPr>
      <w:r>
        <w:rPr>
          <w:rFonts w:ascii="Times New Roman" w:eastAsia="宋体" w:hAnsi="Times New Roman"/>
          <w:b/>
          <w:bCs/>
          <w:color w:val="000000"/>
          <w:sz w:val="20"/>
          <w:szCs w:val="20"/>
        </w:rPr>
        <w:t>Item 1.Financial Statements</w:t>
      </w:r>
    </w:p>
    <w:p w14:paraId="4B9A2A4B" w14:textId="77777777" w:rsidR="002A3970" w:rsidRDefault="00C35E63">
      <w:pPr>
        <w:spacing w:before="180"/>
        <w:jc w:val="center"/>
      </w:pPr>
      <w:r>
        <w:rPr>
          <w:rFonts w:ascii="Times New Roman" w:eastAsia="宋体" w:hAnsi="Times New Roman"/>
          <w:b/>
          <w:bCs/>
          <w:color w:val="000000"/>
          <w:sz w:val="20"/>
          <w:szCs w:val="20"/>
        </w:rPr>
        <w:t>Walmart Inc.</w:t>
      </w:r>
    </w:p>
    <w:p w14:paraId="4B9A2A4C" w14:textId="77777777" w:rsidR="002A3970" w:rsidRDefault="00C35E63">
      <w:pPr>
        <w:spacing w:before="60"/>
        <w:jc w:val="center"/>
      </w:pPr>
      <w:r>
        <w:rPr>
          <w:rFonts w:ascii="Times New Roman" w:eastAsia="宋体" w:hAnsi="Times New Roman"/>
          <w:b/>
          <w:bCs/>
          <w:color w:val="000000"/>
          <w:sz w:val="20"/>
          <w:szCs w:val="20"/>
        </w:rPr>
        <w:t>Condensed Consolidated Statements of Income</w:t>
      </w:r>
    </w:p>
    <w:p w14:paraId="4B9A2A4D" w14:textId="77777777" w:rsidR="002A3970" w:rsidRDefault="00C35E63">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41"/>
        <w:gridCol w:w="39"/>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tblGrid>
      <w:tr w:rsidR="002A3970" w14:paraId="4B9A2A69" w14:textId="77777777">
        <w:trPr>
          <w:jc w:val="center"/>
        </w:trPr>
        <w:tc>
          <w:tcPr>
            <w:tcW w:w="50" w:type="pct"/>
            <w:shd w:val="clear" w:color="auto" w:fill="auto"/>
            <w:vAlign w:val="bottom"/>
          </w:tcPr>
          <w:p w14:paraId="4B9A2A4E" w14:textId="77777777" w:rsidR="002A3970" w:rsidRDefault="002A3970">
            <w:pPr>
              <w:rPr>
                <w:rFonts w:ascii="宋体"/>
              </w:rPr>
            </w:pPr>
          </w:p>
        </w:tc>
        <w:tc>
          <w:tcPr>
            <w:tcW w:w="3513" w:type="pct"/>
            <w:shd w:val="clear" w:color="auto" w:fill="auto"/>
            <w:vAlign w:val="bottom"/>
          </w:tcPr>
          <w:p w14:paraId="4B9A2A4F" w14:textId="77777777" w:rsidR="002A3970" w:rsidRDefault="002A3970">
            <w:pPr>
              <w:rPr>
                <w:rFonts w:ascii="宋体"/>
              </w:rPr>
            </w:pPr>
          </w:p>
        </w:tc>
        <w:tc>
          <w:tcPr>
            <w:tcW w:w="5" w:type="pct"/>
            <w:shd w:val="clear" w:color="auto" w:fill="auto"/>
            <w:vAlign w:val="bottom"/>
          </w:tcPr>
          <w:p w14:paraId="4B9A2A50" w14:textId="77777777" w:rsidR="002A3970" w:rsidRDefault="002A3970">
            <w:pPr>
              <w:rPr>
                <w:rFonts w:ascii="宋体"/>
              </w:rPr>
            </w:pPr>
          </w:p>
        </w:tc>
        <w:tc>
          <w:tcPr>
            <w:tcW w:w="5" w:type="pct"/>
            <w:shd w:val="clear" w:color="auto" w:fill="auto"/>
            <w:vAlign w:val="bottom"/>
          </w:tcPr>
          <w:p w14:paraId="4B9A2A51" w14:textId="77777777" w:rsidR="002A3970" w:rsidRDefault="002A3970">
            <w:pPr>
              <w:rPr>
                <w:rFonts w:ascii="宋体"/>
              </w:rPr>
            </w:pPr>
          </w:p>
        </w:tc>
        <w:tc>
          <w:tcPr>
            <w:tcW w:w="15" w:type="pct"/>
            <w:shd w:val="clear" w:color="auto" w:fill="auto"/>
            <w:vAlign w:val="bottom"/>
          </w:tcPr>
          <w:p w14:paraId="4B9A2A52" w14:textId="77777777" w:rsidR="002A3970" w:rsidRDefault="002A3970">
            <w:pPr>
              <w:rPr>
                <w:rFonts w:ascii="宋体"/>
              </w:rPr>
            </w:pPr>
          </w:p>
        </w:tc>
        <w:tc>
          <w:tcPr>
            <w:tcW w:w="5" w:type="pct"/>
            <w:shd w:val="clear" w:color="auto" w:fill="auto"/>
            <w:vAlign w:val="bottom"/>
          </w:tcPr>
          <w:p w14:paraId="4B9A2A53" w14:textId="77777777" w:rsidR="002A3970" w:rsidRDefault="002A3970">
            <w:pPr>
              <w:rPr>
                <w:rFonts w:ascii="宋体"/>
              </w:rPr>
            </w:pPr>
          </w:p>
        </w:tc>
        <w:tc>
          <w:tcPr>
            <w:tcW w:w="50" w:type="pct"/>
            <w:shd w:val="clear" w:color="auto" w:fill="auto"/>
            <w:vAlign w:val="bottom"/>
          </w:tcPr>
          <w:p w14:paraId="4B9A2A54" w14:textId="77777777" w:rsidR="002A3970" w:rsidRDefault="002A3970">
            <w:pPr>
              <w:rPr>
                <w:rFonts w:ascii="宋体"/>
              </w:rPr>
            </w:pPr>
          </w:p>
        </w:tc>
        <w:tc>
          <w:tcPr>
            <w:tcW w:w="263" w:type="pct"/>
            <w:shd w:val="clear" w:color="auto" w:fill="auto"/>
            <w:vAlign w:val="bottom"/>
          </w:tcPr>
          <w:p w14:paraId="4B9A2A55" w14:textId="77777777" w:rsidR="002A3970" w:rsidRDefault="002A3970">
            <w:pPr>
              <w:rPr>
                <w:rFonts w:ascii="宋体"/>
              </w:rPr>
            </w:pPr>
          </w:p>
        </w:tc>
        <w:tc>
          <w:tcPr>
            <w:tcW w:w="5" w:type="pct"/>
            <w:shd w:val="clear" w:color="auto" w:fill="auto"/>
            <w:vAlign w:val="bottom"/>
          </w:tcPr>
          <w:p w14:paraId="4B9A2A56" w14:textId="77777777" w:rsidR="002A3970" w:rsidRDefault="002A3970">
            <w:pPr>
              <w:rPr>
                <w:rFonts w:ascii="宋体"/>
              </w:rPr>
            </w:pPr>
          </w:p>
        </w:tc>
        <w:tc>
          <w:tcPr>
            <w:tcW w:w="5" w:type="pct"/>
            <w:shd w:val="clear" w:color="auto" w:fill="auto"/>
            <w:vAlign w:val="bottom"/>
          </w:tcPr>
          <w:p w14:paraId="4B9A2A57" w14:textId="77777777" w:rsidR="002A3970" w:rsidRDefault="002A3970">
            <w:pPr>
              <w:rPr>
                <w:rFonts w:ascii="宋体"/>
              </w:rPr>
            </w:pPr>
          </w:p>
        </w:tc>
        <w:tc>
          <w:tcPr>
            <w:tcW w:w="33" w:type="pct"/>
            <w:shd w:val="clear" w:color="auto" w:fill="auto"/>
            <w:vAlign w:val="bottom"/>
          </w:tcPr>
          <w:p w14:paraId="4B9A2A58" w14:textId="77777777" w:rsidR="002A3970" w:rsidRDefault="002A3970">
            <w:pPr>
              <w:rPr>
                <w:rFonts w:ascii="宋体"/>
              </w:rPr>
            </w:pPr>
          </w:p>
        </w:tc>
        <w:tc>
          <w:tcPr>
            <w:tcW w:w="5" w:type="pct"/>
            <w:shd w:val="clear" w:color="auto" w:fill="auto"/>
            <w:vAlign w:val="bottom"/>
          </w:tcPr>
          <w:p w14:paraId="4B9A2A59" w14:textId="77777777" w:rsidR="002A3970" w:rsidRDefault="002A3970">
            <w:pPr>
              <w:rPr>
                <w:rFonts w:ascii="宋体"/>
              </w:rPr>
            </w:pPr>
          </w:p>
        </w:tc>
        <w:tc>
          <w:tcPr>
            <w:tcW w:w="50" w:type="pct"/>
            <w:shd w:val="clear" w:color="auto" w:fill="auto"/>
            <w:vAlign w:val="bottom"/>
          </w:tcPr>
          <w:p w14:paraId="4B9A2A5A" w14:textId="77777777" w:rsidR="002A3970" w:rsidRDefault="002A3970">
            <w:pPr>
              <w:rPr>
                <w:rFonts w:ascii="宋体"/>
              </w:rPr>
            </w:pPr>
          </w:p>
        </w:tc>
        <w:tc>
          <w:tcPr>
            <w:tcW w:w="263" w:type="pct"/>
            <w:shd w:val="clear" w:color="auto" w:fill="auto"/>
            <w:vAlign w:val="bottom"/>
          </w:tcPr>
          <w:p w14:paraId="4B9A2A5B" w14:textId="77777777" w:rsidR="002A3970" w:rsidRDefault="002A3970">
            <w:pPr>
              <w:rPr>
                <w:rFonts w:ascii="宋体"/>
              </w:rPr>
            </w:pPr>
          </w:p>
        </w:tc>
        <w:tc>
          <w:tcPr>
            <w:tcW w:w="5" w:type="pct"/>
            <w:shd w:val="clear" w:color="auto" w:fill="auto"/>
            <w:vAlign w:val="bottom"/>
          </w:tcPr>
          <w:p w14:paraId="4B9A2A5C" w14:textId="77777777" w:rsidR="002A3970" w:rsidRDefault="002A3970">
            <w:pPr>
              <w:rPr>
                <w:rFonts w:ascii="宋体"/>
              </w:rPr>
            </w:pPr>
          </w:p>
        </w:tc>
        <w:tc>
          <w:tcPr>
            <w:tcW w:w="5" w:type="pct"/>
            <w:shd w:val="clear" w:color="auto" w:fill="auto"/>
            <w:vAlign w:val="bottom"/>
          </w:tcPr>
          <w:p w14:paraId="4B9A2A5D" w14:textId="77777777" w:rsidR="002A3970" w:rsidRDefault="002A3970">
            <w:pPr>
              <w:rPr>
                <w:rFonts w:ascii="宋体"/>
              </w:rPr>
            </w:pPr>
          </w:p>
        </w:tc>
        <w:tc>
          <w:tcPr>
            <w:tcW w:w="33" w:type="pct"/>
            <w:shd w:val="clear" w:color="auto" w:fill="auto"/>
            <w:vAlign w:val="bottom"/>
          </w:tcPr>
          <w:p w14:paraId="4B9A2A5E" w14:textId="77777777" w:rsidR="002A3970" w:rsidRDefault="002A3970">
            <w:pPr>
              <w:rPr>
                <w:rFonts w:ascii="宋体"/>
              </w:rPr>
            </w:pPr>
          </w:p>
        </w:tc>
        <w:tc>
          <w:tcPr>
            <w:tcW w:w="5" w:type="pct"/>
            <w:shd w:val="clear" w:color="auto" w:fill="auto"/>
            <w:vAlign w:val="bottom"/>
          </w:tcPr>
          <w:p w14:paraId="4B9A2A5F" w14:textId="77777777" w:rsidR="002A3970" w:rsidRDefault="002A3970">
            <w:pPr>
              <w:rPr>
                <w:rFonts w:ascii="宋体"/>
              </w:rPr>
            </w:pPr>
          </w:p>
        </w:tc>
        <w:tc>
          <w:tcPr>
            <w:tcW w:w="50" w:type="pct"/>
            <w:shd w:val="clear" w:color="auto" w:fill="auto"/>
            <w:vAlign w:val="bottom"/>
          </w:tcPr>
          <w:p w14:paraId="4B9A2A60" w14:textId="77777777" w:rsidR="002A3970" w:rsidRDefault="002A3970">
            <w:pPr>
              <w:rPr>
                <w:rFonts w:ascii="宋体"/>
              </w:rPr>
            </w:pPr>
          </w:p>
        </w:tc>
        <w:tc>
          <w:tcPr>
            <w:tcW w:w="263" w:type="pct"/>
            <w:shd w:val="clear" w:color="auto" w:fill="auto"/>
            <w:vAlign w:val="bottom"/>
          </w:tcPr>
          <w:p w14:paraId="4B9A2A61" w14:textId="77777777" w:rsidR="002A3970" w:rsidRDefault="002A3970">
            <w:pPr>
              <w:rPr>
                <w:rFonts w:ascii="宋体"/>
              </w:rPr>
            </w:pPr>
          </w:p>
        </w:tc>
        <w:tc>
          <w:tcPr>
            <w:tcW w:w="5" w:type="pct"/>
            <w:shd w:val="clear" w:color="auto" w:fill="auto"/>
            <w:vAlign w:val="bottom"/>
          </w:tcPr>
          <w:p w14:paraId="4B9A2A62" w14:textId="77777777" w:rsidR="002A3970" w:rsidRDefault="002A3970">
            <w:pPr>
              <w:rPr>
                <w:rFonts w:ascii="宋体"/>
              </w:rPr>
            </w:pPr>
          </w:p>
        </w:tc>
        <w:tc>
          <w:tcPr>
            <w:tcW w:w="5" w:type="pct"/>
            <w:shd w:val="clear" w:color="auto" w:fill="auto"/>
            <w:vAlign w:val="bottom"/>
          </w:tcPr>
          <w:p w14:paraId="4B9A2A63" w14:textId="77777777" w:rsidR="002A3970" w:rsidRDefault="002A3970">
            <w:pPr>
              <w:rPr>
                <w:rFonts w:ascii="宋体"/>
              </w:rPr>
            </w:pPr>
          </w:p>
        </w:tc>
        <w:tc>
          <w:tcPr>
            <w:tcW w:w="33" w:type="pct"/>
            <w:shd w:val="clear" w:color="auto" w:fill="auto"/>
            <w:vAlign w:val="bottom"/>
          </w:tcPr>
          <w:p w14:paraId="4B9A2A64" w14:textId="77777777" w:rsidR="002A3970" w:rsidRDefault="002A3970">
            <w:pPr>
              <w:rPr>
                <w:rFonts w:ascii="宋体"/>
              </w:rPr>
            </w:pPr>
          </w:p>
        </w:tc>
        <w:tc>
          <w:tcPr>
            <w:tcW w:w="5" w:type="pct"/>
            <w:shd w:val="clear" w:color="auto" w:fill="auto"/>
            <w:vAlign w:val="bottom"/>
          </w:tcPr>
          <w:p w14:paraId="4B9A2A65" w14:textId="77777777" w:rsidR="002A3970" w:rsidRDefault="002A3970">
            <w:pPr>
              <w:rPr>
                <w:rFonts w:ascii="宋体"/>
              </w:rPr>
            </w:pPr>
          </w:p>
        </w:tc>
        <w:tc>
          <w:tcPr>
            <w:tcW w:w="50" w:type="pct"/>
            <w:shd w:val="clear" w:color="auto" w:fill="auto"/>
            <w:vAlign w:val="bottom"/>
          </w:tcPr>
          <w:p w14:paraId="4B9A2A66" w14:textId="77777777" w:rsidR="002A3970" w:rsidRDefault="002A3970">
            <w:pPr>
              <w:rPr>
                <w:rFonts w:ascii="宋体"/>
              </w:rPr>
            </w:pPr>
          </w:p>
        </w:tc>
        <w:tc>
          <w:tcPr>
            <w:tcW w:w="263" w:type="pct"/>
            <w:shd w:val="clear" w:color="auto" w:fill="auto"/>
            <w:vAlign w:val="bottom"/>
          </w:tcPr>
          <w:p w14:paraId="4B9A2A67" w14:textId="77777777" w:rsidR="002A3970" w:rsidRDefault="002A3970">
            <w:pPr>
              <w:rPr>
                <w:rFonts w:ascii="宋体"/>
              </w:rPr>
            </w:pPr>
          </w:p>
        </w:tc>
        <w:tc>
          <w:tcPr>
            <w:tcW w:w="5" w:type="pct"/>
            <w:shd w:val="clear" w:color="auto" w:fill="auto"/>
            <w:vAlign w:val="bottom"/>
          </w:tcPr>
          <w:p w14:paraId="4B9A2A68" w14:textId="77777777" w:rsidR="002A3970" w:rsidRDefault="002A3970">
            <w:pPr>
              <w:rPr>
                <w:rFonts w:ascii="宋体"/>
              </w:rPr>
            </w:pPr>
          </w:p>
        </w:tc>
      </w:tr>
      <w:tr w:rsidR="002A3970" w14:paraId="4B9A2A6F" w14:textId="77777777">
        <w:trPr>
          <w:jc w:val="center"/>
        </w:trPr>
        <w:tc>
          <w:tcPr>
            <w:tcW w:w="0" w:type="auto"/>
            <w:gridSpan w:val="3"/>
            <w:shd w:val="clear" w:color="auto" w:fill="auto"/>
            <w:tcMar>
              <w:top w:w="0" w:type="dxa"/>
              <w:left w:w="20" w:type="dxa"/>
              <w:bottom w:w="0" w:type="dxa"/>
              <w:right w:w="20" w:type="dxa"/>
            </w:tcMar>
            <w:vAlign w:val="bottom"/>
          </w:tcPr>
          <w:p w14:paraId="4B9A2A6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6B"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2A6C"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2A6D"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2A6E"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2A79" w14:textId="77777777">
        <w:trPr>
          <w:jc w:val="center"/>
        </w:trPr>
        <w:tc>
          <w:tcPr>
            <w:tcW w:w="0" w:type="auto"/>
            <w:gridSpan w:val="3"/>
            <w:shd w:val="clear" w:color="auto" w:fill="auto"/>
            <w:tcMar>
              <w:top w:w="40" w:type="dxa"/>
              <w:left w:w="20" w:type="dxa"/>
              <w:bottom w:w="40" w:type="dxa"/>
              <w:right w:w="20" w:type="dxa"/>
            </w:tcMar>
            <w:vAlign w:val="bottom"/>
          </w:tcPr>
          <w:p w14:paraId="4B9A2A70" w14:textId="77777777" w:rsidR="002A3970" w:rsidRDefault="00C35E63">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4B9A2A71"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A72"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A73"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A74"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2A75"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A76"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A77"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A78"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2A83" w14:textId="77777777">
        <w:trPr>
          <w:jc w:val="center"/>
        </w:trPr>
        <w:tc>
          <w:tcPr>
            <w:tcW w:w="0" w:type="auto"/>
            <w:gridSpan w:val="3"/>
            <w:shd w:val="clear" w:color="auto" w:fill="auto"/>
            <w:tcMar>
              <w:top w:w="40" w:type="dxa"/>
              <w:left w:w="20" w:type="dxa"/>
              <w:bottom w:w="40" w:type="dxa"/>
              <w:right w:w="20" w:type="dxa"/>
            </w:tcMar>
            <w:vAlign w:val="center"/>
          </w:tcPr>
          <w:p w14:paraId="4B9A2A7A" w14:textId="77777777" w:rsidR="002A3970" w:rsidRDefault="00C35E63">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vAlign w:val="bottom"/>
          </w:tcPr>
          <w:p w14:paraId="4B9A2A7B"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A7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7D"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A7E"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7F"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A80"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A81"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A82" w14:textId="77777777" w:rsidR="002A3970" w:rsidRDefault="002A3970">
            <w:pPr>
              <w:rPr>
                <w:rFonts w:ascii="宋体"/>
              </w:rPr>
            </w:pPr>
          </w:p>
        </w:tc>
      </w:tr>
      <w:tr w:rsidR="002A3970" w14:paraId="4B9A2A95" w14:textId="77777777">
        <w:trPr>
          <w:jc w:val="center"/>
        </w:trPr>
        <w:tc>
          <w:tcPr>
            <w:tcW w:w="0" w:type="auto"/>
            <w:gridSpan w:val="3"/>
            <w:shd w:val="clear" w:color="auto" w:fill="CCEEFF"/>
            <w:tcMar>
              <w:top w:w="40" w:type="dxa"/>
              <w:left w:w="380" w:type="dxa"/>
              <w:bottom w:w="40" w:type="dxa"/>
              <w:right w:w="20" w:type="dxa"/>
            </w:tcMar>
            <w:vAlign w:val="center"/>
          </w:tcPr>
          <w:p w14:paraId="4B9A2A84"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B9A2A85"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A8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A87" w14:textId="77777777" w:rsidR="002A3970" w:rsidRDefault="00C35E63">
            <w:pPr>
              <w:jc w:val="right"/>
              <w:textAlignment w:val="center"/>
            </w:pPr>
            <w:r>
              <w:rPr>
                <w:rFonts w:ascii="Times New Roman" w:eastAsia="宋体" w:hAnsi="Times New Roman"/>
                <w:color w:val="000000"/>
                <w:sz w:val="16"/>
                <w:szCs w:val="16"/>
              </w:rPr>
              <w:t>151,469 </w:t>
            </w:r>
          </w:p>
        </w:tc>
        <w:tc>
          <w:tcPr>
            <w:tcW w:w="0" w:type="auto"/>
            <w:shd w:val="clear" w:color="auto" w:fill="CCEEFF"/>
            <w:tcMar>
              <w:top w:w="40" w:type="dxa"/>
              <w:left w:w="0" w:type="dxa"/>
              <w:bottom w:w="40" w:type="dxa"/>
              <w:right w:w="20" w:type="dxa"/>
            </w:tcMar>
            <w:vAlign w:val="center"/>
          </w:tcPr>
          <w:p w14:paraId="4B9A2A8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89"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A8A"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A8B" w14:textId="77777777" w:rsidR="002A3970" w:rsidRDefault="00C35E63">
            <w:pPr>
              <w:jc w:val="right"/>
              <w:textAlignment w:val="center"/>
            </w:pPr>
            <w:r>
              <w:rPr>
                <w:rFonts w:ascii="Times New Roman" w:eastAsia="宋体" w:hAnsi="Times New Roman"/>
                <w:color w:val="000000"/>
                <w:sz w:val="16"/>
                <w:szCs w:val="16"/>
              </w:rPr>
              <w:t>139,207 </w:t>
            </w:r>
          </w:p>
        </w:tc>
        <w:tc>
          <w:tcPr>
            <w:tcW w:w="0" w:type="auto"/>
            <w:shd w:val="clear" w:color="auto" w:fill="CCEEFF"/>
            <w:tcMar>
              <w:top w:w="40" w:type="dxa"/>
              <w:left w:w="0" w:type="dxa"/>
              <w:bottom w:w="40" w:type="dxa"/>
              <w:right w:w="20" w:type="dxa"/>
            </w:tcMar>
            <w:vAlign w:val="center"/>
          </w:tcPr>
          <w:p w14:paraId="4B9A2A8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8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A8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A8F" w14:textId="77777777" w:rsidR="002A3970" w:rsidRDefault="00C35E63">
            <w:pPr>
              <w:jc w:val="right"/>
              <w:textAlignment w:val="center"/>
            </w:pPr>
            <w:r>
              <w:rPr>
                <w:rFonts w:ascii="Times New Roman" w:eastAsia="宋体" w:hAnsi="Times New Roman"/>
                <w:color w:val="000000"/>
                <w:sz w:val="16"/>
                <w:szCs w:val="16"/>
              </w:rPr>
              <w:t>443,138 </w:t>
            </w:r>
          </w:p>
        </w:tc>
        <w:tc>
          <w:tcPr>
            <w:tcW w:w="0" w:type="auto"/>
            <w:shd w:val="clear" w:color="auto" w:fill="CCEEFF"/>
            <w:tcMar>
              <w:top w:w="40" w:type="dxa"/>
              <w:left w:w="0" w:type="dxa"/>
              <w:bottom w:w="40" w:type="dxa"/>
              <w:right w:w="20" w:type="dxa"/>
            </w:tcMar>
            <w:vAlign w:val="center"/>
          </w:tcPr>
          <w:p w14:paraId="4B9A2A9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9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A9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A93" w14:textId="77777777" w:rsidR="002A3970" w:rsidRDefault="00C35E63">
            <w:pPr>
              <w:jc w:val="right"/>
              <w:textAlignment w:val="center"/>
            </w:pPr>
            <w:r>
              <w:rPr>
                <w:rFonts w:ascii="Times New Roman" w:eastAsia="宋体" w:hAnsi="Times New Roman"/>
                <w:color w:val="000000"/>
                <w:sz w:val="16"/>
                <w:szCs w:val="16"/>
              </w:rPr>
              <w:t>416,237 </w:t>
            </w:r>
          </w:p>
        </w:tc>
        <w:tc>
          <w:tcPr>
            <w:tcW w:w="0" w:type="auto"/>
            <w:shd w:val="clear" w:color="auto" w:fill="CCEEFF"/>
            <w:tcMar>
              <w:top w:w="40" w:type="dxa"/>
              <w:left w:w="0" w:type="dxa"/>
              <w:bottom w:w="40" w:type="dxa"/>
              <w:right w:w="20" w:type="dxa"/>
            </w:tcMar>
            <w:vAlign w:val="center"/>
          </w:tcPr>
          <w:p w14:paraId="4B9A2A94" w14:textId="77777777" w:rsidR="002A3970" w:rsidRDefault="002A3970">
            <w:pPr>
              <w:jc w:val="right"/>
              <w:rPr>
                <w:rFonts w:ascii="宋体"/>
              </w:rPr>
            </w:pPr>
          </w:p>
        </w:tc>
      </w:tr>
      <w:tr w:rsidR="002A3970" w14:paraId="4B9A2AA3" w14:textId="77777777">
        <w:trPr>
          <w:jc w:val="center"/>
        </w:trPr>
        <w:tc>
          <w:tcPr>
            <w:tcW w:w="0" w:type="auto"/>
            <w:gridSpan w:val="3"/>
            <w:shd w:val="clear" w:color="auto" w:fill="FFFFFF"/>
            <w:tcMar>
              <w:top w:w="40" w:type="dxa"/>
              <w:left w:w="380" w:type="dxa"/>
              <w:bottom w:w="40" w:type="dxa"/>
              <w:right w:w="20" w:type="dxa"/>
            </w:tcMar>
            <w:vAlign w:val="center"/>
          </w:tcPr>
          <w:p w14:paraId="4B9A2A96" w14:textId="77777777" w:rsidR="002A3970" w:rsidRDefault="00C35E63">
            <w:pPr>
              <w:textAlignment w:val="center"/>
            </w:pPr>
            <w:r>
              <w:rPr>
                <w:rFonts w:ascii="Times New Roman" w:eastAsia="宋体" w:hAnsi="Times New Roman"/>
                <w:color w:val="000000"/>
                <w:sz w:val="16"/>
                <w:szCs w:val="16"/>
              </w:rPr>
              <w:t>Membership and other income</w:t>
            </w:r>
          </w:p>
        </w:tc>
        <w:tc>
          <w:tcPr>
            <w:tcW w:w="0" w:type="auto"/>
            <w:gridSpan w:val="3"/>
            <w:shd w:val="clear" w:color="auto" w:fill="FFFFFF"/>
            <w:tcMar>
              <w:top w:w="0" w:type="dxa"/>
              <w:left w:w="20" w:type="dxa"/>
              <w:bottom w:w="0" w:type="dxa"/>
              <w:right w:w="20" w:type="dxa"/>
            </w:tcMar>
            <w:vAlign w:val="bottom"/>
          </w:tcPr>
          <w:p w14:paraId="4B9A2A9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A98" w14:textId="77777777" w:rsidR="002A3970" w:rsidRDefault="00C35E63">
            <w:pPr>
              <w:jc w:val="right"/>
              <w:textAlignment w:val="center"/>
            </w:pPr>
            <w:r>
              <w:rPr>
                <w:rFonts w:ascii="Times New Roman" w:eastAsia="宋体" w:hAnsi="Times New Roman"/>
                <w:color w:val="000000"/>
                <w:sz w:val="16"/>
                <w:szCs w:val="16"/>
              </w:rPr>
              <w:t>1,344 </w:t>
            </w:r>
          </w:p>
        </w:tc>
        <w:tc>
          <w:tcPr>
            <w:tcW w:w="0" w:type="auto"/>
            <w:shd w:val="clear" w:color="auto" w:fill="FFFFFF"/>
            <w:tcMar>
              <w:top w:w="40" w:type="dxa"/>
              <w:left w:w="0" w:type="dxa"/>
              <w:bottom w:w="40" w:type="dxa"/>
              <w:right w:w="20" w:type="dxa"/>
            </w:tcMar>
            <w:vAlign w:val="center"/>
          </w:tcPr>
          <w:p w14:paraId="4B9A2A9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A9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A9B" w14:textId="77777777" w:rsidR="002A3970" w:rsidRDefault="00C35E63">
            <w:pPr>
              <w:jc w:val="right"/>
              <w:textAlignment w:val="center"/>
            </w:pPr>
            <w:r>
              <w:rPr>
                <w:rFonts w:ascii="Times New Roman" w:eastAsia="宋体" w:hAnsi="Times New Roman"/>
                <w:color w:val="000000"/>
                <w:sz w:val="16"/>
                <w:szCs w:val="16"/>
              </w:rPr>
              <w:t>1,318 </w:t>
            </w:r>
          </w:p>
        </w:tc>
        <w:tc>
          <w:tcPr>
            <w:tcW w:w="0" w:type="auto"/>
            <w:shd w:val="clear" w:color="auto" w:fill="FFFFFF"/>
            <w:tcMar>
              <w:top w:w="40" w:type="dxa"/>
              <w:left w:w="0" w:type="dxa"/>
              <w:bottom w:w="40" w:type="dxa"/>
              <w:right w:w="20" w:type="dxa"/>
            </w:tcMar>
            <w:vAlign w:val="center"/>
          </w:tcPr>
          <w:p w14:paraId="4B9A2A9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A9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A9E" w14:textId="77777777" w:rsidR="002A3970" w:rsidRDefault="00C35E63">
            <w:pPr>
              <w:jc w:val="right"/>
              <w:textAlignment w:val="center"/>
            </w:pPr>
            <w:r>
              <w:rPr>
                <w:rFonts w:ascii="Times New Roman" w:eastAsia="宋体" w:hAnsi="Times New Roman"/>
                <w:color w:val="000000"/>
                <w:sz w:val="16"/>
                <w:szCs w:val="16"/>
              </w:rPr>
              <w:t>4,103 </w:t>
            </w:r>
          </w:p>
        </w:tc>
        <w:tc>
          <w:tcPr>
            <w:tcW w:w="0" w:type="auto"/>
            <w:shd w:val="clear" w:color="auto" w:fill="FFFFFF"/>
            <w:tcMar>
              <w:top w:w="40" w:type="dxa"/>
              <w:left w:w="0" w:type="dxa"/>
              <w:bottom w:w="40" w:type="dxa"/>
              <w:right w:w="20" w:type="dxa"/>
            </w:tcMar>
            <w:vAlign w:val="center"/>
          </w:tcPr>
          <w:p w14:paraId="4B9A2A9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AA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AA1" w14:textId="77777777" w:rsidR="002A3970" w:rsidRDefault="00C35E63">
            <w:pPr>
              <w:jc w:val="right"/>
              <w:textAlignment w:val="center"/>
            </w:pPr>
            <w:r>
              <w:rPr>
                <w:rFonts w:ascii="Times New Roman" w:eastAsia="宋体" w:hAnsi="Times New Roman"/>
                <w:color w:val="000000"/>
                <w:sz w:val="16"/>
                <w:szCs w:val="16"/>
              </w:rPr>
              <w:t>3,646 </w:t>
            </w:r>
          </w:p>
        </w:tc>
        <w:tc>
          <w:tcPr>
            <w:tcW w:w="0" w:type="auto"/>
            <w:shd w:val="clear" w:color="auto" w:fill="FFFFFF"/>
            <w:tcMar>
              <w:top w:w="40" w:type="dxa"/>
              <w:left w:w="0" w:type="dxa"/>
              <w:bottom w:w="40" w:type="dxa"/>
              <w:right w:w="20" w:type="dxa"/>
            </w:tcMar>
            <w:vAlign w:val="center"/>
          </w:tcPr>
          <w:p w14:paraId="4B9A2AA2" w14:textId="77777777" w:rsidR="002A3970" w:rsidRDefault="002A3970">
            <w:pPr>
              <w:jc w:val="right"/>
              <w:rPr>
                <w:rFonts w:ascii="宋体"/>
              </w:rPr>
            </w:pPr>
          </w:p>
        </w:tc>
      </w:tr>
      <w:tr w:rsidR="002A3970" w14:paraId="4B9A2AB1" w14:textId="77777777">
        <w:trPr>
          <w:jc w:val="center"/>
        </w:trPr>
        <w:tc>
          <w:tcPr>
            <w:tcW w:w="0" w:type="auto"/>
            <w:gridSpan w:val="3"/>
            <w:shd w:val="clear" w:color="auto" w:fill="CCEEFF"/>
            <w:tcMar>
              <w:top w:w="40" w:type="dxa"/>
              <w:left w:w="605" w:type="dxa"/>
              <w:bottom w:w="40" w:type="dxa"/>
              <w:right w:w="20" w:type="dxa"/>
            </w:tcMar>
            <w:vAlign w:val="center"/>
          </w:tcPr>
          <w:p w14:paraId="4B9A2AA4" w14:textId="77777777" w:rsidR="002A3970" w:rsidRDefault="00C35E63">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4B9A2AA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AA6" w14:textId="77777777" w:rsidR="002A3970" w:rsidRDefault="00C35E63">
            <w:pPr>
              <w:jc w:val="right"/>
              <w:textAlignment w:val="center"/>
            </w:pPr>
            <w:r>
              <w:rPr>
                <w:rFonts w:ascii="Times New Roman" w:eastAsia="宋体" w:hAnsi="Times New Roman"/>
                <w:color w:val="000000"/>
                <w:sz w:val="16"/>
                <w:szCs w:val="16"/>
              </w:rPr>
              <w:t>152,813 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AA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A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AA9" w14:textId="77777777" w:rsidR="002A3970" w:rsidRDefault="00C35E63">
            <w:pPr>
              <w:jc w:val="right"/>
              <w:textAlignment w:val="center"/>
            </w:pPr>
            <w:r>
              <w:rPr>
                <w:rFonts w:ascii="Times New Roman" w:eastAsia="宋体" w:hAnsi="Times New Roman"/>
                <w:color w:val="000000"/>
                <w:sz w:val="16"/>
                <w:szCs w:val="16"/>
              </w:rPr>
              <w:t>140,525 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AA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A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AAC" w14:textId="77777777" w:rsidR="002A3970" w:rsidRDefault="00C35E63">
            <w:pPr>
              <w:jc w:val="right"/>
              <w:textAlignment w:val="center"/>
            </w:pPr>
            <w:r>
              <w:rPr>
                <w:rFonts w:ascii="Times New Roman" w:eastAsia="宋体" w:hAnsi="Times New Roman"/>
                <w:color w:val="000000"/>
                <w:sz w:val="16"/>
                <w:szCs w:val="16"/>
              </w:rPr>
              <w:t>447,241 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AA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AE"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AAF" w14:textId="77777777" w:rsidR="002A3970" w:rsidRDefault="00C35E63">
            <w:pPr>
              <w:jc w:val="right"/>
              <w:textAlignment w:val="center"/>
            </w:pPr>
            <w:r>
              <w:rPr>
                <w:rFonts w:ascii="Times New Roman" w:eastAsia="宋体" w:hAnsi="Times New Roman"/>
                <w:color w:val="000000"/>
                <w:sz w:val="16"/>
                <w:szCs w:val="16"/>
              </w:rPr>
              <w:t>419,883 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AB0" w14:textId="77777777" w:rsidR="002A3970" w:rsidRDefault="002A3970">
            <w:pPr>
              <w:jc w:val="right"/>
              <w:rPr>
                <w:rFonts w:ascii="宋体"/>
              </w:rPr>
            </w:pPr>
          </w:p>
        </w:tc>
      </w:tr>
      <w:tr w:rsidR="002A3970" w14:paraId="4B9A2ABB" w14:textId="77777777">
        <w:trPr>
          <w:jc w:val="center"/>
        </w:trPr>
        <w:tc>
          <w:tcPr>
            <w:tcW w:w="0" w:type="auto"/>
            <w:gridSpan w:val="3"/>
            <w:shd w:val="clear" w:color="auto" w:fill="FFFFFF"/>
            <w:tcMar>
              <w:top w:w="40" w:type="dxa"/>
              <w:left w:w="20" w:type="dxa"/>
              <w:bottom w:w="40" w:type="dxa"/>
              <w:right w:w="20" w:type="dxa"/>
            </w:tcMar>
            <w:vAlign w:val="center"/>
          </w:tcPr>
          <w:p w14:paraId="4B9A2AB2" w14:textId="77777777" w:rsidR="002A3970" w:rsidRDefault="00C35E63">
            <w:pPr>
              <w:textAlignment w:val="center"/>
            </w:pPr>
            <w:r>
              <w:rPr>
                <w:rFonts w:ascii="Times New Roman" w:eastAsia="宋体" w:hAnsi="Times New Roman"/>
                <w:b/>
                <w:bCs/>
                <w:color w:val="000000"/>
                <w:sz w:val="16"/>
                <w:szCs w:val="16"/>
              </w:rPr>
              <w:t>Costs and expenses:</w:t>
            </w:r>
          </w:p>
        </w:tc>
        <w:tc>
          <w:tcPr>
            <w:tcW w:w="0" w:type="auto"/>
            <w:gridSpan w:val="3"/>
            <w:shd w:val="clear" w:color="auto" w:fill="FFFFFF"/>
            <w:tcMar>
              <w:top w:w="0" w:type="dxa"/>
              <w:left w:w="20" w:type="dxa"/>
              <w:bottom w:w="0" w:type="dxa"/>
              <w:right w:w="20" w:type="dxa"/>
            </w:tcMar>
            <w:vAlign w:val="bottom"/>
          </w:tcPr>
          <w:p w14:paraId="4B9A2AB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5"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6"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7"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8"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BA" w14:textId="77777777" w:rsidR="002A3970" w:rsidRDefault="002A3970">
            <w:pPr>
              <w:rPr>
                <w:rFonts w:ascii="宋体"/>
              </w:rPr>
            </w:pPr>
          </w:p>
        </w:tc>
      </w:tr>
      <w:tr w:rsidR="002A3970" w14:paraId="4B9A2AC9" w14:textId="77777777">
        <w:trPr>
          <w:jc w:val="center"/>
        </w:trPr>
        <w:tc>
          <w:tcPr>
            <w:tcW w:w="0" w:type="auto"/>
            <w:gridSpan w:val="3"/>
            <w:shd w:val="clear" w:color="auto" w:fill="CCEEFF"/>
            <w:tcMar>
              <w:top w:w="40" w:type="dxa"/>
              <w:left w:w="380" w:type="dxa"/>
              <w:bottom w:w="40" w:type="dxa"/>
              <w:right w:w="20" w:type="dxa"/>
            </w:tcMar>
            <w:vAlign w:val="center"/>
          </w:tcPr>
          <w:p w14:paraId="4B9A2ABC" w14:textId="77777777" w:rsidR="002A3970" w:rsidRDefault="00C35E63">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bottom"/>
          </w:tcPr>
          <w:p w14:paraId="4B9A2AB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ABE" w14:textId="77777777" w:rsidR="002A3970" w:rsidRDefault="00C35E63">
            <w:pPr>
              <w:jc w:val="right"/>
              <w:textAlignment w:val="center"/>
            </w:pPr>
            <w:r>
              <w:rPr>
                <w:rFonts w:ascii="Times New Roman" w:eastAsia="宋体" w:hAnsi="Times New Roman"/>
                <w:color w:val="000000"/>
                <w:sz w:val="16"/>
                <w:szCs w:val="16"/>
              </w:rPr>
              <w:t>115,613 </w:t>
            </w:r>
          </w:p>
        </w:tc>
        <w:tc>
          <w:tcPr>
            <w:tcW w:w="0" w:type="auto"/>
            <w:shd w:val="clear" w:color="auto" w:fill="CCEEFF"/>
            <w:tcMar>
              <w:top w:w="40" w:type="dxa"/>
              <w:left w:w="0" w:type="dxa"/>
              <w:bottom w:w="40" w:type="dxa"/>
              <w:right w:w="20" w:type="dxa"/>
            </w:tcMar>
            <w:vAlign w:val="center"/>
          </w:tcPr>
          <w:p w14:paraId="4B9A2AB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C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AC1" w14:textId="77777777" w:rsidR="002A3970" w:rsidRDefault="00C35E63">
            <w:pPr>
              <w:jc w:val="right"/>
              <w:textAlignment w:val="center"/>
            </w:pPr>
            <w:r>
              <w:rPr>
                <w:rFonts w:ascii="Times New Roman" w:eastAsia="宋体" w:hAnsi="Times New Roman"/>
                <w:color w:val="000000"/>
                <w:sz w:val="16"/>
                <w:szCs w:val="16"/>
              </w:rPr>
              <w:t>105,023 </w:t>
            </w:r>
          </w:p>
        </w:tc>
        <w:tc>
          <w:tcPr>
            <w:tcW w:w="0" w:type="auto"/>
            <w:shd w:val="clear" w:color="auto" w:fill="CCEEFF"/>
            <w:tcMar>
              <w:top w:w="40" w:type="dxa"/>
              <w:left w:w="0" w:type="dxa"/>
              <w:bottom w:w="40" w:type="dxa"/>
              <w:right w:w="20" w:type="dxa"/>
            </w:tcMar>
            <w:vAlign w:val="center"/>
          </w:tcPr>
          <w:p w14:paraId="4B9A2AC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C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2AC4" w14:textId="77777777" w:rsidR="002A3970" w:rsidRDefault="00C35E63">
            <w:pPr>
              <w:jc w:val="right"/>
              <w:textAlignment w:val="bottom"/>
            </w:pPr>
            <w:r>
              <w:rPr>
                <w:rFonts w:ascii="Times New Roman" w:eastAsia="宋体" w:hAnsi="Times New Roman"/>
                <w:color w:val="000000"/>
                <w:sz w:val="16"/>
                <w:szCs w:val="16"/>
              </w:rPr>
              <w:t>338,298 </w:t>
            </w:r>
          </w:p>
        </w:tc>
        <w:tc>
          <w:tcPr>
            <w:tcW w:w="0" w:type="auto"/>
            <w:shd w:val="clear" w:color="auto" w:fill="CCEEFF"/>
            <w:tcMar>
              <w:top w:w="40" w:type="dxa"/>
              <w:left w:w="0" w:type="dxa"/>
              <w:bottom w:w="40" w:type="dxa"/>
              <w:right w:w="20" w:type="dxa"/>
            </w:tcMar>
            <w:vAlign w:val="bottom"/>
          </w:tcPr>
          <w:p w14:paraId="4B9A2AC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C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2AC7" w14:textId="77777777" w:rsidR="002A3970" w:rsidRDefault="00C35E63">
            <w:pPr>
              <w:jc w:val="right"/>
              <w:textAlignment w:val="bottom"/>
            </w:pPr>
            <w:r>
              <w:rPr>
                <w:rFonts w:ascii="Times New Roman" w:eastAsia="宋体" w:hAnsi="Times New Roman"/>
                <w:color w:val="000000"/>
                <w:sz w:val="16"/>
                <w:szCs w:val="16"/>
              </w:rPr>
              <w:t>313,478 </w:t>
            </w:r>
          </w:p>
        </w:tc>
        <w:tc>
          <w:tcPr>
            <w:tcW w:w="0" w:type="auto"/>
            <w:shd w:val="clear" w:color="auto" w:fill="CCEEFF"/>
            <w:tcMar>
              <w:top w:w="40" w:type="dxa"/>
              <w:left w:w="0" w:type="dxa"/>
              <w:bottom w:w="40" w:type="dxa"/>
              <w:right w:w="20" w:type="dxa"/>
            </w:tcMar>
            <w:vAlign w:val="bottom"/>
          </w:tcPr>
          <w:p w14:paraId="4B9A2AC8" w14:textId="77777777" w:rsidR="002A3970" w:rsidRDefault="002A3970">
            <w:pPr>
              <w:jc w:val="right"/>
              <w:rPr>
                <w:rFonts w:ascii="宋体"/>
              </w:rPr>
            </w:pPr>
          </w:p>
        </w:tc>
      </w:tr>
      <w:tr w:rsidR="002A3970" w14:paraId="4B9A2AD7" w14:textId="77777777">
        <w:trPr>
          <w:jc w:val="center"/>
        </w:trPr>
        <w:tc>
          <w:tcPr>
            <w:tcW w:w="0" w:type="auto"/>
            <w:gridSpan w:val="3"/>
            <w:shd w:val="clear" w:color="auto" w:fill="FFFFFF"/>
            <w:tcMar>
              <w:top w:w="40" w:type="dxa"/>
              <w:left w:w="380" w:type="dxa"/>
              <w:bottom w:w="40" w:type="dxa"/>
              <w:right w:w="20" w:type="dxa"/>
            </w:tcMar>
            <w:vAlign w:val="center"/>
          </w:tcPr>
          <w:p w14:paraId="4B9A2ACA" w14:textId="77777777" w:rsidR="002A3970" w:rsidRDefault="00C35E63">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vAlign w:val="bottom"/>
          </w:tcPr>
          <w:p w14:paraId="4B9A2AC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ACC" w14:textId="77777777" w:rsidR="002A3970" w:rsidRDefault="00C35E63">
            <w:pPr>
              <w:jc w:val="right"/>
              <w:textAlignment w:val="center"/>
            </w:pPr>
            <w:r>
              <w:rPr>
                <w:rFonts w:ascii="Times New Roman" w:eastAsia="宋体" w:hAnsi="Times New Roman"/>
                <w:color w:val="000000"/>
                <w:sz w:val="16"/>
                <w:szCs w:val="16"/>
              </w:rPr>
              <w:t>34,505 </w:t>
            </w:r>
          </w:p>
        </w:tc>
        <w:tc>
          <w:tcPr>
            <w:tcW w:w="0" w:type="auto"/>
            <w:shd w:val="clear" w:color="auto" w:fill="FFFFFF"/>
            <w:tcMar>
              <w:top w:w="40" w:type="dxa"/>
              <w:left w:w="0" w:type="dxa"/>
              <w:bottom w:w="40" w:type="dxa"/>
              <w:right w:w="20" w:type="dxa"/>
            </w:tcMar>
            <w:vAlign w:val="center"/>
          </w:tcPr>
          <w:p w14:paraId="4B9A2AC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AC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ACF" w14:textId="77777777" w:rsidR="002A3970" w:rsidRDefault="00C35E63">
            <w:pPr>
              <w:jc w:val="right"/>
              <w:textAlignment w:val="center"/>
            </w:pPr>
            <w:r>
              <w:rPr>
                <w:rFonts w:ascii="Times New Roman" w:eastAsia="宋体" w:hAnsi="Times New Roman"/>
                <w:color w:val="000000"/>
                <w:sz w:val="16"/>
                <w:szCs w:val="16"/>
              </w:rPr>
              <w:t>29,710 </w:t>
            </w:r>
          </w:p>
        </w:tc>
        <w:tc>
          <w:tcPr>
            <w:tcW w:w="0" w:type="auto"/>
            <w:shd w:val="clear" w:color="auto" w:fill="FFFFFF"/>
            <w:tcMar>
              <w:top w:w="40" w:type="dxa"/>
              <w:left w:w="0" w:type="dxa"/>
              <w:bottom w:w="40" w:type="dxa"/>
              <w:right w:w="20" w:type="dxa"/>
            </w:tcMar>
            <w:vAlign w:val="center"/>
          </w:tcPr>
          <w:p w14:paraId="4B9A2AD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AD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AD2" w14:textId="77777777" w:rsidR="002A3970" w:rsidRDefault="00C35E63">
            <w:pPr>
              <w:jc w:val="right"/>
              <w:textAlignment w:val="bottom"/>
            </w:pPr>
            <w:r>
              <w:rPr>
                <w:rFonts w:ascii="Times New Roman" w:eastAsia="宋体" w:hAnsi="Times New Roman"/>
                <w:color w:val="000000"/>
                <w:sz w:val="16"/>
                <w:szCs w:val="16"/>
              </w:rPr>
              <w:t>94,076 </w:t>
            </w:r>
          </w:p>
        </w:tc>
        <w:tc>
          <w:tcPr>
            <w:tcW w:w="0" w:type="auto"/>
            <w:shd w:val="clear" w:color="auto" w:fill="FFFFFF"/>
            <w:tcMar>
              <w:top w:w="40" w:type="dxa"/>
              <w:left w:w="0" w:type="dxa"/>
              <w:bottom w:w="40" w:type="dxa"/>
              <w:right w:w="20" w:type="dxa"/>
            </w:tcMar>
            <w:vAlign w:val="bottom"/>
          </w:tcPr>
          <w:p w14:paraId="4B9A2AD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AD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AD5" w14:textId="77777777" w:rsidR="002A3970" w:rsidRDefault="00C35E63">
            <w:pPr>
              <w:jc w:val="right"/>
              <w:textAlignment w:val="bottom"/>
            </w:pPr>
            <w:r>
              <w:rPr>
                <w:rFonts w:ascii="Times New Roman" w:eastAsia="宋体" w:hAnsi="Times New Roman"/>
                <w:color w:val="000000"/>
                <w:sz w:val="16"/>
                <w:szCs w:val="16"/>
              </w:rPr>
              <w:t>86,350 </w:t>
            </w:r>
          </w:p>
        </w:tc>
        <w:tc>
          <w:tcPr>
            <w:tcW w:w="0" w:type="auto"/>
            <w:shd w:val="clear" w:color="auto" w:fill="FFFFFF"/>
            <w:tcMar>
              <w:top w:w="40" w:type="dxa"/>
              <w:left w:w="0" w:type="dxa"/>
              <w:bottom w:w="40" w:type="dxa"/>
              <w:right w:w="20" w:type="dxa"/>
            </w:tcMar>
            <w:vAlign w:val="bottom"/>
          </w:tcPr>
          <w:p w14:paraId="4B9A2AD6" w14:textId="77777777" w:rsidR="002A3970" w:rsidRDefault="002A3970">
            <w:pPr>
              <w:jc w:val="right"/>
              <w:rPr>
                <w:rFonts w:ascii="宋体"/>
              </w:rPr>
            </w:pPr>
          </w:p>
        </w:tc>
      </w:tr>
      <w:tr w:rsidR="002A3970" w14:paraId="4B9A2AE5" w14:textId="77777777">
        <w:trPr>
          <w:jc w:val="center"/>
        </w:trPr>
        <w:tc>
          <w:tcPr>
            <w:tcW w:w="0" w:type="auto"/>
            <w:gridSpan w:val="3"/>
            <w:shd w:val="clear" w:color="auto" w:fill="CCEEFF"/>
            <w:tcMar>
              <w:top w:w="40" w:type="dxa"/>
              <w:left w:w="20" w:type="dxa"/>
              <w:bottom w:w="40" w:type="dxa"/>
              <w:right w:w="20" w:type="dxa"/>
            </w:tcMar>
            <w:vAlign w:val="center"/>
          </w:tcPr>
          <w:p w14:paraId="4B9A2AD8" w14:textId="77777777" w:rsidR="002A3970" w:rsidRDefault="00C35E63">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B9A2AD9"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ADA" w14:textId="77777777" w:rsidR="002A3970" w:rsidRDefault="00C35E63">
            <w:pPr>
              <w:jc w:val="right"/>
              <w:textAlignment w:val="center"/>
            </w:pPr>
            <w:r>
              <w:rPr>
                <w:rFonts w:ascii="Times New Roman" w:eastAsia="宋体" w:hAnsi="Times New Roman"/>
                <w:color w:val="000000"/>
                <w:sz w:val="16"/>
                <w:szCs w:val="16"/>
              </w:rPr>
              <w:t>2,695 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AD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DC"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ADD" w14:textId="77777777" w:rsidR="002A3970" w:rsidRDefault="00C35E63">
            <w:pPr>
              <w:jc w:val="right"/>
              <w:textAlignment w:val="center"/>
            </w:pPr>
            <w:r>
              <w:rPr>
                <w:rFonts w:ascii="Times New Roman" w:eastAsia="宋体" w:hAnsi="Times New Roman"/>
                <w:color w:val="000000"/>
                <w:sz w:val="16"/>
                <w:szCs w:val="16"/>
              </w:rPr>
              <w:t>5,792 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AD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DF"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B9A2AE0" w14:textId="77777777" w:rsidR="002A3970" w:rsidRDefault="00C35E63">
            <w:pPr>
              <w:jc w:val="right"/>
              <w:textAlignment w:val="bottom"/>
            </w:pPr>
            <w:r>
              <w:rPr>
                <w:rFonts w:ascii="Times New Roman" w:eastAsia="宋体" w:hAnsi="Times New Roman"/>
                <w:color w:val="000000"/>
                <w:sz w:val="16"/>
                <w:szCs w:val="16"/>
              </w:rPr>
              <w:t>14,867 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2AE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E2"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B9A2AE3" w14:textId="77777777" w:rsidR="002A3970" w:rsidRDefault="00C35E63">
            <w:pPr>
              <w:jc w:val="right"/>
              <w:textAlignment w:val="bottom"/>
            </w:pPr>
            <w:r>
              <w:rPr>
                <w:rFonts w:ascii="Times New Roman" w:eastAsia="宋体" w:hAnsi="Times New Roman"/>
                <w:color w:val="000000"/>
                <w:sz w:val="16"/>
                <w:szCs w:val="16"/>
              </w:rPr>
              <w:t>20,055 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2AE4" w14:textId="77777777" w:rsidR="002A3970" w:rsidRDefault="002A3970">
            <w:pPr>
              <w:jc w:val="right"/>
              <w:rPr>
                <w:rFonts w:ascii="宋体"/>
              </w:rPr>
            </w:pPr>
          </w:p>
        </w:tc>
      </w:tr>
      <w:tr w:rsidR="002A3970" w14:paraId="4B9A2AEF" w14:textId="77777777">
        <w:trPr>
          <w:jc w:val="center"/>
        </w:trPr>
        <w:tc>
          <w:tcPr>
            <w:tcW w:w="0" w:type="auto"/>
            <w:gridSpan w:val="3"/>
            <w:shd w:val="clear" w:color="auto" w:fill="FFFFFF"/>
            <w:tcMar>
              <w:top w:w="40" w:type="dxa"/>
              <w:left w:w="20" w:type="dxa"/>
              <w:bottom w:w="40" w:type="dxa"/>
              <w:right w:w="20" w:type="dxa"/>
            </w:tcMar>
            <w:vAlign w:val="center"/>
          </w:tcPr>
          <w:p w14:paraId="4B9A2AE6" w14:textId="77777777" w:rsidR="002A3970" w:rsidRDefault="00C35E63">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vAlign w:val="bottom"/>
          </w:tcPr>
          <w:p w14:paraId="4B9A2AE7"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8"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AEE" w14:textId="77777777" w:rsidR="002A3970" w:rsidRDefault="002A3970">
            <w:pPr>
              <w:rPr>
                <w:rFonts w:ascii="宋体"/>
              </w:rPr>
            </w:pPr>
          </w:p>
        </w:tc>
      </w:tr>
      <w:tr w:rsidR="002A3970" w14:paraId="4B9A2AFD" w14:textId="77777777">
        <w:trPr>
          <w:jc w:val="center"/>
        </w:trPr>
        <w:tc>
          <w:tcPr>
            <w:tcW w:w="0" w:type="auto"/>
            <w:gridSpan w:val="3"/>
            <w:shd w:val="clear" w:color="auto" w:fill="CCEEFF"/>
            <w:tcMar>
              <w:top w:w="40" w:type="dxa"/>
              <w:left w:w="380" w:type="dxa"/>
              <w:bottom w:w="40" w:type="dxa"/>
              <w:right w:w="20" w:type="dxa"/>
            </w:tcMar>
            <w:vAlign w:val="center"/>
          </w:tcPr>
          <w:p w14:paraId="4B9A2AF0" w14:textId="77777777" w:rsidR="002A3970" w:rsidRDefault="00C35E63">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vAlign w:val="bottom"/>
          </w:tcPr>
          <w:p w14:paraId="4B9A2AF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AF2" w14:textId="77777777" w:rsidR="002A3970" w:rsidRDefault="00C35E63">
            <w:pPr>
              <w:jc w:val="right"/>
              <w:textAlignment w:val="center"/>
            </w:pPr>
            <w:r>
              <w:rPr>
                <w:rFonts w:ascii="Times New Roman" w:eastAsia="宋体" w:hAnsi="Times New Roman"/>
                <w:color w:val="000000"/>
                <w:sz w:val="16"/>
                <w:szCs w:val="16"/>
              </w:rPr>
              <w:t>499 </w:t>
            </w:r>
          </w:p>
        </w:tc>
        <w:tc>
          <w:tcPr>
            <w:tcW w:w="0" w:type="auto"/>
            <w:shd w:val="clear" w:color="auto" w:fill="CCEEFF"/>
            <w:tcMar>
              <w:top w:w="40" w:type="dxa"/>
              <w:left w:w="0" w:type="dxa"/>
              <w:bottom w:w="40" w:type="dxa"/>
              <w:right w:w="20" w:type="dxa"/>
            </w:tcMar>
            <w:vAlign w:val="center"/>
          </w:tcPr>
          <w:p w14:paraId="4B9A2AF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F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AF5" w14:textId="77777777" w:rsidR="002A3970" w:rsidRDefault="00C35E63">
            <w:pPr>
              <w:jc w:val="right"/>
              <w:textAlignment w:val="center"/>
            </w:pPr>
            <w:r>
              <w:rPr>
                <w:rFonts w:ascii="Times New Roman" w:eastAsia="宋体" w:hAnsi="Times New Roman"/>
                <w:color w:val="000000"/>
                <w:sz w:val="16"/>
                <w:szCs w:val="16"/>
              </w:rPr>
              <w:t>408 </w:t>
            </w:r>
          </w:p>
        </w:tc>
        <w:tc>
          <w:tcPr>
            <w:tcW w:w="0" w:type="auto"/>
            <w:shd w:val="clear" w:color="auto" w:fill="CCEEFF"/>
            <w:tcMar>
              <w:top w:w="40" w:type="dxa"/>
              <w:left w:w="0" w:type="dxa"/>
              <w:bottom w:w="40" w:type="dxa"/>
              <w:right w:w="20" w:type="dxa"/>
            </w:tcMar>
            <w:vAlign w:val="center"/>
          </w:tcPr>
          <w:p w14:paraId="4B9A2AF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F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2AF8" w14:textId="77777777" w:rsidR="002A3970" w:rsidRDefault="00C35E63">
            <w:pPr>
              <w:jc w:val="right"/>
              <w:textAlignment w:val="bottom"/>
            </w:pPr>
            <w:r>
              <w:rPr>
                <w:rFonts w:ascii="Times New Roman" w:eastAsia="宋体" w:hAnsi="Times New Roman"/>
                <w:color w:val="000000"/>
                <w:sz w:val="16"/>
                <w:szCs w:val="16"/>
              </w:rPr>
              <w:t>1,266 </w:t>
            </w:r>
          </w:p>
        </w:tc>
        <w:tc>
          <w:tcPr>
            <w:tcW w:w="0" w:type="auto"/>
            <w:shd w:val="clear" w:color="auto" w:fill="CCEEFF"/>
            <w:tcMar>
              <w:top w:w="40" w:type="dxa"/>
              <w:left w:w="0" w:type="dxa"/>
              <w:bottom w:w="40" w:type="dxa"/>
              <w:right w:w="20" w:type="dxa"/>
            </w:tcMar>
            <w:vAlign w:val="bottom"/>
          </w:tcPr>
          <w:p w14:paraId="4B9A2AF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AF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2AFB" w14:textId="77777777" w:rsidR="002A3970" w:rsidRDefault="00C35E63">
            <w:pPr>
              <w:jc w:val="right"/>
              <w:textAlignment w:val="bottom"/>
            </w:pPr>
            <w:r>
              <w:rPr>
                <w:rFonts w:ascii="Times New Roman" w:eastAsia="宋体" w:hAnsi="Times New Roman"/>
                <w:color w:val="000000"/>
                <w:sz w:val="16"/>
                <w:szCs w:val="16"/>
              </w:rPr>
              <w:t>1,326 </w:t>
            </w:r>
          </w:p>
        </w:tc>
        <w:tc>
          <w:tcPr>
            <w:tcW w:w="0" w:type="auto"/>
            <w:shd w:val="clear" w:color="auto" w:fill="CCEEFF"/>
            <w:tcMar>
              <w:top w:w="40" w:type="dxa"/>
              <w:left w:w="0" w:type="dxa"/>
              <w:bottom w:w="40" w:type="dxa"/>
              <w:right w:w="20" w:type="dxa"/>
            </w:tcMar>
            <w:vAlign w:val="bottom"/>
          </w:tcPr>
          <w:p w14:paraId="4B9A2AFC" w14:textId="77777777" w:rsidR="002A3970" w:rsidRDefault="002A3970">
            <w:pPr>
              <w:jc w:val="right"/>
              <w:rPr>
                <w:rFonts w:ascii="宋体"/>
              </w:rPr>
            </w:pPr>
          </w:p>
        </w:tc>
      </w:tr>
      <w:tr w:rsidR="002A3970" w14:paraId="4B9A2B0B" w14:textId="77777777">
        <w:trPr>
          <w:jc w:val="center"/>
        </w:trPr>
        <w:tc>
          <w:tcPr>
            <w:tcW w:w="0" w:type="auto"/>
            <w:gridSpan w:val="3"/>
            <w:shd w:val="clear" w:color="auto" w:fill="FFFFFF"/>
            <w:tcMar>
              <w:top w:w="40" w:type="dxa"/>
              <w:left w:w="380" w:type="dxa"/>
              <w:bottom w:w="40" w:type="dxa"/>
              <w:right w:w="20" w:type="dxa"/>
            </w:tcMar>
            <w:vAlign w:val="center"/>
          </w:tcPr>
          <w:p w14:paraId="4B9A2AFE" w14:textId="77777777" w:rsidR="002A3970" w:rsidRDefault="00C35E63">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vAlign w:val="bottom"/>
          </w:tcPr>
          <w:p w14:paraId="4B9A2AF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00" w14:textId="77777777" w:rsidR="002A3970" w:rsidRDefault="00C35E63">
            <w:pPr>
              <w:jc w:val="right"/>
              <w:textAlignment w:val="center"/>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center"/>
          </w:tcPr>
          <w:p w14:paraId="4B9A2B0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0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03" w14:textId="77777777" w:rsidR="002A3970" w:rsidRDefault="00C35E63">
            <w:pPr>
              <w:jc w:val="right"/>
              <w:textAlignment w:val="center"/>
            </w:pPr>
            <w:r>
              <w:rPr>
                <w:rFonts w:ascii="Times New Roman" w:eastAsia="宋体" w:hAnsi="Times New Roman"/>
                <w:color w:val="000000"/>
                <w:sz w:val="16"/>
                <w:szCs w:val="16"/>
              </w:rPr>
              <w:t>78 </w:t>
            </w:r>
          </w:p>
        </w:tc>
        <w:tc>
          <w:tcPr>
            <w:tcW w:w="0" w:type="auto"/>
            <w:shd w:val="clear" w:color="auto" w:fill="FFFFFF"/>
            <w:tcMar>
              <w:top w:w="40" w:type="dxa"/>
              <w:left w:w="0" w:type="dxa"/>
              <w:bottom w:w="40" w:type="dxa"/>
              <w:right w:w="20" w:type="dxa"/>
            </w:tcMar>
            <w:vAlign w:val="center"/>
          </w:tcPr>
          <w:p w14:paraId="4B9A2B0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0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06" w14:textId="77777777" w:rsidR="002A3970" w:rsidRDefault="00C35E63">
            <w:pPr>
              <w:jc w:val="right"/>
              <w:textAlignment w:val="bottom"/>
            </w:pPr>
            <w:r>
              <w:rPr>
                <w:rFonts w:ascii="Times New Roman" w:eastAsia="宋体" w:hAnsi="Times New Roman"/>
                <w:color w:val="000000"/>
                <w:sz w:val="16"/>
                <w:szCs w:val="16"/>
              </w:rPr>
              <w:t>252 </w:t>
            </w:r>
          </w:p>
        </w:tc>
        <w:tc>
          <w:tcPr>
            <w:tcW w:w="0" w:type="auto"/>
            <w:shd w:val="clear" w:color="auto" w:fill="FFFFFF"/>
            <w:tcMar>
              <w:top w:w="40" w:type="dxa"/>
              <w:left w:w="0" w:type="dxa"/>
              <w:bottom w:w="40" w:type="dxa"/>
              <w:right w:w="20" w:type="dxa"/>
            </w:tcMar>
            <w:vAlign w:val="bottom"/>
          </w:tcPr>
          <w:p w14:paraId="4B9A2B0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0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09" w14:textId="77777777" w:rsidR="002A3970" w:rsidRDefault="00C35E63">
            <w:pPr>
              <w:jc w:val="right"/>
              <w:textAlignment w:val="bottom"/>
            </w:pPr>
            <w:r>
              <w:rPr>
                <w:rFonts w:ascii="Times New Roman" w:eastAsia="宋体" w:hAnsi="Times New Roman"/>
                <w:color w:val="000000"/>
                <w:sz w:val="16"/>
                <w:szCs w:val="16"/>
              </w:rPr>
              <w:t>241 </w:t>
            </w:r>
          </w:p>
        </w:tc>
        <w:tc>
          <w:tcPr>
            <w:tcW w:w="0" w:type="auto"/>
            <w:shd w:val="clear" w:color="auto" w:fill="FFFFFF"/>
            <w:tcMar>
              <w:top w:w="40" w:type="dxa"/>
              <w:left w:w="0" w:type="dxa"/>
              <w:bottom w:w="40" w:type="dxa"/>
              <w:right w:w="20" w:type="dxa"/>
            </w:tcMar>
            <w:vAlign w:val="bottom"/>
          </w:tcPr>
          <w:p w14:paraId="4B9A2B0A" w14:textId="77777777" w:rsidR="002A3970" w:rsidRDefault="002A3970">
            <w:pPr>
              <w:jc w:val="right"/>
              <w:rPr>
                <w:rFonts w:ascii="宋体"/>
              </w:rPr>
            </w:pPr>
          </w:p>
        </w:tc>
      </w:tr>
      <w:tr w:rsidR="002A3970" w14:paraId="4B9A2B19" w14:textId="77777777">
        <w:trPr>
          <w:jc w:val="center"/>
        </w:trPr>
        <w:tc>
          <w:tcPr>
            <w:tcW w:w="0" w:type="auto"/>
            <w:gridSpan w:val="3"/>
            <w:shd w:val="clear" w:color="auto" w:fill="CCEEFF"/>
            <w:tcMar>
              <w:top w:w="40" w:type="dxa"/>
              <w:left w:w="380" w:type="dxa"/>
              <w:bottom w:w="40" w:type="dxa"/>
              <w:right w:w="20" w:type="dxa"/>
            </w:tcMar>
            <w:vAlign w:val="center"/>
          </w:tcPr>
          <w:p w14:paraId="4B9A2B0C" w14:textId="77777777" w:rsidR="002A3970" w:rsidRDefault="00C35E63">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vAlign w:val="bottom"/>
          </w:tcPr>
          <w:p w14:paraId="4B9A2B0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B0E" w14:textId="77777777" w:rsidR="002A3970" w:rsidRDefault="00C35E63">
            <w:pPr>
              <w:jc w:val="right"/>
              <w:textAlignment w:val="center"/>
            </w:pPr>
            <w:r>
              <w:rPr>
                <w:rFonts w:ascii="Times New Roman" w:eastAsia="宋体" w:hAnsi="Times New Roman"/>
                <w:color w:val="000000"/>
                <w:sz w:val="16"/>
                <w:szCs w:val="16"/>
              </w:rPr>
              <w:t>(84)</w:t>
            </w:r>
          </w:p>
        </w:tc>
        <w:tc>
          <w:tcPr>
            <w:tcW w:w="0" w:type="auto"/>
            <w:shd w:val="clear" w:color="auto" w:fill="CCEEFF"/>
            <w:tcMar>
              <w:top w:w="40" w:type="dxa"/>
              <w:left w:w="0" w:type="dxa"/>
              <w:bottom w:w="40" w:type="dxa"/>
              <w:right w:w="20" w:type="dxa"/>
            </w:tcMar>
            <w:vAlign w:val="center"/>
          </w:tcPr>
          <w:p w14:paraId="4B9A2B0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1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B11" w14:textId="77777777" w:rsidR="002A3970" w:rsidRDefault="00C35E63">
            <w:pPr>
              <w:jc w:val="right"/>
              <w:textAlignment w:val="center"/>
            </w:pPr>
            <w:r>
              <w:rPr>
                <w:rFonts w:ascii="Times New Roman" w:eastAsia="宋体" w:hAnsi="Times New Roman"/>
                <w:color w:val="000000"/>
                <w:sz w:val="16"/>
                <w:szCs w:val="16"/>
              </w:rPr>
              <w:t>(44)</w:t>
            </w:r>
          </w:p>
        </w:tc>
        <w:tc>
          <w:tcPr>
            <w:tcW w:w="0" w:type="auto"/>
            <w:shd w:val="clear" w:color="auto" w:fill="CCEEFF"/>
            <w:tcMar>
              <w:top w:w="40" w:type="dxa"/>
              <w:left w:w="0" w:type="dxa"/>
              <w:bottom w:w="40" w:type="dxa"/>
              <w:right w:w="20" w:type="dxa"/>
            </w:tcMar>
            <w:vAlign w:val="center"/>
          </w:tcPr>
          <w:p w14:paraId="4B9A2B1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1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2B14" w14:textId="77777777" w:rsidR="002A3970" w:rsidRDefault="00C35E63">
            <w:pPr>
              <w:jc w:val="right"/>
              <w:textAlignment w:val="bottom"/>
            </w:pPr>
            <w:r>
              <w:rPr>
                <w:rFonts w:ascii="Times New Roman" w:eastAsia="宋体" w:hAnsi="Times New Roman"/>
                <w:color w:val="000000"/>
                <w:sz w:val="16"/>
                <w:szCs w:val="16"/>
              </w:rPr>
              <w:t>(151)</w:t>
            </w:r>
          </w:p>
        </w:tc>
        <w:tc>
          <w:tcPr>
            <w:tcW w:w="0" w:type="auto"/>
            <w:shd w:val="clear" w:color="auto" w:fill="CCEEFF"/>
            <w:tcMar>
              <w:top w:w="40" w:type="dxa"/>
              <w:left w:w="0" w:type="dxa"/>
              <w:bottom w:w="40" w:type="dxa"/>
              <w:right w:w="20" w:type="dxa"/>
            </w:tcMar>
            <w:vAlign w:val="bottom"/>
          </w:tcPr>
          <w:p w14:paraId="4B9A2B1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1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2B17" w14:textId="77777777" w:rsidR="002A3970" w:rsidRDefault="00C35E63">
            <w:pPr>
              <w:jc w:val="right"/>
              <w:textAlignment w:val="bottom"/>
            </w:pPr>
            <w:r>
              <w:rPr>
                <w:rFonts w:ascii="Times New Roman" w:eastAsia="宋体" w:hAnsi="Times New Roman"/>
                <w:color w:val="000000"/>
                <w:sz w:val="16"/>
                <w:szCs w:val="16"/>
              </w:rPr>
              <w:t>(111)</w:t>
            </w:r>
          </w:p>
        </w:tc>
        <w:tc>
          <w:tcPr>
            <w:tcW w:w="0" w:type="auto"/>
            <w:shd w:val="clear" w:color="auto" w:fill="CCEEFF"/>
            <w:tcMar>
              <w:top w:w="40" w:type="dxa"/>
              <w:left w:w="0" w:type="dxa"/>
              <w:bottom w:w="40" w:type="dxa"/>
              <w:right w:w="20" w:type="dxa"/>
            </w:tcMar>
            <w:vAlign w:val="bottom"/>
          </w:tcPr>
          <w:p w14:paraId="4B9A2B18" w14:textId="77777777" w:rsidR="002A3970" w:rsidRDefault="002A3970">
            <w:pPr>
              <w:jc w:val="right"/>
              <w:rPr>
                <w:rFonts w:ascii="宋体"/>
              </w:rPr>
            </w:pPr>
          </w:p>
        </w:tc>
      </w:tr>
      <w:tr w:rsidR="002A3970" w14:paraId="4B9A2B27" w14:textId="77777777">
        <w:trPr>
          <w:jc w:val="center"/>
        </w:trPr>
        <w:tc>
          <w:tcPr>
            <w:tcW w:w="0" w:type="auto"/>
            <w:gridSpan w:val="3"/>
            <w:shd w:val="clear" w:color="auto" w:fill="FFFFFF"/>
            <w:tcMar>
              <w:top w:w="40" w:type="dxa"/>
              <w:left w:w="605" w:type="dxa"/>
              <w:bottom w:w="40" w:type="dxa"/>
              <w:right w:w="20" w:type="dxa"/>
            </w:tcMar>
            <w:vAlign w:val="center"/>
          </w:tcPr>
          <w:p w14:paraId="4B9A2B1A" w14:textId="77777777" w:rsidR="002A3970" w:rsidRDefault="00C35E63">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4B9A2B1B"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B1C" w14:textId="77777777" w:rsidR="002A3970" w:rsidRDefault="00C35E63">
            <w:pPr>
              <w:jc w:val="right"/>
              <w:textAlignment w:val="center"/>
            </w:pPr>
            <w:r>
              <w:rPr>
                <w:rFonts w:ascii="Times New Roman" w:eastAsia="宋体" w:hAnsi="Times New Roman"/>
                <w:color w:val="000000"/>
                <w:sz w:val="16"/>
                <w:szCs w:val="16"/>
              </w:rPr>
              <w:t>500 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B1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1E"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B1F" w14:textId="77777777" w:rsidR="002A3970" w:rsidRDefault="00C35E63">
            <w:pPr>
              <w:jc w:val="right"/>
              <w:textAlignment w:val="center"/>
            </w:pPr>
            <w:r>
              <w:rPr>
                <w:rFonts w:ascii="Times New Roman" w:eastAsia="宋体" w:hAnsi="Times New Roman"/>
                <w:color w:val="000000"/>
                <w:sz w:val="16"/>
                <w:szCs w:val="16"/>
              </w:rPr>
              <w:t>442 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B2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21"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B22" w14:textId="77777777" w:rsidR="002A3970" w:rsidRDefault="00C35E63">
            <w:pPr>
              <w:jc w:val="right"/>
              <w:textAlignment w:val="center"/>
            </w:pPr>
            <w:r>
              <w:rPr>
                <w:rFonts w:ascii="Times New Roman" w:eastAsia="宋体" w:hAnsi="Times New Roman"/>
                <w:color w:val="000000"/>
                <w:sz w:val="16"/>
                <w:szCs w:val="16"/>
              </w:rPr>
              <w:t>1,367 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B2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24"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B25" w14:textId="77777777" w:rsidR="002A3970" w:rsidRDefault="00C35E63">
            <w:pPr>
              <w:jc w:val="right"/>
              <w:textAlignment w:val="center"/>
            </w:pPr>
            <w:r>
              <w:rPr>
                <w:rFonts w:ascii="Times New Roman" w:eastAsia="宋体" w:hAnsi="Times New Roman"/>
                <w:color w:val="000000"/>
                <w:sz w:val="16"/>
                <w:szCs w:val="16"/>
              </w:rPr>
              <w:t>1,456 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B26" w14:textId="77777777" w:rsidR="002A3970" w:rsidRDefault="002A3970">
            <w:pPr>
              <w:jc w:val="right"/>
              <w:rPr>
                <w:rFonts w:ascii="宋体"/>
              </w:rPr>
            </w:pPr>
          </w:p>
        </w:tc>
      </w:tr>
      <w:tr w:rsidR="002A3970" w14:paraId="4B9A2B35" w14:textId="77777777">
        <w:trPr>
          <w:jc w:val="center"/>
        </w:trPr>
        <w:tc>
          <w:tcPr>
            <w:tcW w:w="0" w:type="auto"/>
            <w:gridSpan w:val="3"/>
            <w:shd w:val="clear" w:color="auto" w:fill="CCEEFF"/>
            <w:tcMar>
              <w:top w:w="40" w:type="dxa"/>
              <w:left w:w="20" w:type="dxa"/>
              <w:bottom w:w="40" w:type="dxa"/>
              <w:right w:w="20" w:type="dxa"/>
            </w:tcMar>
            <w:vAlign w:val="bottom"/>
          </w:tcPr>
          <w:p w14:paraId="4B9A2B28" w14:textId="77777777" w:rsidR="002A3970" w:rsidRDefault="00C35E63">
            <w:pPr>
              <w:textAlignment w:val="bottom"/>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4B9A2B2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B2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B2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2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B2D" w14:textId="77777777" w:rsidR="002A3970" w:rsidRDefault="00C35E63">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4B9A2B2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2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B3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B3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3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B33" w14:textId="77777777" w:rsidR="002A3970" w:rsidRDefault="00C35E63">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4B9A2B34" w14:textId="77777777" w:rsidR="002A3970" w:rsidRDefault="002A3970">
            <w:pPr>
              <w:jc w:val="right"/>
              <w:rPr>
                <w:rFonts w:ascii="宋体"/>
              </w:rPr>
            </w:pPr>
          </w:p>
        </w:tc>
      </w:tr>
      <w:tr w:rsidR="002A3970" w14:paraId="4B9A2B43" w14:textId="77777777">
        <w:trPr>
          <w:jc w:val="center"/>
        </w:trPr>
        <w:tc>
          <w:tcPr>
            <w:tcW w:w="0" w:type="auto"/>
            <w:gridSpan w:val="3"/>
            <w:shd w:val="clear" w:color="auto" w:fill="FFFFFF"/>
            <w:tcMar>
              <w:top w:w="40" w:type="dxa"/>
              <w:left w:w="20" w:type="dxa"/>
              <w:bottom w:w="40" w:type="dxa"/>
              <w:right w:w="20" w:type="dxa"/>
            </w:tcMar>
            <w:vAlign w:val="center"/>
          </w:tcPr>
          <w:p w14:paraId="4B9A2B36" w14:textId="77777777" w:rsidR="002A3970" w:rsidRDefault="00C35E63">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4B9A2B3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38" w14:textId="77777777" w:rsidR="002A3970" w:rsidRDefault="00C35E63">
            <w:pPr>
              <w:jc w:val="right"/>
              <w:textAlignment w:val="center"/>
            </w:pPr>
            <w:r>
              <w:rPr>
                <w:rFonts w:ascii="Times New Roman" w:eastAsia="宋体" w:hAnsi="Times New Roman"/>
                <w:color w:val="000000"/>
                <w:sz w:val="16"/>
                <w:szCs w:val="16"/>
              </w:rPr>
              <w:t>3,626 </w:t>
            </w:r>
          </w:p>
        </w:tc>
        <w:tc>
          <w:tcPr>
            <w:tcW w:w="0" w:type="auto"/>
            <w:shd w:val="clear" w:color="auto" w:fill="FFFFFF"/>
            <w:tcMar>
              <w:top w:w="40" w:type="dxa"/>
              <w:left w:w="0" w:type="dxa"/>
              <w:bottom w:w="40" w:type="dxa"/>
              <w:right w:w="20" w:type="dxa"/>
            </w:tcMar>
            <w:vAlign w:val="center"/>
          </w:tcPr>
          <w:p w14:paraId="4B9A2B3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3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3B" w14:textId="77777777" w:rsidR="002A3970" w:rsidRDefault="00C35E63">
            <w:pPr>
              <w:jc w:val="right"/>
              <w:textAlignment w:val="center"/>
            </w:pPr>
            <w:r>
              <w:rPr>
                <w:rFonts w:ascii="Times New Roman" w:eastAsia="宋体" w:hAnsi="Times New Roman"/>
                <w:color w:val="000000"/>
                <w:sz w:val="16"/>
                <w:szCs w:val="16"/>
              </w:rPr>
              <w:t>(1,207)</w:t>
            </w:r>
          </w:p>
        </w:tc>
        <w:tc>
          <w:tcPr>
            <w:tcW w:w="0" w:type="auto"/>
            <w:shd w:val="clear" w:color="auto" w:fill="FFFFFF"/>
            <w:tcMar>
              <w:top w:w="40" w:type="dxa"/>
              <w:left w:w="0" w:type="dxa"/>
              <w:bottom w:w="40" w:type="dxa"/>
              <w:right w:w="20" w:type="dxa"/>
            </w:tcMar>
            <w:vAlign w:val="center"/>
          </w:tcPr>
          <w:p w14:paraId="4B9A2B3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3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3E" w14:textId="77777777" w:rsidR="002A3970" w:rsidRDefault="00C35E63">
            <w:pPr>
              <w:jc w:val="right"/>
              <w:textAlignment w:val="bottom"/>
            </w:pPr>
            <w:r>
              <w:rPr>
                <w:rFonts w:ascii="Times New Roman" w:eastAsia="宋体" w:hAnsi="Times New Roman"/>
                <w:color w:val="000000"/>
                <w:sz w:val="16"/>
                <w:szCs w:val="16"/>
              </w:rPr>
              <w:t>5,386 </w:t>
            </w:r>
          </w:p>
        </w:tc>
        <w:tc>
          <w:tcPr>
            <w:tcW w:w="0" w:type="auto"/>
            <w:shd w:val="clear" w:color="auto" w:fill="FFFFFF"/>
            <w:tcMar>
              <w:top w:w="40" w:type="dxa"/>
              <w:left w:w="0" w:type="dxa"/>
              <w:bottom w:w="40" w:type="dxa"/>
              <w:right w:w="20" w:type="dxa"/>
            </w:tcMar>
            <w:vAlign w:val="bottom"/>
          </w:tcPr>
          <w:p w14:paraId="4B9A2B3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4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41" w14:textId="77777777" w:rsidR="002A3970" w:rsidRDefault="00C35E63">
            <w:pPr>
              <w:jc w:val="right"/>
              <w:textAlignment w:val="bottom"/>
            </w:pPr>
            <w:r>
              <w:rPr>
                <w:rFonts w:ascii="Times New Roman" w:eastAsia="宋体" w:hAnsi="Times New Roman"/>
                <w:color w:val="000000"/>
                <w:sz w:val="16"/>
                <w:szCs w:val="16"/>
              </w:rPr>
              <w:t>2,275 </w:t>
            </w:r>
          </w:p>
        </w:tc>
        <w:tc>
          <w:tcPr>
            <w:tcW w:w="0" w:type="auto"/>
            <w:shd w:val="clear" w:color="auto" w:fill="FFFFFF"/>
            <w:tcMar>
              <w:top w:w="40" w:type="dxa"/>
              <w:left w:w="0" w:type="dxa"/>
              <w:bottom w:w="40" w:type="dxa"/>
              <w:right w:w="20" w:type="dxa"/>
            </w:tcMar>
            <w:vAlign w:val="bottom"/>
          </w:tcPr>
          <w:p w14:paraId="4B9A2B42" w14:textId="77777777" w:rsidR="002A3970" w:rsidRDefault="002A3970">
            <w:pPr>
              <w:jc w:val="right"/>
              <w:rPr>
                <w:rFonts w:ascii="宋体"/>
              </w:rPr>
            </w:pPr>
          </w:p>
        </w:tc>
      </w:tr>
      <w:tr w:rsidR="002A3970" w14:paraId="4B9A2B51" w14:textId="77777777">
        <w:trPr>
          <w:jc w:val="center"/>
        </w:trPr>
        <w:tc>
          <w:tcPr>
            <w:tcW w:w="0" w:type="auto"/>
            <w:gridSpan w:val="3"/>
            <w:shd w:val="clear" w:color="auto" w:fill="CCEEFF"/>
            <w:tcMar>
              <w:top w:w="40" w:type="dxa"/>
              <w:left w:w="20" w:type="dxa"/>
              <w:bottom w:w="40" w:type="dxa"/>
              <w:right w:w="20" w:type="dxa"/>
            </w:tcMar>
            <w:vAlign w:val="center"/>
          </w:tcPr>
          <w:p w14:paraId="4B9A2B44" w14:textId="77777777" w:rsidR="002A3970" w:rsidRDefault="00C35E63">
            <w:pPr>
              <w:textAlignment w:val="center"/>
            </w:pPr>
            <w:r>
              <w:rPr>
                <w:rFonts w:ascii="Times New Roman" w:eastAsia="宋体" w:hAnsi="Times New Roman"/>
                <w:b/>
                <w:bCs/>
                <w:color w:val="000000"/>
                <w:sz w:val="16"/>
                <w:szCs w:val="16"/>
              </w:rPr>
              <w:t>Income (loss) before income taxes</w:t>
            </w:r>
          </w:p>
        </w:tc>
        <w:tc>
          <w:tcPr>
            <w:tcW w:w="0" w:type="auto"/>
            <w:gridSpan w:val="3"/>
            <w:shd w:val="clear" w:color="auto" w:fill="CCEEFF"/>
            <w:tcMar>
              <w:top w:w="0" w:type="dxa"/>
              <w:left w:w="20" w:type="dxa"/>
              <w:bottom w:w="0" w:type="dxa"/>
              <w:right w:w="20" w:type="dxa"/>
            </w:tcMar>
            <w:vAlign w:val="bottom"/>
          </w:tcPr>
          <w:p w14:paraId="4B9A2B4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B46" w14:textId="77777777" w:rsidR="002A3970" w:rsidRDefault="00C35E63">
            <w:pPr>
              <w:jc w:val="right"/>
              <w:textAlignment w:val="center"/>
            </w:pPr>
            <w:r>
              <w:rPr>
                <w:rFonts w:ascii="Times New Roman" w:eastAsia="宋体" w:hAnsi="Times New Roman"/>
                <w:color w:val="000000"/>
                <w:sz w:val="16"/>
                <w:szCs w:val="16"/>
              </w:rPr>
              <w:t>(1,431)</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4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4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B49" w14:textId="77777777" w:rsidR="002A3970" w:rsidRDefault="00C35E63">
            <w:pPr>
              <w:jc w:val="right"/>
              <w:textAlignment w:val="center"/>
            </w:pPr>
            <w:r>
              <w:rPr>
                <w:rFonts w:ascii="Times New Roman" w:eastAsia="宋体" w:hAnsi="Times New Roman"/>
                <w:color w:val="000000"/>
                <w:sz w:val="16"/>
                <w:szCs w:val="16"/>
              </w:rPr>
              <w:t>4,147 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4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4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B9A2B4C" w14:textId="77777777" w:rsidR="002A3970" w:rsidRDefault="00C35E63">
            <w:pPr>
              <w:jc w:val="right"/>
              <w:textAlignment w:val="bottom"/>
            </w:pPr>
            <w:r>
              <w:rPr>
                <w:rFonts w:ascii="Times New Roman" w:eastAsia="宋体" w:hAnsi="Times New Roman"/>
                <w:color w:val="000000"/>
                <w:sz w:val="16"/>
                <w:szCs w:val="16"/>
              </w:rPr>
              <w:t>8,114 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2B4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4E"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B9A2B4F" w14:textId="77777777" w:rsidR="002A3970" w:rsidRDefault="00C35E63">
            <w:pPr>
              <w:jc w:val="right"/>
              <w:textAlignment w:val="bottom"/>
            </w:pPr>
            <w:r>
              <w:rPr>
                <w:rFonts w:ascii="Times New Roman" w:eastAsia="宋体" w:hAnsi="Times New Roman"/>
                <w:color w:val="000000"/>
                <w:sz w:val="16"/>
                <w:szCs w:val="16"/>
              </w:rPr>
              <w:t>13,914 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2B50" w14:textId="77777777" w:rsidR="002A3970" w:rsidRDefault="002A3970">
            <w:pPr>
              <w:jc w:val="right"/>
              <w:rPr>
                <w:rFonts w:ascii="宋体"/>
              </w:rPr>
            </w:pPr>
          </w:p>
        </w:tc>
      </w:tr>
      <w:tr w:rsidR="002A3970" w14:paraId="4B9A2B5F" w14:textId="77777777">
        <w:trPr>
          <w:jc w:val="center"/>
        </w:trPr>
        <w:tc>
          <w:tcPr>
            <w:tcW w:w="0" w:type="auto"/>
            <w:gridSpan w:val="3"/>
            <w:shd w:val="clear" w:color="auto" w:fill="FFFFFF"/>
            <w:tcMar>
              <w:top w:w="40" w:type="dxa"/>
              <w:left w:w="20" w:type="dxa"/>
              <w:bottom w:w="40" w:type="dxa"/>
              <w:right w:w="20" w:type="dxa"/>
            </w:tcMar>
            <w:vAlign w:val="center"/>
          </w:tcPr>
          <w:p w14:paraId="4B9A2B52" w14:textId="77777777" w:rsidR="002A3970" w:rsidRDefault="00C35E63">
            <w:pPr>
              <w:textAlignment w:val="center"/>
            </w:pPr>
            <w:r>
              <w:rPr>
                <w:rFonts w:ascii="Times New Roman" w:eastAsia="宋体" w:hAnsi="Times New Roman"/>
                <w:color w:val="000000"/>
                <w:sz w:val="16"/>
                <w:szCs w:val="16"/>
              </w:rPr>
              <w:t>Provision for income taxes</w:t>
            </w:r>
          </w:p>
        </w:tc>
        <w:tc>
          <w:tcPr>
            <w:tcW w:w="0" w:type="auto"/>
            <w:gridSpan w:val="3"/>
            <w:shd w:val="clear" w:color="auto" w:fill="FFFFFF"/>
            <w:tcMar>
              <w:top w:w="0" w:type="dxa"/>
              <w:left w:w="20" w:type="dxa"/>
              <w:bottom w:w="0" w:type="dxa"/>
              <w:right w:w="20" w:type="dxa"/>
            </w:tcMar>
            <w:vAlign w:val="bottom"/>
          </w:tcPr>
          <w:p w14:paraId="4B9A2B5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54" w14:textId="77777777" w:rsidR="002A3970" w:rsidRDefault="00C35E63">
            <w:pPr>
              <w:jc w:val="right"/>
              <w:textAlignment w:val="center"/>
            </w:pPr>
            <w:r>
              <w:rPr>
                <w:rFonts w:ascii="Times New Roman" w:eastAsia="宋体" w:hAnsi="Times New Roman"/>
                <w:color w:val="000000"/>
                <w:sz w:val="16"/>
                <w:szCs w:val="16"/>
              </w:rPr>
              <w:t>336 </w:t>
            </w:r>
          </w:p>
        </w:tc>
        <w:tc>
          <w:tcPr>
            <w:tcW w:w="0" w:type="auto"/>
            <w:shd w:val="clear" w:color="auto" w:fill="FFFFFF"/>
            <w:tcMar>
              <w:top w:w="40" w:type="dxa"/>
              <w:left w:w="0" w:type="dxa"/>
              <w:bottom w:w="40" w:type="dxa"/>
              <w:right w:w="20" w:type="dxa"/>
            </w:tcMar>
            <w:vAlign w:val="center"/>
          </w:tcPr>
          <w:p w14:paraId="4B9A2B5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5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57" w14:textId="77777777" w:rsidR="002A3970" w:rsidRDefault="00C35E63">
            <w:pPr>
              <w:jc w:val="right"/>
              <w:textAlignment w:val="center"/>
            </w:pPr>
            <w:r>
              <w:rPr>
                <w:rFonts w:ascii="Times New Roman" w:eastAsia="宋体" w:hAnsi="Times New Roman"/>
                <w:color w:val="000000"/>
                <w:sz w:val="16"/>
                <w:szCs w:val="16"/>
              </w:rPr>
              <w:t>1,015 </w:t>
            </w:r>
          </w:p>
        </w:tc>
        <w:tc>
          <w:tcPr>
            <w:tcW w:w="0" w:type="auto"/>
            <w:shd w:val="clear" w:color="auto" w:fill="FFFFFF"/>
            <w:tcMar>
              <w:top w:w="40" w:type="dxa"/>
              <w:left w:w="0" w:type="dxa"/>
              <w:bottom w:w="40" w:type="dxa"/>
              <w:right w:w="20" w:type="dxa"/>
            </w:tcMar>
            <w:vAlign w:val="center"/>
          </w:tcPr>
          <w:p w14:paraId="4B9A2B5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5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5A" w14:textId="77777777" w:rsidR="002A3970" w:rsidRDefault="00C35E63">
            <w:pPr>
              <w:jc w:val="right"/>
              <w:textAlignment w:val="bottom"/>
            </w:pPr>
            <w:r>
              <w:rPr>
                <w:rFonts w:ascii="Times New Roman" w:eastAsia="宋体" w:hAnsi="Times New Roman"/>
                <w:color w:val="000000"/>
                <w:sz w:val="16"/>
                <w:szCs w:val="16"/>
              </w:rPr>
              <w:t>2,631 </w:t>
            </w:r>
          </w:p>
        </w:tc>
        <w:tc>
          <w:tcPr>
            <w:tcW w:w="0" w:type="auto"/>
            <w:shd w:val="clear" w:color="auto" w:fill="FFFFFF"/>
            <w:tcMar>
              <w:top w:w="40" w:type="dxa"/>
              <w:left w:w="0" w:type="dxa"/>
              <w:bottom w:w="40" w:type="dxa"/>
              <w:right w:w="20" w:type="dxa"/>
            </w:tcMar>
            <w:vAlign w:val="bottom"/>
          </w:tcPr>
          <w:p w14:paraId="4B9A2B5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5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5D" w14:textId="77777777" w:rsidR="002A3970" w:rsidRDefault="00C35E63">
            <w:pPr>
              <w:jc w:val="right"/>
              <w:textAlignment w:val="bottom"/>
            </w:pPr>
            <w:r>
              <w:rPr>
                <w:rFonts w:ascii="Times New Roman" w:eastAsia="宋体" w:hAnsi="Times New Roman"/>
                <w:color w:val="000000"/>
                <w:sz w:val="16"/>
                <w:szCs w:val="16"/>
              </w:rPr>
              <w:t>3,607 </w:t>
            </w:r>
          </w:p>
        </w:tc>
        <w:tc>
          <w:tcPr>
            <w:tcW w:w="0" w:type="auto"/>
            <w:shd w:val="clear" w:color="auto" w:fill="FFFFFF"/>
            <w:tcMar>
              <w:top w:w="40" w:type="dxa"/>
              <w:left w:w="0" w:type="dxa"/>
              <w:bottom w:w="40" w:type="dxa"/>
              <w:right w:w="20" w:type="dxa"/>
            </w:tcMar>
            <w:vAlign w:val="bottom"/>
          </w:tcPr>
          <w:p w14:paraId="4B9A2B5E" w14:textId="77777777" w:rsidR="002A3970" w:rsidRDefault="002A3970">
            <w:pPr>
              <w:jc w:val="right"/>
              <w:rPr>
                <w:rFonts w:ascii="宋体"/>
              </w:rPr>
            </w:pPr>
          </w:p>
        </w:tc>
      </w:tr>
      <w:tr w:rsidR="002A3970" w14:paraId="4B9A2B69" w14:textId="77777777">
        <w:trPr>
          <w:jc w:val="center"/>
          <w:hidden/>
        </w:trPr>
        <w:tc>
          <w:tcPr>
            <w:tcW w:w="0" w:type="auto"/>
            <w:gridSpan w:val="3"/>
            <w:shd w:val="clear" w:color="auto" w:fill="auto"/>
            <w:vAlign w:val="bottom"/>
          </w:tcPr>
          <w:p w14:paraId="4B9A2B60" w14:textId="77777777" w:rsidR="002A3970" w:rsidRDefault="002A3970">
            <w:pPr>
              <w:rPr>
                <w:rFonts w:ascii="宋体"/>
                <w:vanish/>
              </w:rPr>
            </w:pPr>
          </w:p>
        </w:tc>
        <w:tc>
          <w:tcPr>
            <w:tcW w:w="0" w:type="auto"/>
            <w:gridSpan w:val="3"/>
            <w:shd w:val="clear" w:color="auto" w:fill="auto"/>
            <w:vAlign w:val="bottom"/>
          </w:tcPr>
          <w:p w14:paraId="4B9A2B61" w14:textId="77777777" w:rsidR="002A3970" w:rsidRDefault="002A3970">
            <w:pPr>
              <w:rPr>
                <w:rFonts w:ascii="宋体"/>
                <w:vanish/>
              </w:rPr>
            </w:pPr>
          </w:p>
        </w:tc>
        <w:tc>
          <w:tcPr>
            <w:tcW w:w="0" w:type="auto"/>
            <w:gridSpan w:val="3"/>
            <w:shd w:val="clear" w:color="auto" w:fill="auto"/>
            <w:vAlign w:val="bottom"/>
          </w:tcPr>
          <w:p w14:paraId="4B9A2B62" w14:textId="77777777" w:rsidR="002A3970" w:rsidRDefault="002A3970">
            <w:pPr>
              <w:rPr>
                <w:rFonts w:ascii="宋体"/>
                <w:vanish/>
              </w:rPr>
            </w:pPr>
          </w:p>
        </w:tc>
        <w:tc>
          <w:tcPr>
            <w:tcW w:w="0" w:type="auto"/>
            <w:gridSpan w:val="3"/>
            <w:shd w:val="clear" w:color="auto" w:fill="auto"/>
            <w:vAlign w:val="bottom"/>
          </w:tcPr>
          <w:p w14:paraId="4B9A2B63" w14:textId="77777777" w:rsidR="002A3970" w:rsidRDefault="002A3970">
            <w:pPr>
              <w:rPr>
                <w:rFonts w:ascii="宋体"/>
                <w:vanish/>
              </w:rPr>
            </w:pPr>
          </w:p>
        </w:tc>
        <w:tc>
          <w:tcPr>
            <w:tcW w:w="0" w:type="auto"/>
            <w:gridSpan w:val="3"/>
            <w:shd w:val="clear" w:color="auto" w:fill="auto"/>
            <w:vAlign w:val="bottom"/>
          </w:tcPr>
          <w:p w14:paraId="4B9A2B64" w14:textId="77777777" w:rsidR="002A3970" w:rsidRDefault="002A3970">
            <w:pPr>
              <w:rPr>
                <w:rFonts w:ascii="宋体"/>
                <w:vanish/>
              </w:rPr>
            </w:pPr>
          </w:p>
        </w:tc>
        <w:tc>
          <w:tcPr>
            <w:tcW w:w="0" w:type="auto"/>
            <w:gridSpan w:val="3"/>
            <w:shd w:val="clear" w:color="auto" w:fill="auto"/>
            <w:vAlign w:val="bottom"/>
          </w:tcPr>
          <w:p w14:paraId="4B9A2B65" w14:textId="77777777" w:rsidR="002A3970" w:rsidRDefault="002A3970">
            <w:pPr>
              <w:rPr>
                <w:rFonts w:ascii="宋体"/>
                <w:vanish/>
              </w:rPr>
            </w:pPr>
          </w:p>
        </w:tc>
        <w:tc>
          <w:tcPr>
            <w:tcW w:w="0" w:type="auto"/>
            <w:gridSpan w:val="3"/>
            <w:shd w:val="clear" w:color="auto" w:fill="auto"/>
            <w:vAlign w:val="bottom"/>
          </w:tcPr>
          <w:p w14:paraId="4B9A2B66" w14:textId="77777777" w:rsidR="002A3970" w:rsidRDefault="002A3970">
            <w:pPr>
              <w:rPr>
                <w:rFonts w:ascii="宋体"/>
                <w:vanish/>
              </w:rPr>
            </w:pPr>
          </w:p>
        </w:tc>
        <w:tc>
          <w:tcPr>
            <w:tcW w:w="0" w:type="auto"/>
            <w:gridSpan w:val="3"/>
            <w:shd w:val="clear" w:color="auto" w:fill="auto"/>
            <w:vAlign w:val="bottom"/>
          </w:tcPr>
          <w:p w14:paraId="4B9A2B67" w14:textId="77777777" w:rsidR="002A3970" w:rsidRDefault="002A3970">
            <w:pPr>
              <w:rPr>
                <w:rFonts w:ascii="宋体"/>
                <w:vanish/>
              </w:rPr>
            </w:pPr>
          </w:p>
        </w:tc>
        <w:tc>
          <w:tcPr>
            <w:tcW w:w="0" w:type="auto"/>
            <w:gridSpan w:val="3"/>
            <w:shd w:val="clear" w:color="auto" w:fill="auto"/>
            <w:vAlign w:val="bottom"/>
          </w:tcPr>
          <w:p w14:paraId="4B9A2B68" w14:textId="77777777" w:rsidR="002A3970" w:rsidRDefault="002A3970">
            <w:pPr>
              <w:rPr>
                <w:rFonts w:ascii="宋体"/>
                <w:vanish/>
              </w:rPr>
            </w:pPr>
          </w:p>
        </w:tc>
      </w:tr>
      <w:tr w:rsidR="002A3970" w14:paraId="4B9A2B73" w14:textId="77777777">
        <w:trPr>
          <w:jc w:val="center"/>
          <w:hidden/>
        </w:trPr>
        <w:tc>
          <w:tcPr>
            <w:tcW w:w="0" w:type="auto"/>
            <w:gridSpan w:val="3"/>
            <w:shd w:val="clear" w:color="auto" w:fill="auto"/>
            <w:vAlign w:val="bottom"/>
          </w:tcPr>
          <w:p w14:paraId="4B9A2B6A" w14:textId="77777777" w:rsidR="002A3970" w:rsidRDefault="002A3970">
            <w:pPr>
              <w:rPr>
                <w:rFonts w:ascii="宋体"/>
                <w:vanish/>
              </w:rPr>
            </w:pPr>
          </w:p>
        </w:tc>
        <w:tc>
          <w:tcPr>
            <w:tcW w:w="0" w:type="auto"/>
            <w:gridSpan w:val="3"/>
            <w:shd w:val="clear" w:color="auto" w:fill="auto"/>
            <w:vAlign w:val="bottom"/>
          </w:tcPr>
          <w:p w14:paraId="4B9A2B6B" w14:textId="77777777" w:rsidR="002A3970" w:rsidRDefault="002A3970">
            <w:pPr>
              <w:rPr>
                <w:rFonts w:ascii="宋体"/>
                <w:vanish/>
              </w:rPr>
            </w:pPr>
          </w:p>
        </w:tc>
        <w:tc>
          <w:tcPr>
            <w:tcW w:w="0" w:type="auto"/>
            <w:gridSpan w:val="3"/>
            <w:shd w:val="clear" w:color="auto" w:fill="auto"/>
            <w:vAlign w:val="bottom"/>
          </w:tcPr>
          <w:p w14:paraId="4B9A2B6C" w14:textId="77777777" w:rsidR="002A3970" w:rsidRDefault="002A3970">
            <w:pPr>
              <w:rPr>
                <w:rFonts w:ascii="宋体"/>
                <w:vanish/>
              </w:rPr>
            </w:pPr>
          </w:p>
        </w:tc>
        <w:tc>
          <w:tcPr>
            <w:tcW w:w="0" w:type="auto"/>
            <w:gridSpan w:val="3"/>
            <w:shd w:val="clear" w:color="auto" w:fill="auto"/>
            <w:vAlign w:val="bottom"/>
          </w:tcPr>
          <w:p w14:paraId="4B9A2B6D" w14:textId="77777777" w:rsidR="002A3970" w:rsidRDefault="002A3970">
            <w:pPr>
              <w:rPr>
                <w:rFonts w:ascii="宋体"/>
                <w:vanish/>
              </w:rPr>
            </w:pPr>
          </w:p>
        </w:tc>
        <w:tc>
          <w:tcPr>
            <w:tcW w:w="0" w:type="auto"/>
            <w:gridSpan w:val="3"/>
            <w:shd w:val="clear" w:color="auto" w:fill="auto"/>
            <w:vAlign w:val="bottom"/>
          </w:tcPr>
          <w:p w14:paraId="4B9A2B6E" w14:textId="77777777" w:rsidR="002A3970" w:rsidRDefault="002A3970">
            <w:pPr>
              <w:rPr>
                <w:rFonts w:ascii="宋体"/>
                <w:vanish/>
              </w:rPr>
            </w:pPr>
          </w:p>
        </w:tc>
        <w:tc>
          <w:tcPr>
            <w:tcW w:w="0" w:type="auto"/>
            <w:gridSpan w:val="3"/>
            <w:shd w:val="clear" w:color="auto" w:fill="auto"/>
            <w:vAlign w:val="bottom"/>
          </w:tcPr>
          <w:p w14:paraId="4B9A2B6F" w14:textId="77777777" w:rsidR="002A3970" w:rsidRDefault="002A3970">
            <w:pPr>
              <w:rPr>
                <w:rFonts w:ascii="宋体"/>
                <w:vanish/>
              </w:rPr>
            </w:pPr>
          </w:p>
        </w:tc>
        <w:tc>
          <w:tcPr>
            <w:tcW w:w="0" w:type="auto"/>
            <w:gridSpan w:val="3"/>
            <w:shd w:val="clear" w:color="auto" w:fill="auto"/>
            <w:vAlign w:val="bottom"/>
          </w:tcPr>
          <w:p w14:paraId="4B9A2B70" w14:textId="77777777" w:rsidR="002A3970" w:rsidRDefault="002A3970">
            <w:pPr>
              <w:rPr>
                <w:rFonts w:ascii="宋体"/>
                <w:vanish/>
              </w:rPr>
            </w:pPr>
          </w:p>
        </w:tc>
        <w:tc>
          <w:tcPr>
            <w:tcW w:w="0" w:type="auto"/>
            <w:gridSpan w:val="3"/>
            <w:shd w:val="clear" w:color="auto" w:fill="auto"/>
            <w:vAlign w:val="bottom"/>
          </w:tcPr>
          <w:p w14:paraId="4B9A2B71" w14:textId="77777777" w:rsidR="002A3970" w:rsidRDefault="002A3970">
            <w:pPr>
              <w:rPr>
                <w:rFonts w:ascii="宋体"/>
                <w:vanish/>
              </w:rPr>
            </w:pPr>
          </w:p>
        </w:tc>
        <w:tc>
          <w:tcPr>
            <w:tcW w:w="0" w:type="auto"/>
            <w:gridSpan w:val="3"/>
            <w:shd w:val="clear" w:color="auto" w:fill="auto"/>
            <w:vAlign w:val="bottom"/>
          </w:tcPr>
          <w:p w14:paraId="4B9A2B72" w14:textId="77777777" w:rsidR="002A3970" w:rsidRDefault="002A3970">
            <w:pPr>
              <w:rPr>
                <w:rFonts w:ascii="宋体"/>
                <w:vanish/>
              </w:rPr>
            </w:pPr>
          </w:p>
        </w:tc>
      </w:tr>
      <w:tr w:rsidR="002A3970" w14:paraId="4B9A2B81" w14:textId="77777777">
        <w:trPr>
          <w:jc w:val="center"/>
        </w:trPr>
        <w:tc>
          <w:tcPr>
            <w:tcW w:w="0" w:type="auto"/>
            <w:gridSpan w:val="3"/>
            <w:shd w:val="clear" w:color="auto" w:fill="CCEEFF"/>
            <w:tcMar>
              <w:top w:w="40" w:type="dxa"/>
              <w:left w:w="20" w:type="dxa"/>
              <w:bottom w:w="40" w:type="dxa"/>
              <w:right w:w="20" w:type="dxa"/>
            </w:tcMar>
            <w:vAlign w:val="center"/>
          </w:tcPr>
          <w:p w14:paraId="4B9A2B74" w14:textId="77777777" w:rsidR="002A3970" w:rsidRDefault="00C35E63">
            <w:pPr>
              <w:textAlignment w:val="center"/>
            </w:pPr>
            <w:r>
              <w:rPr>
                <w:rFonts w:ascii="Times New Roman" w:eastAsia="宋体" w:hAnsi="Times New Roman"/>
                <w:b/>
                <w:bCs/>
                <w:color w:val="000000"/>
                <w:sz w:val="16"/>
                <w:szCs w:val="16"/>
              </w:rPr>
              <w:t>Consolidated net income (loss)</w:t>
            </w:r>
          </w:p>
        </w:tc>
        <w:tc>
          <w:tcPr>
            <w:tcW w:w="0" w:type="auto"/>
            <w:gridSpan w:val="3"/>
            <w:shd w:val="clear" w:color="auto" w:fill="CCEEFF"/>
            <w:tcMar>
              <w:top w:w="0" w:type="dxa"/>
              <w:left w:w="20" w:type="dxa"/>
              <w:bottom w:w="0" w:type="dxa"/>
              <w:right w:w="20" w:type="dxa"/>
            </w:tcMar>
            <w:vAlign w:val="bottom"/>
          </w:tcPr>
          <w:p w14:paraId="4B9A2B7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B76" w14:textId="77777777" w:rsidR="002A3970" w:rsidRDefault="00C35E63">
            <w:pPr>
              <w:jc w:val="right"/>
              <w:textAlignment w:val="center"/>
            </w:pPr>
            <w:r>
              <w:rPr>
                <w:rFonts w:ascii="Times New Roman" w:eastAsia="宋体" w:hAnsi="Times New Roman"/>
                <w:color w:val="000000"/>
                <w:sz w:val="16"/>
                <w:szCs w:val="16"/>
              </w:rPr>
              <w:t>(1,767)</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7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7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B79" w14:textId="77777777" w:rsidR="002A3970" w:rsidRDefault="00C35E63">
            <w:pPr>
              <w:jc w:val="right"/>
              <w:textAlignment w:val="center"/>
            </w:pPr>
            <w:r>
              <w:rPr>
                <w:rFonts w:ascii="Times New Roman" w:eastAsia="宋体" w:hAnsi="Times New Roman"/>
                <w:color w:val="000000"/>
                <w:sz w:val="16"/>
                <w:szCs w:val="16"/>
              </w:rPr>
              <w:t>3,132 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7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7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B9A2B7C" w14:textId="77777777" w:rsidR="002A3970" w:rsidRDefault="00C35E63">
            <w:pPr>
              <w:jc w:val="right"/>
              <w:textAlignment w:val="bottom"/>
            </w:pPr>
            <w:r>
              <w:rPr>
                <w:rFonts w:ascii="Times New Roman" w:eastAsia="宋体" w:hAnsi="Times New Roman"/>
                <w:color w:val="000000"/>
                <w:sz w:val="16"/>
                <w:szCs w:val="16"/>
              </w:rPr>
              <w:t>5,483 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2B7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7E"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B9A2B7F" w14:textId="77777777" w:rsidR="002A3970" w:rsidRDefault="00C35E63">
            <w:pPr>
              <w:jc w:val="right"/>
              <w:textAlignment w:val="bottom"/>
            </w:pPr>
            <w:r>
              <w:rPr>
                <w:rFonts w:ascii="Times New Roman" w:eastAsia="宋体" w:hAnsi="Times New Roman"/>
                <w:color w:val="000000"/>
                <w:sz w:val="16"/>
                <w:szCs w:val="16"/>
              </w:rPr>
              <w:t>10,307 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2B80" w14:textId="77777777" w:rsidR="002A3970" w:rsidRDefault="002A3970">
            <w:pPr>
              <w:jc w:val="right"/>
              <w:rPr>
                <w:rFonts w:ascii="宋体"/>
              </w:rPr>
            </w:pPr>
          </w:p>
        </w:tc>
      </w:tr>
      <w:tr w:rsidR="002A3970" w14:paraId="4B9A2B8F" w14:textId="77777777">
        <w:trPr>
          <w:jc w:val="center"/>
        </w:trPr>
        <w:tc>
          <w:tcPr>
            <w:tcW w:w="0" w:type="auto"/>
            <w:gridSpan w:val="3"/>
            <w:shd w:val="clear" w:color="auto" w:fill="FFFFFF"/>
            <w:tcMar>
              <w:top w:w="40" w:type="dxa"/>
              <w:left w:w="20" w:type="dxa"/>
              <w:bottom w:w="40" w:type="dxa"/>
              <w:right w:w="20" w:type="dxa"/>
            </w:tcMar>
            <w:vAlign w:val="center"/>
          </w:tcPr>
          <w:p w14:paraId="4B9A2B82" w14:textId="77777777" w:rsidR="002A3970" w:rsidRDefault="00C35E63">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vAlign w:val="bottom"/>
          </w:tcPr>
          <w:p w14:paraId="4B9A2B8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84" w14:textId="77777777" w:rsidR="002A3970" w:rsidRDefault="00C35E63">
            <w:pPr>
              <w:jc w:val="right"/>
              <w:textAlignment w:val="center"/>
            </w:pPr>
            <w:r>
              <w:rPr>
                <w:rFonts w:ascii="Times New Roman" w:eastAsia="宋体" w:hAnsi="Times New Roman"/>
                <w:color w:val="000000"/>
                <w:sz w:val="16"/>
                <w:szCs w:val="16"/>
              </w:rPr>
              <w:t>(31)</w:t>
            </w:r>
          </w:p>
        </w:tc>
        <w:tc>
          <w:tcPr>
            <w:tcW w:w="0" w:type="auto"/>
            <w:shd w:val="clear" w:color="auto" w:fill="FFFFFF"/>
            <w:tcMar>
              <w:top w:w="40" w:type="dxa"/>
              <w:left w:w="0" w:type="dxa"/>
              <w:bottom w:w="40" w:type="dxa"/>
              <w:right w:w="20" w:type="dxa"/>
            </w:tcMar>
            <w:vAlign w:val="center"/>
          </w:tcPr>
          <w:p w14:paraId="4B9A2B8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8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B87" w14:textId="77777777" w:rsidR="002A3970" w:rsidRDefault="00C35E63">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4B9A2B8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8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8A" w14:textId="77777777" w:rsidR="002A3970" w:rsidRDefault="00C35E63">
            <w:pPr>
              <w:jc w:val="right"/>
              <w:textAlignment w:val="bottom"/>
            </w:pPr>
            <w:r>
              <w:rPr>
                <w:rFonts w:ascii="Times New Roman" w:eastAsia="宋体" w:hAnsi="Times New Roman"/>
                <w:color w:val="000000"/>
                <w:sz w:val="16"/>
                <w:szCs w:val="16"/>
              </w:rPr>
              <w:t>(78)</w:t>
            </w:r>
          </w:p>
        </w:tc>
        <w:tc>
          <w:tcPr>
            <w:tcW w:w="0" w:type="auto"/>
            <w:shd w:val="clear" w:color="auto" w:fill="FFFFFF"/>
            <w:tcMar>
              <w:top w:w="40" w:type="dxa"/>
              <w:left w:w="0" w:type="dxa"/>
              <w:bottom w:w="40" w:type="dxa"/>
              <w:right w:w="20" w:type="dxa"/>
            </w:tcMar>
            <w:vAlign w:val="bottom"/>
          </w:tcPr>
          <w:p w14:paraId="4B9A2B8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8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2B8D" w14:textId="77777777" w:rsidR="002A3970" w:rsidRDefault="00C35E63">
            <w:pPr>
              <w:jc w:val="right"/>
              <w:textAlignment w:val="bottom"/>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bottom"/>
          </w:tcPr>
          <w:p w14:paraId="4B9A2B8E" w14:textId="77777777" w:rsidR="002A3970" w:rsidRDefault="002A3970">
            <w:pPr>
              <w:jc w:val="right"/>
              <w:rPr>
                <w:rFonts w:ascii="宋体"/>
              </w:rPr>
            </w:pPr>
          </w:p>
        </w:tc>
      </w:tr>
      <w:tr w:rsidR="002A3970" w14:paraId="4B9A2BA1" w14:textId="77777777">
        <w:trPr>
          <w:jc w:val="center"/>
        </w:trPr>
        <w:tc>
          <w:tcPr>
            <w:tcW w:w="0" w:type="auto"/>
            <w:gridSpan w:val="3"/>
            <w:shd w:val="clear" w:color="auto" w:fill="CCEEFF"/>
            <w:tcMar>
              <w:top w:w="40" w:type="dxa"/>
              <w:left w:w="20" w:type="dxa"/>
              <w:bottom w:w="40" w:type="dxa"/>
              <w:right w:w="20" w:type="dxa"/>
            </w:tcMar>
            <w:vAlign w:val="center"/>
          </w:tcPr>
          <w:p w14:paraId="4B9A2B90" w14:textId="77777777" w:rsidR="002A3970" w:rsidRDefault="00C35E63">
            <w:pPr>
              <w:textAlignment w:val="center"/>
            </w:pPr>
            <w:r>
              <w:rPr>
                <w:rFonts w:ascii="Times New Roman" w:eastAsia="宋体" w:hAnsi="Times New Roman"/>
                <w:b/>
                <w:bCs/>
                <w:color w:val="000000"/>
                <w:sz w:val="16"/>
                <w:szCs w:val="16"/>
              </w:rPr>
              <w:t>Consolidated net income (loss) attributable to Walmart</w:t>
            </w:r>
          </w:p>
        </w:tc>
        <w:tc>
          <w:tcPr>
            <w:tcW w:w="0" w:type="auto"/>
            <w:gridSpan w:val="3"/>
            <w:shd w:val="clear" w:color="auto" w:fill="CCEEFF"/>
            <w:tcMar>
              <w:top w:w="0" w:type="dxa"/>
              <w:left w:w="20" w:type="dxa"/>
              <w:bottom w:w="0" w:type="dxa"/>
              <w:right w:w="20" w:type="dxa"/>
            </w:tcMar>
            <w:vAlign w:val="bottom"/>
          </w:tcPr>
          <w:p w14:paraId="4B9A2B9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B9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B93" w14:textId="77777777" w:rsidR="002A3970" w:rsidRDefault="00C35E63">
            <w:pPr>
              <w:jc w:val="right"/>
              <w:textAlignment w:val="center"/>
            </w:pPr>
            <w:r>
              <w:rPr>
                <w:rFonts w:ascii="Times New Roman" w:eastAsia="宋体" w:hAnsi="Times New Roman"/>
                <w:color w:val="000000"/>
                <w:sz w:val="16"/>
                <w:szCs w:val="16"/>
              </w:rPr>
              <w:t>(1,798)</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9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9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B9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B97" w14:textId="77777777" w:rsidR="002A3970" w:rsidRDefault="00C35E63">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9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9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B9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B9B" w14:textId="77777777" w:rsidR="002A3970" w:rsidRDefault="00C35E63">
            <w:pPr>
              <w:jc w:val="right"/>
              <w:textAlignment w:val="center"/>
            </w:pPr>
            <w:r>
              <w:rPr>
                <w:rFonts w:ascii="Times New Roman" w:eastAsia="宋体" w:hAnsi="Times New Roman"/>
                <w:color w:val="000000"/>
                <w:sz w:val="16"/>
                <w:szCs w:val="16"/>
              </w:rPr>
              <w:t>5,405 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9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B9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B9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B9F" w14:textId="77777777" w:rsidR="002A3970" w:rsidRDefault="00C35E63">
            <w:pPr>
              <w:jc w:val="right"/>
              <w:textAlignment w:val="center"/>
            </w:pPr>
            <w:r>
              <w:rPr>
                <w:rFonts w:ascii="Times New Roman" w:eastAsia="宋体" w:hAnsi="Times New Roman"/>
                <w:color w:val="000000"/>
                <w:sz w:val="16"/>
                <w:szCs w:val="16"/>
              </w:rPr>
              <w:t>10,111 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BA0" w14:textId="77777777" w:rsidR="002A3970" w:rsidRDefault="002A3970">
            <w:pPr>
              <w:jc w:val="right"/>
              <w:rPr>
                <w:rFonts w:ascii="宋体"/>
              </w:rPr>
            </w:pPr>
          </w:p>
        </w:tc>
      </w:tr>
      <w:tr w:rsidR="002A3970" w14:paraId="4B9A2BAB" w14:textId="77777777">
        <w:trPr>
          <w:jc w:val="center"/>
          <w:hidden/>
        </w:trPr>
        <w:tc>
          <w:tcPr>
            <w:tcW w:w="0" w:type="auto"/>
            <w:gridSpan w:val="3"/>
            <w:shd w:val="clear" w:color="auto" w:fill="auto"/>
            <w:vAlign w:val="bottom"/>
          </w:tcPr>
          <w:p w14:paraId="4B9A2BA2" w14:textId="77777777" w:rsidR="002A3970" w:rsidRDefault="002A3970">
            <w:pPr>
              <w:rPr>
                <w:rFonts w:ascii="宋体"/>
                <w:vanish/>
              </w:rPr>
            </w:pPr>
          </w:p>
        </w:tc>
        <w:tc>
          <w:tcPr>
            <w:tcW w:w="0" w:type="auto"/>
            <w:gridSpan w:val="3"/>
            <w:shd w:val="clear" w:color="auto" w:fill="auto"/>
            <w:vAlign w:val="bottom"/>
          </w:tcPr>
          <w:p w14:paraId="4B9A2BA3" w14:textId="77777777" w:rsidR="002A3970" w:rsidRDefault="002A3970">
            <w:pPr>
              <w:rPr>
                <w:rFonts w:ascii="宋体"/>
                <w:vanish/>
              </w:rPr>
            </w:pPr>
          </w:p>
        </w:tc>
        <w:tc>
          <w:tcPr>
            <w:tcW w:w="0" w:type="auto"/>
            <w:gridSpan w:val="3"/>
            <w:shd w:val="clear" w:color="auto" w:fill="auto"/>
            <w:vAlign w:val="bottom"/>
          </w:tcPr>
          <w:p w14:paraId="4B9A2BA4" w14:textId="77777777" w:rsidR="002A3970" w:rsidRDefault="002A3970">
            <w:pPr>
              <w:rPr>
                <w:rFonts w:ascii="宋体"/>
                <w:vanish/>
              </w:rPr>
            </w:pPr>
          </w:p>
        </w:tc>
        <w:tc>
          <w:tcPr>
            <w:tcW w:w="0" w:type="auto"/>
            <w:gridSpan w:val="3"/>
            <w:shd w:val="clear" w:color="auto" w:fill="auto"/>
            <w:vAlign w:val="bottom"/>
          </w:tcPr>
          <w:p w14:paraId="4B9A2BA5" w14:textId="77777777" w:rsidR="002A3970" w:rsidRDefault="002A3970">
            <w:pPr>
              <w:rPr>
                <w:rFonts w:ascii="宋体"/>
                <w:vanish/>
              </w:rPr>
            </w:pPr>
          </w:p>
        </w:tc>
        <w:tc>
          <w:tcPr>
            <w:tcW w:w="0" w:type="auto"/>
            <w:gridSpan w:val="3"/>
            <w:shd w:val="clear" w:color="auto" w:fill="auto"/>
            <w:vAlign w:val="bottom"/>
          </w:tcPr>
          <w:p w14:paraId="4B9A2BA6" w14:textId="77777777" w:rsidR="002A3970" w:rsidRDefault="002A3970">
            <w:pPr>
              <w:rPr>
                <w:rFonts w:ascii="宋体"/>
                <w:vanish/>
              </w:rPr>
            </w:pPr>
          </w:p>
        </w:tc>
        <w:tc>
          <w:tcPr>
            <w:tcW w:w="0" w:type="auto"/>
            <w:gridSpan w:val="3"/>
            <w:shd w:val="clear" w:color="auto" w:fill="auto"/>
            <w:vAlign w:val="bottom"/>
          </w:tcPr>
          <w:p w14:paraId="4B9A2BA7" w14:textId="77777777" w:rsidR="002A3970" w:rsidRDefault="002A3970">
            <w:pPr>
              <w:rPr>
                <w:rFonts w:ascii="宋体"/>
                <w:vanish/>
              </w:rPr>
            </w:pPr>
          </w:p>
        </w:tc>
        <w:tc>
          <w:tcPr>
            <w:tcW w:w="0" w:type="auto"/>
            <w:gridSpan w:val="3"/>
            <w:shd w:val="clear" w:color="auto" w:fill="auto"/>
            <w:vAlign w:val="bottom"/>
          </w:tcPr>
          <w:p w14:paraId="4B9A2BA8" w14:textId="77777777" w:rsidR="002A3970" w:rsidRDefault="002A3970">
            <w:pPr>
              <w:rPr>
                <w:rFonts w:ascii="宋体"/>
                <w:vanish/>
              </w:rPr>
            </w:pPr>
          </w:p>
        </w:tc>
        <w:tc>
          <w:tcPr>
            <w:tcW w:w="0" w:type="auto"/>
            <w:gridSpan w:val="3"/>
            <w:shd w:val="clear" w:color="auto" w:fill="auto"/>
            <w:vAlign w:val="bottom"/>
          </w:tcPr>
          <w:p w14:paraId="4B9A2BA9" w14:textId="77777777" w:rsidR="002A3970" w:rsidRDefault="002A3970">
            <w:pPr>
              <w:rPr>
                <w:rFonts w:ascii="宋体"/>
                <w:vanish/>
              </w:rPr>
            </w:pPr>
          </w:p>
        </w:tc>
        <w:tc>
          <w:tcPr>
            <w:tcW w:w="0" w:type="auto"/>
            <w:gridSpan w:val="3"/>
            <w:shd w:val="clear" w:color="auto" w:fill="auto"/>
            <w:vAlign w:val="bottom"/>
          </w:tcPr>
          <w:p w14:paraId="4B9A2BAA" w14:textId="77777777" w:rsidR="002A3970" w:rsidRDefault="002A3970">
            <w:pPr>
              <w:rPr>
                <w:rFonts w:ascii="宋体"/>
                <w:vanish/>
              </w:rPr>
            </w:pPr>
          </w:p>
        </w:tc>
      </w:tr>
      <w:tr w:rsidR="002A3970" w14:paraId="4B9A2BB5" w14:textId="77777777">
        <w:trPr>
          <w:trHeight w:val="220"/>
          <w:jc w:val="center"/>
        </w:trPr>
        <w:tc>
          <w:tcPr>
            <w:tcW w:w="0" w:type="auto"/>
            <w:gridSpan w:val="3"/>
            <w:shd w:val="clear" w:color="auto" w:fill="FFFFFF"/>
            <w:tcMar>
              <w:top w:w="0" w:type="dxa"/>
              <w:left w:w="20" w:type="dxa"/>
              <w:bottom w:w="0" w:type="dxa"/>
              <w:right w:w="20" w:type="dxa"/>
            </w:tcMar>
            <w:vAlign w:val="bottom"/>
          </w:tcPr>
          <w:p w14:paraId="4B9A2BA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BAD"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2BA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BAF"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2BB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BB1"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2BB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BB3"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2BB4" w14:textId="77777777" w:rsidR="002A3970" w:rsidRDefault="002A3970">
            <w:pPr>
              <w:rPr>
                <w:rFonts w:ascii="宋体"/>
              </w:rPr>
            </w:pPr>
          </w:p>
        </w:tc>
      </w:tr>
      <w:tr w:rsidR="002A3970" w14:paraId="4B9A2BBF" w14:textId="77777777">
        <w:trPr>
          <w:jc w:val="center"/>
          <w:hidden/>
        </w:trPr>
        <w:tc>
          <w:tcPr>
            <w:tcW w:w="0" w:type="auto"/>
            <w:gridSpan w:val="3"/>
            <w:shd w:val="clear" w:color="auto" w:fill="auto"/>
            <w:vAlign w:val="bottom"/>
          </w:tcPr>
          <w:p w14:paraId="4B9A2BB6" w14:textId="77777777" w:rsidR="002A3970" w:rsidRDefault="002A3970">
            <w:pPr>
              <w:rPr>
                <w:rFonts w:ascii="宋体"/>
                <w:vanish/>
              </w:rPr>
            </w:pPr>
          </w:p>
        </w:tc>
        <w:tc>
          <w:tcPr>
            <w:tcW w:w="0" w:type="auto"/>
            <w:gridSpan w:val="3"/>
            <w:shd w:val="clear" w:color="auto" w:fill="auto"/>
            <w:vAlign w:val="bottom"/>
          </w:tcPr>
          <w:p w14:paraId="4B9A2BB7" w14:textId="77777777" w:rsidR="002A3970" w:rsidRDefault="002A3970">
            <w:pPr>
              <w:rPr>
                <w:rFonts w:ascii="宋体"/>
                <w:vanish/>
              </w:rPr>
            </w:pPr>
          </w:p>
        </w:tc>
        <w:tc>
          <w:tcPr>
            <w:tcW w:w="0" w:type="auto"/>
            <w:gridSpan w:val="3"/>
            <w:shd w:val="clear" w:color="auto" w:fill="auto"/>
            <w:vAlign w:val="bottom"/>
          </w:tcPr>
          <w:p w14:paraId="4B9A2BB8" w14:textId="77777777" w:rsidR="002A3970" w:rsidRDefault="002A3970">
            <w:pPr>
              <w:rPr>
                <w:rFonts w:ascii="宋体"/>
                <w:vanish/>
              </w:rPr>
            </w:pPr>
          </w:p>
        </w:tc>
        <w:tc>
          <w:tcPr>
            <w:tcW w:w="0" w:type="auto"/>
            <w:gridSpan w:val="3"/>
            <w:shd w:val="clear" w:color="auto" w:fill="auto"/>
            <w:vAlign w:val="bottom"/>
          </w:tcPr>
          <w:p w14:paraId="4B9A2BB9" w14:textId="77777777" w:rsidR="002A3970" w:rsidRDefault="002A3970">
            <w:pPr>
              <w:rPr>
                <w:rFonts w:ascii="宋体"/>
                <w:vanish/>
              </w:rPr>
            </w:pPr>
          </w:p>
        </w:tc>
        <w:tc>
          <w:tcPr>
            <w:tcW w:w="0" w:type="auto"/>
            <w:gridSpan w:val="3"/>
            <w:shd w:val="clear" w:color="auto" w:fill="auto"/>
            <w:vAlign w:val="bottom"/>
          </w:tcPr>
          <w:p w14:paraId="4B9A2BBA" w14:textId="77777777" w:rsidR="002A3970" w:rsidRDefault="002A3970">
            <w:pPr>
              <w:rPr>
                <w:rFonts w:ascii="宋体"/>
                <w:vanish/>
              </w:rPr>
            </w:pPr>
          </w:p>
        </w:tc>
        <w:tc>
          <w:tcPr>
            <w:tcW w:w="0" w:type="auto"/>
            <w:gridSpan w:val="3"/>
            <w:shd w:val="clear" w:color="auto" w:fill="auto"/>
            <w:vAlign w:val="bottom"/>
          </w:tcPr>
          <w:p w14:paraId="4B9A2BBB" w14:textId="77777777" w:rsidR="002A3970" w:rsidRDefault="002A3970">
            <w:pPr>
              <w:rPr>
                <w:rFonts w:ascii="宋体"/>
                <w:vanish/>
              </w:rPr>
            </w:pPr>
          </w:p>
        </w:tc>
        <w:tc>
          <w:tcPr>
            <w:tcW w:w="0" w:type="auto"/>
            <w:gridSpan w:val="3"/>
            <w:shd w:val="clear" w:color="auto" w:fill="auto"/>
            <w:vAlign w:val="bottom"/>
          </w:tcPr>
          <w:p w14:paraId="4B9A2BBC" w14:textId="77777777" w:rsidR="002A3970" w:rsidRDefault="002A3970">
            <w:pPr>
              <w:rPr>
                <w:rFonts w:ascii="宋体"/>
                <w:vanish/>
              </w:rPr>
            </w:pPr>
          </w:p>
        </w:tc>
        <w:tc>
          <w:tcPr>
            <w:tcW w:w="0" w:type="auto"/>
            <w:gridSpan w:val="3"/>
            <w:shd w:val="clear" w:color="auto" w:fill="auto"/>
            <w:vAlign w:val="bottom"/>
          </w:tcPr>
          <w:p w14:paraId="4B9A2BBD" w14:textId="77777777" w:rsidR="002A3970" w:rsidRDefault="002A3970">
            <w:pPr>
              <w:rPr>
                <w:rFonts w:ascii="宋体"/>
                <w:vanish/>
              </w:rPr>
            </w:pPr>
          </w:p>
        </w:tc>
        <w:tc>
          <w:tcPr>
            <w:tcW w:w="0" w:type="auto"/>
            <w:gridSpan w:val="3"/>
            <w:shd w:val="clear" w:color="auto" w:fill="auto"/>
            <w:vAlign w:val="bottom"/>
          </w:tcPr>
          <w:p w14:paraId="4B9A2BBE" w14:textId="77777777" w:rsidR="002A3970" w:rsidRDefault="002A3970">
            <w:pPr>
              <w:rPr>
                <w:rFonts w:ascii="宋体"/>
                <w:vanish/>
              </w:rPr>
            </w:pPr>
          </w:p>
        </w:tc>
      </w:tr>
      <w:tr w:rsidR="002A3970" w14:paraId="4B9A2BC9" w14:textId="77777777">
        <w:trPr>
          <w:jc w:val="center"/>
          <w:hidden/>
        </w:trPr>
        <w:tc>
          <w:tcPr>
            <w:tcW w:w="0" w:type="auto"/>
            <w:gridSpan w:val="3"/>
            <w:shd w:val="clear" w:color="auto" w:fill="auto"/>
            <w:vAlign w:val="bottom"/>
          </w:tcPr>
          <w:p w14:paraId="4B9A2BC0" w14:textId="77777777" w:rsidR="002A3970" w:rsidRDefault="002A3970">
            <w:pPr>
              <w:rPr>
                <w:rFonts w:ascii="宋体"/>
                <w:vanish/>
              </w:rPr>
            </w:pPr>
          </w:p>
        </w:tc>
        <w:tc>
          <w:tcPr>
            <w:tcW w:w="0" w:type="auto"/>
            <w:gridSpan w:val="3"/>
            <w:shd w:val="clear" w:color="auto" w:fill="auto"/>
            <w:vAlign w:val="bottom"/>
          </w:tcPr>
          <w:p w14:paraId="4B9A2BC1" w14:textId="77777777" w:rsidR="002A3970" w:rsidRDefault="002A3970">
            <w:pPr>
              <w:rPr>
                <w:rFonts w:ascii="宋体"/>
                <w:vanish/>
              </w:rPr>
            </w:pPr>
          </w:p>
        </w:tc>
        <w:tc>
          <w:tcPr>
            <w:tcW w:w="0" w:type="auto"/>
            <w:gridSpan w:val="3"/>
            <w:shd w:val="clear" w:color="auto" w:fill="auto"/>
            <w:vAlign w:val="bottom"/>
          </w:tcPr>
          <w:p w14:paraId="4B9A2BC2" w14:textId="77777777" w:rsidR="002A3970" w:rsidRDefault="002A3970">
            <w:pPr>
              <w:rPr>
                <w:rFonts w:ascii="宋体"/>
                <w:vanish/>
              </w:rPr>
            </w:pPr>
          </w:p>
        </w:tc>
        <w:tc>
          <w:tcPr>
            <w:tcW w:w="0" w:type="auto"/>
            <w:gridSpan w:val="3"/>
            <w:shd w:val="clear" w:color="auto" w:fill="auto"/>
            <w:vAlign w:val="bottom"/>
          </w:tcPr>
          <w:p w14:paraId="4B9A2BC3" w14:textId="77777777" w:rsidR="002A3970" w:rsidRDefault="002A3970">
            <w:pPr>
              <w:rPr>
                <w:rFonts w:ascii="宋体"/>
                <w:vanish/>
              </w:rPr>
            </w:pPr>
          </w:p>
        </w:tc>
        <w:tc>
          <w:tcPr>
            <w:tcW w:w="0" w:type="auto"/>
            <w:gridSpan w:val="3"/>
            <w:shd w:val="clear" w:color="auto" w:fill="auto"/>
            <w:vAlign w:val="bottom"/>
          </w:tcPr>
          <w:p w14:paraId="4B9A2BC4" w14:textId="77777777" w:rsidR="002A3970" w:rsidRDefault="002A3970">
            <w:pPr>
              <w:rPr>
                <w:rFonts w:ascii="宋体"/>
                <w:vanish/>
              </w:rPr>
            </w:pPr>
          </w:p>
        </w:tc>
        <w:tc>
          <w:tcPr>
            <w:tcW w:w="0" w:type="auto"/>
            <w:gridSpan w:val="3"/>
            <w:shd w:val="clear" w:color="auto" w:fill="auto"/>
            <w:vAlign w:val="bottom"/>
          </w:tcPr>
          <w:p w14:paraId="4B9A2BC5" w14:textId="77777777" w:rsidR="002A3970" w:rsidRDefault="002A3970">
            <w:pPr>
              <w:rPr>
                <w:rFonts w:ascii="宋体"/>
                <w:vanish/>
              </w:rPr>
            </w:pPr>
          </w:p>
        </w:tc>
        <w:tc>
          <w:tcPr>
            <w:tcW w:w="0" w:type="auto"/>
            <w:gridSpan w:val="3"/>
            <w:shd w:val="clear" w:color="auto" w:fill="auto"/>
            <w:vAlign w:val="bottom"/>
          </w:tcPr>
          <w:p w14:paraId="4B9A2BC6" w14:textId="77777777" w:rsidR="002A3970" w:rsidRDefault="002A3970">
            <w:pPr>
              <w:rPr>
                <w:rFonts w:ascii="宋体"/>
                <w:vanish/>
              </w:rPr>
            </w:pPr>
          </w:p>
        </w:tc>
        <w:tc>
          <w:tcPr>
            <w:tcW w:w="0" w:type="auto"/>
            <w:gridSpan w:val="3"/>
            <w:shd w:val="clear" w:color="auto" w:fill="auto"/>
            <w:vAlign w:val="bottom"/>
          </w:tcPr>
          <w:p w14:paraId="4B9A2BC7" w14:textId="77777777" w:rsidR="002A3970" w:rsidRDefault="002A3970">
            <w:pPr>
              <w:rPr>
                <w:rFonts w:ascii="宋体"/>
                <w:vanish/>
              </w:rPr>
            </w:pPr>
          </w:p>
        </w:tc>
        <w:tc>
          <w:tcPr>
            <w:tcW w:w="0" w:type="auto"/>
            <w:gridSpan w:val="3"/>
            <w:shd w:val="clear" w:color="auto" w:fill="auto"/>
            <w:vAlign w:val="bottom"/>
          </w:tcPr>
          <w:p w14:paraId="4B9A2BC8" w14:textId="77777777" w:rsidR="002A3970" w:rsidRDefault="002A3970">
            <w:pPr>
              <w:rPr>
                <w:rFonts w:ascii="宋体"/>
                <w:vanish/>
              </w:rPr>
            </w:pPr>
          </w:p>
        </w:tc>
      </w:tr>
      <w:tr w:rsidR="002A3970" w14:paraId="4B9A2BD3" w14:textId="77777777">
        <w:trPr>
          <w:jc w:val="center"/>
          <w:hidden/>
        </w:trPr>
        <w:tc>
          <w:tcPr>
            <w:tcW w:w="0" w:type="auto"/>
            <w:gridSpan w:val="3"/>
            <w:shd w:val="clear" w:color="auto" w:fill="auto"/>
            <w:vAlign w:val="bottom"/>
          </w:tcPr>
          <w:p w14:paraId="4B9A2BCA" w14:textId="77777777" w:rsidR="002A3970" w:rsidRDefault="002A3970">
            <w:pPr>
              <w:rPr>
                <w:rFonts w:ascii="宋体"/>
                <w:vanish/>
              </w:rPr>
            </w:pPr>
          </w:p>
        </w:tc>
        <w:tc>
          <w:tcPr>
            <w:tcW w:w="0" w:type="auto"/>
            <w:gridSpan w:val="3"/>
            <w:shd w:val="clear" w:color="auto" w:fill="auto"/>
            <w:vAlign w:val="bottom"/>
          </w:tcPr>
          <w:p w14:paraId="4B9A2BCB" w14:textId="77777777" w:rsidR="002A3970" w:rsidRDefault="002A3970">
            <w:pPr>
              <w:rPr>
                <w:rFonts w:ascii="宋体"/>
                <w:vanish/>
              </w:rPr>
            </w:pPr>
          </w:p>
        </w:tc>
        <w:tc>
          <w:tcPr>
            <w:tcW w:w="0" w:type="auto"/>
            <w:gridSpan w:val="3"/>
            <w:shd w:val="clear" w:color="auto" w:fill="auto"/>
            <w:vAlign w:val="bottom"/>
          </w:tcPr>
          <w:p w14:paraId="4B9A2BCC" w14:textId="77777777" w:rsidR="002A3970" w:rsidRDefault="002A3970">
            <w:pPr>
              <w:rPr>
                <w:rFonts w:ascii="宋体"/>
                <w:vanish/>
              </w:rPr>
            </w:pPr>
          </w:p>
        </w:tc>
        <w:tc>
          <w:tcPr>
            <w:tcW w:w="0" w:type="auto"/>
            <w:gridSpan w:val="3"/>
            <w:shd w:val="clear" w:color="auto" w:fill="auto"/>
            <w:vAlign w:val="bottom"/>
          </w:tcPr>
          <w:p w14:paraId="4B9A2BCD" w14:textId="77777777" w:rsidR="002A3970" w:rsidRDefault="002A3970">
            <w:pPr>
              <w:rPr>
                <w:rFonts w:ascii="宋体"/>
                <w:vanish/>
              </w:rPr>
            </w:pPr>
          </w:p>
        </w:tc>
        <w:tc>
          <w:tcPr>
            <w:tcW w:w="0" w:type="auto"/>
            <w:gridSpan w:val="3"/>
            <w:shd w:val="clear" w:color="auto" w:fill="auto"/>
            <w:vAlign w:val="bottom"/>
          </w:tcPr>
          <w:p w14:paraId="4B9A2BCE" w14:textId="77777777" w:rsidR="002A3970" w:rsidRDefault="002A3970">
            <w:pPr>
              <w:rPr>
                <w:rFonts w:ascii="宋体"/>
                <w:vanish/>
              </w:rPr>
            </w:pPr>
          </w:p>
        </w:tc>
        <w:tc>
          <w:tcPr>
            <w:tcW w:w="0" w:type="auto"/>
            <w:gridSpan w:val="3"/>
            <w:shd w:val="clear" w:color="auto" w:fill="auto"/>
            <w:vAlign w:val="bottom"/>
          </w:tcPr>
          <w:p w14:paraId="4B9A2BCF" w14:textId="77777777" w:rsidR="002A3970" w:rsidRDefault="002A3970">
            <w:pPr>
              <w:rPr>
                <w:rFonts w:ascii="宋体"/>
                <w:vanish/>
              </w:rPr>
            </w:pPr>
          </w:p>
        </w:tc>
        <w:tc>
          <w:tcPr>
            <w:tcW w:w="0" w:type="auto"/>
            <w:gridSpan w:val="3"/>
            <w:shd w:val="clear" w:color="auto" w:fill="auto"/>
            <w:vAlign w:val="bottom"/>
          </w:tcPr>
          <w:p w14:paraId="4B9A2BD0" w14:textId="77777777" w:rsidR="002A3970" w:rsidRDefault="002A3970">
            <w:pPr>
              <w:rPr>
                <w:rFonts w:ascii="宋体"/>
                <w:vanish/>
              </w:rPr>
            </w:pPr>
          </w:p>
        </w:tc>
        <w:tc>
          <w:tcPr>
            <w:tcW w:w="0" w:type="auto"/>
            <w:gridSpan w:val="3"/>
            <w:shd w:val="clear" w:color="auto" w:fill="auto"/>
            <w:vAlign w:val="bottom"/>
          </w:tcPr>
          <w:p w14:paraId="4B9A2BD1" w14:textId="77777777" w:rsidR="002A3970" w:rsidRDefault="002A3970">
            <w:pPr>
              <w:rPr>
                <w:rFonts w:ascii="宋体"/>
                <w:vanish/>
              </w:rPr>
            </w:pPr>
          </w:p>
        </w:tc>
        <w:tc>
          <w:tcPr>
            <w:tcW w:w="0" w:type="auto"/>
            <w:gridSpan w:val="3"/>
            <w:shd w:val="clear" w:color="auto" w:fill="auto"/>
            <w:vAlign w:val="bottom"/>
          </w:tcPr>
          <w:p w14:paraId="4B9A2BD2" w14:textId="77777777" w:rsidR="002A3970" w:rsidRDefault="002A3970">
            <w:pPr>
              <w:rPr>
                <w:rFonts w:ascii="宋体"/>
                <w:vanish/>
              </w:rPr>
            </w:pPr>
          </w:p>
        </w:tc>
      </w:tr>
      <w:tr w:rsidR="002A3970" w14:paraId="4B9A2BDD" w14:textId="77777777">
        <w:trPr>
          <w:jc w:val="center"/>
        </w:trPr>
        <w:tc>
          <w:tcPr>
            <w:tcW w:w="0" w:type="auto"/>
            <w:gridSpan w:val="3"/>
            <w:shd w:val="clear" w:color="auto" w:fill="CCEEFF"/>
            <w:tcMar>
              <w:top w:w="40" w:type="dxa"/>
              <w:left w:w="20" w:type="dxa"/>
              <w:bottom w:w="40" w:type="dxa"/>
              <w:right w:w="20" w:type="dxa"/>
            </w:tcMar>
            <w:vAlign w:val="center"/>
          </w:tcPr>
          <w:p w14:paraId="4B9A2BD4" w14:textId="77777777" w:rsidR="002A3970" w:rsidRDefault="00C35E63">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CCEEFF"/>
            <w:tcMar>
              <w:top w:w="0" w:type="dxa"/>
              <w:left w:w="20" w:type="dxa"/>
              <w:bottom w:w="0" w:type="dxa"/>
              <w:right w:w="20" w:type="dxa"/>
            </w:tcMar>
            <w:vAlign w:val="bottom"/>
          </w:tcPr>
          <w:p w14:paraId="4B9A2BD5"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9"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A"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B"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BDC" w14:textId="77777777" w:rsidR="002A3970" w:rsidRDefault="002A3970">
            <w:pPr>
              <w:rPr>
                <w:rFonts w:ascii="宋体"/>
              </w:rPr>
            </w:pPr>
          </w:p>
        </w:tc>
      </w:tr>
      <w:tr w:rsidR="002A3970" w14:paraId="4B9A2BEF" w14:textId="77777777">
        <w:trPr>
          <w:jc w:val="center"/>
        </w:trPr>
        <w:tc>
          <w:tcPr>
            <w:tcW w:w="0" w:type="auto"/>
            <w:gridSpan w:val="3"/>
            <w:shd w:val="clear" w:color="auto" w:fill="FFFFFF"/>
            <w:tcMar>
              <w:top w:w="40" w:type="dxa"/>
              <w:left w:w="380" w:type="dxa"/>
              <w:bottom w:w="40" w:type="dxa"/>
              <w:right w:w="20" w:type="dxa"/>
            </w:tcMar>
            <w:vAlign w:val="center"/>
          </w:tcPr>
          <w:p w14:paraId="4B9A2BDE" w14:textId="77777777" w:rsidR="002A3970" w:rsidRDefault="00C35E63">
            <w:pPr>
              <w:textAlignment w:val="center"/>
            </w:pPr>
            <w:r>
              <w:rPr>
                <w:rFonts w:ascii="Times New Roman" w:eastAsia="宋体" w:hAnsi="Times New Roman"/>
                <w:color w:val="000000"/>
                <w:sz w:val="16"/>
                <w:szCs w:val="16"/>
              </w:rPr>
              <w:t>Basic net income (loss) per common share attributable to Walmart</w:t>
            </w:r>
          </w:p>
        </w:tc>
        <w:tc>
          <w:tcPr>
            <w:tcW w:w="0" w:type="auto"/>
            <w:gridSpan w:val="3"/>
            <w:shd w:val="clear" w:color="auto" w:fill="FFFFFF"/>
            <w:tcMar>
              <w:top w:w="0" w:type="dxa"/>
              <w:left w:w="20" w:type="dxa"/>
              <w:bottom w:w="0" w:type="dxa"/>
              <w:right w:w="20" w:type="dxa"/>
            </w:tcMar>
            <w:vAlign w:val="bottom"/>
          </w:tcPr>
          <w:p w14:paraId="4B9A2BDF"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BE0"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BE1" w14:textId="77777777" w:rsidR="002A3970" w:rsidRDefault="00C35E63">
            <w:pPr>
              <w:jc w:val="right"/>
              <w:textAlignment w:val="center"/>
            </w:pPr>
            <w:r>
              <w:rPr>
                <w:rFonts w:ascii="Times New Roman" w:eastAsia="宋体" w:hAnsi="Times New Roman"/>
                <w:color w:val="000000"/>
                <w:sz w:val="16"/>
                <w:szCs w:val="16"/>
              </w:rPr>
              <w:t>(0.66)</w:t>
            </w:r>
          </w:p>
        </w:tc>
        <w:tc>
          <w:tcPr>
            <w:tcW w:w="0" w:type="auto"/>
            <w:shd w:val="clear" w:color="auto" w:fill="FFFFFF"/>
            <w:tcMar>
              <w:top w:w="40" w:type="dxa"/>
              <w:left w:w="0" w:type="dxa"/>
              <w:bottom w:w="40" w:type="dxa"/>
              <w:right w:w="20" w:type="dxa"/>
            </w:tcMar>
            <w:vAlign w:val="center"/>
          </w:tcPr>
          <w:p w14:paraId="4B9A2BE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E3"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BE4"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BE5" w14:textId="77777777" w:rsidR="002A3970" w:rsidRDefault="00C35E63">
            <w:pPr>
              <w:jc w:val="right"/>
              <w:textAlignment w:val="center"/>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center"/>
          </w:tcPr>
          <w:p w14:paraId="4B9A2BE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E7"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BE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BE9" w14:textId="77777777" w:rsidR="002A3970" w:rsidRDefault="00C35E63">
            <w:pPr>
              <w:jc w:val="right"/>
              <w:textAlignment w:val="center"/>
            </w:pPr>
            <w:r>
              <w:rPr>
                <w:rFonts w:ascii="Times New Roman" w:eastAsia="宋体" w:hAnsi="Times New Roman"/>
                <w:color w:val="000000"/>
                <w:sz w:val="16"/>
                <w:szCs w:val="16"/>
              </w:rPr>
              <w:t>1.98 </w:t>
            </w:r>
          </w:p>
        </w:tc>
        <w:tc>
          <w:tcPr>
            <w:tcW w:w="0" w:type="auto"/>
            <w:shd w:val="clear" w:color="auto" w:fill="FFFFFF"/>
            <w:tcMar>
              <w:top w:w="40" w:type="dxa"/>
              <w:left w:w="0" w:type="dxa"/>
              <w:bottom w:w="40" w:type="dxa"/>
              <w:right w:w="20" w:type="dxa"/>
            </w:tcMar>
            <w:vAlign w:val="center"/>
          </w:tcPr>
          <w:p w14:paraId="4B9A2BE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BEB"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BE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BED" w14:textId="77777777" w:rsidR="002A3970" w:rsidRDefault="00C35E63">
            <w:pPr>
              <w:jc w:val="right"/>
              <w:textAlignment w:val="center"/>
            </w:pPr>
            <w:r>
              <w:rPr>
                <w:rFonts w:ascii="Times New Roman" w:eastAsia="宋体" w:hAnsi="Times New Roman"/>
                <w:color w:val="000000"/>
                <w:sz w:val="16"/>
                <w:szCs w:val="16"/>
              </w:rPr>
              <w:t>3.61 </w:t>
            </w:r>
          </w:p>
        </w:tc>
        <w:tc>
          <w:tcPr>
            <w:tcW w:w="0" w:type="auto"/>
            <w:shd w:val="clear" w:color="auto" w:fill="FFFFFF"/>
            <w:tcMar>
              <w:top w:w="40" w:type="dxa"/>
              <w:left w:w="0" w:type="dxa"/>
              <w:bottom w:w="40" w:type="dxa"/>
              <w:right w:w="20" w:type="dxa"/>
            </w:tcMar>
            <w:vAlign w:val="center"/>
          </w:tcPr>
          <w:p w14:paraId="4B9A2BEE" w14:textId="77777777" w:rsidR="002A3970" w:rsidRDefault="002A3970">
            <w:pPr>
              <w:jc w:val="right"/>
              <w:rPr>
                <w:rFonts w:ascii="宋体"/>
              </w:rPr>
            </w:pPr>
          </w:p>
        </w:tc>
      </w:tr>
      <w:tr w:rsidR="002A3970" w14:paraId="4B9A2BF9" w14:textId="77777777">
        <w:trPr>
          <w:jc w:val="center"/>
          <w:hidden/>
        </w:trPr>
        <w:tc>
          <w:tcPr>
            <w:tcW w:w="0" w:type="auto"/>
            <w:gridSpan w:val="3"/>
            <w:shd w:val="clear" w:color="auto" w:fill="auto"/>
            <w:vAlign w:val="bottom"/>
          </w:tcPr>
          <w:p w14:paraId="4B9A2BF0" w14:textId="77777777" w:rsidR="002A3970" w:rsidRDefault="002A3970">
            <w:pPr>
              <w:rPr>
                <w:rFonts w:ascii="宋体"/>
                <w:vanish/>
              </w:rPr>
            </w:pPr>
          </w:p>
        </w:tc>
        <w:tc>
          <w:tcPr>
            <w:tcW w:w="0" w:type="auto"/>
            <w:gridSpan w:val="3"/>
            <w:shd w:val="clear" w:color="auto" w:fill="auto"/>
            <w:vAlign w:val="bottom"/>
          </w:tcPr>
          <w:p w14:paraId="4B9A2BF1" w14:textId="77777777" w:rsidR="002A3970" w:rsidRDefault="002A3970">
            <w:pPr>
              <w:rPr>
                <w:rFonts w:ascii="宋体"/>
                <w:vanish/>
              </w:rPr>
            </w:pPr>
          </w:p>
        </w:tc>
        <w:tc>
          <w:tcPr>
            <w:tcW w:w="0" w:type="auto"/>
            <w:gridSpan w:val="3"/>
            <w:shd w:val="clear" w:color="auto" w:fill="auto"/>
            <w:vAlign w:val="bottom"/>
          </w:tcPr>
          <w:p w14:paraId="4B9A2BF2" w14:textId="77777777" w:rsidR="002A3970" w:rsidRDefault="002A3970">
            <w:pPr>
              <w:rPr>
                <w:rFonts w:ascii="宋体"/>
                <w:vanish/>
              </w:rPr>
            </w:pPr>
          </w:p>
        </w:tc>
        <w:tc>
          <w:tcPr>
            <w:tcW w:w="0" w:type="auto"/>
            <w:gridSpan w:val="3"/>
            <w:shd w:val="clear" w:color="auto" w:fill="auto"/>
            <w:vAlign w:val="bottom"/>
          </w:tcPr>
          <w:p w14:paraId="4B9A2BF3" w14:textId="77777777" w:rsidR="002A3970" w:rsidRDefault="002A3970">
            <w:pPr>
              <w:rPr>
                <w:rFonts w:ascii="宋体"/>
                <w:vanish/>
              </w:rPr>
            </w:pPr>
          </w:p>
        </w:tc>
        <w:tc>
          <w:tcPr>
            <w:tcW w:w="0" w:type="auto"/>
            <w:gridSpan w:val="3"/>
            <w:shd w:val="clear" w:color="auto" w:fill="auto"/>
            <w:vAlign w:val="bottom"/>
          </w:tcPr>
          <w:p w14:paraId="4B9A2BF4" w14:textId="77777777" w:rsidR="002A3970" w:rsidRDefault="002A3970">
            <w:pPr>
              <w:rPr>
                <w:rFonts w:ascii="宋体"/>
                <w:vanish/>
              </w:rPr>
            </w:pPr>
          </w:p>
        </w:tc>
        <w:tc>
          <w:tcPr>
            <w:tcW w:w="0" w:type="auto"/>
            <w:gridSpan w:val="3"/>
            <w:shd w:val="clear" w:color="auto" w:fill="auto"/>
            <w:vAlign w:val="bottom"/>
          </w:tcPr>
          <w:p w14:paraId="4B9A2BF5" w14:textId="77777777" w:rsidR="002A3970" w:rsidRDefault="002A3970">
            <w:pPr>
              <w:rPr>
                <w:rFonts w:ascii="宋体"/>
                <w:vanish/>
              </w:rPr>
            </w:pPr>
          </w:p>
        </w:tc>
        <w:tc>
          <w:tcPr>
            <w:tcW w:w="0" w:type="auto"/>
            <w:gridSpan w:val="3"/>
            <w:shd w:val="clear" w:color="auto" w:fill="auto"/>
            <w:vAlign w:val="bottom"/>
          </w:tcPr>
          <w:p w14:paraId="4B9A2BF6" w14:textId="77777777" w:rsidR="002A3970" w:rsidRDefault="002A3970">
            <w:pPr>
              <w:rPr>
                <w:rFonts w:ascii="宋体"/>
                <w:vanish/>
              </w:rPr>
            </w:pPr>
          </w:p>
        </w:tc>
        <w:tc>
          <w:tcPr>
            <w:tcW w:w="0" w:type="auto"/>
            <w:gridSpan w:val="3"/>
            <w:shd w:val="clear" w:color="auto" w:fill="auto"/>
            <w:vAlign w:val="bottom"/>
          </w:tcPr>
          <w:p w14:paraId="4B9A2BF7" w14:textId="77777777" w:rsidR="002A3970" w:rsidRDefault="002A3970">
            <w:pPr>
              <w:rPr>
                <w:rFonts w:ascii="宋体"/>
                <w:vanish/>
              </w:rPr>
            </w:pPr>
          </w:p>
        </w:tc>
        <w:tc>
          <w:tcPr>
            <w:tcW w:w="0" w:type="auto"/>
            <w:gridSpan w:val="3"/>
            <w:shd w:val="clear" w:color="auto" w:fill="auto"/>
            <w:vAlign w:val="bottom"/>
          </w:tcPr>
          <w:p w14:paraId="4B9A2BF8" w14:textId="77777777" w:rsidR="002A3970" w:rsidRDefault="002A3970">
            <w:pPr>
              <w:rPr>
                <w:rFonts w:ascii="宋体"/>
                <w:vanish/>
              </w:rPr>
            </w:pPr>
          </w:p>
        </w:tc>
      </w:tr>
      <w:tr w:rsidR="002A3970" w14:paraId="4B9A2C03" w14:textId="77777777">
        <w:trPr>
          <w:jc w:val="center"/>
          <w:hidden/>
        </w:trPr>
        <w:tc>
          <w:tcPr>
            <w:tcW w:w="0" w:type="auto"/>
            <w:gridSpan w:val="3"/>
            <w:shd w:val="clear" w:color="auto" w:fill="auto"/>
            <w:vAlign w:val="bottom"/>
          </w:tcPr>
          <w:p w14:paraId="4B9A2BFA" w14:textId="77777777" w:rsidR="002A3970" w:rsidRDefault="002A3970">
            <w:pPr>
              <w:rPr>
                <w:rFonts w:ascii="宋体"/>
                <w:vanish/>
              </w:rPr>
            </w:pPr>
          </w:p>
        </w:tc>
        <w:tc>
          <w:tcPr>
            <w:tcW w:w="0" w:type="auto"/>
            <w:gridSpan w:val="3"/>
            <w:shd w:val="clear" w:color="auto" w:fill="auto"/>
            <w:vAlign w:val="bottom"/>
          </w:tcPr>
          <w:p w14:paraId="4B9A2BFB" w14:textId="77777777" w:rsidR="002A3970" w:rsidRDefault="002A3970">
            <w:pPr>
              <w:rPr>
                <w:rFonts w:ascii="宋体"/>
                <w:vanish/>
              </w:rPr>
            </w:pPr>
          </w:p>
        </w:tc>
        <w:tc>
          <w:tcPr>
            <w:tcW w:w="0" w:type="auto"/>
            <w:gridSpan w:val="3"/>
            <w:shd w:val="clear" w:color="auto" w:fill="auto"/>
            <w:vAlign w:val="bottom"/>
          </w:tcPr>
          <w:p w14:paraId="4B9A2BFC" w14:textId="77777777" w:rsidR="002A3970" w:rsidRDefault="002A3970">
            <w:pPr>
              <w:rPr>
                <w:rFonts w:ascii="宋体"/>
                <w:vanish/>
              </w:rPr>
            </w:pPr>
          </w:p>
        </w:tc>
        <w:tc>
          <w:tcPr>
            <w:tcW w:w="0" w:type="auto"/>
            <w:gridSpan w:val="3"/>
            <w:shd w:val="clear" w:color="auto" w:fill="auto"/>
            <w:vAlign w:val="bottom"/>
          </w:tcPr>
          <w:p w14:paraId="4B9A2BFD" w14:textId="77777777" w:rsidR="002A3970" w:rsidRDefault="002A3970">
            <w:pPr>
              <w:rPr>
                <w:rFonts w:ascii="宋体"/>
                <w:vanish/>
              </w:rPr>
            </w:pPr>
          </w:p>
        </w:tc>
        <w:tc>
          <w:tcPr>
            <w:tcW w:w="0" w:type="auto"/>
            <w:gridSpan w:val="3"/>
            <w:shd w:val="clear" w:color="auto" w:fill="auto"/>
            <w:vAlign w:val="bottom"/>
          </w:tcPr>
          <w:p w14:paraId="4B9A2BFE" w14:textId="77777777" w:rsidR="002A3970" w:rsidRDefault="002A3970">
            <w:pPr>
              <w:rPr>
                <w:rFonts w:ascii="宋体"/>
                <w:vanish/>
              </w:rPr>
            </w:pPr>
          </w:p>
        </w:tc>
        <w:tc>
          <w:tcPr>
            <w:tcW w:w="0" w:type="auto"/>
            <w:gridSpan w:val="3"/>
            <w:shd w:val="clear" w:color="auto" w:fill="auto"/>
            <w:vAlign w:val="bottom"/>
          </w:tcPr>
          <w:p w14:paraId="4B9A2BFF" w14:textId="77777777" w:rsidR="002A3970" w:rsidRDefault="002A3970">
            <w:pPr>
              <w:rPr>
                <w:rFonts w:ascii="宋体"/>
                <w:vanish/>
              </w:rPr>
            </w:pPr>
          </w:p>
        </w:tc>
        <w:tc>
          <w:tcPr>
            <w:tcW w:w="0" w:type="auto"/>
            <w:gridSpan w:val="3"/>
            <w:shd w:val="clear" w:color="auto" w:fill="auto"/>
            <w:vAlign w:val="bottom"/>
          </w:tcPr>
          <w:p w14:paraId="4B9A2C00" w14:textId="77777777" w:rsidR="002A3970" w:rsidRDefault="002A3970">
            <w:pPr>
              <w:rPr>
                <w:rFonts w:ascii="宋体"/>
                <w:vanish/>
              </w:rPr>
            </w:pPr>
          </w:p>
        </w:tc>
        <w:tc>
          <w:tcPr>
            <w:tcW w:w="0" w:type="auto"/>
            <w:gridSpan w:val="3"/>
            <w:shd w:val="clear" w:color="auto" w:fill="auto"/>
            <w:vAlign w:val="bottom"/>
          </w:tcPr>
          <w:p w14:paraId="4B9A2C01" w14:textId="77777777" w:rsidR="002A3970" w:rsidRDefault="002A3970">
            <w:pPr>
              <w:rPr>
                <w:rFonts w:ascii="宋体"/>
                <w:vanish/>
              </w:rPr>
            </w:pPr>
          </w:p>
        </w:tc>
        <w:tc>
          <w:tcPr>
            <w:tcW w:w="0" w:type="auto"/>
            <w:gridSpan w:val="3"/>
            <w:shd w:val="clear" w:color="auto" w:fill="auto"/>
            <w:vAlign w:val="bottom"/>
          </w:tcPr>
          <w:p w14:paraId="4B9A2C02" w14:textId="77777777" w:rsidR="002A3970" w:rsidRDefault="002A3970">
            <w:pPr>
              <w:rPr>
                <w:rFonts w:ascii="宋体"/>
                <w:vanish/>
              </w:rPr>
            </w:pPr>
          </w:p>
        </w:tc>
      </w:tr>
      <w:tr w:rsidR="002A3970" w14:paraId="4B9A2C0D" w14:textId="77777777">
        <w:trPr>
          <w:jc w:val="center"/>
          <w:hidden/>
        </w:trPr>
        <w:tc>
          <w:tcPr>
            <w:tcW w:w="0" w:type="auto"/>
            <w:gridSpan w:val="3"/>
            <w:shd w:val="clear" w:color="auto" w:fill="auto"/>
            <w:vAlign w:val="bottom"/>
          </w:tcPr>
          <w:p w14:paraId="4B9A2C04" w14:textId="77777777" w:rsidR="002A3970" w:rsidRDefault="002A3970">
            <w:pPr>
              <w:rPr>
                <w:rFonts w:ascii="宋体"/>
                <w:vanish/>
              </w:rPr>
            </w:pPr>
          </w:p>
        </w:tc>
        <w:tc>
          <w:tcPr>
            <w:tcW w:w="0" w:type="auto"/>
            <w:gridSpan w:val="3"/>
            <w:shd w:val="clear" w:color="auto" w:fill="auto"/>
            <w:vAlign w:val="bottom"/>
          </w:tcPr>
          <w:p w14:paraId="4B9A2C05" w14:textId="77777777" w:rsidR="002A3970" w:rsidRDefault="002A3970">
            <w:pPr>
              <w:rPr>
                <w:rFonts w:ascii="宋体"/>
                <w:vanish/>
              </w:rPr>
            </w:pPr>
          </w:p>
        </w:tc>
        <w:tc>
          <w:tcPr>
            <w:tcW w:w="0" w:type="auto"/>
            <w:gridSpan w:val="3"/>
            <w:shd w:val="clear" w:color="auto" w:fill="auto"/>
            <w:vAlign w:val="bottom"/>
          </w:tcPr>
          <w:p w14:paraId="4B9A2C06" w14:textId="77777777" w:rsidR="002A3970" w:rsidRDefault="002A3970">
            <w:pPr>
              <w:rPr>
                <w:rFonts w:ascii="宋体"/>
                <w:vanish/>
              </w:rPr>
            </w:pPr>
          </w:p>
        </w:tc>
        <w:tc>
          <w:tcPr>
            <w:tcW w:w="0" w:type="auto"/>
            <w:gridSpan w:val="3"/>
            <w:shd w:val="clear" w:color="auto" w:fill="auto"/>
            <w:vAlign w:val="bottom"/>
          </w:tcPr>
          <w:p w14:paraId="4B9A2C07" w14:textId="77777777" w:rsidR="002A3970" w:rsidRDefault="002A3970">
            <w:pPr>
              <w:rPr>
                <w:rFonts w:ascii="宋体"/>
                <w:vanish/>
              </w:rPr>
            </w:pPr>
          </w:p>
        </w:tc>
        <w:tc>
          <w:tcPr>
            <w:tcW w:w="0" w:type="auto"/>
            <w:gridSpan w:val="3"/>
            <w:shd w:val="clear" w:color="auto" w:fill="auto"/>
            <w:vAlign w:val="bottom"/>
          </w:tcPr>
          <w:p w14:paraId="4B9A2C08" w14:textId="77777777" w:rsidR="002A3970" w:rsidRDefault="002A3970">
            <w:pPr>
              <w:rPr>
                <w:rFonts w:ascii="宋体"/>
                <w:vanish/>
              </w:rPr>
            </w:pPr>
          </w:p>
        </w:tc>
        <w:tc>
          <w:tcPr>
            <w:tcW w:w="0" w:type="auto"/>
            <w:gridSpan w:val="3"/>
            <w:shd w:val="clear" w:color="auto" w:fill="auto"/>
            <w:vAlign w:val="bottom"/>
          </w:tcPr>
          <w:p w14:paraId="4B9A2C09" w14:textId="77777777" w:rsidR="002A3970" w:rsidRDefault="002A3970">
            <w:pPr>
              <w:rPr>
                <w:rFonts w:ascii="宋体"/>
                <w:vanish/>
              </w:rPr>
            </w:pPr>
          </w:p>
        </w:tc>
        <w:tc>
          <w:tcPr>
            <w:tcW w:w="0" w:type="auto"/>
            <w:gridSpan w:val="3"/>
            <w:shd w:val="clear" w:color="auto" w:fill="auto"/>
            <w:vAlign w:val="bottom"/>
          </w:tcPr>
          <w:p w14:paraId="4B9A2C0A" w14:textId="77777777" w:rsidR="002A3970" w:rsidRDefault="002A3970">
            <w:pPr>
              <w:rPr>
                <w:rFonts w:ascii="宋体"/>
                <w:vanish/>
              </w:rPr>
            </w:pPr>
          </w:p>
        </w:tc>
        <w:tc>
          <w:tcPr>
            <w:tcW w:w="0" w:type="auto"/>
            <w:gridSpan w:val="3"/>
            <w:shd w:val="clear" w:color="auto" w:fill="auto"/>
            <w:vAlign w:val="bottom"/>
          </w:tcPr>
          <w:p w14:paraId="4B9A2C0B" w14:textId="77777777" w:rsidR="002A3970" w:rsidRDefault="002A3970">
            <w:pPr>
              <w:rPr>
                <w:rFonts w:ascii="宋体"/>
                <w:vanish/>
              </w:rPr>
            </w:pPr>
          </w:p>
        </w:tc>
        <w:tc>
          <w:tcPr>
            <w:tcW w:w="0" w:type="auto"/>
            <w:gridSpan w:val="3"/>
            <w:shd w:val="clear" w:color="auto" w:fill="auto"/>
            <w:vAlign w:val="bottom"/>
          </w:tcPr>
          <w:p w14:paraId="4B9A2C0C" w14:textId="77777777" w:rsidR="002A3970" w:rsidRDefault="002A3970">
            <w:pPr>
              <w:rPr>
                <w:rFonts w:ascii="宋体"/>
                <w:vanish/>
              </w:rPr>
            </w:pPr>
          </w:p>
        </w:tc>
      </w:tr>
      <w:tr w:rsidR="002A3970" w14:paraId="4B9A2C17" w14:textId="77777777">
        <w:trPr>
          <w:jc w:val="center"/>
          <w:hidden/>
        </w:trPr>
        <w:tc>
          <w:tcPr>
            <w:tcW w:w="0" w:type="auto"/>
            <w:gridSpan w:val="3"/>
            <w:shd w:val="clear" w:color="auto" w:fill="auto"/>
            <w:vAlign w:val="bottom"/>
          </w:tcPr>
          <w:p w14:paraId="4B9A2C0E" w14:textId="77777777" w:rsidR="002A3970" w:rsidRDefault="002A3970">
            <w:pPr>
              <w:rPr>
                <w:rFonts w:ascii="宋体"/>
                <w:vanish/>
              </w:rPr>
            </w:pPr>
          </w:p>
        </w:tc>
        <w:tc>
          <w:tcPr>
            <w:tcW w:w="0" w:type="auto"/>
            <w:gridSpan w:val="3"/>
            <w:shd w:val="clear" w:color="auto" w:fill="auto"/>
            <w:vAlign w:val="bottom"/>
          </w:tcPr>
          <w:p w14:paraId="4B9A2C0F" w14:textId="77777777" w:rsidR="002A3970" w:rsidRDefault="002A3970">
            <w:pPr>
              <w:rPr>
                <w:rFonts w:ascii="宋体"/>
                <w:vanish/>
              </w:rPr>
            </w:pPr>
          </w:p>
        </w:tc>
        <w:tc>
          <w:tcPr>
            <w:tcW w:w="0" w:type="auto"/>
            <w:gridSpan w:val="3"/>
            <w:shd w:val="clear" w:color="auto" w:fill="auto"/>
            <w:vAlign w:val="bottom"/>
          </w:tcPr>
          <w:p w14:paraId="4B9A2C10" w14:textId="77777777" w:rsidR="002A3970" w:rsidRDefault="002A3970">
            <w:pPr>
              <w:rPr>
                <w:rFonts w:ascii="宋体"/>
                <w:vanish/>
              </w:rPr>
            </w:pPr>
          </w:p>
        </w:tc>
        <w:tc>
          <w:tcPr>
            <w:tcW w:w="0" w:type="auto"/>
            <w:gridSpan w:val="3"/>
            <w:shd w:val="clear" w:color="auto" w:fill="auto"/>
            <w:vAlign w:val="bottom"/>
          </w:tcPr>
          <w:p w14:paraId="4B9A2C11" w14:textId="77777777" w:rsidR="002A3970" w:rsidRDefault="002A3970">
            <w:pPr>
              <w:rPr>
                <w:rFonts w:ascii="宋体"/>
                <w:vanish/>
              </w:rPr>
            </w:pPr>
          </w:p>
        </w:tc>
        <w:tc>
          <w:tcPr>
            <w:tcW w:w="0" w:type="auto"/>
            <w:gridSpan w:val="3"/>
            <w:shd w:val="clear" w:color="auto" w:fill="auto"/>
            <w:vAlign w:val="bottom"/>
          </w:tcPr>
          <w:p w14:paraId="4B9A2C12" w14:textId="77777777" w:rsidR="002A3970" w:rsidRDefault="002A3970">
            <w:pPr>
              <w:rPr>
                <w:rFonts w:ascii="宋体"/>
                <w:vanish/>
              </w:rPr>
            </w:pPr>
          </w:p>
        </w:tc>
        <w:tc>
          <w:tcPr>
            <w:tcW w:w="0" w:type="auto"/>
            <w:gridSpan w:val="3"/>
            <w:shd w:val="clear" w:color="auto" w:fill="auto"/>
            <w:vAlign w:val="bottom"/>
          </w:tcPr>
          <w:p w14:paraId="4B9A2C13" w14:textId="77777777" w:rsidR="002A3970" w:rsidRDefault="002A3970">
            <w:pPr>
              <w:rPr>
                <w:rFonts w:ascii="宋体"/>
                <w:vanish/>
              </w:rPr>
            </w:pPr>
          </w:p>
        </w:tc>
        <w:tc>
          <w:tcPr>
            <w:tcW w:w="0" w:type="auto"/>
            <w:gridSpan w:val="3"/>
            <w:shd w:val="clear" w:color="auto" w:fill="auto"/>
            <w:vAlign w:val="bottom"/>
          </w:tcPr>
          <w:p w14:paraId="4B9A2C14" w14:textId="77777777" w:rsidR="002A3970" w:rsidRDefault="002A3970">
            <w:pPr>
              <w:rPr>
                <w:rFonts w:ascii="宋体"/>
                <w:vanish/>
              </w:rPr>
            </w:pPr>
          </w:p>
        </w:tc>
        <w:tc>
          <w:tcPr>
            <w:tcW w:w="0" w:type="auto"/>
            <w:gridSpan w:val="3"/>
            <w:shd w:val="clear" w:color="auto" w:fill="auto"/>
            <w:vAlign w:val="bottom"/>
          </w:tcPr>
          <w:p w14:paraId="4B9A2C15" w14:textId="77777777" w:rsidR="002A3970" w:rsidRDefault="002A3970">
            <w:pPr>
              <w:rPr>
                <w:rFonts w:ascii="宋体"/>
                <w:vanish/>
              </w:rPr>
            </w:pPr>
          </w:p>
        </w:tc>
        <w:tc>
          <w:tcPr>
            <w:tcW w:w="0" w:type="auto"/>
            <w:gridSpan w:val="3"/>
            <w:shd w:val="clear" w:color="auto" w:fill="auto"/>
            <w:vAlign w:val="bottom"/>
          </w:tcPr>
          <w:p w14:paraId="4B9A2C16" w14:textId="77777777" w:rsidR="002A3970" w:rsidRDefault="002A3970">
            <w:pPr>
              <w:rPr>
                <w:rFonts w:ascii="宋体"/>
                <w:vanish/>
              </w:rPr>
            </w:pPr>
          </w:p>
        </w:tc>
      </w:tr>
      <w:tr w:rsidR="002A3970" w14:paraId="4B9A2C25" w14:textId="77777777">
        <w:trPr>
          <w:jc w:val="center"/>
        </w:trPr>
        <w:tc>
          <w:tcPr>
            <w:tcW w:w="0" w:type="auto"/>
            <w:gridSpan w:val="3"/>
            <w:shd w:val="clear" w:color="auto" w:fill="CCEEFF"/>
            <w:tcMar>
              <w:top w:w="40" w:type="dxa"/>
              <w:left w:w="380" w:type="dxa"/>
              <w:bottom w:w="40" w:type="dxa"/>
              <w:right w:w="20" w:type="dxa"/>
            </w:tcMar>
            <w:vAlign w:val="center"/>
          </w:tcPr>
          <w:p w14:paraId="4B9A2C18" w14:textId="77777777" w:rsidR="002A3970" w:rsidRDefault="00C35E63">
            <w:pPr>
              <w:textAlignment w:val="center"/>
            </w:pPr>
            <w:r>
              <w:rPr>
                <w:rFonts w:ascii="Times New Roman" w:eastAsia="宋体" w:hAnsi="Times New Roman"/>
                <w:color w:val="000000"/>
                <w:sz w:val="16"/>
                <w:szCs w:val="16"/>
              </w:rPr>
              <w:t>Diluted net income (loss) per common share attributable to Walmart</w:t>
            </w:r>
          </w:p>
        </w:tc>
        <w:tc>
          <w:tcPr>
            <w:tcW w:w="0" w:type="auto"/>
            <w:gridSpan w:val="3"/>
            <w:shd w:val="clear" w:color="auto" w:fill="CCEEFF"/>
            <w:tcMar>
              <w:top w:w="0" w:type="dxa"/>
              <w:left w:w="20" w:type="dxa"/>
              <w:bottom w:w="0" w:type="dxa"/>
              <w:right w:w="20" w:type="dxa"/>
            </w:tcMar>
            <w:vAlign w:val="bottom"/>
          </w:tcPr>
          <w:p w14:paraId="4B9A2C1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1A" w14:textId="77777777" w:rsidR="002A3970" w:rsidRDefault="00C35E63">
            <w:pPr>
              <w:jc w:val="right"/>
              <w:textAlignment w:val="center"/>
            </w:pPr>
            <w:r>
              <w:rPr>
                <w:rFonts w:ascii="Times New Roman" w:eastAsia="宋体" w:hAnsi="Times New Roman"/>
                <w:color w:val="000000"/>
                <w:sz w:val="16"/>
                <w:szCs w:val="16"/>
              </w:rPr>
              <w:t>(0.66)</w:t>
            </w:r>
          </w:p>
        </w:tc>
        <w:tc>
          <w:tcPr>
            <w:tcW w:w="0" w:type="auto"/>
            <w:shd w:val="clear" w:color="auto" w:fill="CCEEFF"/>
            <w:tcMar>
              <w:top w:w="40" w:type="dxa"/>
              <w:left w:w="0" w:type="dxa"/>
              <w:bottom w:w="40" w:type="dxa"/>
              <w:right w:w="20" w:type="dxa"/>
            </w:tcMar>
            <w:vAlign w:val="center"/>
          </w:tcPr>
          <w:p w14:paraId="4B9A2C1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1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1D" w14:textId="77777777" w:rsidR="002A3970" w:rsidRDefault="00C35E63">
            <w:pPr>
              <w:jc w:val="right"/>
              <w:textAlignment w:val="center"/>
            </w:pPr>
            <w:r>
              <w:rPr>
                <w:rFonts w:ascii="Times New Roman" w:eastAsia="宋体" w:hAnsi="Times New Roman"/>
                <w:color w:val="000000"/>
                <w:sz w:val="16"/>
                <w:szCs w:val="16"/>
              </w:rPr>
              <w:t>1.11 </w:t>
            </w:r>
          </w:p>
        </w:tc>
        <w:tc>
          <w:tcPr>
            <w:tcW w:w="0" w:type="auto"/>
            <w:shd w:val="clear" w:color="auto" w:fill="CCEEFF"/>
            <w:tcMar>
              <w:top w:w="40" w:type="dxa"/>
              <w:left w:w="0" w:type="dxa"/>
              <w:bottom w:w="40" w:type="dxa"/>
              <w:right w:w="20" w:type="dxa"/>
            </w:tcMar>
            <w:vAlign w:val="center"/>
          </w:tcPr>
          <w:p w14:paraId="4B9A2C1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1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20" w14:textId="77777777" w:rsidR="002A3970" w:rsidRDefault="00C35E63">
            <w:pPr>
              <w:jc w:val="right"/>
              <w:textAlignment w:val="center"/>
            </w:pPr>
            <w:r>
              <w:rPr>
                <w:rFonts w:ascii="Times New Roman" w:eastAsia="宋体" w:hAnsi="Times New Roman"/>
                <w:color w:val="000000"/>
                <w:sz w:val="16"/>
                <w:szCs w:val="16"/>
              </w:rPr>
              <w:t>1.97 </w:t>
            </w:r>
          </w:p>
        </w:tc>
        <w:tc>
          <w:tcPr>
            <w:tcW w:w="0" w:type="auto"/>
            <w:shd w:val="clear" w:color="auto" w:fill="CCEEFF"/>
            <w:tcMar>
              <w:top w:w="40" w:type="dxa"/>
              <w:left w:w="0" w:type="dxa"/>
              <w:bottom w:w="40" w:type="dxa"/>
              <w:right w:w="20" w:type="dxa"/>
            </w:tcMar>
            <w:vAlign w:val="center"/>
          </w:tcPr>
          <w:p w14:paraId="4B9A2C2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2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23" w14:textId="77777777" w:rsidR="002A3970" w:rsidRDefault="00C35E63">
            <w:pPr>
              <w:jc w:val="right"/>
              <w:textAlignment w:val="center"/>
            </w:pPr>
            <w:r>
              <w:rPr>
                <w:rFonts w:ascii="Times New Roman" w:eastAsia="宋体" w:hAnsi="Times New Roman"/>
                <w:color w:val="000000"/>
                <w:sz w:val="16"/>
                <w:szCs w:val="16"/>
              </w:rPr>
              <w:t>3.59 </w:t>
            </w:r>
          </w:p>
        </w:tc>
        <w:tc>
          <w:tcPr>
            <w:tcW w:w="0" w:type="auto"/>
            <w:shd w:val="clear" w:color="auto" w:fill="CCEEFF"/>
            <w:tcMar>
              <w:top w:w="40" w:type="dxa"/>
              <w:left w:w="0" w:type="dxa"/>
              <w:bottom w:w="40" w:type="dxa"/>
              <w:right w:w="20" w:type="dxa"/>
            </w:tcMar>
            <w:vAlign w:val="center"/>
          </w:tcPr>
          <w:p w14:paraId="4B9A2C24" w14:textId="77777777" w:rsidR="002A3970" w:rsidRDefault="002A3970">
            <w:pPr>
              <w:jc w:val="right"/>
              <w:rPr>
                <w:rFonts w:ascii="宋体"/>
              </w:rPr>
            </w:pPr>
          </w:p>
        </w:tc>
      </w:tr>
      <w:tr w:rsidR="002A3970" w14:paraId="4B9A2C2F" w14:textId="77777777">
        <w:trPr>
          <w:trHeight w:val="220"/>
          <w:jc w:val="center"/>
        </w:trPr>
        <w:tc>
          <w:tcPr>
            <w:tcW w:w="0" w:type="auto"/>
            <w:gridSpan w:val="3"/>
            <w:shd w:val="clear" w:color="auto" w:fill="FFFFFF"/>
            <w:tcMar>
              <w:top w:w="0" w:type="dxa"/>
              <w:left w:w="20" w:type="dxa"/>
              <w:bottom w:w="0" w:type="dxa"/>
              <w:right w:w="20" w:type="dxa"/>
            </w:tcMar>
            <w:vAlign w:val="bottom"/>
          </w:tcPr>
          <w:p w14:paraId="4B9A2C26"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7"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8"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2E" w14:textId="77777777" w:rsidR="002A3970" w:rsidRDefault="002A3970">
            <w:pPr>
              <w:rPr>
                <w:rFonts w:ascii="宋体"/>
              </w:rPr>
            </w:pPr>
          </w:p>
        </w:tc>
      </w:tr>
      <w:tr w:rsidR="002A3970" w14:paraId="4B9A2C39" w14:textId="77777777">
        <w:trPr>
          <w:jc w:val="center"/>
        </w:trPr>
        <w:tc>
          <w:tcPr>
            <w:tcW w:w="0" w:type="auto"/>
            <w:gridSpan w:val="3"/>
            <w:shd w:val="clear" w:color="auto" w:fill="CCEEFF"/>
            <w:tcMar>
              <w:top w:w="40" w:type="dxa"/>
              <w:left w:w="20" w:type="dxa"/>
              <w:bottom w:w="40" w:type="dxa"/>
              <w:right w:w="20" w:type="dxa"/>
            </w:tcMar>
            <w:vAlign w:val="center"/>
          </w:tcPr>
          <w:p w14:paraId="4B9A2C30" w14:textId="77777777" w:rsidR="002A3970" w:rsidRDefault="00C35E63">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CCEEFF"/>
            <w:tcMar>
              <w:top w:w="0" w:type="dxa"/>
              <w:left w:w="20" w:type="dxa"/>
              <w:bottom w:w="0" w:type="dxa"/>
              <w:right w:w="20" w:type="dxa"/>
            </w:tcMar>
            <w:vAlign w:val="bottom"/>
          </w:tcPr>
          <w:p w14:paraId="4B9A2C31"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3"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5"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38" w14:textId="77777777" w:rsidR="002A3970" w:rsidRDefault="002A3970">
            <w:pPr>
              <w:rPr>
                <w:rFonts w:ascii="宋体"/>
              </w:rPr>
            </w:pPr>
          </w:p>
        </w:tc>
      </w:tr>
      <w:tr w:rsidR="002A3970" w14:paraId="4B9A2C47" w14:textId="77777777">
        <w:trPr>
          <w:jc w:val="center"/>
        </w:trPr>
        <w:tc>
          <w:tcPr>
            <w:tcW w:w="0" w:type="auto"/>
            <w:gridSpan w:val="3"/>
            <w:shd w:val="clear" w:color="auto" w:fill="FFFFFF"/>
            <w:tcMar>
              <w:top w:w="40" w:type="dxa"/>
              <w:left w:w="380" w:type="dxa"/>
              <w:bottom w:w="40" w:type="dxa"/>
              <w:right w:w="20" w:type="dxa"/>
            </w:tcMar>
            <w:vAlign w:val="center"/>
          </w:tcPr>
          <w:p w14:paraId="4B9A2C3A" w14:textId="77777777" w:rsidR="002A3970" w:rsidRDefault="00C35E63">
            <w:pPr>
              <w:textAlignment w:val="center"/>
            </w:pPr>
            <w:r>
              <w:rPr>
                <w:rFonts w:ascii="Times New Roman" w:eastAsia="宋体" w:hAnsi="Times New Roman"/>
                <w:color w:val="000000"/>
                <w:sz w:val="16"/>
                <w:szCs w:val="16"/>
              </w:rPr>
              <w:t>Basic</w:t>
            </w:r>
          </w:p>
        </w:tc>
        <w:tc>
          <w:tcPr>
            <w:tcW w:w="0" w:type="auto"/>
            <w:gridSpan w:val="3"/>
            <w:shd w:val="clear" w:color="auto" w:fill="FFFFFF"/>
            <w:tcMar>
              <w:top w:w="0" w:type="dxa"/>
              <w:left w:w="20" w:type="dxa"/>
              <w:bottom w:w="0" w:type="dxa"/>
              <w:right w:w="20" w:type="dxa"/>
            </w:tcMar>
            <w:vAlign w:val="bottom"/>
          </w:tcPr>
          <w:p w14:paraId="4B9A2C3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3C" w14:textId="77777777" w:rsidR="002A3970" w:rsidRDefault="00C35E63">
            <w:pPr>
              <w:jc w:val="right"/>
              <w:textAlignment w:val="center"/>
            </w:pPr>
            <w:r>
              <w:rPr>
                <w:rFonts w:ascii="Times New Roman" w:eastAsia="宋体" w:hAnsi="Times New Roman"/>
                <w:color w:val="000000"/>
                <w:sz w:val="16"/>
                <w:szCs w:val="16"/>
              </w:rPr>
              <w:t>2,711 </w:t>
            </w:r>
          </w:p>
        </w:tc>
        <w:tc>
          <w:tcPr>
            <w:tcW w:w="0" w:type="auto"/>
            <w:shd w:val="clear" w:color="auto" w:fill="FFFFFF"/>
            <w:tcMar>
              <w:top w:w="40" w:type="dxa"/>
              <w:left w:w="0" w:type="dxa"/>
              <w:bottom w:w="40" w:type="dxa"/>
              <w:right w:w="20" w:type="dxa"/>
            </w:tcMar>
            <w:vAlign w:val="center"/>
          </w:tcPr>
          <w:p w14:paraId="4B9A2C3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3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3F" w14:textId="77777777" w:rsidR="002A3970" w:rsidRDefault="00C35E63">
            <w:pPr>
              <w:jc w:val="right"/>
              <w:textAlignment w:val="center"/>
            </w:pPr>
            <w:r>
              <w:rPr>
                <w:rFonts w:ascii="Times New Roman" w:eastAsia="宋体" w:hAnsi="Times New Roman"/>
                <w:color w:val="000000"/>
                <w:sz w:val="16"/>
                <w:szCs w:val="16"/>
              </w:rPr>
              <w:t>2,785 </w:t>
            </w:r>
          </w:p>
        </w:tc>
        <w:tc>
          <w:tcPr>
            <w:tcW w:w="0" w:type="auto"/>
            <w:shd w:val="clear" w:color="auto" w:fill="FFFFFF"/>
            <w:tcMar>
              <w:top w:w="40" w:type="dxa"/>
              <w:left w:w="0" w:type="dxa"/>
              <w:bottom w:w="40" w:type="dxa"/>
              <w:right w:w="20" w:type="dxa"/>
            </w:tcMar>
            <w:vAlign w:val="center"/>
          </w:tcPr>
          <w:p w14:paraId="4B9A2C4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4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42" w14:textId="77777777" w:rsidR="002A3970" w:rsidRDefault="00C35E63">
            <w:pPr>
              <w:jc w:val="right"/>
              <w:textAlignment w:val="center"/>
            </w:pPr>
            <w:r>
              <w:rPr>
                <w:rFonts w:ascii="Times New Roman" w:eastAsia="宋体" w:hAnsi="Times New Roman"/>
                <w:color w:val="000000"/>
                <w:sz w:val="16"/>
                <w:szCs w:val="16"/>
              </w:rPr>
              <w:t>2,733 </w:t>
            </w:r>
          </w:p>
        </w:tc>
        <w:tc>
          <w:tcPr>
            <w:tcW w:w="0" w:type="auto"/>
            <w:shd w:val="clear" w:color="auto" w:fill="FFFFFF"/>
            <w:tcMar>
              <w:top w:w="40" w:type="dxa"/>
              <w:left w:w="0" w:type="dxa"/>
              <w:bottom w:w="40" w:type="dxa"/>
              <w:right w:w="20" w:type="dxa"/>
            </w:tcMar>
            <w:vAlign w:val="center"/>
          </w:tcPr>
          <w:p w14:paraId="4B9A2C4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4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45" w14:textId="77777777" w:rsidR="002A3970" w:rsidRDefault="00C35E63">
            <w:pPr>
              <w:jc w:val="right"/>
              <w:textAlignment w:val="center"/>
            </w:pPr>
            <w:r>
              <w:rPr>
                <w:rFonts w:ascii="Times New Roman" w:eastAsia="宋体" w:hAnsi="Times New Roman"/>
                <w:color w:val="000000"/>
                <w:sz w:val="16"/>
                <w:szCs w:val="16"/>
              </w:rPr>
              <w:t>2,799 </w:t>
            </w:r>
          </w:p>
        </w:tc>
        <w:tc>
          <w:tcPr>
            <w:tcW w:w="0" w:type="auto"/>
            <w:shd w:val="clear" w:color="auto" w:fill="FFFFFF"/>
            <w:tcMar>
              <w:top w:w="40" w:type="dxa"/>
              <w:left w:w="0" w:type="dxa"/>
              <w:bottom w:w="40" w:type="dxa"/>
              <w:right w:w="20" w:type="dxa"/>
            </w:tcMar>
            <w:vAlign w:val="center"/>
          </w:tcPr>
          <w:p w14:paraId="4B9A2C46" w14:textId="77777777" w:rsidR="002A3970" w:rsidRDefault="002A3970">
            <w:pPr>
              <w:jc w:val="right"/>
              <w:rPr>
                <w:rFonts w:ascii="宋体"/>
              </w:rPr>
            </w:pPr>
          </w:p>
        </w:tc>
      </w:tr>
      <w:tr w:rsidR="002A3970" w14:paraId="4B9A2C55" w14:textId="77777777">
        <w:trPr>
          <w:jc w:val="center"/>
        </w:trPr>
        <w:tc>
          <w:tcPr>
            <w:tcW w:w="0" w:type="auto"/>
            <w:gridSpan w:val="3"/>
            <w:shd w:val="clear" w:color="auto" w:fill="CCEEFF"/>
            <w:tcMar>
              <w:top w:w="40" w:type="dxa"/>
              <w:left w:w="380" w:type="dxa"/>
              <w:bottom w:w="40" w:type="dxa"/>
              <w:right w:w="20" w:type="dxa"/>
            </w:tcMar>
            <w:vAlign w:val="center"/>
          </w:tcPr>
          <w:p w14:paraId="4B9A2C48" w14:textId="77777777" w:rsidR="002A3970" w:rsidRDefault="00C35E63">
            <w:pPr>
              <w:textAlignment w:val="center"/>
            </w:pPr>
            <w:r>
              <w:rPr>
                <w:rFonts w:ascii="Times New Roman" w:eastAsia="宋体" w:hAnsi="Times New Roman"/>
                <w:color w:val="000000"/>
                <w:sz w:val="16"/>
                <w:szCs w:val="16"/>
              </w:rPr>
              <w:t>Diluted</w:t>
            </w:r>
          </w:p>
        </w:tc>
        <w:tc>
          <w:tcPr>
            <w:tcW w:w="0" w:type="auto"/>
            <w:gridSpan w:val="3"/>
            <w:shd w:val="clear" w:color="auto" w:fill="CCEEFF"/>
            <w:tcMar>
              <w:top w:w="0" w:type="dxa"/>
              <w:left w:w="20" w:type="dxa"/>
              <w:bottom w:w="0" w:type="dxa"/>
              <w:right w:w="20" w:type="dxa"/>
            </w:tcMar>
            <w:vAlign w:val="bottom"/>
          </w:tcPr>
          <w:p w14:paraId="4B9A2C4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4A" w14:textId="77777777" w:rsidR="002A3970" w:rsidRDefault="00C35E63">
            <w:pPr>
              <w:jc w:val="right"/>
              <w:textAlignment w:val="center"/>
            </w:pPr>
            <w:r>
              <w:rPr>
                <w:rFonts w:ascii="Times New Roman" w:eastAsia="宋体" w:hAnsi="Times New Roman"/>
                <w:color w:val="000000"/>
                <w:sz w:val="16"/>
                <w:szCs w:val="16"/>
              </w:rPr>
              <w:t>2,711 </w:t>
            </w:r>
          </w:p>
        </w:tc>
        <w:tc>
          <w:tcPr>
            <w:tcW w:w="0" w:type="auto"/>
            <w:shd w:val="clear" w:color="auto" w:fill="CCEEFF"/>
            <w:tcMar>
              <w:top w:w="40" w:type="dxa"/>
              <w:left w:w="0" w:type="dxa"/>
              <w:bottom w:w="40" w:type="dxa"/>
              <w:right w:w="20" w:type="dxa"/>
            </w:tcMar>
            <w:vAlign w:val="center"/>
          </w:tcPr>
          <w:p w14:paraId="4B9A2C4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4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4D" w14:textId="77777777" w:rsidR="002A3970" w:rsidRDefault="00C35E63">
            <w:pPr>
              <w:jc w:val="right"/>
              <w:textAlignment w:val="center"/>
            </w:pPr>
            <w:r>
              <w:rPr>
                <w:rFonts w:ascii="Times New Roman" w:eastAsia="宋体" w:hAnsi="Times New Roman"/>
                <w:color w:val="000000"/>
                <w:sz w:val="16"/>
                <w:szCs w:val="16"/>
              </w:rPr>
              <w:t>2,797 </w:t>
            </w:r>
          </w:p>
        </w:tc>
        <w:tc>
          <w:tcPr>
            <w:tcW w:w="0" w:type="auto"/>
            <w:shd w:val="clear" w:color="auto" w:fill="CCEEFF"/>
            <w:tcMar>
              <w:top w:w="40" w:type="dxa"/>
              <w:left w:w="0" w:type="dxa"/>
              <w:bottom w:w="40" w:type="dxa"/>
              <w:right w:w="20" w:type="dxa"/>
            </w:tcMar>
            <w:vAlign w:val="center"/>
          </w:tcPr>
          <w:p w14:paraId="4B9A2C4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4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50" w14:textId="77777777" w:rsidR="002A3970" w:rsidRDefault="00C35E63">
            <w:pPr>
              <w:jc w:val="right"/>
              <w:textAlignment w:val="center"/>
            </w:pPr>
            <w:r>
              <w:rPr>
                <w:rFonts w:ascii="Times New Roman" w:eastAsia="宋体" w:hAnsi="Times New Roman"/>
                <w:color w:val="000000"/>
                <w:sz w:val="16"/>
                <w:szCs w:val="16"/>
              </w:rPr>
              <w:t>2,743 </w:t>
            </w:r>
          </w:p>
        </w:tc>
        <w:tc>
          <w:tcPr>
            <w:tcW w:w="0" w:type="auto"/>
            <w:shd w:val="clear" w:color="auto" w:fill="CCEEFF"/>
            <w:tcMar>
              <w:top w:w="40" w:type="dxa"/>
              <w:left w:w="0" w:type="dxa"/>
              <w:bottom w:w="40" w:type="dxa"/>
              <w:right w:w="20" w:type="dxa"/>
            </w:tcMar>
            <w:vAlign w:val="center"/>
          </w:tcPr>
          <w:p w14:paraId="4B9A2C5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5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53" w14:textId="77777777" w:rsidR="002A3970" w:rsidRDefault="00C35E63">
            <w:pPr>
              <w:jc w:val="right"/>
              <w:textAlignment w:val="center"/>
            </w:pPr>
            <w:r>
              <w:rPr>
                <w:rFonts w:ascii="Times New Roman" w:eastAsia="宋体" w:hAnsi="Times New Roman"/>
                <w:color w:val="000000"/>
                <w:sz w:val="16"/>
                <w:szCs w:val="16"/>
              </w:rPr>
              <w:t>2,813 </w:t>
            </w:r>
          </w:p>
        </w:tc>
        <w:tc>
          <w:tcPr>
            <w:tcW w:w="0" w:type="auto"/>
            <w:shd w:val="clear" w:color="auto" w:fill="CCEEFF"/>
            <w:tcMar>
              <w:top w:w="40" w:type="dxa"/>
              <w:left w:w="0" w:type="dxa"/>
              <w:bottom w:w="40" w:type="dxa"/>
              <w:right w:w="20" w:type="dxa"/>
            </w:tcMar>
            <w:vAlign w:val="center"/>
          </w:tcPr>
          <w:p w14:paraId="4B9A2C54" w14:textId="77777777" w:rsidR="002A3970" w:rsidRDefault="002A3970">
            <w:pPr>
              <w:jc w:val="right"/>
              <w:rPr>
                <w:rFonts w:ascii="宋体"/>
              </w:rPr>
            </w:pPr>
          </w:p>
        </w:tc>
      </w:tr>
      <w:tr w:rsidR="002A3970" w14:paraId="4B9A2C5F" w14:textId="77777777">
        <w:trPr>
          <w:trHeight w:val="220"/>
          <w:jc w:val="center"/>
        </w:trPr>
        <w:tc>
          <w:tcPr>
            <w:tcW w:w="0" w:type="auto"/>
            <w:gridSpan w:val="3"/>
            <w:shd w:val="clear" w:color="auto" w:fill="FFFFFF"/>
            <w:tcMar>
              <w:top w:w="0" w:type="dxa"/>
              <w:left w:w="20" w:type="dxa"/>
              <w:bottom w:w="0" w:type="dxa"/>
              <w:right w:w="20" w:type="dxa"/>
            </w:tcMar>
            <w:vAlign w:val="bottom"/>
          </w:tcPr>
          <w:p w14:paraId="4B9A2C56"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7"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8"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5E" w14:textId="77777777" w:rsidR="002A3970" w:rsidRDefault="002A3970">
            <w:pPr>
              <w:rPr>
                <w:rFonts w:ascii="宋体"/>
              </w:rPr>
            </w:pPr>
          </w:p>
        </w:tc>
      </w:tr>
      <w:tr w:rsidR="002A3970" w14:paraId="4B9A2C71" w14:textId="77777777">
        <w:trPr>
          <w:jc w:val="center"/>
        </w:trPr>
        <w:tc>
          <w:tcPr>
            <w:tcW w:w="0" w:type="auto"/>
            <w:gridSpan w:val="3"/>
            <w:shd w:val="clear" w:color="auto" w:fill="CCEEFF"/>
            <w:tcMar>
              <w:top w:w="40" w:type="dxa"/>
              <w:left w:w="20" w:type="dxa"/>
              <w:bottom w:w="40" w:type="dxa"/>
              <w:right w:w="20" w:type="dxa"/>
            </w:tcMar>
            <w:vAlign w:val="center"/>
          </w:tcPr>
          <w:p w14:paraId="4B9A2C60" w14:textId="77777777" w:rsidR="002A3970" w:rsidRDefault="00C35E63">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CCEEFF"/>
            <w:tcMar>
              <w:top w:w="0" w:type="dxa"/>
              <w:left w:w="20" w:type="dxa"/>
              <w:bottom w:w="0" w:type="dxa"/>
              <w:right w:w="20" w:type="dxa"/>
            </w:tcMar>
            <w:vAlign w:val="bottom"/>
          </w:tcPr>
          <w:p w14:paraId="4B9A2C6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C6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C6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C6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65"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C6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C6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C6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69"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C6A"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C6B" w14:textId="77777777" w:rsidR="002A3970" w:rsidRDefault="00C35E63">
            <w:pPr>
              <w:jc w:val="right"/>
              <w:textAlignment w:val="center"/>
            </w:pPr>
            <w:r>
              <w:rPr>
                <w:rFonts w:ascii="Times New Roman" w:eastAsia="宋体" w:hAnsi="Times New Roman"/>
                <w:color w:val="000000"/>
                <w:sz w:val="16"/>
                <w:szCs w:val="16"/>
              </w:rPr>
              <w:t>2.24 </w:t>
            </w:r>
          </w:p>
        </w:tc>
        <w:tc>
          <w:tcPr>
            <w:tcW w:w="0" w:type="auto"/>
            <w:shd w:val="clear" w:color="auto" w:fill="CCEEFF"/>
            <w:tcMar>
              <w:top w:w="40" w:type="dxa"/>
              <w:left w:w="0" w:type="dxa"/>
              <w:bottom w:w="40" w:type="dxa"/>
              <w:right w:w="20" w:type="dxa"/>
            </w:tcMar>
            <w:vAlign w:val="center"/>
          </w:tcPr>
          <w:p w14:paraId="4B9A2C6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6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C6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C6F" w14:textId="77777777" w:rsidR="002A3970" w:rsidRDefault="00C35E63">
            <w:pPr>
              <w:jc w:val="right"/>
              <w:textAlignment w:val="center"/>
            </w:pPr>
            <w:r>
              <w:rPr>
                <w:rFonts w:ascii="Times New Roman" w:eastAsia="宋体" w:hAnsi="Times New Roman"/>
                <w:color w:val="000000"/>
                <w:sz w:val="16"/>
                <w:szCs w:val="16"/>
              </w:rPr>
              <w:t>2.20 </w:t>
            </w:r>
          </w:p>
        </w:tc>
        <w:tc>
          <w:tcPr>
            <w:tcW w:w="0" w:type="auto"/>
            <w:shd w:val="clear" w:color="auto" w:fill="CCEEFF"/>
            <w:tcMar>
              <w:top w:w="40" w:type="dxa"/>
              <w:left w:w="0" w:type="dxa"/>
              <w:bottom w:w="40" w:type="dxa"/>
              <w:right w:w="20" w:type="dxa"/>
            </w:tcMar>
            <w:vAlign w:val="center"/>
          </w:tcPr>
          <w:p w14:paraId="4B9A2C70" w14:textId="77777777" w:rsidR="002A3970" w:rsidRDefault="002A3970">
            <w:pPr>
              <w:jc w:val="right"/>
              <w:rPr>
                <w:rFonts w:ascii="宋体"/>
              </w:rPr>
            </w:pPr>
          </w:p>
        </w:tc>
      </w:tr>
    </w:tbl>
    <w:p w14:paraId="4B9A2C72" w14:textId="77777777" w:rsidR="002A3970" w:rsidRDefault="00C35E63">
      <w:pPr>
        <w:spacing w:before="80"/>
      </w:pPr>
      <w:r>
        <w:rPr>
          <w:rFonts w:ascii="Times New Roman" w:eastAsia="宋体" w:hAnsi="Times New Roman"/>
          <w:i/>
          <w:iCs/>
          <w:color w:val="000000"/>
          <w:sz w:val="16"/>
          <w:szCs w:val="16"/>
        </w:rPr>
        <w:t xml:space="preserve">See accompanying notes. </w:t>
      </w:r>
    </w:p>
    <w:p w14:paraId="4B9A2C73" w14:textId="77777777" w:rsidR="002A3970" w:rsidRDefault="00C35E63">
      <w:pPr>
        <w:jc w:val="center"/>
      </w:pPr>
      <w:r>
        <w:rPr>
          <w:rFonts w:ascii="Times New Roman" w:eastAsia="宋体" w:hAnsi="Times New Roman"/>
          <w:color w:val="000000"/>
          <w:sz w:val="20"/>
          <w:szCs w:val="20"/>
        </w:rPr>
        <w:t>3</w:t>
      </w:r>
    </w:p>
    <w:p w14:paraId="4B9A2C74" w14:textId="77777777" w:rsidR="002A3970" w:rsidRDefault="00C35E63">
      <w:r>
        <w:pict w14:anchorId="4B9A4C18">
          <v:rect id="_x0000_i1027" style="width:415.3pt;height:1.5pt" o:hralign="center" o:hrstd="t" o:hr="t" fillcolor="#a0a0a0" stroked="f"/>
        </w:pict>
      </w:r>
    </w:p>
    <w:p w14:paraId="4B9A2C75" w14:textId="77777777" w:rsidR="002A3970" w:rsidRDefault="00C35E63">
      <w:hyperlink r:id="rId42" w:anchor="i0522a2f6333e456295d59e779af751cb_7" w:history="1">
        <w:r>
          <w:rPr>
            <w:rStyle w:val="a5"/>
            <w:rFonts w:ascii="Times New Roman" w:eastAsia="宋体" w:hAnsi="Times New Roman"/>
            <w:sz w:val="20"/>
            <w:szCs w:val="20"/>
          </w:rPr>
          <w:t>Table of Contents</w:t>
        </w:r>
      </w:hyperlink>
    </w:p>
    <w:p w14:paraId="4B9A2C76" w14:textId="77777777" w:rsidR="002A3970" w:rsidRDefault="00C35E63">
      <w:pPr>
        <w:jc w:val="center"/>
      </w:pPr>
      <w:r>
        <w:rPr>
          <w:rFonts w:ascii="Times New Roman" w:eastAsia="宋体" w:hAnsi="Times New Roman"/>
          <w:b/>
          <w:bCs/>
          <w:color w:val="000000"/>
          <w:sz w:val="20"/>
          <w:szCs w:val="20"/>
        </w:rPr>
        <w:t>Walmart Inc.</w:t>
      </w:r>
    </w:p>
    <w:p w14:paraId="4B9A2C77" w14:textId="77777777" w:rsidR="002A3970" w:rsidRDefault="00C35E63">
      <w:pPr>
        <w:spacing w:before="60"/>
        <w:jc w:val="center"/>
      </w:pPr>
      <w:r>
        <w:rPr>
          <w:rFonts w:ascii="Times New Roman" w:eastAsia="宋体" w:hAnsi="Times New Roman"/>
          <w:b/>
          <w:bCs/>
          <w:color w:val="000000"/>
          <w:sz w:val="20"/>
          <w:szCs w:val="20"/>
        </w:rPr>
        <w:t>Condensed Consolidated Statements of Comprehensive Income</w:t>
      </w:r>
    </w:p>
    <w:p w14:paraId="4B9A2C78" w14:textId="77777777" w:rsidR="002A3970" w:rsidRDefault="00C35E63">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42"/>
        <w:gridCol w:w="39"/>
        <w:gridCol w:w="100"/>
        <w:gridCol w:w="467"/>
        <w:gridCol w:w="36"/>
        <w:gridCol w:w="36"/>
        <w:gridCol w:w="36"/>
        <w:gridCol w:w="36"/>
        <w:gridCol w:w="100"/>
        <w:gridCol w:w="400"/>
        <w:gridCol w:w="36"/>
        <w:gridCol w:w="36"/>
        <w:gridCol w:w="36"/>
        <w:gridCol w:w="36"/>
        <w:gridCol w:w="100"/>
        <w:gridCol w:w="400"/>
        <w:gridCol w:w="36"/>
        <w:gridCol w:w="36"/>
        <w:gridCol w:w="36"/>
        <w:gridCol w:w="36"/>
        <w:gridCol w:w="100"/>
        <w:gridCol w:w="480"/>
        <w:gridCol w:w="36"/>
      </w:tblGrid>
      <w:tr w:rsidR="002A3970" w14:paraId="4B9A2C91" w14:textId="77777777">
        <w:trPr>
          <w:jc w:val="center"/>
        </w:trPr>
        <w:tc>
          <w:tcPr>
            <w:tcW w:w="50" w:type="pct"/>
            <w:shd w:val="clear" w:color="auto" w:fill="auto"/>
            <w:vAlign w:val="bottom"/>
          </w:tcPr>
          <w:p w14:paraId="4B9A2C79" w14:textId="77777777" w:rsidR="002A3970" w:rsidRDefault="002A3970">
            <w:pPr>
              <w:rPr>
                <w:rFonts w:ascii="宋体"/>
              </w:rPr>
            </w:pPr>
          </w:p>
        </w:tc>
        <w:tc>
          <w:tcPr>
            <w:tcW w:w="3538" w:type="pct"/>
            <w:shd w:val="clear" w:color="auto" w:fill="auto"/>
            <w:vAlign w:val="bottom"/>
          </w:tcPr>
          <w:p w14:paraId="4B9A2C7A" w14:textId="77777777" w:rsidR="002A3970" w:rsidRDefault="002A3970">
            <w:pPr>
              <w:rPr>
                <w:rFonts w:ascii="宋体"/>
              </w:rPr>
            </w:pPr>
          </w:p>
        </w:tc>
        <w:tc>
          <w:tcPr>
            <w:tcW w:w="5" w:type="pct"/>
            <w:shd w:val="clear" w:color="auto" w:fill="auto"/>
            <w:vAlign w:val="bottom"/>
          </w:tcPr>
          <w:p w14:paraId="4B9A2C7B" w14:textId="77777777" w:rsidR="002A3970" w:rsidRDefault="002A3970">
            <w:pPr>
              <w:rPr>
                <w:rFonts w:ascii="宋体"/>
              </w:rPr>
            </w:pPr>
          </w:p>
        </w:tc>
        <w:tc>
          <w:tcPr>
            <w:tcW w:w="50" w:type="pct"/>
            <w:shd w:val="clear" w:color="auto" w:fill="auto"/>
            <w:vAlign w:val="bottom"/>
          </w:tcPr>
          <w:p w14:paraId="4B9A2C7C" w14:textId="77777777" w:rsidR="002A3970" w:rsidRDefault="002A3970">
            <w:pPr>
              <w:rPr>
                <w:rFonts w:ascii="宋体"/>
              </w:rPr>
            </w:pPr>
          </w:p>
        </w:tc>
        <w:tc>
          <w:tcPr>
            <w:tcW w:w="263" w:type="pct"/>
            <w:shd w:val="clear" w:color="auto" w:fill="auto"/>
            <w:vAlign w:val="bottom"/>
          </w:tcPr>
          <w:p w14:paraId="4B9A2C7D" w14:textId="77777777" w:rsidR="002A3970" w:rsidRDefault="002A3970">
            <w:pPr>
              <w:rPr>
                <w:rFonts w:ascii="宋体"/>
              </w:rPr>
            </w:pPr>
          </w:p>
        </w:tc>
        <w:tc>
          <w:tcPr>
            <w:tcW w:w="5" w:type="pct"/>
            <w:shd w:val="clear" w:color="auto" w:fill="auto"/>
            <w:vAlign w:val="bottom"/>
          </w:tcPr>
          <w:p w14:paraId="4B9A2C7E" w14:textId="77777777" w:rsidR="002A3970" w:rsidRDefault="002A3970">
            <w:pPr>
              <w:rPr>
                <w:rFonts w:ascii="宋体"/>
              </w:rPr>
            </w:pPr>
          </w:p>
        </w:tc>
        <w:tc>
          <w:tcPr>
            <w:tcW w:w="5" w:type="pct"/>
            <w:shd w:val="clear" w:color="auto" w:fill="auto"/>
            <w:vAlign w:val="bottom"/>
          </w:tcPr>
          <w:p w14:paraId="4B9A2C7F" w14:textId="77777777" w:rsidR="002A3970" w:rsidRDefault="002A3970">
            <w:pPr>
              <w:rPr>
                <w:rFonts w:ascii="宋体"/>
              </w:rPr>
            </w:pPr>
          </w:p>
        </w:tc>
        <w:tc>
          <w:tcPr>
            <w:tcW w:w="33" w:type="pct"/>
            <w:shd w:val="clear" w:color="auto" w:fill="auto"/>
            <w:vAlign w:val="bottom"/>
          </w:tcPr>
          <w:p w14:paraId="4B9A2C80" w14:textId="77777777" w:rsidR="002A3970" w:rsidRDefault="002A3970">
            <w:pPr>
              <w:rPr>
                <w:rFonts w:ascii="宋体"/>
              </w:rPr>
            </w:pPr>
          </w:p>
        </w:tc>
        <w:tc>
          <w:tcPr>
            <w:tcW w:w="5" w:type="pct"/>
            <w:shd w:val="clear" w:color="auto" w:fill="auto"/>
            <w:vAlign w:val="bottom"/>
          </w:tcPr>
          <w:p w14:paraId="4B9A2C81" w14:textId="77777777" w:rsidR="002A3970" w:rsidRDefault="002A3970">
            <w:pPr>
              <w:rPr>
                <w:rFonts w:ascii="宋体"/>
              </w:rPr>
            </w:pPr>
          </w:p>
        </w:tc>
        <w:tc>
          <w:tcPr>
            <w:tcW w:w="50" w:type="pct"/>
            <w:shd w:val="clear" w:color="auto" w:fill="auto"/>
            <w:vAlign w:val="bottom"/>
          </w:tcPr>
          <w:p w14:paraId="4B9A2C82" w14:textId="77777777" w:rsidR="002A3970" w:rsidRDefault="002A3970">
            <w:pPr>
              <w:rPr>
                <w:rFonts w:ascii="宋体"/>
              </w:rPr>
            </w:pPr>
          </w:p>
        </w:tc>
        <w:tc>
          <w:tcPr>
            <w:tcW w:w="263" w:type="pct"/>
            <w:shd w:val="clear" w:color="auto" w:fill="auto"/>
            <w:vAlign w:val="bottom"/>
          </w:tcPr>
          <w:p w14:paraId="4B9A2C83" w14:textId="77777777" w:rsidR="002A3970" w:rsidRDefault="002A3970">
            <w:pPr>
              <w:rPr>
                <w:rFonts w:ascii="宋体"/>
              </w:rPr>
            </w:pPr>
          </w:p>
        </w:tc>
        <w:tc>
          <w:tcPr>
            <w:tcW w:w="5" w:type="pct"/>
            <w:shd w:val="clear" w:color="auto" w:fill="auto"/>
            <w:vAlign w:val="bottom"/>
          </w:tcPr>
          <w:p w14:paraId="4B9A2C84" w14:textId="77777777" w:rsidR="002A3970" w:rsidRDefault="002A3970">
            <w:pPr>
              <w:rPr>
                <w:rFonts w:ascii="宋体"/>
              </w:rPr>
            </w:pPr>
          </w:p>
        </w:tc>
        <w:tc>
          <w:tcPr>
            <w:tcW w:w="5" w:type="pct"/>
            <w:shd w:val="clear" w:color="auto" w:fill="auto"/>
            <w:vAlign w:val="bottom"/>
          </w:tcPr>
          <w:p w14:paraId="4B9A2C85" w14:textId="77777777" w:rsidR="002A3970" w:rsidRDefault="002A3970">
            <w:pPr>
              <w:rPr>
                <w:rFonts w:ascii="宋体"/>
              </w:rPr>
            </w:pPr>
          </w:p>
        </w:tc>
        <w:tc>
          <w:tcPr>
            <w:tcW w:w="33" w:type="pct"/>
            <w:shd w:val="clear" w:color="auto" w:fill="auto"/>
            <w:vAlign w:val="bottom"/>
          </w:tcPr>
          <w:p w14:paraId="4B9A2C86" w14:textId="77777777" w:rsidR="002A3970" w:rsidRDefault="002A3970">
            <w:pPr>
              <w:rPr>
                <w:rFonts w:ascii="宋体"/>
              </w:rPr>
            </w:pPr>
          </w:p>
        </w:tc>
        <w:tc>
          <w:tcPr>
            <w:tcW w:w="5" w:type="pct"/>
            <w:shd w:val="clear" w:color="auto" w:fill="auto"/>
            <w:vAlign w:val="bottom"/>
          </w:tcPr>
          <w:p w14:paraId="4B9A2C87" w14:textId="77777777" w:rsidR="002A3970" w:rsidRDefault="002A3970">
            <w:pPr>
              <w:rPr>
                <w:rFonts w:ascii="宋体"/>
              </w:rPr>
            </w:pPr>
          </w:p>
        </w:tc>
        <w:tc>
          <w:tcPr>
            <w:tcW w:w="50" w:type="pct"/>
            <w:shd w:val="clear" w:color="auto" w:fill="auto"/>
            <w:vAlign w:val="bottom"/>
          </w:tcPr>
          <w:p w14:paraId="4B9A2C88" w14:textId="77777777" w:rsidR="002A3970" w:rsidRDefault="002A3970">
            <w:pPr>
              <w:rPr>
                <w:rFonts w:ascii="宋体"/>
              </w:rPr>
            </w:pPr>
          </w:p>
        </w:tc>
        <w:tc>
          <w:tcPr>
            <w:tcW w:w="263" w:type="pct"/>
            <w:shd w:val="clear" w:color="auto" w:fill="auto"/>
            <w:vAlign w:val="bottom"/>
          </w:tcPr>
          <w:p w14:paraId="4B9A2C89" w14:textId="77777777" w:rsidR="002A3970" w:rsidRDefault="002A3970">
            <w:pPr>
              <w:rPr>
                <w:rFonts w:ascii="宋体"/>
              </w:rPr>
            </w:pPr>
          </w:p>
        </w:tc>
        <w:tc>
          <w:tcPr>
            <w:tcW w:w="5" w:type="pct"/>
            <w:shd w:val="clear" w:color="auto" w:fill="auto"/>
            <w:vAlign w:val="bottom"/>
          </w:tcPr>
          <w:p w14:paraId="4B9A2C8A" w14:textId="77777777" w:rsidR="002A3970" w:rsidRDefault="002A3970">
            <w:pPr>
              <w:rPr>
                <w:rFonts w:ascii="宋体"/>
              </w:rPr>
            </w:pPr>
          </w:p>
        </w:tc>
        <w:tc>
          <w:tcPr>
            <w:tcW w:w="5" w:type="pct"/>
            <w:shd w:val="clear" w:color="auto" w:fill="auto"/>
            <w:vAlign w:val="bottom"/>
          </w:tcPr>
          <w:p w14:paraId="4B9A2C8B" w14:textId="77777777" w:rsidR="002A3970" w:rsidRDefault="002A3970">
            <w:pPr>
              <w:rPr>
                <w:rFonts w:ascii="宋体"/>
              </w:rPr>
            </w:pPr>
          </w:p>
        </w:tc>
        <w:tc>
          <w:tcPr>
            <w:tcW w:w="33" w:type="pct"/>
            <w:shd w:val="clear" w:color="auto" w:fill="auto"/>
            <w:vAlign w:val="bottom"/>
          </w:tcPr>
          <w:p w14:paraId="4B9A2C8C" w14:textId="77777777" w:rsidR="002A3970" w:rsidRDefault="002A3970">
            <w:pPr>
              <w:rPr>
                <w:rFonts w:ascii="宋体"/>
              </w:rPr>
            </w:pPr>
          </w:p>
        </w:tc>
        <w:tc>
          <w:tcPr>
            <w:tcW w:w="5" w:type="pct"/>
            <w:shd w:val="clear" w:color="auto" w:fill="auto"/>
            <w:vAlign w:val="bottom"/>
          </w:tcPr>
          <w:p w14:paraId="4B9A2C8D" w14:textId="77777777" w:rsidR="002A3970" w:rsidRDefault="002A3970">
            <w:pPr>
              <w:rPr>
                <w:rFonts w:ascii="宋体"/>
              </w:rPr>
            </w:pPr>
          </w:p>
        </w:tc>
        <w:tc>
          <w:tcPr>
            <w:tcW w:w="50" w:type="pct"/>
            <w:shd w:val="clear" w:color="auto" w:fill="auto"/>
            <w:vAlign w:val="bottom"/>
          </w:tcPr>
          <w:p w14:paraId="4B9A2C8E" w14:textId="77777777" w:rsidR="002A3970" w:rsidRDefault="002A3970">
            <w:pPr>
              <w:rPr>
                <w:rFonts w:ascii="宋体"/>
              </w:rPr>
            </w:pPr>
          </w:p>
        </w:tc>
        <w:tc>
          <w:tcPr>
            <w:tcW w:w="263" w:type="pct"/>
            <w:shd w:val="clear" w:color="auto" w:fill="auto"/>
            <w:vAlign w:val="bottom"/>
          </w:tcPr>
          <w:p w14:paraId="4B9A2C8F" w14:textId="77777777" w:rsidR="002A3970" w:rsidRDefault="002A3970">
            <w:pPr>
              <w:rPr>
                <w:rFonts w:ascii="宋体"/>
              </w:rPr>
            </w:pPr>
          </w:p>
        </w:tc>
        <w:tc>
          <w:tcPr>
            <w:tcW w:w="5" w:type="pct"/>
            <w:shd w:val="clear" w:color="auto" w:fill="auto"/>
            <w:vAlign w:val="bottom"/>
          </w:tcPr>
          <w:p w14:paraId="4B9A2C90" w14:textId="77777777" w:rsidR="002A3970" w:rsidRDefault="002A3970">
            <w:pPr>
              <w:rPr>
                <w:rFonts w:ascii="宋体"/>
              </w:rPr>
            </w:pPr>
          </w:p>
        </w:tc>
      </w:tr>
      <w:tr w:rsidR="002A3970" w14:paraId="4B9A2C96" w14:textId="77777777">
        <w:trPr>
          <w:jc w:val="center"/>
        </w:trPr>
        <w:tc>
          <w:tcPr>
            <w:tcW w:w="0" w:type="auto"/>
            <w:gridSpan w:val="3"/>
            <w:shd w:val="clear" w:color="auto" w:fill="auto"/>
            <w:tcMar>
              <w:top w:w="40" w:type="dxa"/>
              <w:left w:w="20" w:type="dxa"/>
              <w:bottom w:w="40" w:type="dxa"/>
              <w:right w:w="20" w:type="dxa"/>
            </w:tcMar>
            <w:vAlign w:val="bottom"/>
          </w:tcPr>
          <w:p w14:paraId="4B9A2C92" w14:textId="77777777" w:rsidR="002A3970" w:rsidRDefault="00C35E63">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B9A2C93"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2C94"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2C95"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2C9F" w14:textId="77777777">
        <w:trPr>
          <w:jc w:val="center"/>
        </w:trPr>
        <w:tc>
          <w:tcPr>
            <w:tcW w:w="0" w:type="auto"/>
            <w:gridSpan w:val="3"/>
            <w:shd w:val="clear" w:color="auto" w:fill="auto"/>
            <w:tcMar>
              <w:top w:w="40" w:type="dxa"/>
              <w:left w:w="20" w:type="dxa"/>
              <w:bottom w:w="40" w:type="dxa"/>
              <w:right w:w="20" w:type="dxa"/>
            </w:tcMar>
            <w:vAlign w:val="bottom"/>
          </w:tcPr>
          <w:p w14:paraId="4B9A2C97"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C98"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C99"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C9A"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2C9B"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C9C"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C9D"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2C9E"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2CB0" w14:textId="77777777">
        <w:trPr>
          <w:jc w:val="center"/>
        </w:trPr>
        <w:tc>
          <w:tcPr>
            <w:tcW w:w="0" w:type="auto"/>
            <w:gridSpan w:val="3"/>
            <w:shd w:val="clear" w:color="auto" w:fill="CCEEFF"/>
            <w:tcMar>
              <w:top w:w="40" w:type="dxa"/>
              <w:left w:w="20" w:type="dxa"/>
              <w:bottom w:w="40" w:type="dxa"/>
              <w:right w:w="20" w:type="dxa"/>
            </w:tcMar>
            <w:vAlign w:val="center"/>
          </w:tcPr>
          <w:p w14:paraId="4B9A2CA0" w14:textId="77777777" w:rsidR="002A3970" w:rsidRDefault="00C35E63">
            <w:pPr>
              <w:textAlignment w:val="center"/>
            </w:pPr>
            <w:r>
              <w:rPr>
                <w:rFonts w:ascii="Times New Roman" w:eastAsia="宋体" w:hAnsi="Times New Roman"/>
                <w:b/>
                <w:bCs/>
                <w:color w:val="000000"/>
                <w:sz w:val="16"/>
                <w:szCs w:val="16"/>
              </w:rPr>
              <w:t>Consolidated net income (loss)</w:t>
            </w:r>
          </w:p>
        </w:tc>
        <w:tc>
          <w:tcPr>
            <w:tcW w:w="0" w:type="auto"/>
            <w:tcBorders>
              <w:top w:val="single" w:sz="8" w:space="0" w:color="000000"/>
            </w:tcBorders>
            <w:shd w:val="clear" w:color="auto" w:fill="CCEEFF"/>
            <w:tcMar>
              <w:top w:w="40" w:type="dxa"/>
              <w:left w:w="20" w:type="dxa"/>
              <w:bottom w:w="40" w:type="dxa"/>
              <w:right w:w="0" w:type="dxa"/>
            </w:tcMar>
            <w:vAlign w:val="center"/>
          </w:tcPr>
          <w:p w14:paraId="4B9A2CA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CA2" w14:textId="77777777" w:rsidR="002A3970" w:rsidRDefault="00C35E63">
            <w:pPr>
              <w:jc w:val="right"/>
              <w:textAlignment w:val="center"/>
            </w:pPr>
            <w:r>
              <w:rPr>
                <w:rFonts w:ascii="Times New Roman" w:eastAsia="宋体" w:hAnsi="Times New Roman"/>
                <w:color w:val="000000"/>
                <w:sz w:val="16"/>
                <w:szCs w:val="16"/>
              </w:rPr>
              <w:t>(1,767)</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A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A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CA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CA6" w14:textId="77777777" w:rsidR="002A3970" w:rsidRDefault="00C35E63">
            <w:pPr>
              <w:jc w:val="right"/>
              <w:textAlignment w:val="center"/>
            </w:pPr>
            <w:r>
              <w:rPr>
                <w:rFonts w:ascii="Times New Roman" w:eastAsia="宋体" w:hAnsi="Times New Roman"/>
                <w:color w:val="000000"/>
                <w:sz w:val="16"/>
                <w:szCs w:val="16"/>
              </w:rPr>
              <w:t>3,132 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A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A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CA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CAA" w14:textId="77777777" w:rsidR="002A3970" w:rsidRDefault="00C35E63">
            <w:pPr>
              <w:jc w:val="right"/>
              <w:textAlignment w:val="center"/>
            </w:pPr>
            <w:r>
              <w:rPr>
                <w:rFonts w:ascii="Times New Roman" w:eastAsia="宋体" w:hAnsi="Times New Roman"/>
                <w:color w:val="000000"/>
                <w:sz w:val="16"/>
                <w:szCs w:val="16"/>
              </w:rPr>
              <w:t>5,483 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A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A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2CA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2CAE" w14:textId="77777777" w:rsidR="002A3970" w:rsidRDefault="00C35E63">
            <w:pPr>
              <w:jc w:val="right"/>
              <w:textAlignment w:val="center"/>
            </w:pPr>
            <w:r>
              <w:rPr>
                <w:rFonts w:ascii="Times New Roman" w:eastAsia="宋体" w:hAnsi="Times New Roman"/>
                <w:color w:val="000000"/>
                <w:sz w:val="16"/>
                <w:szCs w:val="16"/>
              </w:rPr>
              <w:t>10,307 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AF" w14:textId="77777777" w:rsidR="002A3970" w:rsidRDefault="002A3970">
            <w:pPr>
              <w:jc w:val="right"/>
              <w:rPr>
                <w:rFonts w:ascii="宋体"/>
              </w:rPr>
            </w:pPr>
          </w:p>
        </w:tc>
      </w:tr>
      <w:tr w:rsidR="002A3970" w14:paraId="4B9A2CBD" w14:textId="77777777">
        <w:trPr>
          <w:jc w:val="center"/>
        </w:trPr>
        <w:tc>
          <w:tcPr>
            <w:tcW w:w="0" w:type="auto"/>
            <w:gridSpan w:val="3"/>
            <w:shd w:val="clear" w:color="auto" w:fill="FFFFFF"/>
            <w:tcMar>
              <w:top w:w="40" w:type="dxa"/>
              <w:left w:w="380" w:type="dxa"/>
              <w:bottom w:w="40" w:type="dxa"/>
              <w:right w:w="20" w:type="dxa"/>
            </w:tcMar>
            <w:vAlign w:val="center"/>
          </w:tcPr>
          <w:p w14:paraId="4B9A2CB1" w14:textId="77777777" w:rsidR="002A3970" w:rsidRDefault="00C35E63">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2"/>
            <w:shd w:val="clear" w:color="auto" w:fill="FFFFFF"/>
            <w:tcMar>
              <w:top w:w="40" w:type="dxa"/>
              <w:left w:w="20" w:type="dxa"/>
              <w:bottom w:w="40" w:type="dxa"/>
              <w:right w:w="0" w:type="dxa"/>
            </w:tcMar>
            <w:vAlign w:val="center"/>
          </w:tcPr>
          <w:p w14:paraId="4B9A2CB2" w14:textId="77777777" w:rsidR="002A3970" w:rsidRDefault="00C35E63">
            <w:pPr>
              <w:jc w:val="right"/>
              <w:textAlignment w:val="center"/>
            </w:pPr>
            <w:r>
              <w:rPr>
                <w:rFonts w:ascii="Times New Roman" w:eastAsia="宋体" w:hAnsi="Times New Roman"/>
                <w:color w:val="000000"/>
                <w:sz w:val="16"/>
                <w:szCs w:val="16"/>
              </w:rPr>
              <w:t>(31)</w:t>
            </w:r>
          </w:p>
        </w:tc>
        <w:tc>
          <w:tcPr>
            <w:tcW w:w="0" w:type="auto"/>
            <w:shd w:val="clear" w:color="auto" w:fill="FFFFFF"/>
            <w:tcMar>
              <w:top w:w="40" w:type="dxa"/>
              <w:left w:w="0" w:type="dxa"/>
              <w:bottom w:w="40" w:type="dxa"/>
              <w:right w:w="20" w:type="dxa"/>
            </w:tcMar>
            <w:vAlign w:val="center"/>
          </w:tcPr>
          <w:p w14:paraId="4B9A2CB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B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B5" w14:textId="77777777" w:rsidR="002A3970" w:rsidRDefault="00C35E63">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4B9A2CB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B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B8" w14:textId="77777777" w:rsidR="002A3970" w:rsidRDefault="00C35E63">
            <w:pPr>
              <w:jc w:val="right"/>
              <w:textAlignment w:val="center"/>
            </w:pPr>
            <w:r>
              <w:rPr>
                <w:rFonts w:ascii="Times New Roman" w:eastAsia="宋体" w:hAnsi="Times New Roman"/>
                <w:color w:val="000000"/>
                <w:sz w:val="16"/>
                <w:szCs w:val="16"/>
              </w:rPr>
              <w:t>(78)</w:t>
            </w:r>
          </w:p>
        </w:tc>
        <w:tc>
          <w:tcPr>
            <w:tcW w:w="0" w:type="auto"/>
            <w:shd w:val="clear" w:color="auto" w:fill="FFFFFF"/>
            <w:tcMar>
              <w:top w:w="40" w:type="dxa"/>
              <w:left w:w="0" w:type="dxa"/>
              <w:bottom w:w="40" w:type="dxa"/>
              <w:right w:w="20" w:type="dxa"/>
            </w:tcMar>
            <w:vAlign w:val="center"/>
          </w:tcPr>
          <w:p w14:paraId="4B9A2CB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B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BB" w14:textId="77777777" w:rsidR="002A3970" w:rsidRDefault="00C35E63">
            <w:pPr>
              <w:jc w:val="right"/>
              <w:textAlignment w:val="center"/>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center"/>
          </w:tcPr>
          <w:p w14:paraId="4B9A2CBC" w14:textId="77777777" w:rsidR="002A3970" w:rsidRDefault="002A3970">
            <w:pPr>
              <w:jc w:val="right"/>
              <w:rPr>
                <w:rFonts w:ascii="宋体"/>
              </w:rPr>
            </w:pPr>
          </w:p>
        </w:tc>
      </w:tr>
      <w:tr w:rsidR="002A3970" w14:paraId="4B9A2CC6" w14:textId="77777777">
        <w:trPr>
          <w:jc w:val="center"/>
          <w:hidden/>
        </w:trPr>
        <w:tc>
          <w:tcPr>
            <w:tcW w:w="0" w:type="auto"/>
            <w:gridSpan w:val="3"/>
            <w:shd w:val="clear" w:color="auto" w:fill="auto"/>
            <w:vAlign w:val="bottom"/>
          </w:tcPr>
          <w:p w14:paraId="4B9A2CBE" w14:textId="77777777" w:rsidR="002A3970" w:rsidRDefault="002A3970">
            <w:pPr>
              <w:rPr>
                <w:rFonts w:ascii="宋体"/>
                <w:vanish/>
              </w:rPr>
            </w:pPr>
          </w:p>
        </w:tc>
        <w:tc>
          <w:tcPr>
            <w:tcW w:w="0" w:type="auto"/>
            <w:gridSpan w:val="3"/>
            <w:shd w:val="clear" w:color="auto" w:fill="auto"/>
            <w:vAlign w:val="bottom"/>
          </w:tcPr>
          <w:p w14:paraId="4B9A2CBF" w14:textId="77777777" w:rsidR="002A3970" w:rsidRDefault="002A3970">
            <w:pPr>
              <w:rPr>
                <w:rFonts w:ascii="宋体"/>
                <w:vanish/>
              </w:rPr>
            </w:pPr>
          </w:p>
        </w:tc>
        <w:tc>
          <w:tcPr>
            <w:tcW w:w="0" w:type="auto"/>
            <w:gridSpan w:val="3"/>
            <w:shd w:val="clear" w:color="auto" w:fill="auto"/>
            <w:vAlign w:val="bottom"/>
          </w:tcPr>
          <w:p w14:paraId="4B9A2CC0" w14:textId="77777777" w:rsidR="002A3970" w:rsidRDefault="002A3970">
            <w:pPr>
              <w:rPr>
                <w:rFonts w:ascii="宋体"/>
                <w:vanish/>
              </w:rPr>
            </w:pPr>
          </w:p>
        </w:tc>
        <w:tc>
          <w:tcPr>
            <w:tcW w:w="0" w:type="auto"/>
            <w:gridSpan w:val="3"/>
            <w:shd w:val="clear" w:color="auto" w:fill="auto"/>
            <w:vAlign w:val="bottom"/>
          </w:tcPr>
          <w:p w14:paraId="4B9A2CC1" w14:textId="77777777" w:rsidR="002A3970" w:rsidRDefault="002A3970">
            <w:pPr>
              <w:rPr>
                <w:rFonts w:ascii="宋体"/>
                <w:vanish/>
              </w:rPr>
            </w:pPr>
          </w:p>
        </w:tc>
        <w:tc>
          <w:tcPr>
            <w:tcW w:w="0" w:type="auto"/>
            <w:gridSpan w:val="3"/>
            <w:shd w:val="clear" w:color="auto" w:fill="auto"/>
            <w:vAlign w:val="bottom"/>
          </w:tcPr>
          <w:p w14:paraId="4B9A2CC2" w14:textId="77777777" w:rsidR="002A3970" w:rsidRDefault="002A3970">
            <w:pPr>
              <w:rPr>
                <w:rFonts w:ascii="宋体"/>
                <w:vanish/>
              </w:rPr>
            </w:pPr>
          </w:p>
        </w:tc>
        <w:tc>
          <w:tcPr>
            <w:tcW w:w="0" w:type="auto"/>
            <w:gridSpan w:val="3"/>
            <w:shd w:val="clear" w:color="auto" w:fill="auto"/>
            <w:vAlign w:val="bottom"/>
          </w:tcPr>
          <w:p w14:paraId="4B9A2CC3" w14:textId="77777777" w:rsidR="002A3970" w:rsidRDefault="002A3970">
            <w:pPr>
              <w:rPr>
                <w:rFonts w:ascii="宋体"/>
                <w:vanish/>
              </w:rPr>
            </w:pPr>
          </w:p>
        </w:tc>
        <w:tc>
          <w:tcPr>
            <w:tcW w:w="0" w:type="auto"/>
            <w:gridSpan w:val="3"/>
            <w:shd w:val="clear" w:color="auto" w:fill="auto"/>
            <w:vAlign w:val="bottom"/>
          </w:tcPr>
          <w:p w14:paraId="4B9A2CC4" w14:textId="77777777" w:rsidR="002A3970" w:rsidRDefault="002A3970">
            <w:pPr>
              <w:rPr>
                <w:rFonts w:ascii="宋体"/>
                <w:vanish/>
              </w:rPr>
            </w:pPr>
          </w:p>
        </w:tc>
        <w:tc>
          <w:tcPr>
            <w:tcW w:w="0" w:type="auto"/>
            <w:gridSpan w:val="3"/>
            <w:shd w:val="clear" w:color="auto" w:fill="auto"/>
            <w:vAlign w:val="bottom"/>
          </w:tcPr>
          <w:p w14:paraId="4B9A2CC5" w14:textId="77777777" w:rsidR="002A3970" w:rsidRDefault="002A3970">
            <w:pPr>
              <w:rPr>
                <w:rFonts w:ascii="宋体"/>
                <w:vanish/>
              </w:rPr>
            </w:pPr>
          </w:p>
        </w:tc>
      </w:tr>
      <w:tr w:rsidR="002A3970" w14:paraId="4B9A2CD3" w14:textId="77777777">
        <w:trPr>
          <w:jc w:val="center"/>
        </w:trPr>
        <w:tc>
          <w:tcPr>
            <w:tcW w:w="0" w:type="auto"/>
            <w:gridSpan w:val="3"/>
            <w:shd w:val="clear" w:color="auto" w:fill="CCEEFF"/>
            <w:tcMar>
              <w:top w:w="40" w:type="dxa"/>
              <w:left w:w="20" w:type="dxa"/>
              <w:bottom w:w="40" w:type="dxa"/>
              <w:right w:w="20" w:type="dxa"/>
            </w:tcMar>
            <w:vAlign w:val="center"/>
          </w:tcPr>
          <w:p w14:paraId="4B9A2CC7" w14:textId="77777777" w:rsidR="002A3970" w:rsidRDefault="00C35E63">
            <w:pPr>
              <w:textAlignment w:val="center"/>
            </w:pPr>
            <w:r>
              <w:rPr>
                <w:rFonts w:ascii="Times New Roman" w:eastAsia="宋体" w:hAnsi="Times New Roman"/>
                <w:b/>
                <w:bCs/>
                <w:color w:val="000000"/>
                <w:sz w:val="16"/>
                <w:szCs w:val="16"/>
              </w:rPr>
              <w:t>Consolidated net income (loss) attributable to Walmart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CC8" w14:textId="77777777" w:rsidR="002A3970" w:rsidRDefault="00C35E63">
            <w:pPr>
              <w:jc w:val="right"/>
              <w:textAlignment w:val="center"/>
            </w:pPr>
            <w:r>
              <w:rPr>
                <w:rFonts w:ascii="Times New Roman" w:eastAsia="宋体" w:hAnsi="Times New Roman"/>
                <w:color w:val="000000"/>
                <w:sz w:val="16"/>
                <w:szCs w:val="16"/>
              </w:rPr>
              <w:t>(1,798)</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C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CA"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CCB" w14:textId="77777777" w:rsidR="002A3970" w:rsidRDefault="00C35E63">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C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CD"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CCE" w14:textId="77777777" w:rsidR="002A3970" w:rsidRDefault="00C35E63">
            <w:pPr>
              <w:jc w:val="right"/>
              <w:textAlignment w:val="center"/>
            </w:pPr>
            <w:r>
              <w:rPr>
                <w:rFonts w:ascii="Times New Roman" w:eastAsia="宋体" w:hAnsi="Times New Roman"/>
                <w:color w:val="000000"/>
                <w:sz w:val="16"/>
                <w:szCs w:val="16"/>
              </w:rPr>
              <w:t>5,405 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C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D0"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CD1" w14:textId="77777777" w:rsidR="002A3970" w:rsidRDefault="00C35E63">
            <w:pPr>
              <w:jc w:val="right"/>
              <w:textAlignment w:val="center"/>
            </w:pPr>
            <w:r>
              <w:rPr>
                <w:rFonts w:ascii="Times New Roman" w:eastAsia="宋体" w:hAnsi="Times New Roman"/>
                <w:color w:val="000000"/>
                <w:sz w:val="16"/>
                <w:szCs w:val="16"/>
              </w:rPr>
              <w:t>10,111 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CD2" w14:textId="77777777" w:rsidR="002A3970" w:rsidRDefault="002A3970">
            <w:pPr>
              <w:jc w:val="right"/>
              <w:rPr>
                <w:rFonts w:ascii="宋体"/>
              </w:rPr>
            </w:pPr>
          </w:p>
        </w:tc>
      </w:tr>
      <w:tr w:rsidR="002A3970" w14:paraId="4B9A2CDC" w14:textId="77777777">
        <w:trPr>
          <w:trHeight w:val="220"/>
          <w:jc w:val="center"/>
        </w:trPr>
        <w:tc>
          <w:tcPr>
            <w:tcW w:w="0" w:type="auto"/>
            <w:gridSpan w:val="3"/>
            <w:shd w:val="clear" w:color="auto" w:fill="FFFFFF"/>
            <w:tcMar>
              <w:top w:w="0" w:type="dxa"/>
              <w:left w:w="20" w:type="dxa"/>
              <w:bottom w:w="0" w:type="dxa"/>
              <w:right w:w="20" w:type="dxa"/>
            </w:tcMar>
            <w:vAlign w:val="bottom"/>
          </w:tcPr>
          <w:p w14:paraId="4B9A2CD4"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2CD5"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D6"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2CD7"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D8"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2CD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CDA"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2CDB" w14:textId="77777777" w:rsidR="002A3970" w:rsidRDefault="002A3970">
            <w:pPr>
              <w:rPr>
                <w:rFonts w:ascii="宋体"/>
              </w:rPr>
            </w:pPr>
          </w:p>
        </w:tc>
      </w:tr>
      <w:tr w:rsidR="002A3970" w14:paraId="4B9A2CE5" w14:textId="77777777">
        <w:trPr>
          <w:jc w:val="center"/>
        </w:trPr>
        <w:tc>
          <w:tcPr>
            <w:tcW w:w="0" w:type="auto"/>
            <w:gridSpan w:val="3"/>
            <w:shd w:val="clear" w:color="auto" w:fill="CCEEFF"/>
            <w:tcMar>
              <w:top w:w="40" w:type="dxa"/>
              <w:left w:w="20" w:type="dxa"/>
              <w:bottom w:w="40" w:type="dxa"/>
              <w:right w:w="20" w:type="dxa"/>
            </w:tcMar>
            <w:vAlign w:val="center"/>
          </w:tcPr>
          <w:p w14:paraId="4B9A2CDD" w14:textId="77777777" w:rsidR="002A3970" w:rsidRDefault="00C35E63">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vAlign w:val="bottom"/>
          </w:tcPr>
          <w:p w14:paraId="4B9A2CD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DF"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E0"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E1"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E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E3"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CE4" w14:textId="77777777" w:rsidR="002A3970" w:rsidRDefault="002A3970">
            <w:pPr>
              <w:rPr>
                <w:rFonts w:ascii="宋体"/>
              </w:rPr>
            </w:pPr>
          </w:p>
        </w:tc>
      </w:tr>
      <w:tr w:rsidR="002A3970" w14:paraId="4B9A2CF2" w14:textId="77777777">
        <w:trPr>
          <w:jc w:val="center"/>
        </w:trPr>
        <w:tc>
          <w:tcPr>
            <w:tcW w:w="0" w:type="auto"/>
            <w:gridSpan w:val="3"/>
            <w:shd w:val="clear" w:color="auto" w:fill="FFFFFF"/>
            <w:tcMar>
              <w:top w:w="40" w:type="dxa"/>
              <w:left w:w="380" w:type="dxa"/>
              <w:bottom w:w="40" w:type="dxa"/>
              <w:right w:w="20" w:type="dxa"/>
            </w:tcMar>
            <w:vAlign w:val="center"/>
          </w:tcPr>
          <w:p w14:paraId="4B9A2CE6" w14:textId="77777777" w:rsidR="002A3970" w:rsidRDefault="00C35E63">
            <w:pPr>
              <w:textAlignment w:val="center"/>
            </w:pPr>
            <w:r>
              <w:rPr>
                <w:rFonts w:ascii="Times New Roman" w:eastAsia="宋体" w:hAnsi="Times New Roman"/>
                <w:color w:val="000000"/>
                <w:sz w:val="16"/>
                <w:szCs w:val="16"/>
              </w:rPr>
              <w:t>Currency translation and other</w:t>
            </w:r>
          </w:p>
        </w:tc>
        <w:tc>
          <w:tcPr>
            <w:tcW w:w="0" w:type="auto"/>
            <w:gridSpan w:val="2"/>
            <w:shd w:val="clear" w:color="auto" w:fill="FFFFFF"/>
            <w:tcMar>
              <w:top w:w="40" w:type="dxa"/>
              <w:left w:w="20" w:type="dxa"/>
              <w:bottom w:w="40" w:type="dxa"/>
              <w:right w:w="0" w:type="dxa"/>
            </w:tcMar>
            <w:vAlign w:val="center"/>
          </w:tcPr>
          <w:p w14:paraId="4B9A2CE7" w14:textId="77777777" w:rsidR="002A3970" w:rsidRDefault="00C35E63">
            <w:pPr>
              <w:jc w:val="right"/>
              <w:textAlignment w:val="center"/>
            </w:pPr>
            <w:r>
              <w:rPr>
                <w:rFonts w:ascii="Times New Roman" w:eastAsia="宋体" w:hAnsi="Times New Roman"/>
                <w:color w:val="000000"/>
                <w:sz w:val="16"/>
                <w:szCs w:val="16"/>
              </w:rPr>
              <w:t>(919)</w:t>
            </w:r>
          </w:p>
        </w:tc>
        <w:tc>
          <w:tcPr>
            <w:tcW w:w="0" w:type="auto"/>
            <w:shd w:val="clear" w:color="auto" w:fill="FFFFFF"/>
            <w:tcMar>
              <w:top w:w="40" w:type="dxa"/>
              <w:left w:w="0" w:type="dxa"/>
              <w:bottom w:w="40" w:type="dxa"/>
              <w:right w:w="20" w:type="dxa"/>
            </w:tcMar>
            <w:vAlign w:val="center"/>
          </w:tcPr>
          <w:p w14:paraId="4B9A2CE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E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EA" w14:textId="77777777" w:rsidR="002A3970" w:rsidRDefault="00C35E63">
            <w:pPr>
              <w:jc w:val="right"/>
              <w:textAlignment w:val="center"/>
            </w:pPr>
            <w:r>
              <w:rPr>
                <w:rFonts w:ascii="Times New Roman" w:eastAsia="宋体" w:hAnsi="Times New Roman"/>
                <w:color w:val="000000"/>
                <w:sz w:val="16"/>
                <w:szCs w:val="16"/>
              </w:rPr>
              <w:t>(523)</w:t>
            </w:r>
          </w:p>
        </w:tc>
        <w:tc>
          <w:tcPr>
            <w:tcW w:w="0" w:type="auto"/>
            <w:shd w:val="clear" w:color="auto" w:fill="FFFFFF"/>
            <w:tcMar>
              <w:top w:w="40" w:type="dxa"/>
              <w:left w:w="0" w:type="dxa"/>
              <w:bottom w:w="40" w:type="dxa"/>
              <w:right w:w="20" w:type="dxa"/>
            </w:tcMar>
            <w:vAlign w:val="center"/>
          </w:tcPr>
          <w:p w14:paraId="4B9A2CE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E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ED" w14:textId="77777777" w:rsidR="002A3970" w:rsidRDefault="00C35E63">
            <w:pPr>
              <w:jc w:val="right"/>
              <w:textAlignment w:val="center"/>
            </w:pPr>
            <w:r>
              <w:rPr>
                <w:rFonts w:ascii="Times New Roman" w:eastAsia="宋体" w:hAnsi="Times New Roman"/>
                <w:color w:val="000000"/>
                <w:sz w:val="16"/>
                <w:szCs w:val="16"/>
              </w:rPr>
              <w:t>(2,067)</w:t>
            </w:r>
          </w:p>
        </w:tc>
        <w:tc>
          <w:tcPr>
            <w:tcW w:w="0" w:type="auto"/>
            <w:shd w:val="clear" w:color="auto" w:fill="FFFFFF"/>
            <w:tcMar>
              <w:top w:w="40" w:type="dxa"/>
              <w:left w:w="0" w:type="dxa"/>
              <w:bottom w:w="40" w:type="dxa"/>
              <w:right w:w="20" w:type="dxa"/>
            </w:tcMar>
            <w:vAlign w:val="center"/>
          </w:tcPr>
          <w:p w14:paraId="4B9A2CE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CE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CF0" w14:textId="77777777" w:rsidR="002A3970" w:rsidRDefault="00C35E63">
            <w:pPr>
              <w:jc w:val="right"/>
              <w:textAlignment w:val="center"/>
            </w:pPr>
            <w:r>
              <w:rPr>
                <w:rFonts w:ascii="Times New Roman" w:eastAsia="宋体" w:hAnsi="Times New Roman"/>
                <w:color w:val="000000"/>
                <w:sz w:val="16"/>
                <w:szCs w:val="16"/>
              </w:rPr>
              <w:t>2,637 </w:t>
            </w:r>
          </w:p>
        </w:tc>
        <w:tc>
          <w:tcPr>
            <w:tcW w:w="0" w:type="auto"/>
            <w:shd w:val="clear" w:color="auto" w:fill="FFFFFF"/>
            <w:tcMar>
              <w:top w:w="40" w:type="dxa"/>
              <w:left w:w="0" w:type="dxa"/>
              <w:bottom w:w="40" w:type="dxa"/>
              <w:right w:w="20" w:type="dxa"/>
            </w:tcMar>
            <w:vAlign w:val="center"/>
          </w:tcPr>
          <w:p w14:paraId="4B9A2CF1" w14:textId="77777777" w:rsidR="002A3970" w:rsidRDefault="002A3970">
            <w:pPr>
              <w:jc w:val="right"/>
              <w:rPr>
                <w:rFonts w:ascii="宋体"/>
              </w:rPr>
            </w:pPr>
          </w:p>
        </w:tc>
      </w:tr>
      <w:tr w:rsidR="002A3970" w14:paraId="4B9A2CFF" w14:textId="77777777">
        <w:trPr>
          <w:jc w:val="center"/>
        </w:trPr>
        <w:tc>
          <w:tcPr>
            <w:tcW w:w="0" w:type="auto"/>
            <w:gridSpan w:val="3"/>
            <w:shd w:val="clear" w:color="auto" w:fill="CCEEFF"/>
            <w:tcMar>
              <w:top w:w="40" w:type="dxa"/>
              <w:left w:w="380" w:type="dxa"/>
              <w:bottom w:w="40" w:type="dxa"/>
              <w:right w:w="20" w:type="dxa"/>
            </w:tcMar>
            <w:vAlign w:val="center"/>
          </w:tcPr>
          <w:p w14:paraId="4B9A2CF3" w14:textId="77777777" w:rsidR="002A3970" w:rsidRDefault="00C35E63">
            <w:pPr>
              <w:textAlignment w:val="center"/>
            </w:pPr>
            <w:r>
              <w:rPr>
                <w:rFonts w:ascii="Times New Roman" w:eastAsia="宋体" w:hAnsi="Times New Roman"/>
                <w:color w:val="000000"/>
                <w:sz w:val="16"/>
                <w:szCs w:val="16"/>
              </w:rPr>
              <w:t>Net investment hedges</w:t>
            </w:r>
          </w:p>
        </w:tc>
        <w:tc>
          <w:tcPr>
            <w:tcW w:w="0" w:type="auto"/>
            <w:gridSpan w:val="2"/>
            <w:shd w:val="clear" w:color="auto" w:fill="CCEEFF"/>
            <w:tcMar>
              <w:top w:w="40" w:type="dxa"/>
              <w:left w:w="20" w:type="dxa"/>
              <w:bottom w:w="40" w:type="dxa"/>
              <w:right w:w="0" w:type="dxa"/>
            </w:tcMar>
            <w:vAlign w:val="center"/>
          </w:tcPr>
          <w:p w14:paraId="4B9A2CF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CF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F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F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CF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F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F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CF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CF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CFD" w14:textId="77777777" w:rsidR="002A3970" w:rsidRDefault="00C35E63">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4B9A2CFE" w14:textId="77777777" w:rsidR="002A3970" w:rsidRDefault="002A3970">
            <w:pPr>
              <w:jc w:val="right"/>
              <w:rPr>
                <w:rFonts w:ascii="宋体"/>
              </w:rPr>
            </w:pPr>
          </w:p>
        </w:tc>
      </w:tr>
      <w:tr w:rsidR="002A3970" w14:paraId="4B9A2D0C" w14:textId="77777777">
        <w:trPr>
          <w:jc w:val="center"/>
        </w:trPr>
        <w:tc>
          <w:tcPr>
            <w:tcW w:w="0" w:type="auto"/>
            <w:gridSpan w:val="3"/>
            <w:shd w:val="clear" w:color="auto" w:fill="FFFFFF"/>
            <w:tcMar>
              <w:top w:w="40" w:type="dxa"/>
              <w:left w:w="380" w:type="dxa"/>
              <w:bottom w:w="40" w:type="dxa"/>
              <w:right w:w="20" w:type="dxa"/>
            </w:tcMar>
            <w:vAlign w:val="center"/>
          </w:tcPr>
          <w:p w14:paraId="4B9A2D00" w14:textId="77777777" w:rsidR="002A3970" w:rsidRDefault="00C35E63">
            <w:pPr>
              <w:textAlignment w:val="center"/>
            </w:pPr>
            <w:r>
              <w:rPr>
                <w:rFonts w:ascii="Times New Roman" w:eastAsia="宋体" w:hAnsi="Times New Roman"/>
                <w:color w:val="000000"/>
                <w:sz w:val="16"/>
                <w:szCs w:val="16"/>
              </w:rPr>
              <w:t>Cash flow hedges</w:t>
            </w:r>
          </w:p>
        </w:tc>
        <w:tc>
          <w:tcPr>
            <w:tcW w:w="0" w:type="auto"/>
            <w:gridSpan w:val="2"/>
            <w:shd w:val="clear" w:color="auto" w:fill="FFFFFF"/>
            <w:tcMar>
              <w:top w:w="40" w:type="dxa"/>
              <w:left w:w="20" w:type="dxa"/>
              <w:bottom w:w="40" w:type="dxa"/>
              <w:right w:w="0" w:type="dxa"/>
            </w:tcMar>
            <w:vAlign w:val="center"/>
          </w:tcPr>
          <w:p w14:paraId="4B9A2D01" w14:textId="77777777" w:rsidR="002A3970" w:rsidRDefault="00C35E63">
            <w:pPr>
              <w:jc w:val="right"/>
              <w:textAlignment w:val="center"/>
            </w:pPr>
            <w:r>
              <w:rPr>
                <w:rFonts w:ascii="Times New Roman" w:eastAsia="宋体" w:hAnsi="Times New Roman"/>
                <w:color w:val="000000"/>
                <w:sz w:val="16"/>
                <w:szCs w:val="16"/>
              </w:rPr>
              <w:t>(175)</w:t>
            </w:r>
          </w:p>
        </w:tc>
        <w:tc>
          <w:tcPr>
            <w:tcW w:w="0" w:type="auto"/>
            <w:shd w:val="clear" w:color="auto" w:fill="FFFFFF"/>
            <w:tcMar>
              <w:top w:w="40" w:type="dxa"/>
              <w:left w:w="0" w:type="dxa"/>
              <w:bottom w:w="40" w:type="dxa"/>
              <w:right w:w="20" w:type="dxa"/>
            </w:tcMar>
            <w:vAlign w:val="center"/>
          </w:tcPr>
          <w:p w14:paraId="4B9A2D0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0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04" w14:textId="77777777" w:rsidR="002A3970" w:rsidRDefault="00C35E63">
            <w:pPr>
              <w:jc w:val="right"/>
              <w:textAlignment w:val="center"/>
            </w:pPr>
            <w:r>
              <w:rPr>
                <w:rFonts w:ascii="Times New Roman" w:eastAsia="宋体" w:hAnsi="Times New Roman"/>
                <w:color w:val="000000"/>
                <w:sz w:val="16"/>
                <w:szCs w:val="16"/>
              </w:rPr>
              <w:t>(183)</w:t>
            </w:r>
          </w:p>
        </w:tc>
        <w:tc>
          <w:tcPr>
            <w:tcW w:w="0" w:type="auto"/>
            <w:shd w:val="clear" w:color="auto" w:fill="FFFFFF"/>
            <w:tcMar>
              <w:top w:w="40" w:type="dxa"/>
              <w:left w:w="0" w:type="dxa"/>
              <w:bottom w:w="40" w:type="dxa"/>
              <w:right w:w="20" w:type="dxa"/>
            </w:tcMar>
            <w:vAlign w:val="center"/>
          </w:tcPr>
          <w:p w14:paraId="4B9A2D0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0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07" w14:textId="77777777" w:rsidR="002A3970" w:rsidRDefault="00C35E63">
            <w:pPr>
              <w:jc w:val="right"/>
              <w:textAlignment w:val="center"/>
            </w:pPr>
            <w:r>
              <w:rPr>
                <w:rFonts w:ascii="Times New Roman" w:eastAsia="宋体" w:hAnsi="Times New Roman"/>
                <w:color w:val="000000"/>
                <w:sz w:val="16"/>
                <w:szCs w:val="16"/>
              </w:rPr>
              <w:t>(426)</w:t>
            </w:r>
          </w:p>
        </w:tc>
        <w:tc>
          <w:tcPr>
            <w:tcW w:w="0" w:type="auto"/>
            <w:shd w:val="clear" w:color="auto" w:fill="FFFFFF"/>
            <w:tcMar>
              <w:top w:w="40" w:type="dxa"/>
              <w:left w:w="0" w:type="dxa"/>
              <w:bottom w:w="40" w:type="dxa"/>
              <w:right w:w="20" w:type="dxa"/>
            </w:tcMar>
            <w:vAlign w:val="center"/>
          </w:tcPr>
          <w:p w14:paraId="4B9A2D0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0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0A" w14:textId="77777777" w:rsidR="002A3970" w:rsidRDefault="00C35E63">
            <w:pPr>
              <w:jc w:val="right"/>
              <w:textAlignment w:val="center"/>
            </w:pPr>
            <w:r>
              <w:rPr>
                <w:rFonts w:ascii="Times New Roman" w:eastAsia="宋体" w:hAnsi="Times New Roman"/>
                <w:color w:val="000000"/>
                <w:sz w:val="16"/>
                <w:szCs w:val="16"/>
              </w:rPr>
              <w:t>(318)</w:t>
            </w:r>
          </w:p>
        </w:tc>
        <w:tc>
          <w:tcPr>
            <w:tcW w:w="0" w:type="auto"/>
            <w:shd w:val="clear" w:color="auto" w:fill="FFFFFF"/>
            <w:tcMar>
              <w:top w:w="40" w:type="dxa"/>
              <w:left w:w="0" w:type="dxa"/>
              <w:bottom w:w="40" w:type="dxa"/>
              <w:right w:w="20" w:type="dxa"/>
            </w:tcMar>
            <w:vAlign w:val="center"/>
          </w:tcPr>
          <w:p w14:paraId="4B9A2D0B" w14:textId="77777777" w:rsidR="002A3970" w:rsidRDefault="002A3970">
            <w:pPr>
              <w:jc w:val="right"/>
              <w:rPr>
                <w:rFonts w:ascii="宋体"/>
              </w:rPr>
            </w:pPr>
          </w:p>
        </w:tc>
      </w:tr>
      <w:tr w:rsidR="002A3970" w14:paraId="4B9A2D19" w14:textId="77777777">
        <w:trPr>
          <w:jc w:val="center"/>
        </w:trPr>
        <w:tc>
          <w:tcPr>
            <w:tcW w:w="0" w:type="auto"/>
            <w:gridSpan w:val="3"/>
            <w:shd w:val="clear" w:color="auto" w:fill="CCEEFF"/>
            <w:tcMar>
              <w:top w:w="40" w:type="dxa"/>
              <w:left w:w="380" w:type="dxa"/>
              <w:bottom w:w="40" w:type="dxa"/>
              <w:right w:w="20" w:type="dxa"/>
            </w:tcMar>
            <w:vAlign w:val="center"/>
          </w:tcPr>
          <w:p w14:paraId="4B9A2D0D" w14:textId="77777777" w:rsidR="002A3970" w:rsidRDefault="00C35E63">
            <w:pPr>
              <w:textAlignment w:val="center"/>
            </w:pPr>
            <w:r>
              <w:rPr>
                <w:rFonts w:ascii="Times New Roman" w:eastAsia="宋体" w:hAnsi="Times New Roman"/>
                <w:color w:val="000000"/>
                <w:sz w:val="16"/>
                <w:szCs w:val="16"/>
              </w:rPr>
              <w:t>Minimum pension liability</w:t>
            </w:r>
          </w:p>
        </w:tc>
        <w:tc>
          <w:tcPr>
            <w:tcW w:w="0" w:type="auto"/>
            <w:gridSpan w:val="2"/>
            <w:shd w:val="clear" w:color="auto" w:fill="CCEEFF"/>
            <w:tcMar>
              <w:top w:w="40" w:type="dxa"/>
              <w:left w:w="20" w:type="dxa"/>
              <w:bottom w:w="40" w:type="dxa"/>
              <w:right w:w="0" w:type="dxa"/>
            </w:tcMar>
            <w:vAlign w:val="center"/>
          </w:tcPr>
          <w:p w14:paraId="4B9A2D0E"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D0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1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11" w14:textId="77777777" w:rsidR="002A3970" w:rsidRDefault="00C35E63">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B9A2D1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1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14" w14:textId="77777777" w:rsidR="002A3970" w:rsidRDefault="00C35E63">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B9A2D1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1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17" w14:textId="77777777" w:rsidR="002A3970" w:rsidRDefault="00C35E63">
            <w:pPr>
              <w:jc w:val="right"/>
              <w:textAlignment w:val="center"/>
            </w:pPr>
            <w:r>
              <w:rPr>
                <w:rFonts w:ascii="Times New Roman" w:eastAsia="宋体" w:hAnsi="Times New Roman"/>
                <w:color w:val="000000"/>
                <w:sz w:val="16"/>
                <w:szCs w:val="16"/>
              </w:rPr>
              <w:t>1,972 </w:t>
            </w:r>
          </w:p>
        </w:tc>
        <w:tc>
          <w:tcPr>
            <w:tcW w:w="0" w:type="auto"/>
            <w:shd w:val="clear" w:color="auto" w:fill="CCEEFF"/>
            <w:tcMar>
              <w:top w:w="40" w:type="dxa"/>
              <w:left w:w="0" w:type="dxa"/>
              <w:bottom w:w="40" w:type="dxa"/>
              <w:right w:w="20" w:type="dxa"/>
            </w:tcMar>
            <w:vAlign w:val="center"/>
          </w:tcPr>
          <w:p w14:paraId="4B9A2D18" w14:textId="77777777" w:rsidR="002A3970" w:rsidRDefault="002A3970">
            <w:pPr>
              <w:jc w:val="right"/>
              <w:rPr>
                <w:rFonts w:ascii="宋体"/>
              </w:rPr>
            </w:pPr>
          </w:p>
        </w:tc>
      </w:tr>
      <w:tr w:rsidR="002A3970" w14:paraId="4B9A2D22" w14:textId="77777777">
        <w:trPr>
          <w:jc w:val="center"/>
          <w:hidden/>
        </w:trPr>
        <w:tc>
          <w:tcPr>
            <w:tcW w:w="0" w:type="auto"/>
            <w:gridSpan w:val="3"/>
            <w:shd w:val="clear" w:color="auto" w:fill="auto"/>
            <w:vAlign w:val="bottom"/>
          </w:tcPr>
          <w:p w14:paraId="4B9A2D1A" w14:textId="77777777" w:rsidR="002A3970" w:rsidRDefault="002A3970">
            <w:pPr>
              <w:rPr>
                <w:rFonts w:ascii="宋体"/>
                <w:vanish/>
              </w:rPr>
            </w:pPr>
          </w:p>
        </w:tc>
        <w:tc>
          <w:tcPr>
            <w:tcW w:w="0" w:type="auto"/>
            <w:gridSpan w:val="3"/>
            <w:shd w:val="clear" w:color="auto" w:fill="auto"/>
            <w:vAlign w:val="bottom"/>
          </w:tcPr>
          <w:p w14:paraId="4B9A2D1B" w14:textId="77777777" w:rsidR="002A3970" w:rsidRDefault="002A3970">
            <w:pPr>
              <w:rPr>
                <w:rFonts w:ascii="宋体"/>
                <w:vanish/>
              </w:rPr>
            </w:pPr>
          </w:p>
        </w:tc>
        <w:tc>
          <w:tcPr>
            <w:tcW w:w="0" w:type="auto"/>
            <w:gridSpan w:val="3"/>
            <w:shd w:val="clear" w:color="auto" w:fill="auto"/>
            <w:vAlign w:val="bottom"/>
          </w:tcPr>
          <w:p w14:paraId="4B9A2D1C" w14:textId="77777777" w:rsidR="002A3970" w:rsidRDefault="002A3970">
            <w:pPr>
              <w:rPr>
                <w:rFonts w:ascii="宋体"/>
                <w:vanish/>
              </w:rPr>
            </w:pPr>
          </w:p>
        </w:tc>
        <w:tc>
          <w:tcPr>
            <w:tcW w:w="0" w:type="auto"/>
            <w:gridSpan w:val="3"/>
            <w:shd w:val="clear" w:color="auto" w:fill="auto"/>
            <w:vAlign w:val="bottom"/>
          </w:tcPr>
          <w:p w14:paraId="4B9A2D1D" w14:textId="77777777" w:rsidR="002A3970" w:rsidRDefault="002A3970">
            <w:pPr>
              <w:rPr>
                <w:rFonts w:ascii="宋体"/>
                <w:vanish/>
              </w:rPr>
            </w:pPr>
          </w:p>
        </w:tc>
        <w:tc>
          <w:tcPr>
            <w:tcW w:w="0" w:type="auto"/>
            <w:gridSpan w:val="3"/>
            <w:shd w:val="clear" w:color="auto" w:fill="auto"/>
            <w:vAlign w:val="bottom"/>
          </w:tcPr>
          <w:p w14:paraId="4B9A2D1E" w14:textId="77777777" w:rsidR="002A3970" w:rsidRDefault="002A3970">
            <w:pPr>
              <w:rPr>
                <w:rFonts w:ascii="宋体"/>
                <w:vanish/>
              </w:rPr>
            </w:pPr>
          </w:p>
        </w:tc>
        <w:tc>
          <w:tcPr>
            <w:tcW w:w="0" w:type="auto"/>
            <w:gridSpan w:val="3"/>
            <w:shd w:val="clear" w:color="auto" w:fill="auto"/>
            <w:vAlign w:val="bottom"/>
          </w:tcPr>
          <w:p w14:paraId="4B9A2D1F" w14:textId="77777777" w:rsidR="002A3970" w:rsidRDefault="002A3970">
            <w:pPr>
              <w:rPr>
                <w:rFonts w:ascii="宋体"/>
                <w:vanish/>
              </w:rPr>
            </w:pPr>
          </w:p>
        </w:tc>
        <w:tc>
          <w:tcPr>
            <w:tcW w:w="0" w:type="auto"/>
            <w:gridSpan w:val="3"/>
            <w:shd w:val="clear" w:color="auto" w:fill="auto"/>
            <w:vAlign w:val="bottom"/>
          </w:tcPr>
          <w:p w14:paraId="4B9A2D20" w14:textId="77777777" w:rsidR="002A3970" w:rsidRDefault="002A3970">
            <w:pPr>
              <w:rPr>
                <w:rFonts w:ascii="宋体"/>
                <w:vanish/>
              </w:rPr>
            </w:pPr>
          </w:p>
        </w:tc>
        <w:tc>
          <w:tcPr>
            <w:tcW w:w="0" w:type="auto"/>
            <w:gridSpan w:val="3"/>
            <w:shd w:val="clear" w:color="auto" w:fill="auto"/>
            <w:vAlign w:val="bottom"/>
          </w:tcPr>
          <w:p w14:paraId="4B9A2D21" w14:textId="77777777" w:rsidR="002A3970" w:rsidRDefault="002A3970">
            <w:pPr>
              <w:rPr>
                <w:rFonts w:ascii="宋体"/>
                <w:vanish/>
              </w:rPr>
            </w:pPr>
          </w:p>
        </w:tc>
      </w:tr>
      <w:tr w:rsidR="002A3970" w14:paraId="4B9A2D2F" w14:textId="77777777">
        <w:trPr>
          <w:jc w:val="center"/>
        </w:trPr>
        <w:tc>
          <w:tcPr>
            <w:tcW w:w="0" w:type="auto"/>
            <w:gridSpan w:val="3"/>
            <w:shd w:val="clear" w:color="auto" w:fill="FFFFFF"/>
            <w:tcMar>
              <w:top w:w="40" w:type="dxa"/>
              <w:left w:w="20" w:type="dxa"/>
              <w:bottom w:w="40" w:type="dxa"/>
              <w:right w:w="20" w:type="dxa"/>
            </w:tcMar>
            <w:vAlign w:val="center"/>
          </w:tcPr>
          <w:p w14:paraId="4B9A2D23" w14:textId="77777777" w:rsidR="002A3970" w:rsidRDefault="00C35E63">
            <w:pPr>
              <w:textAlignment w:val="center"/>
            </w:pPr>
            <w:r>
              <w:rPr>
                <w:rFonts w:ascii="Times New Roman" w:eastAsia="宋体" w:hAnsi="Times New Roman"/>
                <w:color w:val="000000"/>
                <w:sz w:val="16"/>
                <w:szCs w:val="16"/>
              </w:rPr>
              <w:t>Other comprehensive income (loss),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24" w14:textId="77777777" w:rsidR="002A3970" w:rsidRDefault="00C35E63">
            <w:pPr>
              <w:jc w:val="right"/>
              <w:textAlignment w:val="center"/>
            </w:pPr>
            <w:r>
              <w:rPr>
                <w:rFonts w:ascii="Times New Roman" w:eastAsia="宋体" w:hAnsi="Times New Roman"/>
                <w:color w:val="000000"/>
                <w:sz w:val="16"/>
                <w:szCs w:val="16"/>
              </w:rPr>
              <w:t>(1,094)</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2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26"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27" w14:textId="77777777" w:rsidR="002A3970" w:rsidRDefault="00C35E63">
            <w:pPr>
              <w:jc w:val="right"/>
              <w:textAlignment w:val="center"/>
            </w:pPr>
            <w:r>
              <w:rPr>
                <w:rFonts w:ascii="Times New Roman" w:eastAsia="宋体" w:hAnsi="Times New Roman"/>
                <w:color w:val="000000"/>
                <w:sz w:val="16"/>
                <w:szCs w:val="16"/>
              </w:rPr>
              <w:t>(705)</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2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29"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2A" w14:textId="77777777" w:rsidR="002A3970" w:rsidRDefault="00C35E63">
            <w:pPr>
              <w:jc w:val="right"/>
              <w:textAlignment w:val="center"/>
            </w:pPr>
            <w:r>
              <w:rPr>
                <w:rFonts w:ascii="Times New Roman" w:eastAsia="宋体" w:hAnsi="Times New Roman"/>
                <w:color w:val="000000"/>
                <w:sz w:val="16"/>
                <w:szCs w:val="16"/>
              </w:rPr>
              <w:t>(2,490)</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2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2C"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2D" w14:textId="77777777" w:rsidR="002A3970" w:rsidRDefault="00C35E63">
            <w:pPr>
              <w:jc w:val="right"/>
              <w:textAlignment w:val="center"/>
            </w:pPr>
            <w:r>
              <w:rPr>
                <w:rFonts w:ascii="Times New Roman" w:eastAsia="宋体" w:hAnsi="Times New Roman"/>
                <w:color w:val="000000"/>
                <w:sz w:val="16"/>
                <w:szCs w:val="16"/>
              </w:rPr>
              <w:t>3,089 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2E" w14:textId="77777777" w:rsidR="002A3970" w:rsidRDefault="002A3970">
            <w:pPr>
              <w:jc w:val="right"/>
              <w:rPr>
                <w:rFonts w:ascii="宋体"/>
              </w:rPr>
            </w:pPr>
          </w:p>
        </w:tc>
      </w:tr>
      <w:tr w:rsidR="002A3970" w14:paraId="4B9A2D3C" w14:textId="77777777">
        <w:trPr>
          <w:jc w:val="center"/>
        </w:trPr>
        <w:tc>
          <w:tcPr>
            <w:tcW w:w="0" w:type="auto"/>
            <w:gridSpan w:val="3"/>
            <w:shd w:val="clear" w:color="auto" w:fill="CCEEFF"/>
            <w:tcMar>
              <w:top w:w="40" w:type="dxa"/>
              <w:left w:w="380" w:type="dxa"/>
              <w:bottom w:w="40" w:type="dxa"/>
              <w:right w:w="20" w:type="dxa"/>
            </w:tcMar>
            <w:vAlign w:val="center"/>
          </w:tcPr>
          <w:p w14:paraId="4B9A2D30" w14:textId="77777777" w:rsidR="002A3970" w:rsidRDefault="00C35E63">
            <w:pPr>
              <w:textAlignment w:val="center"/>
            </w:pPr>
            <w:r>
              <w:rPr>
                <w:rFonts w:ascii="Times New Roman" w:eastAsia="宋体" w:hAnsi="Times New Roman"/>
                <w:color w:val="000000"/>
                <w:sz w:val="16"/>
                <w:szCs w:val="16"/>
              </w:rPr>
              <w:t>Other comprehensive loss attributable to noncontrolling interest</w:t>
            </w:r>
          </w:p>
        </w:tc>
        <w:tc>
          <w:tcPr>
            <w:tcW w:w="0" w:type="auto"/>
            <w:gridSpan w:val="2"/>
            <w:shd w:val="clear" w:color="auto" w:fill="CCEEFF"/>
            <w:tcMar>
              <w:top w:w="40" w:type="dxa"/>
              <w:left w:w="20" w:type="dxa"/>
              <w:bottom w:w="40" w:type="dxa"/>
              <w:right w:w="0" w:type="dxa"/>
            </w:tcMar>
            <w:vAlign w:val="center"/>
          </w:tcPr>
          <w:p w14:paraId="4B9A2D31" w14:textId="77777777" w:rsidR="002A3970" w:rsidRDefault="00C35E63">
            <w:pPr>
              <w:jc w:val="right"/>
              <w:textAlignment w:val="center"/>
            </w:pPr>
            <w:r>
              <w:rPr>
                <w:rFonts w:ascii="Times New Roman" w:eastAsia="宋体" w:hAnsi="Times New Roman"/>
                <w:color w:val="000000"/>
                <w:sz w:val="16"/>
                <w:szCs w:val="16"/>
              </w:rPr>
              <w:t>208 </w:t>
            </w:r>
          </w:p>
        </w:tc>
        <w:tc>
          <w:tcPr>
            <w:tcW w:w="0" w:type="auto"/>
            <w:shd w:val="clear" w:color="auto" w:fill="CCEEFF"/>
            <w:tcMar>
              <w:top w:w="40" w:type="dxa"/>
              <w:left w:w="0" w:type="dxa"/>
              <w:bottom w:w="40" w:type="dxa"/>
              <w:right w:w="20" w:type="dxa"/>
            </w:tcMar>
            <w:vAlign w:val="center"/>
          </w:tcPr>
          <w:p w14:paraId="4B9A2D3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3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34" w14:textId="77777777" w:rsidR="002A3970" w:rsidRDefault="00C35E63">
            <w:pPr>
              <w:jc w:val="right"/>
              <w:textAlignment w:val="center"/>
            </w:pPr>
            <w:r>
              <w:rPr>
                <w:rFonts w:ascii="Times New Roman" w:eastAsia="宋体" w:hAnsi="Times New Roman"/>
                <w:color w:val="000000"/>
                <w:sz w:val="16"/>
                <w:szCs w:val="16"/>
              </w:rPr>
              <w:t>193 </w:t>
            </w:r>
          </w:p>
        </w:tc>
        <w:tc>
          <w:tcPr>
            <w:tcW w:w="0" w:type="auto"/>
            <w:shd w:val="clear" w:color="auto" w:fill="CCEEFF"/>
            <w:tcMar>
              <w:top w:w="40" w:type="dxa"/>
              <w:left w:w="0" w:type="dxa"/>
              <w:bottom w:w="40" w:type="dxa"/>
              <w:right w:w="20" w:type="dxa"/>
            </w:tcMar>
            <w:vAlign w:val="center"/>
          </w:tcPr>
          <w:p w14:paraId="4B9A2D3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3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37" w14:textId="77777777" w:rsidR="002A3970" w:rsidRDefault="00C35E63">
            <w:pPr>
              <w:jc w:val="right"/>
              <w:textAlignment w:val="center"/>
            </w:pPr>
            <w:r>
              <w:rPr>
                <w:rFonts w:ascii="Times New Roman" w:eastAsia="宋体" w:hAnsi="Times New Roman"/>
                <w:color w:val="000000"/>
                <w:sz w:val="16"/>
                <w:szCs w:val="16"/>
              </w:rPr>
              <w:t>476 </w:t>
            </w:r>
          </w:p>
        </w:tc>
        <w:tc>
          <w:tcPr>
            <w:tcW w:w="0" w:type="auto"/>
            <w:shd w:val="clear" w:color="auto" w:fill="CCEEFF"/>
            <w:tcMar>
              <w:top w:w="40" w:type="dxa"/>
              <w:left w:w="0" w:type="dxa"/>
              <w:bottom w:w="40" w:type="dxa"/>
              <w:right w:w="20" w:type="dxa"/>
            </w:tcMar>
            <w:vAlign w:val="center"/>
          </w:tcPr>
          <w:p w14:paraId="4B9A2D3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3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3A" w14:textId="77777777" w:rsidR="002A3970" w:rsidRDefault="00C35E63">
            <w:pPr>
              <w:jc w:val="right"/>
              <w:textAlignment w:val="center"/>
            </w:pPr>
            <w:r>
              <w:rPr>
                <w:rFonts w:ascii="Times New Roman" w:eastAsia="宋体" w:hAnsi="Times New Roman"/>
                <w:color w:val="000000"/>
                <w:sz w:val="16"/>
                <w:szCs w:val="16"/>
              </w:rPr>
              <w:t>189 </w:t>
            </w:r>
          </w:p>
        </w:tc>
        <w:tc>
          <w:tcPr>
            <w:tcW w:w="0" w:type="auto"/>
            <w:shd w:val="clear" w:color="auto" w:fill="CCEEFF"/>
            <w:tcMar>
              <w:top w:w="40" w:type="dxa"/>
              <w:left w:w="0" w:type="dxa"/>
              <w:bottom w:w="40" w:type="dxa"/>
              <w:right w:w="20" w:type="dxa"/>
            </w:tcMar>
            <w:vAlign w:val="center"/>
          </w:tcPr>
          <w:p w14:paraId="4B9A2D3B" w14:textId="77777777" w:rsidR="002A3970" w:rsidRDefault="002A3970">
            <w:pPr>
              <w:jc w:val="right"/>
              <w:rPr>
                <w:rFonts w:ascii="宋体"/>
              </w:rPr>
            </w:pPr>
          </w:p>
        </w:tc>
      </w:tr>
      <w:tr w:rsidR="002A3970" w14:paraId="4B9A2D45" w14:textId="77777777">
        <w:trPr>
          <w:jc w:val="center"/>
          <w:hidden/>
        </w:trPr>
        <w:tc>
          <w:tcPr>
            <w:tcW w:w="0" w:type="auto"/>
            <w:gridSpan w:val="3"/>
            <w:shd w:val="clear" w:color="auto" w:fill="auto"/>
            <w:vAlign w:val="bottom"/>
          </w:tcPr>
          <w:p w14:paraId="4B9A2D3D" w14:textId="77777777" w:rsidR="002A3970" w:rsidRDefault="002A3970">
            <w:pPr>
              <w:rPr>
                <w:rFonts w:ascii="宋体"/>
                <w:vanish/>
              </w:rPr>
            </w:pPr>
          </w:p>
        </w:tc>
        <w:tc>
          <w:tcPr>
            <w:tcW w:w="0" w:type="auto"/>
            <w:gridSpan w:val="3"/>
            <w:shd w:val="clear" w:color="auto" w:fill="auto"/>
            <w:vAlign w:val="bottom"/>
          </w:tcPr>
          <w:p w14:paraId="4B9A2D3E" w14:textId="77777777" w:rsidR="002A3970" w:rsidRDefault="002A3970">
            <w:pPr>
              <w:rPr>
                <w:rFonts w:ascii="宋体"/>
                <w:vanish/>
              </w:rPr>
            </w:pPr>
          </w:p>
        </w:tc>
        <w:tc>
          <w:tcPr>
            <w:tcW w:w="0" w:type="auto"/>
            <w:gridSpan w:val="3"/>
            <w:shd w:val="clear" w:color="auto" w:fill="auto"/>
            <w:vAlign w:val="bottom"/>
          </w:tcPr>
          <w:p w14:paraId="4B9A2D3F" w14:textId="77777777" w:rsidR="002A3970" w:rsidRDefault="002A3970">
            <w:pPr>
              <w:rPr>
                <w:rFonts w:ascii="宋体"/>
                <w:vanish/>
              </w:rPr>
            </w:pPr>
          </w:p>
        </w:tc>
        <w:tc>
          <w:tcPr>
            <w:tcW w:w="0" w:type="auto"/>
            <w:gridSpan w:val="3"/>
            <w:shd w:val="clear" w:color="auto" w:fill="auto"/>
            <w:vAlign w:val="bottom"/>
          </w:tcPr>
          <w:p w14:paraId="4B9A2D40" w14:textId="77777777" w:rsidR="002A3970" w:rsidRDefault="002A3970">
            <w:pPr>
              <w:rPr>
                <w:rFonts w:ascii="宋体"/>
                <w:vanish/>
              </w:rPr>
            </w:pPr>
          </w:p>
        </w:tc>
        <w:tc>
          <w:tcPr>
            <w:tcW w:w="0" w:type="auto"/>
            <w:gridSpan w:val="3"/>
            <w:shd w:val="clear" w:color="auto" w:fill="auto"/>
            <w:vAlign w:val="bottom"/>
          </w:tcPr>
          <w:p w14:paraId="4B9A2D41" w14:textId="77777777" w:rsidR="002A3970" w:rsidRDefault="002A3970">
            <w:pPr>
              <w:rPr>
                <w:rFonts w:ascii="宋体"/>
                <w:vanish/>
              </w:rPr>
            </w:pPr>
          </w:p>
        </w:tc>
        <w:tc>
          <w:tcPr>
            <w:tcW w:w="0" w:type="auto"/>
            <w:gridSpan w:val="3"/>
            <w:shd w:val="clear" w:color="auto" w:fill="auto"/>
            <w:vAlign w:val="bottom"/>
          </w:tcPr>
          <w:p w14:paraId="4B9A2D42" w14:textId="77777777" w:rsidR="002A3970" w:rsidRDefault="002A3970">
            <w:pPr>
              <w:rPr>
                <w:rFonts w:ascii="宋体"/>
                <w:vanish/>
              </w:rPr>
            </w:pPr>
          </w:p>
        </w:tc>
        <w:tc>
          <w:tcPr>
            <w:tcW w:w="0" w:type="auto"/>
            <w:gridSpan w:val="3"/>
            <w:shd w:val="clear" w:color="auto" w:fill="auto"/>
            <w:vAlign w:val="bottom"/>
          </w:tcPr>
          <w:p w14:paraId="4B9A2D43" w14:textId="77777777" w:rsidR="002A3970" w:rsidRDefault="002A3970">
            <w:pPr>
              <w:rPr>
                <w:rFonts w:ascii="宋体"/>
                <w:vanish/>
              </w:rPr>
            </w:pPr>
          </w:p>
        </w:tc>
        <w:tc>
          <w:tcPr>
            <w:tcW w:w="0" w:type="auto"/>
            <w:gridSpan w:val="3"/>
            <w:shd w:val="clear" w:color="auto" w:fill="auto"/>
            <w:vAlign w:val="bottom"/>
          </w:tcPr>
          <w:p w14:paraId="4B9A2D44" w14:textId="77777777" w:rsidR="002A3970" w:rsidRDefault="002A3970">
            <w:pPr>
              <w:rPr>
                <w:rFonts w:ascii="宋体"/>
                <w:vanish/>
              </w:rPr>
            </w:pPr>
          </w:p>
        </w:tc>
      </w:tr>
      <w:tr w:rsidR="002A3970" w14:paraId="4B9A2D52" w14:textId="77777777">
        <w:trPr>
          <w:jc w:val="center"/>
        </w:trPr>
        <w:tc>
          <w:tcPr>
            <w:tcW w:w="0" w:type="auto"/>
            <w:gridSpan w:val="3"/>
            <w:shd w:val="clear" w:color="auto" w:fill="FFFFFF"/>
            <w:tcMar>
              <w:top w:w="40" w:type="dxa"/>
              <w:left w:w="20" w:type="dxa"/>
              <w:bottom w:w="40" w:type="dxa"/>
              <w:right w:w="20" w:type="dxa"/>
            </w:tcMar>
            <w:vAlign w:val="center"/>
          </w:tcPr>
          <w:p w14:paraId="4B9A2D46" w14:textId="77777777" w:rsidR="002A3970" w:rsidRDefault="00C35E63">
            <w:pPr>
              <w:textAlignment w:val="center"/>
            </w:pPr>
            <w:r>
              <w:rPr>
                <w:rFonts w:ascii="Times New Roman" w:eastAsia="宋体" w:hAnsi="Times New Roman"/>
                <w:b/>
                <w:bCs/>
                <w:color w:val="000000"/>
                <w:sz w:val="16"/>
                <w:szCs w:val="16"/>
              </w:rPr>
              <w:t>Other comprehensive income (loss) attributable to Walmart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47" w14:textId="77777777" w:rsidR="002A3970" w:rsidRDefault="00C35E63">
            <w:pPr>
              <w:jc w:val="right"/>
              <w:textAlignment w:val="center"/>
            </w:pPr>
            <w:r>
              <w:rPr>
                <w:rFonts w:ascii="Times New Roman" w:eastAsia="宋体" w:hAnsi="Times New Roman"/>
                <w:color w:val="000000"/>
                <w:sz w:val="16"/>
                <w:szCs w:val="16"/>
              </w:rPr>
              <w:t>(886)</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4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49"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4A" w14:textId="77777777" w:rsidR="002A3970" w:rsidRDefault="00C35E63">
            <w:pPr>
              <w:jc w:val="right"/>
              <w:textAlignment w:val="center"/>
            </w:pPr>
            <w:r>
              <w:rPr>
                <w:rFonts w:ascii="Times New Roman" w:eastAsia="宋体" w:hAnsi="Times New Roman"/>
                <w:color w:val="000000"/>
                <w:sz w:val="16"/>
                <w:szCs w:val="16"/>
              </w:rPr>
              <w:t>(512)</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4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4C"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4D" w14:textId="77777777" w:rsidR="002A3970" w:rsidRDefault="00C35E63">
            <w:pPr>
              <w:jc w:val="right"/>
              <w:textAlignment w:val="center"/>
            </w:pPr>
            <w:r>
              <w:rPr>
                <w:rFonts w:ascii="Times New Roman" w:eastAsia="宋体" w:hAnsi="Times New Roman"/>
                <w:color w:val="000000"/>
                <w:sz w:val="16"/>
                <w:szCs w:val="16"/>
              </w:rPr>
              <w:t>(2,014)</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4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4F"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D50" w14:textId="77777777" w:rsidR="002A3970" w:rsidRDefault="00C35E63">
            <w:pPr>
              <w:jc w:val="right"/>
              <w:textAlignment w:val="center"/>
            </w:pPr>
            <w:r>
              <w:rPr>
                <w:rFonts w:ascii="Times New Roman" w:eastAsia="宋体" w:hAnsi="Times New Roman"/>
                <w:color w:val="000000"/>
                <w:sz w:val="16"/>
                <w:szCs w:val="16"/>
              </w:rPr>
              <w:t>3,278 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D51" w14:textId="77777777" w:rsidR="002A3970" w:rsidRDefault="002A3970">
            <w:pPr>
              <w:jc w:val="right"/>
              <w:rPr>
                <w:rFonts w:ascii="宋体"/>
              </w:rPr>
            </w:pPr>
          </w:p>
        </w:tc>
      </w:tr>
      <w:tr w:rsidR="002A3970" w14:paraId="4B9A2D5B" w14:textId="77777777">
        <w:trPr>
          <w:trHeight w:val="220"/>
          <w:jc w:val="center"/>
        </w:trPr>
        <w:tc>
          <w:tcPr>
            <w:tcW w:w="0" w:type="auto"/>
            <w:gridSpan w:val="3"/>
            <w:shd w:val="clear" w:color="auto" w:fill="CCEEFF"/>
            <w:tcMar>
              <w:top w:w="0" w:type="dxa"/>
              <w:left w:w="20" w:type="dxa"/>
              <w:bottom w:w="0" w:type="dxa"/>
              <w:right w:w="20" w:type="dxa"/>
            </w:tcMar>
            <w:vAlign w:val="bottom"/>
          </w:tcPr>
          <w:p w14:paraId="4B9A2D53" w14:textId="77777777" w:rsidR="002A3970" w:rsidRDefault="002A397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2D5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D55" w14:textId="77777777" w:rsidR="002A3970" w:rsidRDefault="002A397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2D5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D57" w14:textId="77777777" w:rsidR="002A3970" w:rsidRDefault="002A397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2D5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D59" w14:textId="77777777" w:rsidR="002A3970" w:rsidRDefault="002A397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2D5A" w14:textId="77777777" w:rsidR="002A3970" w:rsidRDefault="002A3970">
            <w:pPr>
              <w:rPr>
                <w:rFonts w:ascii="宋体"/>
              </w:rPr>
            </w:pPr>
          </w:p>
        </w:tc>
      </w:tr>
      <w:tr w:rsidR="002A3970" w14:paraId="4B9A2D68" w14:textId="77777777">
        <w:trPr>
          <w:jc w:val="center"/>
        </w:trPr>
        <w:tc>
          <w:tcPr>
            <w:tcW w:w="0" w:type="auto"/>
            <w:gridSpan w:val="3"/>
            <w:shd w:val="clear" w:color="auto" w:fill="FFFFFF"/>
            <w:tcMar>
              <w:top w:w="40" w:type="dxa"/>
              <w:left w:w="20" w:type="dxa"/>
              <w:bottom w:w="40" w:type="dxa"/>
              <w:right w:w="20" w:type="dxa"/>
            </w:tcMar>
            <w:vAlign w:val="center"/>
          </w:tcPr>
          <w:p w14:paraId="4B9A2D5C" w14:textId="77777777" w:rsidR="002A3970" w:rsidRDefault="00C35E63">
            <w:pPr>
              <w:textAlignment w:val="center"/>
            </w:pPr>
            <w:r>
              <w:rPr>
                <w:rFonts w:ascii="Times New Roman" w:eastAsia="宋体" w:hAnsi="Times New Roman"/>
                <w:color w:val="000000"/>
                <w:sz w:val="16"/>
                <w:szCs w:val="16"/>
              </w:rPr>
              <w:t>Comprehensive income (loss), net of income taxes</w:t>
            </w:r>
          </w:p>
        </w:tc>
        <w:tc>
          <w:tcPr>
            <w:tcW w:w="0" w:type="auto"/>
            <w:gridSpan w:val="2"/>
            <w:shd w:val="clear" w:color="auto" w:fill="FFFFFF"/>
            <w:tcMar>
              <w:top w:w="40" w:type="dxa"/>
              <w:left w:w="20" w:type="dxa"/>
              <w:bottom w:w="40" w:type="dxa"/>
              <w:right w:w="0" w:type="dxa"/>
            </w:tcMar>
            <w:vAlign w:val="center"/>
          </w:tcPr>
          <w:p w14:paraId="4B9A2D5D" w14:textId="77777777" w:rsidR="002A3970" w:rsidRDefault="00C35E63">
            <w:pPr>
              <w:jc w:val="right"/>
              <w:textAlignment w:val="center"/>
            </w:pPr>
            <w:r>
              <w:rPr>
                <w:rFonts w:ascii="Times New Roman" w:eastAsia="宋体" w:hAnsi="Times New Roman"/>
                <w:color w:val="000000"/>
                <w:sz w:val="16"/>
                <w:szCs w:val="16"/>
              </w:rPr>
              <w:t>(2,861)</w:t>
            </w:r>
          </w:p>
        </w:tc>
        <w:tc>
          <w:tcPr>
            <w:tcW w:w="0" w:type="auto"/>
            <w:shd w:val="clear" w:color="auto" w:fill="FFFFFF"/>
            <w:tcMar>
              <w:top w:w="40" w:type="dxa"/>
              <w:left w:w="0" w:type="dxa"/>
              <w:bottom w:w="40" w:type="dxa"/>
              <w:right w:w="20" w:type="dxa"/>
            </w:tcMar>
            <w:vAlign w:val="center"/>
          </w:tcPr>
          <w:p w14:paraId="4B9A2D5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5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60" w14:textId="77777777" w:rsidR="002A3970" w:rsidRDefault="00C35E63">
            <w:pPr>
              <w:jc w:val="right"/>
              <w:textAlignment w:val="center"/>
            </w:pPr>
            <w:r>
              <w:rPr>
                <w:rFonts w:ascii="Times New Roman" w:eastAsia="宋体" w:hAnsi="Times New Roman"/>
                <w:color w:val="000000"/>
                <w:sz w:val="16"/>
                <w:szCs w:val="16"/>
              </w:rPr>
              <w:t>2,427 </w:t>
            </w:r>
          </w:p>
        </w:tc>
        <w:tc>
          <w:tcPr>
            <w:tcW w:w="0" w:type="auto"/>
            <w:shd w:val="clear" w:color="auto" w:fill="FFFFFF"/>
            <w:tcMar>
              <w:top w:w="40" w:type="dxa"/>
              <w:left w:w="0" w:type="dxa"/>
              <w:bottom w:w="40" w:type="dxa"/>
              <w:right w:w="20" w:type="dxa"/>
            </w:tcMar>
            <w:vAlign w:val="center"/>
          </w:tcPr>
          <w:p w14:paraId="4B9A2D6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6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63" w14:textId="77777777" w:rsidR="002A3970" w:rsidRDefault="00C35E63">
            <w:pPr>
              <w:jc w:val="right"/>
              <w:textAlignment w:val="center"/>
            </w:pPr>
            <w:r>
              <w:rPr>
                <w:rFonts w:ascii="Times New Roman" w:eastAsia="宋体" w:hAnsi="Times New Roman"/>
                <w:color w:val="000000"/>
                <w:sz w:val="16"/>
                <w:szCs w:val="16"/>
              </w:rPr>
              <w:t>2,993 </w:t>
            </w:r>
          </w:p>
        </w:tc>
        <w:tc>
          <w:tcPr>
            <w:tcW w:w="0" w:type="auto"/>
            <w:shd w:val="clear" w:color="auto" w:fill="FFFFFF"/>
            <w:tcMar>
              <w:top w:w="40" w:type="dxa"/>
              <w:left w:w="0" w:type="dxa"/>
              <w:bottom w:w="40" w:type="dxa"/>
              <w:right w:w="20" w:type="dxa"/>
            </w:tcMar>
            <w:vAlign w:val="center"/>
          </w:tcPr>
          <w:p w14:paraId="4B9A2D6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6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66" w14:textId="77777777" w:rsidR="002A3970" w:rsidRDefault="00C35E63">
            <w:pPr>
              <w:jc w:val="right"/>
              <w:textAlignment w:val="center"/>
            </w:pPr>
            <w:r>
              <w:rPr>
                <w:rFonts w:ascii="Times New Roman" w:eastAsia="宋体" w:hAnsi="Times New Roman"/>
                <w:color w:val="000000"/>
                <w:sz w:val="16"/>
                <w:szCs w:val="16"/>
              </w:rPr>
              <w:t>13,396 </w:t>
            </w:r>
          </w:p>
        </w:tc>
        <w:tc>
          <w:tcPr>
            <w:tcW w:w="0" w:type="auto"/>
            <w:shd w:val="clear" w:color="auto" w:fill="FFFFFF"/>
            <w:tcMar>
              <w:top w:w="40" w:type="dxa"/>
              <w:left w:w="0" w:type="dxa"/>
              <w:bottom w:w="40" w:type="dxa"/>
              <w:right w:w="20" w:type="dxa"/>
            </w:tcMar>
            <w:vAlign w:val="center"/>
          </w:tcPr>
          <w:p w14:paraId="4B9A2D67" w14:textId="77777777" w:rsidR="002A3970" w:rsidRDefault="002A3970">
            <w:pPr>
              <w:jc w:val="right"/>
              <w:rPr>
                <w:rFonts w:ascii="宋体"/>
              </w:rPr>
            </w:pPr>
          </w:p>
        </w:tc>
      </w:tr>
      <w:tr w:rsidR="002A3970" w14:paraId="4B9A2D75" w14:textId="77777777">
        <w:trPr>
          <w:jc w:val="center"/>
        </w:trPr>
        <w:tc>
          <w:tcPr>
            <w:tcW w:w="0" w:type="auto"/>
            <w:gridSpan w:val="3"/>
            <w:shd w:val="clear" w:color="auto" w:fill="CCEEFF"/>
            <w:tcMar>
              <w:top w:w="40" w:type="dxa"/>
              <w:left w:w="380" w:type="dxa"/>
              <w:bottom w:w="40" w:type="dxa"/>
              <w:right w:w="20" w:type="dxa"/>
            </w:tcMar>
            <w:vAlign w:val="center"/>
          </w:tcPr>
          <w:p w14:paraId="4B9A2D69" w14:textId="77777777" w:rsidR="002A3970" w:rsidRDefault="00C35E63">
            <w:pPr>
              <w:textAlignment w:val="center"/>
            </w:pPr>
            <w:r>
              <w:rPr>
                <w:rFonts w:ascii="Times New Roman" w:eastAsia="宋体" w:hAnsi="Times New Roman"/>
                <w:color w:val="000000"/>
                <w:sz w:val="16"/>
                <w:szCs w:val="16"/>
              </w:rPr>
              <w:t>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4B9A2D6A" w14:textId="77777777" w:rsidR="002A3970" w:rsidRDefault="00C35E63">
            <w:pPr>
              <w:jc w:val="right"/>
              <w:textAlignment w:val="center"/>
            </w:pPr>
            <w:r>
              <w:rPr>
                <w:rFonts w:ascii="Times New Roman" w:eastAsia="宋体" w:hAnsi="Times New Roman"/>
                <w:color w:val="000000"/>
                <w:sz w:val="16"/>
                <w:szCs w:val="16"/>
              </w:rPr>
              <w:t>177 </w:t>
            </w:r>
          </w:p>
        </w:tc>
        <w:tc>
          <w:tcPr>
            <w:tcW w:w="0" w:type="auto"/>
            <w:shd w:val="clear" w:color="auto" w:fill="CCEEFF"/>
            <w:tcMar>
              <w:top w:w="40" w:type="dxa"/>
              <w:left w:w="0" w:type="dxa"/>
              <w:bottom w:w="40" w:type="dxa"/>
              <w:right w:w="20" w:type="dxa"/>
            </w:tcMar>
            <w:vAlign w:val="center"/>
          </w:tcPr>
          <w:p w14:paraId="4B9A2D6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6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6D" w14:textId="77777777" w:rsidR="002A3970" w:rsidRDefault="00C35E63">
            <w:pPr>
              <w:jc w:val="right"/>
              <w:textAlignment w:val="center"/>
            </w:pPr>
            <w:r>
              <w:rPr>
                <w:rFonts w:ascii="Times New Roman" w:eastAsia="宋体" w:hAnsi="Times New Roman"/>
                <w:color w:val="000000"/>
                <w:sz w:val="16"/>
                <w:szCs w:val="16"/>
              </w:rPr>
              <w:t>166 </w:t>
            </w:r>
          </w:p>
        </w:tc>
        <w:tc>
          <w:tcPr>
            <w:tcW w:w="0" w:type="auto"/>
            <w:shd w:val="clear" w:color="auto" w:fill="CCEEFF"/>
            <w:tcMar>
              <w:top w:w="40" w:type="dxa"/>
              <w:left w:w="0" w:type="dxa"/>
              <w:bottom w:w="40" w:type="dxa"/>
              <w:right w:w="20" w:type="dxa"/>
            </w:tcMar>
            <w:vAlign w:val="center"/>
          </w:tcPr>
          <w:p w14:paraId="4B9A2D6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6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70" w14:textId="77777777" w:rsidR="002A3970" w:rsidRDefault="00C35E63">
            <w:pPr>
              <w:jc w:val="right"/>
              <w:textAlignment w:val="center"/>
            </w:pPr>
            <w:r>
              <w:rPr>
                <w:rFonts w:ascii="Times New Roman" w:eastAsia="宋体" w:hAnsi="Times New Roman"/>
                <w:color w:val="000000"/>
                <w:sz w:val="16"/>
                <w:szCs w:val="16"/>
              </w:rPr>
              <w:t>398 </w:t>
            </w:r>
          </w:p>
        </w:tc>
        <w:tc>
          <w:tcPr>
            <w:tcW w:w="0" w:type="auto"/>
            <w:shd w:val="clear" w:color="auto" w:fill="CCEEFF"/>
            <w:tcMar>
              <w:top w:w="40" w:type="dxa"/>
              <w:left w:w="0" w:type="dxa"/>
              <w:bottom w:w="40" w:type="dxa"/>
              <w:right w:w="20" w:type="dxa"/>
            </w:tcMar>
            <w:vAlign w:val="center"/>
          </w:tcPr>
          <w:p w14:paraId="4B9A2D7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7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73" w14:textId="77777777" w:rsidR="002A3970" w:rsidRDefault="00C35E63">
            <w:pPr>
              <w:jc w:val="right"/>
              <w:textAlignment w:val="center"/>
            </w:pPr>
            <w:r>
              <w:rPr>
                <w:rFonts w:ascii="Times New Roman" w:eastAsia="宋体" w:hAnsi="Times New Roman"/>
                <w:color w:val="000000"/>
                <w:sz w:val="16"/>
                <w:szCs w:val="16"/>
              </w:rPr>
              <w:t>(7)</w:t>
            </w:r>
          </w:p>
        </w:tc>
        <w:tc>
          <w:tcPr>
            <w:tcW w:w="0" w:type="auto"/>
            <w:shd w:val="clear" w:color="auto" w:fill="CCEEFF"/>
            <w:tcMar>
              <w:top w:w="40" w:type="dxa"/>
              <w:left w:w="0" w:type="dxa"/>
              <w:bottom w:w="40" w:type="dxa"/>
              <w:right w:w="20" w:type="dxa"/>
            </w:tcMar>
            <w:vAlign w:val="center"/>
          </w:tcPr>
          <w:p w14:paraId="4B9A2D74" w14:textId="77777777" w:rsidR="002A3970" w:rsidRDefault="002A3970">
            <w:pPr>
              <w:jc w:val="right"/>
              <w:rPr>
                <w:rFonts w:ascii="宋体"/>
              </w:rPr>
            </w:pPr>
          </w:p>
        </w:tc>
      </w:tr>
      <w:tr w:rsidR="002A3970" w14:paraId="4B9A2D7E" w14:textId="77777777">
        <w:trPr>
          <w:jc w:val="center"/>
          <w:hidden/>
        </w:trPr>
        <w:tc>
          <w:tcPr>
            <w:tcW w:w="0" w:type="auto"/>
            <w:gridSpan w:val="3"/>
            <w:shd w:val="clear" w:color="auto" w:fill="auto"/>
            <w:vAlign w:val="bottom"/>
          </w:tcPr>
          <w:p w14:paraId="4B9A2D76" w14:textId="77777777" w:rsidR="002A3970" w:rsidRDefault="002A3970">
            <w:pPr>
              <w:rPr>
                <w:rFonts w:ascii="宋体"/>
                <w:vanish/>
              </w:rPr>
            </w:pPr>
          </w:p>
        </w:tc>
        <w:tc>
          <w:tcPr>
            <w:tcW w:w="0" w:type="auto"/>
            <w:gridSpan w:val="3"/>
            <w:shd w:val="clear" w:color="auto" w:fill="auto"/>
            <w:vAlign w:val="bottom"/>
          </w:tcPr>
          <w:p w14:paraId="4B9A2D77" w14:textId="77777777" w:rsidR="002A3970" w:rsidRDefault="002A3970">
            <w:pPr>
              <w:rPr>
                <w:rFonts w:ascii="宋体"/>
                <w:vanish/>
              </w:rPr>
            </w:pPr>
          </w:p>
        </w:tc>
        <w:tc>
          <w:tcPr>
            <w:tcW w:w="0" w:type="auto"/>
            <w:gridSpan w:val="3"/>
            <w:shd w:val="clear" w:color="auto" w:fill="auto"/>
            <w:vAlign w:val="bottom"/>
          </w:tcPr>
          <w:p w14:paraId="4B9A2D78" w14:textId="77777777" w:rsidR="002A3970" w:rsidRDefault="002A3970">
            <w:pPr>
              <w:rPr>
                <w:rFonts w:ascii="宋体"/>
                <w:vanish/>
              </w:rPr>
            </w:pPr>
          </w:p>
        </w:tc>
        <w:tc>
          <w:tcPr>
            <w:tcW w:w="0" w:type="auto"/>
            <w:gridSpan w:val="3"/>
            <w:shd w:val="clear" w:color="auto" w:fill="auto"/>
            <w:vAlign w:val="bottom"/>
          </w:tcPr>
          <w:p w14:paraId="4B9A2D79" w14:textId="77777777" w:rsidR="002A3970" w:rsidRDefault="002A3970">
            <w:pPr>
              <w:rPr>
                <w:rFonts w:ascii="宋体"/>
                <w:vanish/>
              </w:rPr>
            </w:pPr>
          </w:p>
        </w:tc>
        <w:tc>
          <w:tcPr>
            <w:tcW w:w="0" w:type="auto"/>
            <w:gridSpan w:val="3"/>
            <w:shd w:val="clear" w:color="auto" w:fill="auto"/>
            <w:vAlign w:val="bottom"/>
          </w:tcPr>
          <w:p w14:paraId="4B9A2D7A" w14:textId="77777777" w:rsidR="002A3970" w:rsidRDefault="002A3970">
            <w:pPr>
              <w:rPr>
                <w:rFonts w:ascii="宋体"/>
                <w:vanish/>
              </w:rPr>
            </w:pPr>
          </w:p>
        </w:tc>
        <w:tc>
          <w:tcPr>
            <w:tcW w:w="0" w:type="auto"/>
            <w:gridSpan w:val="3"/>
            <w:shd w:val="clear" w:color="auto" w:fill="auto"/>
            <w:vAlign w:val="bottom"/>
          </w:tcPr>
          <w:p w14:paraId="4B9A2D7B" w14:textId="77777777" w:rsidR="002A3970" w:rsidRDefault="002A3970">
            <w:pPr>
              <w:rPr>
                <w:rFonts w:ascii="宋体"/>
                <w:vanish/>
              </w:rPr>
            </w:pPr>
          </w:p>
        </w:tc>
        <w:tc>
          <w:tcPr>
            <w:tcW w:w="0" w:type="auto"/>
            <w:gridSpan w:val="3"/>
            <w:shd w:val="clear" w:color="auto" w:fill="auto"/>
            <w:vAlign w:val="bottom"/>
          </w:tcPr>
          <w:p w14:paraId="4B9A2D7C" w14:textId="77777777" w:rsidR="002A3970" w:rsidRDefault="002A3970">
            <w:pPr>
              <w:rPr>
                <w:rFonts w:ascii="宋体"/>
                <w:vanish/>
              </w:rPr>
            </w:pPr>
          </w:p>
        </w:tc>
        <w:tc>
          <w:tcPr>
            <w:tcW w:w="0" w:type="auto"/>
            <w:gridSpan w:val="3"/>
            <w:shd w:val="clear" w:color="auto" w:fill="auto"/>
            <w:vAlign w:val="bottom"/>
          </w:tcPr>
          <w:p w14:paraId="4B9A2D7D" w14:textId="77777777" w:rsidR="002A3970" w:rsidRDefault="002A3970">
            <w:pPr>
              <w:rPr>
                <w:rFonts w:ascii="宋体"/>
                <w:vanish/>
              </w:rPr>
            </w:pPr>
          </w:p>
        </w:tc>
      </w:tr>
      <w:tr w:rsidR="002A3970" w14:paraId="4B9A2D8F" w14:textId="77777777">
        <w:trPr>
          <w:jc w:val="center"/>
        </w:trPr>
        <w:tc>
          <w:tcPr>
            <w:tcW w:w="0" w:type="auto"/>
            <w:gridSpan w:val="3"/>
            <w:shd w:val="clear" w:color="auto" w:fill="FFFFFF"/>
            <w:tcMar>
              <w:top w:w="40" w:type="dxa"/>
              <w:left w:w="20" w:type="dxa"/>
              <w:bottom w:w="40" w:type="dxa"/>
              <w:right w:w="20" w:type="dxa"/>
            </w:tcMar>
            <w:vAlign w:val="center"/>
          </w:tcPr>
          <w:p w14:paraId="4B9A2D7F" w14:textId="77777777" w:rsidR="002A3970" w:rsidRDefault="00C35E63">
            <w:pPr>
              <w:textAlignment w:val="center"/>
            </w:pPr>
            <w:r>
              <w:rPr>
                <w:rFonts w:ascii="Times New Roman" w:eastAsia="宋体" w:hAnsi="Times New Roman"/>
                <w:b/>
                <w:bCs/>
                <w:color w:val="000000"/>
                <w:sz w:val="16"/>
                <w:szCs w:val="16"/>
              </w:rPr>
              <w:t>Comprehensive income (loss) attributable to Walmart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2D8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2D81" w14:textId="77777777" w:rsidR="002A3970" w:rsidRDefault="00C35E63">
            <w:pPr>
              <w:jc w:val="right"/>
              <w:textAlignment w:val="center"/>
            </w:pPr>
            <w:r>
              <w:rPr>
                <w:rFonts w:ascii="Times New Roman" w:eastAsia="宋体" w:hAnsi="Times New Roman"/>
                <w:color w:val="000000"/>
                <w:sz w:val="16"/>
                <w:szCs w:val="16"/>
              </w:rPr>
              <w:t>(2,684)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2D8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83"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2D8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2D85" w14:textId="77777777" w:rsidR="002A3970" w:rsidRDefault="00C35E63">
            <w:pPr>
              <w:jc w:val="right"/>
              <w:textAlignment w:val="center"/>
            </w:pPr>
            <w:r>
              <w:rPr>
                <w:rFonts w:ascii="Times New Roman" w:eastAsia="宋体" w:hAnsi="Times New Roman"/>
                <w:color w:val="000000"/>
                <w:sz w:val="16"/>
                <w:szCs w:val="16"/>
              </w:rPr>
              <w:t>2,593 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2D8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87"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2D8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2D89" w14:textId="77777777" w:rsidR="002A3970" w:rsidRDefault="00C35E63">
            <w:pPr>
              <w:jc w:val="right"/>
              <w:textAlignment w:val="center"/>
            </w:pPr>
            <w:r>
              <w:rPr>
                <w:rFonts w:ascii="Times New Roman" w:eastAsia="宋体" w:hAnsi="Times New Roman"/>
                <w:color w:val="000000"/>
                <w:sz w:val="16"/>
                <w:szCs w:val="16"/>
              </w:rPr>
              <w:t>3,391 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2D8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8B"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2D8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2D8D" w14:textId="77777777" w:rsidR="002A3970" w:rsidRDefault="00C35E63">
            <w:pPr>
              <w:jc w:val="right"/>
              <w:textAlignment w:val="center"/>
            </w:pPr>
            <w:r>
              <w:rPr>
                <w:rFonts w:ascii="Times New Roman" w:eastAsia="宋体" w:hAnsi="Times New Roman"/>
                <w:color w:val="000000"/>
                <w:sz w:val="16"/>
                <w:szCs w:val="16"/>
              </w:rPr>
              <w:t>13,389 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2D8E" w14:textId="77777777" w:rsidR="002A3970" w:rsidRDefault="002A3970">
            <w:pPr>
              <w:jc w:val="right"/>
              <w:rPr>
                <w:rFonts w:ascii="宋体"/>
              </w:rPr>
            </w:pPr>
          </w:p>
        </w:tc>
      </w:tr>
    </w:tbl>
    <w:p w14:paraId="4B9A2D90" w14:textId="77777777" w:rsidR="002A3970" w:rsidRDefault="00C35E63">
      <w:pPr>
        <w:spacing w:before="80"/>
      </w:pPr>
      <w:r>
        <w:rPr>
          <w:rFonts w:ascii="Times New Roman" w:eastAsia="宋体" w:hAnsi="Times New Roman"/>
          <w:i/>
          <w:iCs/>
          <w:color w:val="000000"/>
          <w:sz w:val="16"/>
          <w:szCs w:val="16"/>
        </w:rPr>
        <w:t xml:space="preserve">See accompanying notes. </w:t>
      </w:r>
    </w:p>
    <w:p w14:paraId="4B9A2D91" w14:textId="77777777" w:rsidR="002A3970" w:rsidRDefault="00C35E63">
      <w:pPr>
        <w:jc w:val="center"/>
      </w:pPr>
      <w:r>
        <w:rPr>
          <w:rFonts w:ascii="Times New Roman" w:eastAsia="宋体" w:hAnsi="Times New Roman"/>
          <w:color w:val="000000"/>
          <w:sz w:val="20"/>
          <w:szCs w:val="20"/>
        </w:rPr>
        <w:t>4</w:t>
      </w:r>
    </w:p>
    <w:p w14:paraId="4B9A2D92" w14:textId="77777777" w:rsidR="002A3970" w:rsidRDefault="00C35E63">
      <w:r>
        <w:pict w14:anchorId="4B9A4C19">
          <v:rect id="_x0000_i1028" style="width:415.3pt;height:1.5pt" o:hralign="center" o:hrstd="t" o:hr="t" fillcolor="#a0a0a0" stroked="f"/>
        </w:pict>
      </w:r>
    </w:p>
    <w:p w14:paraId="4B9A2D93" w14:textId="77777777" w:rsidR="002A3970" w:rsidRDefault="00C35E63">
      <w:hyperlink r:id="rId43" w:anchor="i0522a2f6333e456295d59e779af751cb_7" w:history="1">
        <w:r>
          <w:rPr>
            <w:rStyle w:val="a5"/>
            <w:rFonts w:ascii="Times New Roman" w:eastAsia="宋体" w:hAnsi="Times New Roman"/>
            <w:sz w:val="20"/>
            <w:szCs w:val="20"/>
          </w:rPr>
          <w:t>Table of Contents</w:t>
        </w:r>
      </w:hyperlink>
    </w:p>
    <w:p w14:paraId="4B9A2D94" w14:textId="77777777" w:rsidR="002A3970" w:rsidRDefault="00C35E63">
      <w:pPr>
        <w:jc w:val="center"/>
      </w:pPr>
      <w:r>
        <w:rPr>
          <w:rFonts w:ascii="Times New Roman" w:eastAsia="宋体" w:hAnsi="Times New Roman"/>
          <w:b/>
          <w:bCs/>
          <w:color w:val="000000"/>
          <w:sz w:val="20"/>
          <w:szCs w:val="20"/>
        </w:rPr>
        <w:t>Walmart Inc.</w:t>
      </w:r>
    </w:p>
    <w:p w14:paraId="4B9A2D95" w14:textId="77777777" w:rsidR="002A3970" w:rsidRDefault="00C35E63">
      <w:pPr>
        <w:spacing w:before="60"/>
        <w:jc w:val="center"/>
      </w:pPr>
      <w:r>
        <w:rPr>
          <w:rFonts w:ascii="Times New Roman" w:eastAsia="宋体" w:hAnsi="Times New Roman"/>
          <w:b/>
          <w:bCs/>
          <w:color w:val="000000"/>
          <w:sz w:val="20"/>
          <w:szCs w:val="20"/>
        </w:rPr>
        <w:t>Condensed Consolidated Balance Sheets</w:t>
      </w:r>
    </w:p>
    <w:p w14:paraId="4B9A2D96" w14:textId="77777777" w:rsidR="002A3970" w:rsidRDefault="00C35E63">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39"/>
        <w:gridCol w:w="36"/>
        <w:gridCol w:w="36"/>
        <w:gridCol w:w="36"/>
        <w:gridCol w:w="100"/>
        <w:gridCol w:w="795"/>
        <w:gridCol w:w="36"/>
        <w:gridCol w:w="36"/>
        <w:gridCol w:w="36"/>
        <w:gridCol w:w="36"/>
        <w:gridCol w:w="100"/>
        <w:gridCol w:w="797"/>
        <w:gridCol w:w="36"/>
        <w:gridCol w:w="36"/>
        <w:gridCol w:w="36"/>
        <w:gridCol w:w="36"/>
        <w:gridCol w:w="100"/>
        <w:gridCol w:w="797"/>
        <w:gridCol w:w="36"/>
      </w:tblGrid>
      <w:tr w:rsidR="002A3970" w14:paraId="4B9A2DAC" w14:textId="77777777">
        <w:trPr>
          <w:jc w:val="center"/>
        </w:trPr>
        <w:tc>
          <w:tcPr>
            <w:tcW w:w="50" w:type="pct"/>
            <w:shd w:val="clear" w:color="auto" w:fill="auto"/>
            <w:vAlign w:val="bottom"/>
          </w:tcPr>
          <w:p w14:paraId="4B9A2D97" w14:textId="77777777" w:rsidR="002A3970" w:rsidRDefault="002A3970">
            <w:pPr>
              <w:rPr>
                <w:rFonts w:ascii="宋体"/>
              </w:rPr>
            </w:pPr>
          </w:p>
        </w:tc>
        <w:tc>
          <w:tcPr>
            <w:tcW w:w="3102" w:type="pct"/>
            <w:shd w:val="clear" w:color="auto" w:fill="auto"/>
            <w:vAlign w:val="bottom"/>
          </w:tcPr>
          <w:p w14:paraId="4B9A2D98" w14:textId="77777777" w:rsidR="002A3970" w:rsidRDefault="002A3970">
            <w:pPr>
              <w:rPr>
                <w:rFonts w:ascii="宋体"/>
              </w:rPr>
            </w:pPr>
          </w:p>
        </w:tc>
        <w:tc>
          <w:tcPr>
            <w:tcW w:w="5" w:type="pct"/>
            <w:shd w:val="clear" w:color="auto" w:fill="auto"/>
            <w:vAlign w:val="bottom"/>
          </w:tcPr>
          <w:p w14:paraId="4B9A2D99" w14:textId="77777777" w:rsidR="002A3970" w:rsidRDefault="002A3970">
            <w:pPr>
              <w:rPr>
                <w:rFonts w:ascii="宋体"/>
              </w:rPr>
            </w:pPr>
          </w:p>
        </w:tc>
        <w:tc>
          <w:tcPr>
            <w:tcW w:w="5" w:type="pct"/>
            <w:shd w:val="clear" w:color="auto" w:fill="auto"/>
            <w:vAlign w:val="bottom"/>
          </w:tcPr>
          <w:p w14:paraId="4B9A2D9A" w14:textId="77777777" w:rsidR="002A3970" w:rsidRDefault="002A3970">
            <w:pPr>
              <w:rPr>
                <w:rFonts w:ascii="宋体"/>
              </w:rPr>
            </w:pPr>
          </w:p>
        </w:tc>
        <w:tc>
          <w:tcPr>
            <w:tcW w:w="26" w:type="pct"/>
            <w:shd w:val="clear" w:color="auto" w:fill="auto"/>
            <w:vAlign w:val="bottom"/>
          </w:tcPr>
          <w:p w14:paraId="4B9A2D9B" w14:textId="77777777" w:rsidR="002A3970" w:rsidRDefault="002A3970">
            <w:pPr>
              <w:rPr>
                <w:rFonts w:ascii="宋体"/>
              </w:rPr>
            </w:pPr>
          </w:p>
        </w:tc>
        <w:tc>
          <w:tcPr>
            <w:tcW w:w="5" w:type="pct"/>
            <w:shd w:val="clear" w:color="auto" w:fill="auto"/>
            <w:vAlign w:val="bottom"/>
          </w:tcPr>
          <w:p w14:paraId="4B9A2D9C" w14:textId="77777777" w:rsidR="002A3970" w:rsidRDefault="002A3970">
            <w:pPr>
              <w:rPr>
                <w:rFonts w:ascii="宋体"/>
              </w:rPr>
            </w:pPr>
          </w:p>
        </w:tc>
        <w:tc>
          <w:tcPr>
            <w:tcW w:w="50" w:type="pct"/>
            <w:shd w:val="clear" w:color="auto" w:fill="auto"/>
            <w:vAlign w:val="bottom"/>
          </w:tcPr>
          <w:p w14:paraId="4B9A2D9D" w14:textId="77777777" w:rsidR="002A3970" w:rsidRDefault="002A3970">
            <w:pPr>
              <w:rPr>
                <w:rFonts w:ascii="宋体"/>
              </w:rPr>
            </w:pPr>
          </w:p>
        </w:tc>
        <w:tc>
          <w:tcPr>
            <w:tcW w:w="522" w:type="pct"/>
            <w:shd w:val="clear" w:color="auto" w:fill="auto"/>
            <w:vAlign w:val="bottom"/>
          </w:tcPr>
          <w:p w14:paraId="4B9A2D9E" w14:textId="77777777" w:rsidR="002A3970" w:rsidRDefault="002A3970">
            <w:pPr>
              <w:rPr>
                <w:rFonts w:ascii="宋体"/>
              </w:rPr>
            </w:pPr>
          </w:p>
        </w:tc>
        <w:tc>
          <w:tcPr>
            <w:tcW w:w="5" w:type="pct"/>
            <w:shd w:val="clear" w:color="auto" w:fill="auto"/>
            <w:vAlign w:val="bottom"/>
          </w:tcPr>
          <w:p w14:paraId="4B9A2D9F" w14:textId="77777777" w:rsidR="002A3970" w:rsidRDefault="002A3970">
            <w:pPr>
              <w:rPr>
                <w:rFonts w:ascii="宋体"/>
              </w:rPr>
            </w:pPr>
          </w:p>
        </w:tc>
        <w:tc>
          <w:tcPr>
            <w:tcW w:w="5" w:type="pct"/>
            <w:shd w:val="clear" w:color="auto" w:fill="auto"/>
            <w:vAlign w:val="bottom"/>
          </w:tcPr>
          <w:p w14:paraId="4B9A2DA0" w14:textId="77777777" w:rsidR="002A3970" w:rsidRDefault="002A3970">
            <w:pPr>
              <w:rPr>
                <w:rFonts w:ascii="宋体"/>
              </w:rPr>
            </w:pPr>
          </w:p>
        </w:tc>
        <w:tc>
          <w:tcPr>
            <w:tcW w:w="26" w:type="pct"/>
            <w:shd w:val="clear" w:color="auto" w:fill="auto"/>
            <w:vAlign w:val="bottom"/>
          </w:tcPr>
          <w:p w14:paraId="4B9A2DA1" w14:textId="77777777" w:rsidR="002A3970" w:rsidRDefault="002A3970">
            <w:pPr>
              <w:rPr>
                <w:rFonts w:ascii="宋体"/>
              </w:rPr>
            </w:pPr>
          </w:p>
        </w:tc>
        <w:tc>
          <w:tcPr>
            <w:tcW w:w="5" w:type="pct"/>
            <w:shd w:val="clear" w:color="auto" w:fill="auto"/>
            <w:vAlign w:val="bottom"/>
          </w:tcPr>
          <w:p w14:paraId="4B9A2DA2" w14:textId="77777777" w:rsidR="002A3970" w:rsidRDefault="002A3970">
            <w:pPr>
              <w:rPr>
                <w:rFonts w:ascii="宋体"/>
              </w:rPr>
            </w:pPr>
          </w:p>
        </w:tc>
        <w:tc>
          <w:tcPr>
            <w:tcW w:w="50" w:type="pct"/>
            <w:shd w:val="clear" w:color="auto" w:fill="auto"/>
            <w:vAlign w:val="bottom"/>
          </w:tcPr>
          <w:p w14:paraId="4B9A2DA3" w14:textId="77777777" w:rsidR="002A3970" w:rsidRDefault="002A3970">
            <w:pPr>
              <w:rPr>
                <w:rFonts w:ascii="宋体"/>
              </w:rPr>
            </w:pPr>
          </w:p>
        </w:tc>
        <w:tc>
          <w:tcPr>
            <w:tcW w:w="522" w:type="pct"/>
            <w:shd w:val="clear" w:color="auto" w:fill="auto"/>
            <w:vAlign w:val="bottom"/>
          </w:tcPr>
          <w:p w14:paraId="4B9A2DA4" w14:textId="77777777" w:rsidR="002A3970" w:rsidRDefault="002A3970">
            <w:pPr>
              <w:rPr>
                <w:rFonts w:ascii="宋体"/>
              </w:rPr>
            </w:pPr>
          </w:p>
        </w:tc>
        <w:tc>
          <w:tcPr>
            <w:tcW w:w="5" w:type="pct"/>
            <w:shd w:val="clear" w:color="auto" w:fill="auto"/>
            <w:vAlign w:val="bottom"/>
          </w:tcPr>
          <w:p w14:paraId="4B9A2DA5" w14:textId="77777777" w:rsidR="002A3970" w:rsidRDefault="002A3970">
            <w:pPr>
              <w:rPr>
                <w:rFonts w:ascii="宋体"/>
              </w:rPr>
            </w:pPr>
          </w:p>
        </w:tc>
        <w:tc>
          <w:tcPr>
            <w:tcW w:w="5" w:type="pct"/>
            <w:shd w:val="clear" w:color="auto" w:fill="auto"/>
            <w:vAlign w:val="bottom"/>
          </w:tcPr>
          <w:p w14:paraId="4B9A2DA6" w14:textId="77777777" w:rsidR="002A3970" w:rsidRDefault="002A3970">
            <w:pPr>
              <w:rPr>
                <w:rFonts w:ascii="宋体"/>
              </w:rPr>
            </w:pPr>
          </w:p>
        </w:tc>
        <w:tc>
          <w:tcPr>
            <w:tcW w:w="26" w:type="pct"/>
            <w:shd w:val="clear" w:color="auto" w:fill="auto"/>
            <w:vAlign w:val="bottom"/>
          </w:tcPr>
          <w:p w14:paraId="4B9A2DA7" w14:textId="77777777" w:rsidR="002A3970" w:rsidRDefault="002A3970">
            <w:pPr>
              <w:rPr>
                <w:rFonts w:ascii="宋体"/>
              </w:rPr>
            </w:pPr>
          </w:p>
        </w:tc>
        <w:tc>
          <w:tcPr>
            <w:tcW w:w="5" w:type="pct"/>
            <w:shd w:val="clear" w:color="auto" w:fill="auto"/>
            <w:vAlign w:val="bottom"/>
          </w:tcPr>
          <w:p w14:paraId="4B9A2DA8" w14:textId="77777777" w:rsidR="002A3970" w:rsidRDefault="002A3970">
            <w:pPr>
              <w:rPr>
                <w:rFonts w:ascii="宋体"/>
              </w:rPr>
            </w:pPr>
          </w:p>
        </w:tc>
        <w:tc>
          <w:tcPr>
            <w:tcW w:w="50" w:type="pct"/>
            <w:shd w:val="clear" w:color="auto" w:fill="auto"/>
            <w:vAlign w:val="bottom"/>
          </w:tcPr>
          <w:p w14:paraId="4B9A2DA9" w14:textId="77777777" w:rsidR="002A3970" w:rsidRDefault="002A3970">
            <w:pPr>
              <w:rPr>
                <w:rFonts w:ascii="宋体"/>
              </w:rPr>
            </w:pPr>
          </w:p>
        </w:tc>
        <w:tc>
          <w:tcPr>
            <w:tcW w:w="522" w:type="pct"/>
            <w:shd w:val="clear" w:color="auto" w:fill="auto"/>
            <w:vAlign w:val="bottom"/>
          </w:tcPr>
          <w:p w14:paraId="4B9A2DAA" w14:textId="77777777" w:rsidR="002A3970" w:rsidRDefault="002A3970">
            <w:pPr>
              <w:rPr>
                <w:rFonts w:ascii="宋体"/>
              </w:rPr>
            </w:pPr>
          </w:p>
        </w:tc>
        <w:tc>
          <w:tcPr>
            <w:tcW w:w="5" w:type="pct"/>
            <w:shd w:val="clear" w:color="auto" w:fill="auto"/>
            <w:vAlign w:val="bottom"/>
          </w:tcPr>
          <w:p w14:paraId="4B9A2DAB" w14:textId="77777777" w:rsidR="002A3970" w:rsidRDefault="002A3970">
            <w:pPr>
              <w:rPr>
                <w:rFonts w:ascii="宋体"/>
              </w:rPr>
            </w:pPr>
          </w:p>
        </w:tc>
      </w:tr>
      <w:tr w:rsidR="002A3970" w14:paraId="4B9A2DB4" w14:textId="77777777">
        <w:trPr>
          <w:jc w:val="center"/>
        </w:trPr>
        <w:tc>
          <w:tcPr>
            <w:tcW w:w="0" w:type="auto"/>
            <w:gridSpan w:val="3"/>
            <w:shd w:val="clear" w:color="auto" w:fill="auto"/>
            <w:tcMar>
              <w:top w:w="0" w:type="dxa"/>
              <w:left w:w="20" w:type="dxa"/>
              <w:bottom w:w="0" w:type="dxa"/>
              <w:right w:w="20" w:type="dxa"/>
            </w:tcMar>
            <w:vAlign w:val="bottom"/>
          </w:tcPr>
          <w:p w14:paraId="4B9A2DA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AE"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DAF" w14:textId="77777777" w:rsidR="002A3970" w:rsidRDefault="00C35E63">
            <w:pPr>
              <w:jc w:val="center"/>
              <w:textAlignment w:val="bottom"/>
            </w:pPr>
            <w:r>
              <w:rPr>
                <w:rFonts w:ascii="Times New Roman" w:eastAsia="宋体" w:hAnsi="Times New Roman"/>
                <w:b/>
                <w:bCs/>
                <w:color w:val="000000"/>
                <w:sz w:val="16"/>
                <w:szCs w:val="16"/>
              </w:rPr>
              <w:t>October 31,</w:t>
            </w:r>
          </w:p>
        </w:tc>
        <w:tc>
          <w:tcPr>
            <w:tcW w:w="0" w:type="auto"/>
            <w:gridSpan w:val="3"/>
            <w:shd w:val="clear" w:color="auto" w:fill="auto"/>
            <w:tcMar>
              <w:top w:w="0" w:type="dxa"/>
              <w:left w:w="20" w:type="dxa"/>
              <w:bottom w:w="0" w:type="dxa"/>
              <w:right w:w="20" w:type="dxa"/>
            </w:tcMar>
            <w:vAlign w:val="bottom"/>
          </w:tcPr>
          <w:p w14:paraId="4B9A2DB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DB1" w14:textId="77777777" w:rsidR="002A3970" w:rsidRDefault="00C35E63">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vAlign w:val="bottom"/>
          </w:tcPr>
          <w:p w14:paraId="4B9A2DB2"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DB3" w14:textId="77777777" w:rsidR="002A3970" w:rsidRDefault="00C35E63">
            <w:pPr>
              <w:jc w:val="center"/>
              <w:textAlignment w:val="bottom"/>
            </w:pPr>
            <w:r>
              <w:rPr>
                <w:rFonts w:ascii="Times New Roman" w:eastAsia="宋体" w:hAnsi="Times New Roman"/>
                <w:b/>
                <w:bCs/>
                <w:color w:val="000000"/>
                <w:sz w:val="16"/>
                <w:szCs w:val="16"/>
              </w:rPr>
              <w:t>October 31,</w:t>
            </w:r>
          </w:p>
        </w:tc>
      </w:tr>
      <w:tr w:rsidR="002A3970" w14:paraId="4B9A2DBC" w14:textId="77777777">
        <w:trPr>
          <w:jc w:val="center"/>
        </w:trPr>
        <w:tc>
          <w:tcPr>
            <w:tcW w:w="0" w:type="auto"/>
            <w:gridSpan w:val="3"/>
            <w:shd w:val="clear" w:color="auto" w:fill="auto"/>
            <w:tcMar>
              <w:top w:w="40" w:type="dxa"/>
              <w:left w:w="20" w:type="dxa"/>
              <w:bottom w:w="40" w:type="dxa"/>
              <w:right w:w="20" w:type="dxa"/>
            </w:tcMar>
            <w:vAlign w:val="bottom"/>
          </w:tcPr>
          <w:p w14:paraId="4B9A2DB5"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2DB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DB7"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2DB8"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DB9"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2DBA"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2DBB"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2DC4" w14:textId="77777777">
        <w:trPr>
          <w:jc w:val="center"/>
        </w:trPr>
        <w:tc>
          <w:tcPr>
            <w:tcW w:w="0" w:type="auto"/>
            <w:gridSpan w:val="3"/>
            <w:shd w:val="clear" w:color="auto" w:fill="auto"/>
            <w:tcMar>
              <w:top w:w="40" w:type="dxa"/>
              <w:left w:w="20" w:type="dxa"/>
              <w:bottom w:w="40" w:type="dxa"/>
              <w:right w:w="20" w:type="dxa"/>
            </w:tcMar>
            <w:vAlign w:val="center"/>
          </w:tcPr>
          <w:p w14:paraId="4B9A2DBD" w14:textId="77777777" w:rsidR="002A3970" w:rsidRDefault="00C35E63">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vAlign w:val="bottom"/>
          </w:tcPr>
          <w:p w14:paraId="4B9A2DBE"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DB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0"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DC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2"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2DC3" w14:textId="77777777" w:rsidR="002A3970" w:rsidRDefault="002A3970">
            <w:pPr>
              <w:rPr>
                <w:rFonts w:ascii="宋体"/>
              </w:rPr>
            </w:pPr>
          </w:p>
        </w:tc>
      </w:tr>
      <w:tr w:rsidR="002A3970" w14:paraId="4B9A2DCC" w14:textId="77777777">
        <w:trPr>
          <w:jc w:val="center"/>
        </w:trPr>
        <w:tc>
          <w:tcPr>
            <w:tcW w:w="0" w:type="auto"/>
            <w:gridSpan w:val="3"/>
            <w:shd w:val="clear" w:color="auto" w:fill="auto"/>
            <w:tcMar>
              <w:top w:w="40" w:type="dxa"/>
              <w:left w:w="20" w:type="dxa"/>
              <w:bottom w:w="40" w:type="dxa"/>
              <w:right w:w="20" w:type="dxa"/>
            </w:tcMar>
            <w:vAlign w:val="center"/>
          </w:tcPr>
          <w:p w14:paraId="4B9A2DC5" w14:textId="77777777" w:rsidR="002A3970" w:rsidRDefault="00C35E63">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vAlign w:val="bottom"/>
          </w:tcPr>
          <w:p w14:paraId="4B9A2DC6"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7"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8"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2DCB" w14:textId="77777777" w:rsidR="002A3970" w:rsidRDefault="002A3970">
            <w:pPr>
              <w:rPr>
                <w:rFonts w:ascii="宋体"/>
              </w:rPr>
            </w:pPr>
          </w:p>
        </w:tc>
      </w:tr>
      <w:tr w:rsidR="002A3970" w14:paraId="4B9A2DDA" w14:textId="77777777">
        <w:trPr>
          <w:jc w:val="center"/>
        </w:trPr>
        <w:tc>
          <w:tcPr>
            <w:tcW w:w="0" w:type="auto"/>
            <w:gridSpan w:val="3"/>
            <w:shd w:val="clear" w:color="auto" w:fill="CCEEFF"/>
            <w:tcMar>
              <w:top w:w="40" w:type="dxa"/>
              <w:left w:w="380" w:type="dxa"/>
              <w:bottom w:w="40" w:type="dxa"/>
              <w:right w:w="20" w:type="dxa"/>
            </w:tcMar>
            <w:vAlign w:val="center"/>
          </w:tcPr>
          <w:p w14:paraId="4B9A2DCD" w14:textId="77777777" w:rsidR="002A3970" w:rsidRDefault="00C35E63">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4B9A2DCE"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DCF"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DD0" w14:textId="77777777" w:rsidR="002A3970" w:rsidRDefault="00C35E63">
            <w:pPr>
              <w:jc w:val="right"/>
              <w:textAlignment w:val="center"/>
            </w:pPr>
            <w:r>
              <w:rPr>
                <w:rFonts w:ascii="Times New Roman" w:eastAsia="宋体" w:hAnsi="Times New Roman"/>
                <w:color w:val="000000"/>
                <w:sz w:val="16"/>
                <w:szCs w:val="16"/>
              </w:rPr>
              <w:t>11,587 </w:t>
            </w:r>
          </w:p>
        </w:tc>
        <w:tc>
          <w:tcPr>
            <w:tcW w:w="0" w:type="auto"/>
            <w:shd w:val="clear" w:color="auto" w:fill="CCEEFF"/>
            <w:tcMar>
              <w:top w:w="40" w:type="dxa"/>
              <w:left w:w="0" w:type="dxa"/>
              <w:bottom w:w="40" w:type="dxa"/>
              <w:right w:w="20" w:type="dxa"/>
            </w:tcMar>
            <w:vAlign w:val="center"/>
          </w:tcPr>
          <w:p w14:paraId="4B9A2DD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D2"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DD3"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DD4" w14:textId="77777777" w:rsidR="002A3970" w:rsidRDefault="00C35E63">
            <w:pPr>
              <w:jc w:val="right"/>
              <w:textAlignment w:val="center"/>
            </w:pPr>
            <w:r>
              <w:rPr>
                <w:rFonts w:ascii="Times New Roman" w:eastAsia="宋体" w:hAnsi="Times New Roman"/>
                <w:color w:val="000000"/>
                <w:sz w:val="16"/>
                <w:szCs w:val="16"/>
              </w:rPr>
              <w:t>14,760 </w:t>
            </w:r>
          </w:p>
        </w:tc>
        <w:tc>
          <w:tcPr>
            <w:tcW w:w="0" w:type="auto"/>
            <w:shd w:val="clear" w:color="auto" w:fill="CCEEFF"/>
            <w:tcMar>
              <w:top w:w="40" w:type="dxa"/>
              <w:left w:w="0" w:type="dxa"/>
              <w:bottom w:w="40" w:type="dxa"/>
              <w:right w:w="20" w:type="dxa"/>
            </w:tcMar>
            <w:vAlign w:val="center"/>
          </w:tcPr>
          <w:p w14:paraId="4B9A2DD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D6"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2DD7"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2DD8" w14:textId="77777777" w:rsidR="002A3970" w:rsidRDefault="00C35E63">
            <w:pPr>
              <w:jc w:val="right"/>
              <w:textAlignment w:val="center"/>
            </w:pPr>
            <w:r>
              <w:rPr>
                <w:rFonts w:ascii="Times New Roman" w:eastAsia="宋体" w:hAnsi="Times New Roman"/>
                <w:color w:val="000000"/>
                <w:sz w:val="16"/>
                <w:szCs w:val="16"/>
              </w:rPr>
              <w:t>16,111 </w:t>
            </w:r>
          </w:p>
        </w:tc>
        <w:tc>
          <w:tcPr>
            <w:tcW w:w="0" w:type="auto"/>
            <w:shd w:val="clear" w:color="auto" w:fill="CCEEFF"/>
            <w:tcMar>
              <w:top w:w="40" w:type="dxa"/>
              <w:left w:w="0" w:type="dxa"/>
              <w:bottom w:w="40" w:type="dxa"/>
              <w:right w:w="20" w:type="dxa"/>
            </w:tcMar>
            <w:vAlign w:val="center"/>
          </w:tcPr>
          <w:p w14:paraId="4B9A2DD9" w14:textId="77777777" w:rsidR="002A3970" w:rsidRDefault="002A3970">
            <w:pPr>
              <w:jc w:val="right"/>
              <w:rPr>
                <w:rFonts w:ascii="宋体"/>
              </w:rPr>
            </w:pPr>
          </w:p>
        </w:tc>
      </w:tr>
      <w:tr w:rsidR="002A3970" w14:paraId="4B9A2DE5" w14:textId="77777777">
        <w:trPr>
          <w:jc w:val="center"/>
        </w:trPr>
        <w:tc>
          <w:tcPr>
            <w:tcW w:w="0" w:type="auto"/>
            <w:gridSpan w:val="3"/>
            <w:shd w:val="clear" w:color="auto" w:fill="FFFFFF"/>
            <w:tcMar>
              <w:top w:w="40" w:type="dxa"/>
              <w:left w:w="380" w:type="dxa"/>
              <w:bottom w:w="40" w:type="dxa"/>
              <w:right w:w="20" w:type="dxa"/>
            </w:tcMar>
            <w:vAlign w:val="center"/>
          </w:tcPr>
          <w:p w14:paraId="4B9A2DDB" w14:textId="77777777" w:rsidR="002A3970" w:rsidRDefault="00C35E63">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4B9A2DD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DD" w14:textId="77777777" w:rsidR="002A3970" w:rsidRDefault="00C35E63">
            <w:pPr>
              <w:jc w:val="right"/>
              <w:textAlignment w:val="center"/>
            </w:pPr>
            <w:r>
              <w:rPr>
                <w:rFonts w:ascii="Times New Roman" w:eastAsia="宋体" w:hAnsi="Times New Roman"/>
                <w:color w:val="000000"/>
                <w:sz w:val="16"/>
                <w:szCs w:val="16"/>
              </w:rPr>
              <w:t>8,218 </w:t>
            </w:r>
          </w:p>
        </w:tc>
        <w:tc>
          <w:tcPr>
            <w:tcW w:w="0" w:type="auto"/>
            <w:shd w:val="clear" w:color="auto" w:fill="FFFFFF"/>
            <w:tcMar>
              <w:top w:w="40" w:type="dxa"/>
              <w:left w:w="0" w:type="dxa"/>
              <w:bottom w:w="40" w:type="dxa"/>
              <w:right w:w="20" w:type="dxa"/>
            </w:tcMar>
            <w:vAlign w:val="center"/>
          </w:tcPr>
          <w:p w14:paraId="4B9A2DD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D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E0" w14:textId="77777777" w:rsidR="002A3970" w:rsidRDefault="00C35E63">
            <w:pPr>
              <w:jc w:val="right"/>
              <w:textAlignment w:val="center"/>
            </w:pPr>
            <w:r>
              <w:rPr>
                <w:rFonts w:ascii="Times New Roman" w:eastAsia="宋体" w:hAnsi="Times New Roman"/>
                <w:color w:val="000000"/>
                <w:sz w:val="16"/>
                <w:szCs w:val="16"/>
              </w:rPr>
              <w:t>8,280 </w:t>
            </w:r>
          </w:p>
        </w:tc>
        <w:tc>
          <w:tcPr>
            <w:tcW w:w="0" w:type="auto"/>
            <w:shd w:val="clear" w:color="auto" w:fill="FFFFFF"/>
            <w:tcMar>
              <w:top w:w="40" w:type="dxa"/>
              <w:left w:w="0" w:type="dxa"/>
              <w:bottom w:w="40" w:type="dxa"/>
              <w:right w:w="20" w:type="dxa"/>
            </w:tcMar>
            <w:vAlign w:val="center"/>
          </w:tcPr>
          <w:p w14:paraId="4B9A2DE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E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E3" w14:textId="77777777" w:rsidR="002A3970" w:rsidRDefault="00C35E63">
            <w:pPr>
              <w:jc w:val="right"/>
              <w:textAlignment w:val="center"/>
            </w:pPr>
            <w:r>
              <w:rPr>
                <w:rFonts w:ascii="Times New Roman" w:eastAsia="宋体" w:hAnsi="Times New Roman"/>
                <w:color w:val="000000"/>
                <w:sz w:val="16"/>
                <w:szCs w:val="16"/>
              </w:rPr>
              <w:t>7,349 </w:t>
            </w:r>
          </w:p>
        </w:tc>
        <w:tc>
          <w:tcPr>
            <w:tcW w:w="0" w:type="auto"/>
            <w:shd w:val="clear" w:color="auto" w:fill="FFFFFF"/>
            <w:tcMar>
              <w:top w:w="40" w:type="dxa"/>
              <w:left w:w="0" w:type="dxa"/>
              <w:bottom w:w="40" w:type="dxa"/>
              <w:right w:w="20" w:type="dxa"/>
            </w:tcMar>
            <w:vAlign w:val="center"/>
          </w:tcPr>
          <w:p w14:paraId="4B9A2DE4" w14:textId="77777777" w:rsidR="002A3970" w:rsidRDefault="002A3970">
            <w:pPr>
              <w:jc w:val="right"/>
              <w:rPr>
                <w:rFonts w:ascii="宋体"/>
              </w:rPr>
            </w:pPr>
          </w:p>
        </w:tc>
      </w:tr>
      <w:tr w:rsidR="002A3970" w14:paraId="4B9A2DF0" w14:textId="77777777">
        <w:trPr>
          <w:jc w:val="center"/>
        </w:trPr>
        <w:tc>
          <w:tcPr>
            <w:tcW w:w="0" w:type="auto"/>
            <w:gridSpan w:val="3"/>
            <w:shd w:val="clear" w:color="auto" w:fill="CCEEFF"/>
            <w:tcMar>
              <w:top w:w="40" w:type="dxa"/>
              <w:left w:w="380" w:type="dxa"/>
              <w:bottom w:w="40" w:type="dxa"/>
              <w:right w:w="20" w:type="dxa"/>
            </w:tcMar>
            <w:vAlign w:val="center"/>
          </w:tcPr>
          <w:p w14:paraId="4B9A2DE6" w14:textId="77777777" w:rsidR="002A3970" w:rsidRDefault="00C35E63">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4B9A2DE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E8" w14:textId="77777777" w:rsidR="002A3970" w:rsidRDefault="00C35E63">
            <w:pPr>
              <w:jc w:val="right"/>
              <w:textAlignment w:val="center"/>
            </w:pPr>
            <w:r>
              <w:rPr>
                <w:rFonts w:ascii="Times New Roman" w:eastAsia="宋体" w:hAnsi="Times New Roman"/>
                <w:color w:val="000000"/>
                <w:sz w:val="16"/>
                <w:szCs w:val="16"/>
              </w:rPr>
              <w:t>64,706 </w:t>
            </w:r>
          </w:p>
        </w:tc>
        <w:tc>
          <w:tcPr>
            <w:tcW w:w="0" w:type="auto"/>
            <w:shd w:val="clear" w:color="auto" w:fill="CCEEFF"/>
            <w:tcMar>
              <w:top w:w="40" w:type="dxa"/>
              <w:left w:w="0" w:type="dxa"/>
              <w:bottom w:w="40" w:type="dxa"/>
              <w:right w:w="20" w:type="dxa"/>
            </w:tcMar>
            <w:vAlign w:val="center"/>
          </w:tcPr>
          <w:p w14:paraId="4B9A2DE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E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EB" w14:textId="77777777" w:rsidR="002A3970" w:rsidRDefault="00C35E63">
            <w:pPr>
              <w:jc w:val="right"/>
              <w:textAlignment w:val="center"/>
            </w:pPr>
            <w:r>
              <w:rPr>
                <w:rFonts w:ascii="Times New Roman" w:eastAsia="宋体" w:hAnsi="Times New Roman"/>
                <w:color w:val="000000"/>
                <w:sz w:val="16"/>
                <w:szCs w:val="16"/>
              </w:rPr>
              <w:t>56,511 </w:t>
            </w:r>
          </w:p>
        </w:tc>
        <w:tc>
          <w:tcPr>
            <w:tcW w:w="0" w:type="auto"/>
            <w:shd w:val="clear" w:color="auto" w:fill="CCEEFF"/>
            <w:tcMar>
              <w:top w:w="40" w:type="dxa"/>
              <w:left w:w="0" w:type="dxa"/>
              <w:bottom w:w="40" w:type="dxa"/>
              <w:right w:w="20" w:type="dxa"/>
            </w:tcMar>
            <w:vAlign w:val="center"/>
          </w:tcPr>
          <w:p w14:paraId="4B9A2DE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DE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DEE" w14:textId="77777777" w:rsidR="002A3970" w:rsidRDefault="00C35E63">
            <w:pPr>
              <w:jc w:val="right"/>
              <w:textAlignment w:val="center"/>
            </w:pPr>
            <w:r>
              <w:rPr>
                <w:rFonts w:ascii="Times New Roman" w:eastAsia="宋体" w:hAnsi="Times New Roman"/>
                <w:color w:val="000000"/>
                <w:sz w:val="16"/>
                <w:szCs w:val="16"/>
              </w:rPr>
              <w:t>57,484 </w:t>
            </w:r>
          </w:p>
        </w:tc>
        <w:tc>
          <w:tcPr>
            <w:tcW w:w="0" w:type="auto"/>
            <w:shd w:val="clear" w:color="auto" w:fill="CCEEFF"/>
            <w:tcMar>
              <w:top w:w="40" w:type="dxa"/>
              <w:left w:w="0" w:type="dxa"/>
              <w:bottom w:w="40" w:type="dxa"/>
              <w:right w:w="20" w:type="dxa"/>
            </w:tcMar>
            <w:vAlign w:val="center"/>
          </w:tcPr>
          <w:p w14:paraId="4B9A2DEF" w14:textId="77777777" w:rsidR="002A3970" w:rsidRDefault="002A3970">
            <w:pPr>
              <w:jc w:val="right"/>
              <w:rPr>
                <w:rFonts w:ascii="宋体"/>
              </w:rPr>
            </w:pPr>
          </w:p>
        </w:tc>
      </w:tr>
      <w:tr w:rsidR="002A3970" w14:paraId="4B9A2DFB" w14:textId="77777777">
        <w:trPr>
          <w:jc w:val="center"/>
        </w:trPr>
        <w:tc>
          <w:tcPr>
            <w:tcW w:w="0" w:type="auto"/>
            <w:gridSpan w:val="3"/>
            <w:shd w:val="clear" w:color="auto" w:fill="FFFFFF"/>
            <w:tcMar>
              <w:top w:w="40" w:type="dxa"/>
              <w:left w:w="380" w:type="dxa"/>
              <w:bottom w:w="40" w:type="dxa"/>
              <w:right w:w="20" w:type="dxa"/>
            </w:tcMar>
            <w:vAlign w:val="center"/>
          </w:tcPr>
          <w:p w14:paraId="4B9A2DF1" w14:textId="77777777" w:rsidR="002A3970" w:rsidRDefault="00C35E63">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vAlign w:val="bottom"/>
          </w:tcPr>
          <w:p w14:paraId="4B9A2DF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F3" w14:textId="77777777" w:rsidR="002A3970" w:rsidRDefault="00C35E63">
            <w:pPr>
              <w:jc w:val="right"/>
              <w:textAlignment w:val="center"/>
            </w:pPr>
            <w:r>
              <w:rPr>
                <w:rFonts w:ascii="Times New Roman" w:eastAsia="宋体" w:hAnsi="Times New Roman"/>
                <w:color w:val="000000"/>
                <w:sz w:val="16"/>
                <w:szCs w:val="16"/>
              </w:rPr>
              <w:t>3,169 </w:t>
            </w:r>
          </w:p>
        </w:tc>
        <w:tc>
          <w:tcPr>
            <w:tcW w:w="0" w:type="auto"/>
            <w:shd w:val="clear" w:color="auto" w:fill="FFFFFF"/>
            <w:tcMar>
              <w:top w:w="40" w:type="dxa"/>
              <w:left w:w="0" w:type="dxa"/>
              <w:bottom w:w="40" w:type="dxa"/>
              <w:right w:w="20" w:type="dxa"/>
            </w:tcMar>
            <w:vAlign w:val="center"/>
          </w:tcPr>
          <w:p w14:paraId="4B9A2DF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F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F6" w14:textId="77777777" w:rsidR="002A3970" w:rsidRDefault="00C35E63">
            <w:pPr>
              <w:jc w:val="right"/>
              <w:textAlignment w:val="center"/>
            </w:pPr>
            <w:r>
              <w:rPr>
                <w:rFonts w:ascii="Times New Roman" w:eastAsia="宋体" w:hAnsi="Times New Roman"/>
                <w:color w:val="000000"/>
                <w:sz w:val="16"/>
                <w:szCs w:val="16"/>
              </w:rPr>
              <w:t>1,519 </w:t>
            </w:r>
          </w:p>
        </w:tc>
        <w:tc>
          <w:tcPr>
            <w:tcW w:w="0" w:type="auto"/>
            <w:shd w:val="clear" w:color="auto" w:fill="FFFFFF"/>
            <w:tcMar>
              <w:top w:w="40" w:type="dxa"/>
              <w:left w:w="0" w:type="dxa"/>
              <w:bottom w:w="40" w:type="dxa"/>
              <w:right w:w="20" w:type="dxa"/>
            </w:tcMar>
            <w:vAlign w:val="center"/>
          </w:tcPr>
          <w:p w14:paraId="4B9A2DF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DF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DF9" w14:textId="77777777" w:rsidR="002A3970" w:rsidRDefault="00C35E63">
            <w:pPr>
              <w:jc w:val="right"/>
              <w:textAlignment w:val="center"/>
            </w:pPr>
            <w:r>
              <w:rPr>
                <w:rFonts w:ascii="Times New Roman" w:eastAsia="宋体" w:hAnsi="Times New Roman"/>
                <w:color w:val="000000"/>
                <w:sz w:val="16"/>
                <w:szCs w:val="16"/>
              </w:rPr>
              <w:t>2,020 </w:t>
            </w:r>
          </w:p>
        </w:tc>
        <w:tc>
          <w:tcPr>
            <w:tcW w:w="0" w:type="auto"/>
            <w:shd w:val="clear" w:color="auto" w:fill="FFFFFF"/>
            <w:tcMar>
              <w:top w:w="40" w:type="dxa"/>
              <w:left w:w="0" w:type="dxa"/>
              <w:bottom w:w="40" w:type="dxa"/>
              <w:right w:w="20" w:type="dxa"/>
            </w:tcMar>
            <w:vAlign w:val="center"/>
          </w:tcPr>
          <w:p w14:paraId="4B9A2DFA" w14:textId="77777777" w:rsidR="002A3970" w:rsidRDefault="002A3970">
            <w:pPr>
              <w:jc w:val="right"/>
              <w:rPr>
                <w:rFonts w:ascii="宋体"/>
              </w:rPr>
            </w:pPr>
          </w:p>
        </w:tc>
      </w:tr>
      <w:tr w:rsidR="002A3970" w14:paraId="4B9A2E03" w14:textId="77777777">
        <w:trPr>
          <w:jc w:val="center"/>
          <w:hidden/>
        </w:trPr>
        <w:tc>
          <w:tcPr>
            <w:tcW w:w="0" w:type="auto"/>
            <w:gridSpan w:val="3"/>
            <w:shd w:val="clear" w:color="auto" w:fill="auto"/>
            <w:vAlign w:val="bottom"/>
          </w:tcPr>
          <w:p w14:paraId="4B9A2DFC" w14:textId="77777777" w:rsidR="002A3970" w:rsidRDefault="002A3970">
            <w:pPr>
              <w:rPr>
                <w:rFonts w:ascii="宋体"/>
                <w:vanish/>
              </w:rPr>
            </w:pPr>
          </w:p>
        </w:tc>
        <w:tc>
          <w:tcPr>
            <w:tcW w:w="0" w:type="auto"/>
            <w:gridSpan w:val="3"/>
            <w:shd w:val="clear" w:color="auto" w:fill="auto"/>
            <w:vAlign w:val="bottom"/>
          </w:tcPr>
          <w:p w14:paraId="4B9A2DFD" w14:textId="77777777" w:rsidR="002A3970" w:rsidRDefault="002A3970">
            <w:pPr>
              <w:rPr>
                <w:rFonts w:ascii="宋体"/>
                <w:vanish/>
              </w:rPr>
            </w:pPr>
          </w:p>
        </w:tc>
        <w:tc>
          <w:tcPr>
            <w:tcW w:w="0" w:type="auto"/>
            <w:gridSpan w:val="3"/>
            <w:shd w:val="clear" w:color="auto" w:fill="auto"/>
            <w:vAlign w:val="bottom"/>
          </w:tcPr>
          <w:p w14:paraId="4B9A2DFE" w14:textId="77777777" w:rsidR="002A3970" w:rsidRDefault="002A3970">
            <w:pPr>
              <w:rPr>
                <w:rFonts w:ascii="宋体"/>
                <w:vanish/>
              </w:rPr>
            </w:pPr>
          </w:p>
        </w:tc>
        <w:tc>
          <w:tcPr>
            <w:tcW w:w="0" w:type="auto"/>
            <w:gridSpan w:val="3"/>
            <w:shd w:val="clear" w:color="auto" w:fill="auto"/>
            <w:vAlign w:val="bottom"/>
          </w:tcPr>
          <w:p w14:paraId="4B9A2DFF" w14:textId="77777777" w:rsidR="002A3970" w:rsidRDefault="002A3970">
            <w:pPr>
              <w:rPr>
                <w:rFonts w:ascii="宋体"/>
                <w:vanish/>
              </w:rPr>
            </w:pPr>
          </w:p>
        </w:tc>
        <w:tc>
          <w:tcPr>
            <w:tcW w:w="0" w:type="auto"/>
            <w:gridSpan w:val="3"/>
            <w:shd w:val="clear" w:color="auto" w:fill="auto"/>
            <w:vAlign w:val="bottom"/>
          </w:tcPr>
          <w:p w14:paraId="4B9A2E00" w14:textId="77777777" w:rsidR="002A3970" w:rsidRDefault="002A3970">
            <w:pPr>
              <w:rPr>
                <w:rFonts w:ascii="宋体"/>
                <w:vanish/>
              </w:rPr>
            </w:pPr>
          </w:p>
        </w:tc>
        <w:tc>
          <w:tcPr>
            <w:tcW w:w="0" w:type="auto"/>
            <w:gridSpan w:val="3"/>
            <w:shd w:val="clear" w:color="auto" w:fill="auto"/>
            <w:vAlign w:val="bottom"/>
          </w:tcPr>
          <w:p w14:paraId="4B9A2E01" w14:textId="77777777" w:rsidR="002A3970" w:rsidRDefault="002A3970">
            <w:pPr>
              <w:rPr>
                <w:rFonts w:ascii="宋体"/>
                <w:vanish/>
              </w:rPr>
            </w:pPr>
          </w:p>
        </w:tc>
        <w:tc>
          <w:tcPr>
            <w:tcW w:w="0" w:type="auto"/>
            <w:gridSpan w:val="3"/>
            <w:shd w:val="clear" w:color="auto" w:fill="auto"/>
            <w:vAlign w:val="bottom"/>
          </w:tcPr>
          <w:p w14:paraId="4B9A2E02" w14:textId="77777777" w:rsidR="002A3970" w:rsidRDefault="002A3970">
            <w:pPr>
              <w:rPr>
                <w:rFonts w:ascii="宋体"/>
                <w:vanish/>
              </w:rPr>
            </w:pPr>
          </w:p>
        </w:tc>
      </w:tr>
      <w:tr w:rsidR="002A3970" w14:paraId="4B9A2E0E" w14:textId="77777777">
        <w:trPr>
          <w:jc w:val="center"/>
        </w:trPr>
        <w:tc>
          <w:tcPr>
            <w:tcW w:w="0" w:type="auto"/>
            <w:gridSpan w:val="3"/>
            <w:shd w:val="clear" w:color="auto" w:fill="CCEEFF"/>
            <w:tcMar>
              <w:top w:w="40" w:type="dxa"/>
              <w:left w:w="740" w:type="dxa"/>
              <w:bottom w:w="40" w:type="dxa"/>
              <w:right w:w="20" w:type="dxa"/>
            </w:tcMar>
            <w:vAlign w:val="center"/>
          </w:tcPr>
          <w:p w14:paraId="4B9A2E04" w14:textId="77777777" w:rsidR="002A3970" w:rsidRDefault="00C35E63">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vAlign w:val="bottom"/>
          </w:tcPr>
          <w:p w14:paraId="4B9A2E0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E06" w14:textId="77777777" w:rsidR="002A3970" w:rsidRDefault="00C35E63">
            <w:pPr>
              <w:jc w:val="right"/>
              <w:textAlignment w:val="center"/>
            </w:pPr>
            <w:r>
              <w:rPr>
                <w:rFonts w:ascii="Times New Roman" w:eastAsia="宋体" w:hAnsi="Times New Roman"/>
                <w:color w:val="000000"/>
                <w:sz w:val="16"/>
                <w:szCs w:val="16"/>
              </w:rPr>
              <w:t>87,680 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E0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0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E09" w14:textId="77777777" w:rsidR="002A3970" w:rsidRDefault="00C35E63">
            <w:pPr>
              <w:jc w:val="right"/>
              <w:textAlignment w:val="center"/>
            </w:pPr>
            <w:r>
              <w:rPr>
                <w:rFonts w:ascii="Times New Roman" w:eastAsia="宋体" w:hAnsi="Times New Roman"/>
                <w:color w:val="000000"/>
                <w:sz w:val="16"/>
                <w:szCs w:val="16"/>
              </w:rPr>
              <w:t>81,070 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E0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0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2E0C" w14:textId="77777777" w:rsidR="002A3970" w:rsidRDefault="00C35E63">
            <w:pPr>
              <w:jc w:val="right"/>
              <w:textAlignment w:val="center"/>
            </w:pPr>
            <w:r>
              <w:rPr>
                <w:rFonts w:ascii="Times New Roman" w:eastAsia="宋体" w:hAnsi="Times New Roman"/>
                <w:color w:val="000000"/>
                <w:sz w:val="16"/>
                <w:szCs w:val="16"/>
              </w:rPr>
              <w:t>82,964 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2E0D" w14:textId="77777777" w:rsidR="002A3970" w:rsidRDefault="002A3970">
            <w:pPr>
              <w:jc w:val="right"/>
              <w:rPr>
                <w:rFonts w:ascii="宋体"/>
              </w:rPr>
            </w:pPr>
          </w:p>
        </w:tc>
      </w:tr>
      <w:tr w:rsidR="002A3970" w14:paraId="4B9A2E16" w14:textId="77777777">
        <w:trPr>
          <w:trHeight w:val="240"/>
          <w:jc w:val="center"/>
        </w:trPr>
        <w:tc>
          <w:tcPr>
            <w:tcW w:w="0" w:type="auto"/>
            <w:gridSpan w:val="3"/>
            <w:shd w:val="clear" w:color="auto" w:fill="FFFFFF"/>
            <w:tcMar>
              <w:top w:w="0" w:type="dxa"/>
              <w:left w:w="20" w:type="dxa"/>
              <w:bottom w:w="0" w:type="dxa"/>
              <w:right w:w="20" w:type="dxa"/>
            </w:tcMar>
            <w:vAlign w:val="bottom"/>
          </w:tcPr>
          <w:p w14:paraId="4B9A2E0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1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11"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1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1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1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15" w14:textId="77777777" w:rsidR="002A3970" w:rsidRDefault="002A3970">
            <w:pPr>
              <w:rPr>
                <w:rFonts w:ascii="宋体"/>
              </w:rPr>
            </w:pPr>
          </w:p>
        </w:tc>
      </w:tr>
      <w:tr w:rsidR="002A3970" w14:paraId="4B9A2E1E" w14:textId="77777777">
        <w:trPr>
          <w:jc w:val="center"/>
          <w:hidden/>
        </w:trPr>
        <w:tc>
          <w:tcPr>
            <w:tcW w:w="0" w:type="auto"/>
            <w:gridSpan w:val="3"/>
            <w:shd w:val="clear" w:color="auto" w:fill="auto"/>
            <w:vAlign w:val="bottom"/>
          </w:tcPr>
          <w:p w14:paraId="4B9A2E17" w14:textId="77777777" w:rsidR="002A3970" w:rsidRDefault="002A3970">
            <w:pPr>
              <w:rPr>
                <w:rFonts w:ascii="宋体"/>
                <w:vanish/>
              </w:rPr>
            </w:pPr>
          </w:p>
        </w:tc>
        <w:tc>
          <w:tcPr>
            <w:tcW w:w="0" w:type="auto"/>
            <w:gridSpan w:val="3"/>
            <w:shd w:val="clear" w:color="auto" w:fill="auto"/>
            <w:vAlign w:val="bottom"/>
          </w:tcPr>
          <w:p w14:paraId="4B9A2E18" w14:textId="77777777" w:rsidR="002A3970" w:rsidRDefault="002A3970">
            <w:pPr>
              <w:rPr>
                <w:rFonts w:ascii="宋体"/>
                <w:vanish/>
              </w:rPr>
            </w:pPr>
          </w:p>
        </w:tc>
        <w:tc>
          <w:tcPr>
            <w:tcW w:w="0" w:type="auto"/>
            <w:gridSpan w:val="3"/>
            <w:shd w:val="clear" w:color="auto" w:fill="auto"/>
            <w:vAlign w:val="bottom"/>
          </w:tcPr>
          <w:p w14:paraId="4B9A2E19" w14:textId="77777777" w:rsidR="002A3970" w:rsidRDefault="002A3970">
            <w:pPr>
              <w:rPr>
                <w:rFonts w:ascii="宋体"/>
                <w:vanish/>
              </w:rPr>
            </w:pPr>
          </w:p>
        </w:tc>
        <w:tc>
          <w:tcPr>
            <w:tcW w:w="0" w:type="auto"/>
            <w:gridSpan w:val="3"/>
            <w:shd w:val="clear" w:color="auto" w:fill="auto"/>
            <w:vAlign w:val="bottom"/>
          </w:tcPr>
          <w:p w14:paraId="4B9A2E1A" w14:textId="77777777" w:rsidR="002A3970" w:rsidRDefault="002A3970">
            <w:pPr>
              <w:rPr>
                <w:rFonts w:ascii="宋体"/>
                <w:vanish/>
              </w:rPr>
            </w:pPr>
          </w:p>
        </w:tc>
        <w:tc>
          <w:tcPr>
            <w:tcW w:w="0" w:type="auto"/>
            <w:gridSpan w:val="3"/>
            <w:shd w:val="clear" w:color="auto" w:fill="auto"/>
            <w:vAlign w:val="bottom"/>
          </w:tcPr>
          <w:p w14:paraId="4B9A2E1B" w14:textId="77777777" w:rsidR="002A3970" w:rsidRDefault="002A3970">
            <w:pPr>
              <w:rPr>
                <w:rFonts w:ascii="宋体"/>
                <w:vanish/>
              </w:rPr>
            </w:pPr>
          </w:p>
        </w:tc>
        <w:tc>
          <w:tcPr>
            <w:tcW w:w="0" w:type="auto"/>
            <w:gridSpan w:val="3"/>
            <w:shd w:val="clear" w:color="auto" w:fill="auto"/>
            <w:vAlign w:val="bottom"/>
          </w:tcPr>
          <w:p w14:paraId="4B9A2E1C" w14:textId="77777777" w:rsidR="002A3970" w:rsidRDefault="002A3970">
            <w:pPr>
              <w:rPr>
                <w:rFonts w:ascii="宋体"/>
                <w:vanish/>
              </w:rPr>
            </w:pPr>
          </w:p>
        </w:tc>
        <w:tc>
          <w:tcPr>
            <w:tcW w:w="0" w:type="auto"/>
            <w:gridSpan w:val="3"/>
            <w:shd w:val="clear" w:color="auto" w:fill="auto"/>
            <w:vAlign w:val="bottom"/>
          </w:tcPr>
          <w:p w14:paraId="4B9A2E1D" w14:textId="77777777" w:rsidR="002A3970" w:rsidRDefault="002A3970">
            <w:pPr>
              <w:rPr>
                <w:rFonts w:ascii="宋体"/>
                <w:vanish/>
              </w:rPr>
            </w:pPr>
          </w:p>
        </w:tc>
      </w:tr>
      <w:tr w:rsidR="002A3970" w14:paraId="4B9A2E26" w14:textId="77777777">
        <w:trPr>
          <w:jc w:val="center"/>
          <w:hidden/>
        </w:trPr>
        <w:tc>
          <w:tcPr>
            <w:tcW w:w="0" w:type="auto"/>
            <w:gridSpan w:val="3"/>
            <w:shd w:val="clear" w:color="auto" w:fill="auto"/>
            <w:vAlign w:val="bottom"/>
          </w:tcPr>
          <w:p w14:paraId="4B9A2E1F" w14:textId="77777777" w:rsidR="002A3970" w:rsidRDefault="002A3970">
            <w:pPr>
              <w:rPr>
                <w:rFonts w:ascii="宋体"/>
                <w:vanish/>
              </w:rPr>
            </w:pPr>
          </w:p>
        </w:tc>
        <w:tc>
          <w:tcPr>
            <w:tcW w:w="0" w:type="auto"/>
            <w:gridSpan w:val="3"/>
            <w:shd w:val="clear" w:color="auto" w:fill="auto"/>
            <w:vAlign w:val="bottom"/>
          </w:tcPr>
          <w:p w14:paraId="4B9A2E20" w14:textId="77777777" w:rsidR="002A3970" w:rsidRDefault="002A3970">
            <w:pPr>
              <w:rPr>
                <w:rFonts w:ascii="宋体"/>
                <w:vanish/>
              </w:rPr>
            </w:pPr>
          </w:p>
        </w:tc>
        <w:tc>
          <w:tcPr>
            <w:tcW w:w="0" w:type="auto"/>
            <w:gridSpan w:val="3"/>
            <w:shd w:val="clear" w:color="auto" w:fill="auto"/>
            <w:vAlign w:val="bottom"/>
          </w:tcPr>
          <w:p w14:paraId="4B9A2E21" w14:textId="77777777" w:rsidR="002A3970" w:rsidRDefault="002A3970">
            <w:pPr>
              <w:rPr>
                <w:rFonts w:ascii="宋体"/>
                <w:vanish/>
              </w:rPr>
            </w:pPr>
          </w:p>
        </w:tc>
        <w:tc>
          <w:tcPr>
            <w:tcW w:w="0" w:type="auto"/>
            <w:gridSpan w:val="3"/>
            <w:shd w:val="clear" w:color="auto" w:fill="auto"/>
            <w:vAlign w:val="bottom"/>
          </w:tcPr>
          <w:p w14:paraId="4B9A2E22" w14:textId="77777777" w:rsidR="002A3970" w:rsidRDefault="002A3970">
            <w:pPr>
              <w:rPr>
                <w:rFonts w:ascii="宋体"/>
                <w:vanish/>
              </w:rPr>
            </w:pPr>
          </w:p>
        </w:tc>
        <w:tc>
          <w:tcPr>
            <w:tcW w:w="0" w:type="auto"/>
            <w:gridSpan w:val="3"/>
            <w:shd w:val="clear" w:color="auto" w:fill="auto"/>
            <w:vAlign w:val="bottom"/>
          </w:tcPr>
          <w:p w14:paraId="4B9A2E23" w14:textId="77777777" w:rsidR="002A3970" w:rsidRDefault="002A3970">
            <w:pPr>
              <w:rPr>
                <w:rFonts w:ascii="宋体"/>
                <w:vanish/>
              </w:rPr>
            </w:pPr>
          </w:p>
        </w:tc>
        <w:tc>
          <w:tcPr>
            <w:tcW w:w="0" w:type="auto"/>
            <w:gridSpan w:val="3"/>
            <w:shd w:val="clear" w:color="auto" w:fill="auto"/>
            <w:vAlign w:val="bottom"/>
          </w:tcPr>
          <w:p w14:paraId="4B9A2E24" w14:textId="77777777" w:rsidR="002A3970" w:rsidRDefault="002A3970">
            <w:pPr>
              <w:rPr>
                <w:rFonts w:ascii="宋体"/>
                <w:vanish/>
              </w:rPr>
            </w:pPr>
          </w:p>
        </w:tc>
        <w:tc>
          <w:tcPr>
            <w:tcW w:w="0" w:type="auto"/>
            <w:gridSpan w:val="3"/>
            <w:shd w:val="clear" w:color="auto" w:fill="auto"/>
            <w:vAlign w:val="bottom"/>
          </w:tcPr>
          <w:p w14:paraId="4B9A2E25" w14:textId="77777777" w:rsidR="002A3970" w:rsidRDefault="002A3970">
            <w:pPr>
              <w:rPr>
                <w:rFonts w:ascii="宋体"/>
                <w:vanish/>
              </w:rPr>
            </w:pPr>
          </w:p>
        </w:tc>
      </w:tr>
      <w:tr w:rsidR="002A3970" w14:paraId="4B9A2E31" w14:textId="77777777">
        <w:trPr>
          <w:jc w:val="center"/>
        </w:trPr>
        <w:tc>
          <w:tcPr>
            <w:tcW w:w="0" w:type="auto"/>
            <w:gridSpan w:val="3"/>
            <w:shd w:val="clear" w:color="auto" w:fill="CCEEFF"/>
            <w:tcMar>
              <w:top w:w="40" w:type="dxa"/>
              <w:left w:w="20" w:type="dxa"/>
              <w:bottom w:w="40" w:type="dxa"/>
              <w:right w:w="20" w:type="dxa"/>
            </w:tcMar>
            <w:vAlign w:val="center"/>
          </w:tcPr>
          <w:p w14:paraId="4B9A2E27" w14:textId="77777777" w:rsidR="002A3970" w:rsidRDefault="00C35E63">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4B9A2E2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29" w14:textId="77777777" w:rsidR="002A3970" w:rsidRDefault="00C35E63">
            <w:pPr>
              <w:jc w:val="right"/>
              <w:textAlignment w:val="center"/>
            </w:pPr>
            <w:r>
              <w:rPr>
                <w:rFonts w:ascii="Times New Roman" w:eastAsia="宋体" w:hAnsi="Times New Roman"/>
                <w:color w:val="000000"/>
                <w:sz w:val="16"/>
                <w:szCs w:val="16"/>
              </w:rPr>
              <w:t>97,553 </w:t>
            </w:r>
          </w:p>
        </w:tc>
        <w:tc>
          <w:tcPr>
            <w:tcW w:w="0" w:type="auto"/>
            <w:shd w:val="clear" w:color="auto" w:fill="CCEEFF"/>
            <w:tcMar>
              <w:top w:w="40" w:type="dxa"/>
              <w:left w:w="0" w:type="dxa"/>
              <w:bottom w:w="40" w:type="dxa"/>
              <w:right w:w="20" w:type="dxa"/>
            </w:tcMar>
            <w:vAlign w:val="center"/>
          </w:tcPr>
          <w:p w14:paraId="4B9A2E2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2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2C" w14:textId="77777777" w:rsidR="002A3970" w:rsidRDefault="00C35E63">
            <w:pPr>
              <w:jc w:val="right"/>
              <w:textAlignment w:val="center"/>
            </w:pPr>
            <w:r>
              <w:rPr>
                <w:rFonts w:ascii="Times New Roman" w:eastAsia="宋体" w:hAnsi="Times New Roman"/>
                <w:color w:val="000000"/>
                <w:sz w:val="16"/>
                <w:szCs w:val="16"/>
              </w:rPr>
              <w:t>94,515 </w:t>
            </w:r>
          </w:p>
        </w:tc>
        <w:tc>
          <w:tcPr>
            <w:tcW w:w="0" w:type="auto"/>
            <w:shd w:val="clear" w:color="auto" w:fill="CCEEFF"/>
            <w:tcMar>
              <w:top w:w="40" w:type="dxa"/>
              <w:left w:w="0" w:type="dxa"/>
              <w:bottom w:w="40" w:type="dxa"/>
              <w:right w:w="20" w:type="dxa"/>
            </w:tcMar>
            <w:vAlign w:val="center"/>
          </w:tcPr>
          <w:p w14:paraId="4B9A2E2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2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2F" w14:textId="77777777" w:rsidR="002A3970" w:rsidRDefault="00C35E63">
            <w:pPr>
              <w:jc w:val="right"/>
              <w:textAlignment w:val="center"/>
            </w:pPr>
            <w:r>
              <w:rPr>
                <w:rFonts w:ascii="Times New Roman" w:eastAsia="宋体" w:hAnsi="Times New Roman"/>
                <w:color w:val="000000"/>
                <w:sz w:val="16"/>
                <w:szCs w:val="16"/>
              </w:rPr>
              <w:t>92,242 </w:t>
            </w:r>
          </w:p>
        </w:tc>
        <w:tc>
          <w:tcPr>
            <w:tcW w:w="0" w:type="auto"/>
            <w:shd w:val="clear" w:color="auto" w:fill="CCEEFF"/>
            <w:tcMar>
              <w:top w:w="40" w:type="dxa"/>
              <w:left w:w="0" w:type="dxa"/>
              <w:bottom w:w="40" w:type="dxa"/>
              <w:right w:w="20" w:type="dxa"/>
            </w:tcMar>
            <w:vAlign w:val="center"/>
          </w:tcPr>
          <w:p w14:paraId="4B9A2E30" w14:textId="77777777" w:rsidR="002A3970" w:rsidRDefault="002A3970">
            <w:pPr>
              <w:jc w:val="right"/>
              <w:rPr>
                <w:rFonts w:ascii="宋体"/>
              </w:rPr>
            </w:pPr>
          </w:p>
        </w:tc>
      </w:tr>
      <w:tr w:rsidR="002A3970" w14:paraId="4B9A2E3C" w14:textId="77777777">
        <w:trPr>
          <w:jc w:val="center"/>
        </w:trPr>
        <w:tc>
          <w:tcPr>
            <w:tcW w:w="0" w:type="auto"/>
            <w:gridSpan w:val="3"/>
            <w:shd w:val="clear" w:color="auto" w:fill="FFFFFF"/>
            <w:tcMar>
              <w:top w:w="40" w:type="dxa"/>
              <w:left w:w="20" w:type="dxa"/>
              <w:bottom w:w="40" w:type="dxa"/>
              <w:right w:w="20" w:type="dxa"/>
            </w:tcMar>
            <w:vAlign w:val="center"/>
          </w:tcPr>
          <w:p w14:paraId="4B9A2E32" w14:textId="77777777" w:rsidR="002A3970" w:rsidRDefault="00C35E63">
            <w:pPr>
              <w:textAlignment w:val="center"/>
            </w:pPr>
            <w:r>
              <w:rPr>
                <w:rFonts w:ascii="Times New Roman" w:eastAsia="宋体" w:hAnsi="Times New Roman"/>
                <w:color w:val="000000"/>
                <w:sz w:val="16"/>
                <w:szCs w:val="16"/>
              </w:rPr>
              <w:t>Op</w:t>
            </w:r>
            <w:r>
              <w:rPr>
                <w:rFonts w:ascii="Times New Roman" w:eastAsia="宋体" w:hAnsi="Times New Roman"/>
                <w:color w:val="000000"/>
                <w:sz w:val="16"/>
                <w:szCs w:val="16"/>
              </w:rPr>
              <w:t>erating lease right-of-use assets</w:t>
            </w:r>
          </w:p>
        </w:tc>
        <w:tc>
          <w:tcPr>
            <w:tcW w:w="0" w:type="auto"/>
            <w:gridSpan w:val="3"/>
            <w:shd w:val="clear" w:color="auto" w:fill="FFFFFF"/>
            <w:tcMar>
              <w:top w:w="0" w:type="dxa"/>
              <w:left w:w="20" w:type="dxa"/>
              <w:bottom w:w="0" w:type="dxa"/>
              <w:right w:w="20" w:type="dxa"/>
            </w:tcMar>
            <w:vAlign w:val="bottom"/>
          </w:tcPr>
          <w:p w14:paraId="4B9A2E3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34" w14:textId="77777777" w:rsidR="002A3970" w:rsidRDefault="00C35E63">
            <w:pPr>
              <w:jc w:val="right"/>
              <w:textAlignment w:val="center"/>
            </w:pPr>
            <w:r>
              <w:rPr>
                <w:rFonts w:ascii="Times New Roman" w:eastAsia="宋体" w:hAnsi="Times New Roman"/>
                <w:color w:val="000000"/>
                <w:sz w:val="16"/>
                <w:szCs w:val="16"/>
              </w:rPr>
              <w:t>13,394 </w:t>
            </w:r>
          </w:p>
        </w:tc>
        <w:tc>
          <w:tcPr>
            <w:tcW w:w="0" w:type="auto"/>
            <w:shd w:val="clear" w:color="auto" w:fill="FFFFFF"/>
            <w:tcMar>
              <w:top w:w="40" w:type="dxa"/>
              <w:left w:w="0" w:type="dxa"/>
              <w:bottom w:w="40" w:type="dxa"/>
              <w:right w:w="20" w:type="dxa"/>
            </w:tcMar>
            <w:vAlign w:val="center"/>
          </w:tcPr>
          <w:p w14:paraId="4B9A2E3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3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37" w14:textId="77777777" w:rsidR="002A3970" w:rsidRDefault="00C35E63">
            <w:pPr>
              <w:jc w:val="right"/>
              <w:textAlignment w:val="center"/>
            </w:pPr>
            <w:r>
              <w:rPr>
                <w:rFonts w:ascii="Times New Roman" w:eastAsia="宋体" w:hAnsi="Times New Roman"/>
                <w:color w:val="000000"/>
                <w:sz w:val="16"/>
                <w:szCs w:val="16"/>
              </w:rPr>
              <w:t>13,758 </w:t>
            </w:r>
          </w:p>
        </w:tc>
        <w:tc>
          <w:tcPr>
            <w:tcW w:w="0" w:type="auto"/>
            <w:shd w:val="clear" w:color="auto" w:fill="FFFFFF"/>
            <w:tcMar>
              <w:top w:w="40" w:type="dxa"/>
              <w:left w:w="0" w:type="dxa"/>
              <w:bottom w:w="40" w:type="dxa"/>
              <w:right w:w="20" w:type="dxa"/>
            </w:tcMar>
            <w:vAlign w:val="center"/>
          </w:tcPr>
          <w:p w14:paraId="4B9A2E3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3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3A" w14:textId="77777777" w:rsidR="002A3970" w:rsidRDefault="00C35E63">
            <w:pPr>
              <w:jc w:val="right"/>
              <w:textAlignment w:val="center"/>
            </w:pPr>
            <w:r>
              <w:rPr>
                <w:rFonts w:ascii="Times New Roman" w:eastAsia="宋体" w:hAnsi="Times New Roman"/>
                <w:color w:val="000000"/>
                <w:sz w:val="16"/>
                <w:szCs w:val="16"/>
              </w:rPr>
              <w:t>13,863 </w:t>
            </w:r>
          </w:p>
        </w:tc>
        <w:tc>
          <w:tcPr>
            <w:tcW w:w="0" w:type="auto"/>
            <w:shd w:val="clear" w:color="auto" w:fill="FFFFFF"/>
            <w:tcMar>
              <w:top w:w="40" w:type="dxa"/>
              <w:left w:w="0" w:type="dxa"/>
              <w:bottom w:w="40" w:type="dxa"/>
              <w:right w:w="20" w:type="dxa"/>
            </w:tcMar>
            <w:vAlign w:val="center"/>
          </w:tcPr>
          <w:p w14:paraId="4B9A2E3B" w14:textId="77777777" w:rsidR="002A3970" w:rsidRDefault="002A3970">
            <w:pPr>
              <w:jc w:val="right"/>
              <w:rPr>
                <w:rFonts w:ascii="宋体"/>
              </w:rPr>
            </w:pPr>
          </w:p>
        </w:tc>
      </w:tr>
      <w:tr w:rsidR="002A3970" w14:paraId="4B9A2E47" w14:textId="77777777">
        <w:trPr>
          <w:jc w:val="center"/>
        </w:trPr>
        <w:tc>
          <w:tcPr>
            <w:tcW w:w="0" w:type="auto"/>
            <w:gridSpan w:val="3"/>
            <w:shd w:val="clear" w:color="auto" w:fill="CCEEFF"/>
            <w:tcMar>
              <w:top w:w="40" w:type="dxa"/>
              <w:left w:w="20" w:type="dxa"/>
              <w:bottom w:w="40" w:type="dxa"/>
              <w:right w:w="20" w:type="dxa"/>
            </w:tcMar>
            <w:vAlign w:val="center"/>
          </w:tcPr>
          <w:p w14:paraId="4B9A2E3D" w14:textId="77777777" w:rsidR="002A3970" w:rsidRDefault="00C35E63">
            <w:pPr>
              <w:textAlignment w:val="center"/>
            </w:pPr>
            <w:r>
              <w:rPr>
                <w:rFonts w:ascii="Times New Roman" w:eastAsia="宋体" w:hAnsi="Times New Roman"/>
                <w:color w:val="000000"/>
                <w:sz w:val="16"/>
                <w:szCs w:val="16"/>
              </w:rPr>
              <w:t>Fi</w:t>
            </w:r>
            <w:r>
              <w:rPr>
                <w:rFonts w:ascii="Times New Roman" w:eastAsia="宋体" w:hAnsi="Times New Roman"/>
                <w:color w:val="000000"/>
                <w:sz w:val="16"/>
                <w:szCs w:val="16"/>
              </w:rPr>
              <w:t>nance lease right-of-use assets, net</w:t>
            </w:r>
          </w:p>
        </w:tc>
        <w:tc>
          <w:tcPr>
            <w:tcW w:w="0" w:type="auto"/>
            <w:gridSpan w:val="3"/>
            <w:shd w:val="clear" w:color="auto" w:fill="CCEEFF"/>
            <w:tcMar>
              <w:top w:w="0" w:type="dxa"/>
              <w:left w:w="20" w:type="dxa"/>
              <w:bottom w:w="0" w:type="dxa"/>
              <w:right w:w="20" w:type="dxa"/>
            </w:tcMar>
            <w:vAlign w:val="bottom"/>
          </w:tcPr>
          <w:p w14:paraId="4B9A2E3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3F" w14:textId="77777777" w:rsidR="002A3970" w:rsidRDefault="00C35E63">
            <w:pPr>
              <w:jc w:val="right"/>
              <w:textAlignment w:val="center"/>
            </w:pPr>
            <w:r>
              <w:rPr>
                <w:rFonts w:ascii="Times New Roman" w:eastAsia="宋体" w:hAnsi="Times New Roman"/>
                <w:color w:val="000000"/>
                <w:sz w:val="16"/>
                <w:szCs w:val="16"/>
              </w:rPr>
              <w:t>4,597 </w:t>
            </w:r>
          </w:p>
        </w:tc>
        <w:tc>
          <w:tcPr>
            <w:tcW w:w="0" w:type="auto"/>
            <w:shd w:val="clear" w:color="auto" w:fill="CCEEFF"/>
            <w:tcMar>
              <w:top w:w="40" w:type="dxa"/>
              <w:left w:w="0" w:type="dxa"/>
              <w:bottom w:w="40" w:type="dxa"/>
              <w:right w:w="20" w:type="dxa"/>
            </w:tcMar>
            <w:vAlign w:val="center"/>
          </w:tcPr>
          <w:p w14:paraId="4B9A2E4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4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42" w14:textId="77777777" w:rsidR="002A3970" w:rsidRDefault="00C35E63">
            <w:pPr>
              <w:jc w:val="right"/>
              <w:textAlignment w:val="center"/>
            </w:pPr>
            <w:r>
              <w:rPr>
                <w:rFonts w:ascii="Times New Roman" w:eastAsia="宋体" w:hAnsi="Times New Roman"/>
                <w:color w:val="000000"/>
                <w:sz w:val="16"/>
                <w:szCs w:val="16"/>
              </w:rPr>
              <w:t>4,351 </w:t>
            </w:r>
          </w:p>
        </w:tc>
        <w:tc>
          <w:tcPr>
            <w:tcW w:w="0" w:type="auto"/>
            <w:shd w:val="clear" w:color="auto" w:fill="CCEEFF"/>
            <w:tcMar>
              <w:top w:w="40" w:type="dxa"/>
              <w:left w:w="0" w:type="dxa"/>
              <w:bottom w:w="40" w:type="dxa"/>
              <w:right w:w="20" w:type="dxa"/>
            </w:tcMar>
            <w:vAlign w:val="center"/>
          </w:tcPr>
          <w:p w14:paraId="4B9A2E4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4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45" w14:textId="77777777" w:rsidR="002A3970" w:rsidRDefault="00C35E63">
            <w:pPr>
              <w:jc w:val="right"/>
              <w:textAlignment w:val="center"/>
            </w:pPr>
            <w:r>
              <w:rPr>
                <w:rFonts w:ascii="Times New Roman" w:eastAsia="宋体" w:hAnsi="Times New Roman"/>
                <w:color w:val="000000"/>
                <w:sz w:val="16"/>
                <w:szCs w:val="16"/>
              </w:rPr>
              <w:t>4,226 </w:t>
            </w:r>
          </w:p>
        </w:tc>
        <w:tc>
          <w:tcPr>
            <w:tcW w:w="0" w:type="auto"/>
            <w:shd w:val="clear" w:color="auto" w:fill="CCEEFF"/>
            <w:tcMar>
              <w:top w:w="40" w:type="dxa"/>
              <w:left w:w="0" w:type="dxa"/>
              <w:bottom w:w="40" w:type="dxa"/>
              <w:right w:w="20" w:type="dxa"/>
            </w:tcMar>
            <w:vAlign w:val="center"/>
          </w:tcPr>
          <w:p w14:paraId="4B9A2E46" w14:textId="77777777" w:rsidR="002A3970" w:rsidRDefault="002A3970">
            <w:pPr>
              <w:jc w:val="right"/>
              <w:rPr>
                <w:rFonts w:ascii="宋体"/>
              </w:rPr>
            </w:pPr>
          </w:p>
        </w:tc>
      </w:tr>
      <w:tr w:rsidR="002A3970" w14:paraId="4B9A2E4F" w14:textId="77777777">
        <w:trPr>
          <w:jc w:val="center"/>
          <w:hidden/>
        </w:trPr>
        <w:tc>
          <w:tcPr>
            <w:tcW w:w="0" w:type="auto"/>
            <w:gridSpan w:val="3"/>
            <w:shd w:val="clear" w:color="auto" w:fill="auto"/>
            <w:vAlign w:val="bottom"/>
          </w:tcPr>
          <w:p w14:paraId="4B9A2E48" w14:textId="77777777" w:rsidR="002A3970" w:rsidRDefault="002A3970">
            <w:pPr>
              <w:rPr>
                <w:rFonts w:ascii="宋体"/>
                <w:vanish/>
              </w:rPr>
            </w:pPr>
          </w:p>
        </w:tc>
        <w:tc>
          <w:tcPr>
            <w:tcW w:w="0" w:type="auto"/>
            <w:gridSpan w:val="3"/>
            <w:shd w:val="clear" w:color="auto" w:fill="auto"/>
            <w:vAlign w:val="bottom"/>
          </w:tcPr>
          <w:p w14:paraId="4B9A2E49" w14:textId="77777777" w:rsidR="002A3970" w:rsidRDefault="002A3970">
            <w:pPr>
              <w:rPr>
                <w:rFonts w:ascii="宋体"/>
                <w:vanish/>
              </w:rPr>
            </w:pPr>
          </w:p>
        </w:tc>
        <w:tc>
          <w:tcPr>
            <w:tcW w:w="0" w:type="auto"/>
            <w:gridSpan w:val="3"/>
            <w:shd w:val="clear" w:color="auto" w:fill="auto"/>
            <w:vAlign w:val="bottom"/>
          </w:tcPr>
          <w:p w14:paraId="4B9A2E4A" w14:textId="77777777" w:rsidR="002A3970" w:rsidRDefault="002A3970">
            <w:pPr>
              <w:rPr>
                <w:rFonts w:ascii="宋体"/>
                <w:vanish/>
              </w:rPr>
            </w:pPr>
          </w:p>
        </w:tc>
        <w:tc>
          <w:tcPr>
            <w:tcW w:w="0" w:type="auto"/>
            <w:gridSpan w:val="3"/>
            <w:shd w:val="clear" w:color="auto" w:fill="auto"/>
            <w:vAlign w:val="bottom"/>
          </w:tcPr>
          <w:p w14:paraId="4B9A2E4B" w14:textId="77777777" w:rsidR="002A3970" w:rsidRDefault="002A3970">
            <w:pPr>
              <w:rPr>
                <w:rFonts w:ascii="宋体"/>
                <w:vanish/>
              </w:rPr>
            </w:pPr>
          </w:p>
        </w:tc>
        <w:tc>
          <w:tcPr>
            <w:tcW w:w="0" w:type="auto"/>
            <w:gridSpan w:val="3"/>
            <w:shd w:val="clear" w:color="auto" w:fill="auto"/>
            <w:vAlign w:val="bottom"/>
          </w:tcPr>
          <w:p w14:paraId="4B9A2E4C" w14:textId="77777777" w:rsidR="002A3970" w:rsidRDefault="002A3970">
            <w:pPr>
              <w:rPr>
                <w:rFonts w:ascii="宋体"/>
                <w:vanish/>
              </w:rPr>
            </w:pPr>
          </w:p>
        </w:tc>
        <w:tc>
          <w:tcPr>
            <w:tcW w:w="0" w:type="auto"/>
            <w:gridSpan w:val="3"/>
            <w:shd w:val="clear" w:color="auto" w:fill="auto"/>
            <w:vAlign w:val="bottom"/>
          </w:tcPr>
          <w:p w14:paraId="4B9A2E4D" w14:textId="77777777" w:rsidR="002A3970" w:rsidRDefault="002A3970">
            <w:pPr>
              <w:rPr>
                <w:rFonts w:ascii="宋体"/>
                <w:vanish/>
              </w:rPr>
            </w:pPr>
          </w:p>
        </w:tc>
        <w:tc>
          <w:tcPr>
            <w:tcW w:w="0" w:type="auto"/>
            <w:gridSpan w:val="3"/>
            <w:shd w:val="clear" w:color="auto" w:fill="auto"/>
            <w:vAlign w:val="bottom"/>
          </w:tcPr>
          <w:p w14:paraId="4B9A2E4E" w14:textId="77777777" w:rsidR="002A3970" w:rsidRDefault="002A3970">
            <w:pPr>
              <w:rPr>
                <w:rFonts w:ascii="宋体"/>
                <w:vanish/>
              </w:rPr>
            </w:pPr>
          </w:p>
        </w:tc>
      </w:tr>
      <w:tr w:rsidR="002A3970" w14:paraId="4B9A2E5A" w14:textId="77777777">
        <w:trPr>
          <w:jc w:val="center"/>
        </w:trPr>
        <w:tc>
          <w:tcPr>
            <w:tcW w:w="0" w:type="auto"/>
            <w:gridSpan w:val="3"/>
            <w:shd w:val="clear" w:color="auto" w:fill="FFFFFF"/>
            <w:tcMar>
              <w:top w:w="40" w:type="dxa"/>
              <w:left w:w="20" w:type="dxa"/>
              <w:bottom w:w="40" w:type="dxa"/>
              <w:right w:w="20" w:type="dxa"/>
            </w:tcMar>
            <w:vAlign w:val="center"/>
          </w:tcPr>
          <w:p w14:paraId="4B9A2E50" w14:textId="77777777" w:rsidR="002A3970" w:rsidRDefault="00C35E63">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4B9A2E5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52" w14:textId="77777777" w:rsidR="002A3970" w:rsidRDefault="00C35E63">
            <w:pPr>
              <w:jc w:val="right"/>
              <w:textAlignment w:val="center"/>
            </w:pPr>
            <w:r>
              <w:rPr>
                <w:rFonts w:ascii="Times New Roman" w:eastAsia="宋体" w:hAnsi="Times New Roman"/>
                <w:color w:val="000000"/>
                <w:sz w:val="16"/>
                <w:szCs w:val="16"/>
              </w:rPr>
              <w:t>28,137 </w:t>
            </w:r>
          </w:p>
        </w:tc>
        <w:tc>
          <w:tcPr>
            <w:tcW w:w="0" w:type="auto"/>
            <w:shd w:val="clear" w:color="auto" w:fill="FFFFFF"/>
            <w:tcMar>
              <w:top w:w="40" w:type="dxa"/>
              <w:left w:w="0" w:type="dxa"/>
              <w:bottom w:w="40" w:type="dxa"/>
              <w:right w:w="20" w:type="dxa"/>
            </w:tcMar>
            <w:vAlign w:val="center"/>
          </w:tcPr>
          <w:p w14:paraId="4B9A2E5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5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55" w14:textId="77777777" w:rsidR="002A3970" w:rsidRDefault="00C35E63">
            <w:pPr>
              <w:jc w:val="right"/>
              <w:textAlignment w:val="center"/>
            </w:pPr>
            <w:r>
              <w:rPr>
                <w:rFonts w:ascii="Times New Roman" w:eastAsia="宋体" w:hAnsi="Times New Roman"/>
                <w:color w:val="000000"/>
                <w:sz w:val="16"/>
                <w:szCs w:val="16"/>
              </w:rPr>
              <w:t>29,014 </w:t>
            </w:r>
          </w:p>
        </w:tc>
        <w:tc>
          <w:tcPr>
            <w:tcW w:w="0" w:type="auto"/>
            <w:shd w:val="clear" w:color="auto" w:fill="FFFFFF"/>
            <w:tcMar>
              <w:top w:w="40" w:type="dxa"/>
              <w:left w:w="0" w:type="dxa"/>
              <w:bottom w:w="40" w:type="dxa"/>
              <w:right w:w="20" w:type="dxa"/>
            </w:tcMar>
            <w:vAlign w:val="center"/>
          </w:tcPr>
          <w:p w14:paraId="4B9A2E5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5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58" w14:textId="77777777" w:rsidR="002A3970" w:rsidRDefault="00C35E63">
            <w:pPr>
              <w:jc w:val="right"/>
              <w:textAlignment w:val="center"/>
            </w:pPr>
            <w:r>
              <w:rPr>
                <w:rFonts w:ascii="Times New Roman" w:eastAsia="宋体" w:hAnsi="Times New Roman"/>
                <w:color w:val="000000"/>
                <w:sz w:val="16"/>
                <w:szCs w:val="16"/>
              </w:rPr>
              <w:t>28,923 </w:t>
            </w:r>
          </w:p>
        </w:tc>
        <w:tc>
          <w:tcPr>
            <w:tcW w:w="0" w:type="auto"/>
            <w:shd w:val="clear" w:color="auto" w:fill="FFFFFF"/>
            <w:tcMar>
              <w:top w:w="40" w:type="dxa"/>
              <w:left w:w="0" w:type="dxa"/>
              <w:bottom w:w="40" w:type="dxa"/>
              <w:right w:w="20" w:type="dxa"/>
            </w:tcMar>
            <w:vAlign w:val="center"/>
          </w:tcPr>
          <w:p w14:paraId="4B9A2E59" w14:textId="77777777" w:rsidR="002A3970" w:rsidRDefault="002A3970">
            <w:pPr>
              <w:jc w:val="right"/>
              <w:rPr>
                <w:rFonts w:ascii="宋体"/>
              </w:rPr>
            </w:pPr>
          </w:p>
        </w:tc>
      </w:tr>
      <w:tr w:rsidR="002A3970" w14:paraId="4B9A2E65" w14:textId="77777777">
        <w:trPr>
          <w:jc w:val="center"/>
        </w:trPr>
        <w:tc>
          <w:tcPr>
            <w:tcW w:w="0" w:type="auto"/>
            <w:gridSpan w:val="3"/>
            <w:shd w:val="clear" w:color="auto" w:fill="CCEEFF"/>
            <w:tcMar>
              <w:top w:w="40" w:type="dxa"/>
              <w:left w:w="20" w:type="dxa"/>
              <w:bottom w:w="40" w:type="dxa"/>
              <w:right w:w="20" w:type="dxa"/>
            </w:tcMar>
            <w:vAlign w:val="center"/>
          </w:tcPr>
          <w:p w14:paraId="4B9A2E5B" w14:textId="77777777" w:rsidR="002A3970" w:rsidRDefault="00C35E63">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4B9A2E5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5D" w14:textId="77777777" w:rsidR="002A3970" w:rsidRDefault="00C35E63">
            <w:pPr>
              <w:jc w:val="right"/>
              <w:textAlignment w:val="center"/>
            </w:pPr>
            <w:r>
              <w:rPr>
                <w:rFonts w:ascii="Times New Roman" w:eastAsia="宋体" w:hAnsi="Times New Roman"/>
                <w:color w:val="000000"/>
                <w:sz w:val="16"/>
                <w:szCs w:val="16"/>
              </w:rPr>
              <w:t>16,295 </w:t>
            </w:r>
          </w:p>
        </w:tc>
        <w:tc>
          <w:tcPr>
            <w:tcW w:w="0" w:type="auto"/>
            <w:shd w:val="clear" w:color="auto" w:fill="CCEEFF"/>
            <w:tcMar>
              <w:top w:w="40" w:type="dxa"/>
              <w:left w:w="0" w:type="dxa"/>
              <w:bottom w:w="40" w:type="dxa"/>
              <w:right w:w="20" w:type="dxa"/>
            </w:tcMar>
            <w:vAlign w:val="center"/>
          </w:tcPr>
          <w:p w14:paraId="4B9A2E5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5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60" w14:textId="77777777" w:rsidR="002A3970" w:rsidRDefault="00C35E63">
            <w:pPr>
              <w:jc w:val="right"/>
              <w:textAlignment w:val="center"/>
            </w:pPr>
            <w:r>
              <w:rPr>
                <w:rFonts w:ascii="Times New Roman" w:eastAsia="宋体" w:hAnsi="Times New Roman"/>
                <w:color w:val="000000"/>
                <w:sz w:val="16"/>
                <w:szCs w:val="16"/>
              </w:rPr>
              <w:t>22,152 </w:t>
            </w:r>
          </w:p>
        </w:tc>
        <w:tc>
          <w:tcPr>
            <w:tcW w:w="0" w:type="auto"/>
            <w:shd w:val="clear" w:color="auto" w:fill="CCEEFF"/>
            <w:tcMar>
              <w:top w:w="40" w:type="dxa"/>
              <w:left w:w="0" w:type="dxa"/>
              <w:bottom w:w="40" w:type="dxa"/>
              <w:right w:w="20" w:type="dxa"/>
            </w:tcMar>
            <w:vAlign w:val="center"/>
          </w:tcPr>
          <w:p w14:paraId="4B9A2E6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6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63" w14:textId="77777777" w:rsidR="002A3970" w:rsidRDefault="00C35E63">
            <w:pPr>
              <w:jc w:val="right"/>
              <w:textAlignment w:val="center"/>
            </w:pPr>
            <w:r>
              <w:rPr>
                <w:rFonts w:ascii="Times New Roman" w:eastAsia="宋体" w:hAnsi="Times New Roman"/>
                <w:color w:val="000000"/>
                <w:sz w:val="16"/>
                <w:szCs w:val="16"/>
              </w:rPr>
              <w:t>22,633 </w:t>
            </w:r>
          </w:p>
        </w:tc>
        <w:tc>
          <w:tcPr>
            <w:tcW w:w="0" w:type="auto"/>
            <w:shd w:val="clear" w:color="auto" w:fill="CCEEFF"/>
            <w:tcMar>
              <w:top w:w="40" w:type="dxa"/>
              <w:left w:w="0" w:type="dxa"/>
              <w:bottom w:w="40" w:type="dxa"/>
              <w:right w:w="20" w:type="dxa"/>
            </w:tcMar>
            <w:vAlign w:val="center"/>
          </w:tcPr>
          <w:p w14:paraId="4B9A2E64" w14:textId="77777777" w:rsidR="002A3970" w:rsidRDefault="002A3970">
            <w:pPr>
              <w:jc w:val="right"/>
              <w:rPr>
                <w:rFonts w:ascii="宋体"/>
              </w:rPr>
            </w:pPr>
          </w:p>
        </w:tc>
      </w:tr>
      <w:tr w:rsidR="002A3970" w14:paraId="4B9A2E73" w14:textId="77777777">
        <w:trPr>
          <w:jc w:val="center"/>
        </w:trPr>
        <w:tc>
          <w:tcPr>
            <w:tcW w:w="0" w:type="auto"/>
            <w:gridSpan w:val="3"/>
            <w:shd w:val="clear" w:color="auto" w:fill="FFFFFF"/>
            <w:tcMar>
              <w:top w:w="40" w:type="dxa"/>
              <w:left w:w="20" w:type="dxa"/>
              <w:bottom w:w="40" w:type="dxa"/>
              <w:right w:w="20" w:type="dxa"/>
            </w:tcMar>
            <w:vAlign w:val="center"/>
          </w:tcPr>
          <w:p w14:paraId="4B9A2E66" w14:textId="77777777" w:rsidR="002A3970" w:rsidRDefault="00C35E63">
            <w:pPr>
              <w:textAlignment w:val="center"/>
            </w:pPr>
            <w:r>
              <w:rPr>
                <w:rFonts w:ascii="Times New Roman" w:eastAsia="宋体" w:hAnsi="Times New Roman"/>
                <w:b/>
                <w:bCs/>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4B9A2E67"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2E6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2E69" w14:textId="77777777" w:rsidR="002A3970" w:rsidRDefault="00C35E63">
            <w:pPr>
              <w:jc w:val="right"/>
              <w:textAlignment w:val="center"/>
            </w:pPr>
            <w:r>
              <w:rPr>
                <w:rFonts w:ascii="Times New Roman" w:eastAsia="宋体" w:hAnsi="Times New Roman"/>
                <w:color w:val="000000"/>
                <w:sz w:val="16"/>
                <w:szCs w:val="16"/>
              </w:rPr>
              <w:t>247,656 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E6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6B"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2E6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2E6D" w14:textId="77777777" w:rsidR="002A3970" w:rsidRDefault="00C35E63">
            <w:pPr>
              <w:jc w:val="right"/>
              <w:textAlignment w:val="center"/>
            </w:pPr>
            <w:r>
              <w:rPr>
                <w:rFonts w:ascii="Times New Roman" w:eastAsia="宋体" w:hAnsi="Times New Roman"/>
                <w:color w:val="000000"/>
                <w:sz w:val="16"/>
                <w:szCs w:val="16"/>
              </w:rPr>
              <w:t>244,860 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E6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6F"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2E7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2E71" w14:textId="77777777" w:rsidR="002A3970" w:rsidRDefault="00C35E63">
            <w:pPr>
              <w:jc w:val="right"/>
              <w:textAlignment w:val="center"/>
            </w:pPr>
            <w:r>
              <w:rPr>
                <w:rFonts w:ascii="Times New Roman" w:eastAsia="宋体" w:hAnsi="Times New Roman"/>
                <w:color w:val="000000"/>
                <w:sz w:val="16"/>
                <w:szCs w:val="16"/>
              </w:rPr>
              <w:t>244,851 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E72" w14:textId="77777777" w:rsidR="002A3970" w:rsidRDefault="002A3970">
            <w:pPr>
              <w:jc w:val="right"/>
              <w:rPr>
                <w:rFonts w:ascii="宋体"/>
              </w:rPr>
            </w:pPr>
          </w:p>
        </w:tc>
      </w:tr>
      <w:tr w:rsidR="002A3970" w14:paraId="4B9A2E7B" w14:textId="77777777">
        <w:trPr>
          <w:trHeight w:val="240"/>
          <w:jc w:val="center"/>
        </w:trPr>
        <w:tc>
          <w:tcPr>
            <w:tcW w:w="0" w:type="auto"/>
            <w:gridSpan w:val="3"/>
            <w:shd w:val="clear" w:color="auto" w:fill="CCEEFF"/>
            <w:tcMar>
              <w:top w:w="0" w:type="dxa"/>
              <w:left w:w="20" w:type="dxa"/>
              <w:bottom w:w="0" w:type="dxa"/>
              <w:right w:w="20" w:type="dxa"/>
            </w:tcMar>
            <w:vAlign w:val="bottom"/>
          </w:tcPr>
          <w:p w14:paraId="4B9A2E7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75"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2E7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77"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2E7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79"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2E7A" w14:textId="77777777" w:rsidR="002A3970" w:rsidRDefault="002A3970">
            <w:pPr>
              <w:rPr>
                <w:rFonts w:ascii="宋体"/>
              </w:rPr>
            </w:pPr>
          </w:p>
        </w:tc>
      </w:tr>
      <w:tr w:rsidR="002A3970" w14:paraId="4B9A2E83" w14:textId="77777777">
        <w:trPr>
          <w:jc w:val="center"/>
        </w:trPr>
        <w:tc>
          <w:tcPr>
            <w:tcW w:w="0" w:type="auto"/>
            <w:gridSpan w:val="3"/>
            <w:shd w:val="clear" w:color="auto" w:fill="FFFFFF"/>
            <w:tcMar>
              <w:top w:w="40" w:type="dxa"/>
              <w:left w:w="20" w:type="dxa"/>
              <w:bottom w:w="40" w:type="dxa"/>
              <w:right w:w="20" w:type="dxa"/>
            </w:tcMar>
            <w:vAlign w:val="center"/>
          </w:tcPr>
          <w:p w14:paraId="4B9A2E7C" w14:textId="77777777" w:rsidR="002A3970" w:rsidRDefault="00C35E63">
            <w:pPr>
              <w:textAlignment w:val="center"/>
            </w:pPr>
            <w:r>
              <w:rPr>
                <w:rFonts w:ascii="Times New Roman" w:eastAsia="宋体" w:hAnsi="Times New Roman"/>
                <w:b/>
                <w:bCs/>
                <w:color w:val="000000"/>
                <w:sz w:val="16"/>
                <w:szCs w:val="16"/>
              </w:rPr>
              <w:t>LIABILITIES, REDEEMABLE NONCONTROLLING INTEREST, AND EQUITY</w:t>
            </w:r>
          </w:p>
        </w:tc>
        <w:tc>
          <w:tcPr>
            <w:tcW w:w="0" w:type="auto"/>
            <w:gridSpan w:val="3"/>
            <w:shd w:val="clear" w:color="auto" w:fill="FFFFFF"/>
            <w:tcMar>
              <w:top w:w="0" w:type="dxa"/>
              <w:left w:w="20" w:type="dxa"/>
              <w:bottom w:w="0" w:type="dxa"/>
              <w:right w:w="20" w:type="dxa"/>
            </w:tcMar>
            <w:vAlign w:val="bottom"/>
          </w:tcPr>
          <w:p w14:paraId="4B9A2E7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7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7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8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81"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E82" w14:textId="77777777" w:rsidR="002A3970" w:rsidRDefault="002A3970">
            <w:pPr>
              <w:rPr>
                <w:rFonts w:ascii="宋体"/>
              </w:rPr>
            </w:pPr>
          </w:p>
        </w:tc>
      </w:tr>
      <w:tr w:rsidR="002A3970" w14:paraId="4B9A2E8B" w14:textId="77777777">
        <w:trPr>
          <w:jc w:val="center"/>
        </w:trPr>
        <w:tc>
          <w:tcPr>
            <w:tcW w:w="0" w:type="auto"/>
            <w:gridSpan w:val="3"/>
            <w:shd w:val="clear" w:color="auto" w:fill="CCEEFF"/>
            <w:tcMar>
              <w:top w:w="40" w:type="dxa"/>
              <w:left w:w="20" w:type="dxa"/>
              <w:bottom w:w="40" w:type="dxa"/>
              <w:right w:w="20" w:type="dxa"/>
            </w:tcMar>
            <w:vAlign w:val="center"/>
          </w:tcPr>
          <w:p w14:paraId="4B9A2E84" w14:textId="77777777" w:rsidR="002A3970" w:rsidRDefault="00C35E63">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vAlign w:val="bottom"/>
          </w:tcPr>
          <w:p w14:paraId="4B9A2E85"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8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8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8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89"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E8A" w14:textId="77777777" w:rsidR="002A3970" w:rsidRDefault="002A3970">
            <w:pPr>
              <w:rPr>
                <w:rFonts w:ascii="宋体"/>
              </w:rPr>
            </w:pPr>
          </w:p>
        </w:tc>
      </w:tr>
      <w:tr w:rsidR="002A3970" w14:paraId="4B9A2E99" w14:textId="77777777">
        <w:trPr>
          <w:jc w:val="center"/>
        </w:trPr>
        <w:tc>
          <w:tcPr>
            <w:tcW w:w="0" w:type="auto"/>
            <w:gridSpan w:val="3"/>
            <w:shd w:val="clear" w:color="auto" w:fill="FFFFFF"/>
            <w:tcMar>
              <w:top w:w="40" w:type="dxa"/>
              <w:left w:w="380" w:type="dxa"/>
              <w:bottom w:w="40" w:type="dxa"/>
              <w:right w:w="20" w:type="dxa"/>
            </w:tcMar>
            <w:vAlign w:val="center"/>
          </w:tcPr>
          <w:p w14:paraId="4B9A2E8C" w14:textId="77777777" w:rsidR="002A3970" w:rsidRDefault="00C35E63">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4B9A2E8D"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E8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E8F" w14:textId="77777777" w:rsidR="002A3970" w:rsidRDefault="00C35E63">
            <w:pPr>
              <w:jc w:val="right"/>
              <w:textAlignment w:val="center"/>
            </w:pPr>
            <w:r>
              <w:rPr>
                <w:rFonts w:ascii="Times New Roman" w:eastAsia="宋体" w:hAnsi="Times New Roman"/>
                <w:color w:val="000000"/>
                <w:sz w:val="16"/>
                <w:szCs w:val="16"/>
              </w:rPr>
              <w:t>6,811 </w:t>
            </w:r>
          </w:p>
        </w:tc>
        <w:tc>
          <w:tcPr>
            <w:tcW w:w="0" w:type="auto"/>
            <w:shd w:val="clear" w:color="auto" w:fill="FFFFFF"/>
            <w:tcMar>
              <w:top w:w="40" w:type="dxa"/>
              <w:left w:w="0" w:type="dxa"/>
              <w:bottom w:w="40" w:type="dxa"/>
              <w:right w:w="20" w:type="dxa"/>
            </w:tcMar>
            <w:vAlign w:val="center"/>
          </w:tcPr>
          <w:p w14:paraId="4B9A2E9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91"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E9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E93" w14:textId="77777777" w:rsidR="002A3970" w:rsidRDefault="00C35E63">
            <w:pPr>
              <w:jc w:val="right"/>
              <w:textAlignment w:val="center"/>
            </w:pPr>
            <w:r>
              <w:rPr>
                <w:rFonts w:ascii="Times New Roman" w:eastAsia="宋体" w:hAnsi="Times New Roman"/>
                <w:color w:val="000000"/>
                <w:sz w:val="16"/>
                <w:szCs w:val="16"/>
              </w:rPr>
              <w:t>410 </w:t>
            </w:r>
          </w:p>
        </w:tc>
        <w:tc>
          <w:tcPr>
            <w:tcW w:w="0" w:type="auto"/>
            <w:shd w:val="clear" w:color="auto" w:fill="FFFFFF"/>
            <w:tcMar>
              <w:top w:w="40" w:type="dxa"/>
              <w:left w:w="0" w:type="dxa"/>
              <w:bottom w:w="40" w:type="dxa"/>
              <w:right w:w="20" w:type="dxa"/>
            </w:tcMar>
            <w:vAlign w:val="center"/>
          </w:tcPr>
          <w:p w14:paraId="4B9A2E9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95"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2E9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2E97" w14:textId="77777777" w:rsidR="002A3970" w:rsidRDefault="00C35E63">
            <w:pPr>
              <w:jc w:val="right"/>
              <w:textAlignment w:val="center"/>
            </w:pPr>
            <w:r>
              <w:rPr>
                <w:rFonts w:ascii="Times New Roman" w:eastAsia="宋体" w:hAnsi="Times New Roman"/>
                <w:color w:val="000000"/>
                <w:sz w:val="16"/>
                <w:szCs w:val="16"/>
              </w:rPr>
              <w:t>447 </w:t>
            </w:r>
          </w:p>
        </w:tc>
        <w:tc>
          <w:tcPr>
            <w:tcW w:w="0" w:type="auto"/>
            <w:shd w:val="clear" w:color="auto" w:fill="FFFFFF"/>
            <w:tcMar>
              <w:top w:w="40" w:type="dxa"/>
              <w:left w:w="0" w:type="dxa"/>
              <w:bottom w:w="40" w:type="dxa"/>
              <w:right w:w="20" w:type="dxa"/>
            </w:tcMar>
            <w:vAlign w:val="center"/>
          </w:tcPr>
          <w:p w14:paraId="4B9A2E98" w14:textId="77777777" w:rsidR="002A3970" w:rsidRDefault="002A3970">
            <w:pPr>
              <w:jc w:val="right"/>
              <w:rPr>
                <w:rFonts w:ascii="宋体"/>
              </w:rPr>
            </w:pPr>
          </w:p>
        </w:tc>
      </w:tr>
      <w:tr w:rsidR="002A3970" w14:paraId="4B9A2EA4" w14:textId="77777777">
        <w:trPr>
          <w:jc w:val="center"/>
        </w:trPr>
        <w:tc>
          <w:tcPr>
            <w:tcW w:w="0" w:type="auto"/>
            <w:gridSpan w:val="3"/>
            <w:shd w:val="clear" w:color="auto" w:fill="CCEEFF"/>
            <w:tcMar>
              <w:top w:w="40" w:type="dxa"/>
              <w:left w:w="380" w:type="dxa"/>
              <w:bottom w:w="40" w:type="dxa"/>
              <w:right w:w="20" w:type="dxa"/>
            </w:tcMar>
            <w:vAlign w:val="center"/>
          </w:tcPr>
          <w:p w14:paraId="4B9A2E9A" w14:textId="77777777" w:rsidR="002A3970" w:rsidRDefault="00C35E63">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4B9A2E9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9C" w14:textId="77777777" w:rsidR="002A3970" w:rsidRDefault="00C35E63">
            <w:pPr>
              <w:jc w:val="right"/>
              <w:textAlignment w:val="center"/>
            </w:pPr>
            <w:r>
              <w:rPr>
                <w:rFonts w:ascii="Times New Roman" w:eastAsia="宋体" w:hAnsi="Times New Roman"/>
                <w:color w:val="000000"/>
                <w:sz w:val="16"/>
                <w:szCs w:val="16"/>
              </w:rPr>
              <w:t>57,263 </w:t>
            </w:r>
          </w:p>
        </w:tc>
        <w:tc>
          <w:tcPr>
            <w:tcW w:w="0" w:type="auto"/>
            <w:shd w:val="clear" w:color="auto" w:fill="CCEEFF"/>
            <w:tcMar>
              <w:top w:w="40" w:type="dxa"/>
              <w:left w:w="0" w:type="dxa"/>
              <w:bottom w:w="40" w:type="dxa"/>
              <w:right w:w="20" w:type="dxa"/>
            </w:tcMar>
            <w:vAlign w:val="center"/>
          </w:tcPr>
          <w:p w14:paraId="4B9A2E9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9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9F" w14:textId="77777777" w:rsidR="002A3970" w:rsidRDefault="00C35E63">
            <w:pPr>
              <w:jc w:val="right"/>
              <w:textAlignment w:val="center"/>
            </w:pPr>
            <w:r>
              <w:rPr>
                <w:rFonts w:ascii="Times New Roman" w:eastAsia="宋体" w:hAnsi="Times New Roman"/>
                <w:color w:val="000000"/>
                <w:sz w:val="16"/>
                <w:szCs w:val="16"/>
              </w:rPr>
              <w:t>55,261 </w:t>
            </w:r>
          </w:p>
        </w:tc>
        <w:tc>
          <w:tcPr>
            <w:tcW w:w="0" w:type="auto"/>
            <w:shd w:val="clear" w:color="auto" w:fill="CCEEFF"/>
            <w:tcMar>
              <w:top w:w="40" w:type="dxa"/>
              <w:left w:w="0" w:type="dxa"/>
              <w:bottom w:w="40" w:type="dxa"/>
              <w:right w:w="20" w:type="dxa"/>
            </w:tcMar>
            <w:vAlign w:val="center"/>
          </w:tcPr>
          <w:p w14:paraId="4B9A2EA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A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A2" w14:textId="77777777" w:rsidR="002A3970" w:rsidRDefault="00C35E63">
            <w:pPr>
              <w:jc w:val="right"/>
              <w:textAlignment w:val="center"/>
            </w:pPr>
            <w:r>
              <w:rPr>
                <w:rFonts w:ascii="Times New Roman" w:eastAsia="宋体" w:hAnsi="Times New Roman"/>
                <w:color w:val="000000"/>
                <w:sz w:val="16"/>
                <w:szCs w:val="16"/>
              </w:rPr>
              <w:t>57,156 </w:t>
            </w:r>
          </w:p>
        </w:tc>
        <w:tc>
          <w:tcPr>
            <w:tcW w:w="0" w:type="auto"/>
            <w:shd w:val="clear" w:color="auto" w:fill="CCEEFF"/>
            <w:tcMar>
              <w:top w:w="40" w:type="dxa"/>
              <w:left w:w="0" w:type="dxa"/>
              <w:bottom w:w="40" w:type="dxa"/>
              <w:right w:w="20" w:type="dxa"/>
            </w:tcMar>
            <w:vAlign w:val="center"/>
          </w:tcPr>
          <w:p w14:paraId="4B9A2EA3" w14:textId="77777777" w:rsidR="002A3970" w:rsidRDefault="002A3970">
            <w:pPr>
              <w:jc w:val="right"/>
              <w:rPr>
                <w:rFonts w:ascii="宋体"/>
              </w:rPr>
            </w:pPr>
          </w:p>
        </w:tc>
      </w:tr>
      <w:tr w:rsidR="002A3970" w14:paraId="4B9A2EAF" w14:textId="77777777">
        <w:trPr>
          <w:jc w:val="center"/>
        </w:trPr>
        <w:tc>
          <w:tcPr>
            <w:tcW w:w="0" w:type="auto"/>
            <w:gridSpan w:val="3"/>
            <w:shd w:val="clear" w:color="auto" w:fill="FFFFFF"/>
            <w:tcMar>
              <w:top w:w="40" w:type="dxa"/>
              <w:left w:w="380" w:type="dxa"/>
              <w:bottom w:w="40" w:type="dxa"/>
              <w:right w:w="20" w:type="dxa"/>
            </w:tcMar>
            <w:vAlign w:val="center"/>
          </w:tcPr>
          <w:p w14:paraId="4B9A2EA5" w14:textId="77777777" w:rsidR="002A3970" w:rsidRDefault="00C35E63">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vAlign w:val="bottom"/>
          </w:tcPr>
          <w:p w14:paraId="4B9A2EA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A7" w14:textId="77777777" w:rsidR="002A3970" w:rsidRDefault="00C35E63">
            <w:pPr>
              <w:jc w:val="right"/>
              <w:textAlignment w:val="center"/>
            </w:pPr>
            <w:r>
              <w:rPr>
                <w:rFonts w:ascii="Times New Roman" w:eastAsia="宋体" w:hAnsi="Times New Roman"/>
                <w:color w:val="000000"/>
                <w:sz w:val="16"/>
                <w:szCs w:val="16"/>
              </w:rPr>
              <w:t>1,527 </w:t>
            </w:r>
          </w:p>
        </w:tc>
        <w:tc>
          <w:tcPr>
            <w:tcW w:w="0" w:type="auto"/>
            <w:shd w:val="clear" w:color="auto" w:fill="FFFFFF"/>
            <w:tcMar>
              <w:top w:w="40" w:type="dxa"/>
              <w:left w:w="0" w:type="dxa"/>
              <w:bottom w:w="40" w:type="dxa"/>
              <w:right w:w="20" w:type="dxa"/>
            </w:tcMar>
            <w:vAlign w:val="center"/>
          </w:tcPr>
          <w:p w14:paraId="4B9A2EA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A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A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2EA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A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AD" w14:textId="77777777" w:rsidR="002A3970" w:rsidRDefault="00C35E63">
            <w:pPr>
              <w:jc w:val="right"/>
              <w:textAlignment w:val="center"/>
            </w:pPr>
            <w:r>
              <w:rPr>
                <w:rFonts w:ascii="Times New Roman" w:eastAsia="宋体" w:hAnsi="Times New Roman"/>
                <w:color w:val="000000"/>
                <w:sz w:val="16"/>
                <w:szCs w:val="16"/>
              </w:rPr>
              <w:t>1,528 </w:t>
            </w:r>
          </w:p>
        </w:tc>
        <w:tc>
          <w:tcPr>
            <w:tcW w:w="0" w:type="auto"/>
            <w:shd w:val="clear" w:color="auto" w:fill="FFFFFF"/>
            <w:tcMar>
              <w:top w:w="40" w:type="dxa"/>
              <w:left w:w="0" w:type="dxa"/>
              <w:bottom w:w="40" w:type="dxa"/>
              <w:right w:w="20" w:type="dxa"/>
            </w:tcMar>
            <w:vAlign w:val="center"/>
          </w:tcPr>
          <w:p w14:paraId="4B9A2EAE" w14:textId="77777777" w:rsidR="002A3970" w:rsidRDefault="002A3970">
            <w:pPr>
              <w:jc w:val="right"/>
              <w:rPr>
                <w:rFonts w:ascii="宋体"/>
              </w:rPr>
            </w:pPr>
          </w:p>
        </w:tc>
      </w:tr>
      <w:tr w:rsidR="002A3970" w14:paraId="4B9A2EBA" w14:textId="77777777">
        <w:trPr>
          <w:jc w:val="center"/>
        </w:trPr>
        <w:tc>
          <w:tcPr>
            <w:tcW w:w="0" w:type="auto"/>
            <w:gridSpan w:val="3"/>
            <w:shd w:val="clear" w:color="auto" w:fill="CCEEFF"/>
            <w:tcMar>
              <w:top w:w="40" w:type="dxa"/>
              <w:left w:w="380" w:type="dxa"/>
              <w:bottom w:w="40" w:type="dxa"/>
              <w:right w:w="20" w:type="dxa"/>
            </w:tcMar>
            <w:vAlign w:val="center"/>
          </w:tcPr>
          <w:p w14:paraId="4B9A2EB0" w14:textId="77777777" w:rsidR="002A3970" w:rsidRDefault="00C35E63">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4B9A2EB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B2" w14:textId="77777777" w:rsidR="002A3970" w:rsidRDefault="00C35E63">
            <w:pPr>
              <w:jc w:val="right"/>
              <w:textAlignment w:val="center"/>
            </w:pPr>
            <w:r>
              <w:rPr>
                <w:rFonts w:ascii="Times New Roman" w:eastAsia="宋体" w:hAnsi="Times New Roman"/>
                <w:color w:val="000000"/>
                <w:sz w:val="16"/>
                <w:szCs w:val="16"/>
              </w:rPr>
              <w:t>27,443 </w:t>
            </w:r>
          </w:p>
        </w:tc>
        <w:tc>
          <w:tcPr>
            <w:tcW w:w="0" w:type="auto"/>
            <w:shd w:val="clear" w:color="auto" w:fill="CCEEFF"/>
            <w:tcMar>
              <w:top w:w="40" w:type="dxa"/>
              <w:left w:w="0" w:type="dxa"/>
              <w:bottom w:w="40" w:type="dxa"/>
              <w:right w:w="20" w:type="dxa"/>
            </w:tcMar>
            <w:vAlign w:val="center"/>
          </w:tcPr>
          <w:p w14:paraId="4B9A2EB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B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B5" w14:textId="77777777" w:rsidR="002A3970" w:rsidRDefault="00C35E63">
            <w:pPr>
              <w:jc w:val="right"/>
              <w:textAlignment w:val="center"/>
            </w:pPr>
            <w:r>
              <w:rPr>
                <w:rFonts w:ascii="Times New Roman" w:eastAsia="宋体" w:hAnsi="Times New Roman"/>
                <w:color w:val="000000"/>
                <w:sz w:val="16"/>
                <w:szCs w:val="16"/>
              </w:rPr>
              <w:t>26,060 </w:t>
            </w:r>
          </w:p>
        </w:tc>
        <w:tc>
          <w:tcPr>
            <w:tcW w:w="0" w:type="auto"/>
            <w:shd w:val="clear" w:color="auto" w:fill="CCEEFF"/>
            <w:tcMar>
              <w:top w:w="40" w:type="dxa"/>
              <w:left w:w="0" w:type="dxa"/>
              <w:bottom w:w="40" w:type="dxa"/>
              <w:right w:w="20" w:type="dxa"/>
            </w:tcMar>
            <w:vAlign w:val="center"/>
          </w:tcPr>
          <w:p w14:paraId="4B9A2EB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B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B8" w14:textId="77777777" w:rsidR="002A3970" w:rsidRDefault="00C35E63">
            <w:pPr>
              <w:jc w:val="right"/>
              <w:textAlignment w:val="center"/>
            </w:pPr>
            <w:r>
              <w:rPr>
                <w:rFonts w:ascii="Times New Roman" w:eastAsia="宋体" w:hAnsi="Times New Roman"/>
                <w:color w:val="000000"/>
                <w:sz w:val="16"/>
                <w:szCs w:val="16"/>
              </w:rPr>
              <w:t>24,474 </w:t>
            </w:r>
          </w:p>
        </w:tc>
        <w:tc>
          <w:tcPr>
            <w:tcW w:w="0" w:type="auto"/>
            <w:shd w:val="clear" w:color="auto" w:fill="CCEEFF"/>
            <w:tcMar>
              <w:top w:w="40" w:type="dxa"/>
              <w:left w:w="0" w:type="dxa"/>
              <w:bottom w:w="40" w:type="dxa"/>
              <w:right w:w="20" w:type="dxa"/>
            </w:tcMar>
            <w:vAlign w:val="center"/>
          </w:tcPr>
          <w:p w14:paraId="4B9A2EB9" w14:textId="77777777" w:rsidR="002A3970" w:rsidRDefault="002A3970">
            <w:pPr>
              <w:jc w:val="right"/>
              <w:rPr>
                <w:rFonts w:ascii="宋体"/>
              </w:rPr>
            </w:pPr>
          </w:p>
        </w:tc>
      </w:tr>
      <w:tr w:rsidR="002A3970" w14:paraId="4B9A2EC5" w14:textId="77777777">
        <w:trPr>
          <w:jc w:val="center"/>
        </w:trPr>
        <w:tc>
          <w:tcPr>
            <w:tcW w:w="0" w:type="auto"/>
            <w:gridSpan w:val="3"/>
            <w:shd w:val="clear" w:color="auto" w:fill="FFFFFF"/>
            <w:tcMar>
              <w:top w:w="40" w:type="dxa"/>
              <w:left w:w="380" w:type="dxa"/>
              <w:bottom w:w="40" w:type="dxa"/>
              <w:right w:w="20" w:type="dxa"/>
            </w:tcMar>
            <w:vAlign w:val="center"/>
          </w:tcPr>
          <w:p w14:paraId="4B9A2EBB" w14:textId="77777777" w:rsidR="002A3970" w:rsidRDefault="00C35E63">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4B9A2EB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BD" w14:textId="77777777" w:rsidR="002A3970" w:rsidRDefault="00C35E63">
            <w:pPr>
              <w:jc w:val="right"/>
              <w:textAlignment w:val="center"/>
            </w:pPr>
            <w:r>
              <w:rPr>
                <w:rFonts w:ascii="Times New Roman" w:eastAsia="宋体" w:hAnsi="Times New Roman"/>
                <w:color w:val="000000"/>
                <w:sz w:val="16"/>
                <w:szCs w:val="16"/>
              </w:rPr>
              <w:t>900 </w:t>
            </w:r>
          </w:p>
        </w:tc>
        <w:tc>
          <w:tcPr>
            <w:tcW w:w="0" w:type="auto"/>
            <w:shd w:val="clear" w:color="auto" w:fill="FFFFFF"/>
            <w:tcMar>
              <w:top w:w="40" w:type="dxa"/>
              <w:left w:w="0" w:type="dxa"/>
              <w:bottom w:w="40" w:type="dxa"/>
              <w:right w:w="20" w:type="dxa"/>
            </w:tcMar>
            <w:vAlign w:val="center"/>
          </w:tcPr>
          <w:p w14:paraId="4B9A2EB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B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C0" w14:textId="77777777" w:rsidR="002A3970" w:rsidRDefault="00C35E63">
            <w:pPr>
              <w:jc w:val="right"/>
              <w:textAlignment w:val="center"/>
            </w:pPr>
            <w:r>
              <w:rPr>
                <w:rFonts w:ascii="Times New Roman" w:eastAsia="宋体" w:hAnsi="Times New Roman"/>
                <w:color w:val="000000"/>
                <w:sz w:val="16"/>
                <w:szCs w:val="16"/>
              </w:rPr>
              <w:t>851 </w:t>
            </w:r>
          </w:p>
        </w:tc>
        <w:tc>
          <w:tcPr>
            <w:tcW w:w="0" w:type="auto"/>
            <w:shd w:val="clear" w:color="auto" w:fill="FFFFFF"/>
            <w:tcMar>
              <w:top w:w="40" w:type="dxa"/>
              <w:left w:w="0" w:type="dxa"/>
              <w:bottom w:w="40" w:type="dxa"/>
              <w:right w:w="20" w:type="dxa"/>
            </w:tcMar>
            <w:vAlign w:val="center"/>
          </w:tcPr>
          <w:p w14:paraId="4B9A2EC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C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C3" w14:textId="77777777" w:rsidR="002A3970" w:rsidRDefault="00C35E63">
            <w:pPr>
              <w:jc w:val="right"/>
              <w:textAlignment w:val="center"/>
            </w:pPr>
            <w:r>
              <w:rPr>
                <w:rFonts w:ascii="Times New Roman" w:eastAsia="宋体" w:hAnsi="Times New Roman"/>
                <w:color w:val="000000"/>
                <w:sz w:val="16"/>
                <w:szCs w:val="16"/>
              </w:rPr>
              <w:t>446 </w:t>
            </w:r>
          </w:p>
        </w:tc>
        <w:tc>
          <w:tcPr>
            <w:tcW w:w="0" w:type="auto"/>
            <w:shd w:val="clear" w:color="auto" w:fill="FFFFFF"/>
            <w:tcMar>
              <w:top w:w="40" w:type="dxa"/>
              <w:left w:w="0" w:type="dxa"/>
              <w:bottom w:w="40" w:type="dxa"/>
              <w:right w:w="20" w:type="dxa"/>
            </w:tcMar>
            <w:vAlign w:val="center"/>
          </w:tcPr>
          <w:p w14:paraId="4B9A2EC4" w14:textId="77777777" w:rsidR="002A3970" w:rsidRDefault="002A3970">
            <w:pPr>
              <w:jc w:val="right"/>
              <w:rPr>
                <w:rFonts w:ascii="宋体"/>
              </w:rPr>
            </w:pPr>
          </w:p>
        </w:tc>
      </w:tr>
      <w:tr w:rsidR="002A3970" w14:paraId="4B9A2ED0" w14:textId="77777777">
        <w:trPr>
          <w:jc w:val="center"/>
        </w:trPr>
        <w:tc>
          <w:tcPr>
            <w:tcW w:w="0" w:type="auto"/>
            <w:gridSpan w:val="3"/>
            <w:shd w:val="clear" w:color="auto" w:fill="CCEEFF"/>
            <w:tcMar>
              <w:top w:w="40" w:type="dxa"/>
              <w:left w:w="380" w:type="dxa"/>
              <w:bottom w:w="40" w:type="dxa"/>
              <w:right w:w="20" w:type="dxa"/>
            </w:tcMar>
            <w:vAlign w:val="center"/>
          </w:tcPr>
          <w:p w14:paraId="4B9A2EC6" w14:textId="77777777" w:rsidR="002A3970" w:rsidRDefault="00C35E63">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CCEEFF"/>
            <w:tcMar>
              <w:top w:w="0" w:type="dxa"/>
              <w:left w:w="20" w:type="dxa"/>
              <w:bottom w:w="0" w:type="dxa"/>
              <w:right w:w="20" w:type="dxa"/>
            </w:tcMar>
            <w:vAlign w:val="bottom"/>
          </w:tcPr>
          <w:p w14:paraId="4B9A2EC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C8" w14:textId="77777777" w:rsidR="002A3970" w:rsidRDefault="00C35E63">
            <w:pPr>
              <w:jc w:val="right"/>
              <w:textAlignment w:val="center"/>
            </w:pPr>
            <w:r>
              <w:rPr>
                <w:rFonts w:ascii="Times New Roman" w:eastAsia="宋体" w:hAnsi="Times New Roman"/>
                <w:color w:val="000000"/>
                <w:sz w:val="16"/>
                <w:szCs w:val="16"/>
              </w:rPr>
              <w:t>5,458 </w:t>
            </w:r>
          </w:p>
        </w:tc>
        <w:tc>
          <w:tcPr>
            <w:tcW w:w="0" w:type="auto"/>
            <w:shd w:val="clear" w:color="auto" w:fill="CCEEFF"/>
            <w:tcMar>
              <w:top w:w="40" w:type="dxa"/>
              <w:left w:w="0" w:type="dxa"/>
              <w:bottom w:w="40" w:type="dxa"/>
              <w:right w:w="20" w:type="dxa"/>
            </w:tcMar>
            <w:vAlign w:val="center"/>
          </w:tcPr>
          <w:p w14:paraId="4B9A2EC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C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CB" w14:textId="77777777" w:rsidR="002A3970" w:rsidRDefault="00C35E63">
            <w:pPr>
              <w:jc w:val="right"/>
              <w:textAlignment w:val="center"/>
            </w:pPr>
            <w:r>
              <w:rPr>
                <w:rFonts w:ascii="Times New Roman" w:eastAsia="宋体" w:hAnsi="Times New Roman"/>
                <w:color w:val="000000"/>
                <w:sz w:val="16"/>
                <w:szCs w:val="16"/>
              </w:rPr>
              <w:t>2,803 </w:t>
            </w:r>
          </w:p>
        </w:tc>
        <w:tc>
          <w:tcPr>
            <w:tcW w:w="0" w:type="auto"/>
            <w:shd w:val="clear" w:color="auto" w:fill="CCEEFF"/>
            <w:tcMar>
              <w:top w:w="40" w:type="dxa"/>
              <w:left w:w="0" w:type="dxa"/>
              <w:bottom w:w="40" w:type="dxa"/>
              <w:right w:w="20" w:type="dxa"/>
            </w:tcMar>
            <w:vAlign w:val="center"/>
          </w:tcPr>
          <w:p w14:paraId="4B9A2EC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C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CE" w14:textId="77777777" w:rsidR="002A3970" w:rsidRDefault="00C35E63">
            <w:pPr>
              <w:jc w:val="right"/>
              <w:textAlignment w:val="center"/>
            </w:pPr>
            <w:r>
              <w:rPr>
                <w:rFonts w:ascii="Times New Roman" w:eastAsia="宋体" w:hAnsi="Times New Roman"/>
                <w:color w:val="000000"/>
                <w:sz w:val="16"/>
                <w:szCs w:val="16"/>
              </w:rPr>
              <w:t>1,575 </w:t>
            </w:r>
          </w:p>
        </w:tc>
        <w:tc>
          <w:tcPr>
            <w:tcW w:w="0" w:type="auto"/>
            <w:shd w:val="clear" w:color="auto" w:fill="CCEEFF"/>
            <w:tcMar>
              <w:top w:w="40" w:type="dxa"/>
              <w:left w:w="0" w:type="dxa"/>
              <w:bottom w:w="40" w:type="dxa"/>
              <w:right w:w="20" w:type="dxa"/>
            </w:tcMar>
            <w:vAlign w:val="center"/>
          </w:tcPr>
          <w:p w14:paraId="4B9A2ECF" w14:textId="77777777" w:rsidR="002A3970" w:rsidRDefault="002A3970">
            <w:pPr>
              <w:jc w:val="right"/>
              <w:rPr>
                <w:rFonts w:ascii="宋体"/>
              </w:rPr>
            </w:pPr>
          </w:p>
        </w:tc>
      </w:tr>
      <w:tr w:rsidR="002A3970" w14:paraId="4B9A2EDB" w14:textId="77777777">
        <w:trPr>
          <w:jc w:val="center"/>
        </w:trPr>
        <w:tc>
          <w:tcPr>
            <w:tcW w:w="0" w:type="auto"/>
            <w:gridSpan w:val="3"/>
            <w:shd w:val="clear" w:color="auto" w:fill="FFFFFF"/>
            <w:tcMar>
              <w:top w:w="40" w:type="dxa"/>
              <w:left w:w="380" w:type="dxa"/>
              <w:bottom w:w="40" w:type="dxa"/>
              <w:right w:w="20" w:type="dxa"/>
            </w:tcMar>
            <w:vAlign w:val="center"/>
          </w:tcPr>
          <w:p w14:paraId="4B9A2ED1" w14:textId="77777777" w:rsidR="002A3970" w:rsidRDefault="00C35E63">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vAlign w:val="bottom"/>
          </w:tcPr>
          <w:p w14:paraId="4B9A2ED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D3" w14:textId="77777777" w:rsidR="002A3970" w:rsidRDefault="00C35E63">
            <w:pPr>
              <w:jc w:val="right"/>
              <w:textAlignment w:val="center"/>
            </w:pPr>
            <w:r>
              <w:rPr>
                <w:rFonts w:ascii="Times New Roman" w:eastAsia="宋体" w:hAnsi="Times New Roman"/>
                <w:color w:val="000000"/>
                <w:sz w:val="16"/>
                <w:szCs w:val="16"/>
              </w:rPr>
              <w:t>1,457 </w:t>
            </w:r>
          </w:p>
        </w:tc>
        <w:tc>
          <w:tcPr>
            <w:tcW w:w="0" w:type="auto"/>
            <w:shd w:val="clear" w:color="auto" w:fill="FFFFFF"/>
            <w:tcMar>
              <w:top w:w="40" w:type="dxa"/>
              <w:left w:w="0" w:type="dxa"/>
              <w:bottom w:w="40" w:type="dxa"/>
              <w:right w:w="20" w:type="dxa"/>
            </w:tcMar>
            <w:vAlign w:val="center"/>
          </w:tcPr>
          <w:p w14:paraId="4B9A2ED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D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D6" w14:textId="77777777" w:rsidR="002A3970" w:rsidRDefault="00C35E63">
            <w:pPr>
              <w:jc w:val="right"/>
              <w:textAlignment w:val="center"/>
            </w:pPr>
            <w:r>
              <w:rPr>
                <w:rFonts w:ascii="Times New Roman" w:eastAsia="宋体" w:hAnsi="Times New Roman"/>
                <w:color w:val="000000"/>
                <w:sz w:val="16"/>
                <w:szCs w:val="16"/>
              </w:rPr>
              <w:t>1,483 </w:t>
            </w:r>
          </w:p>
        </w:tc>
        <w:tc>
          <w:tcPr>
            <w:tcW w:w="0" w:type="auto"/>
            <w:shd w:val="clear" w:color="auto" w:fill="FFFFFF"/>
            <w:tcMar>
              <w:top w:w="40" w:type="dxa"/>
              <w:left w:w="0" w:type="dxa"/>
              <w:bottom w:w="40" w:type="dxa"/>
              <w:right w:w="20" w:type="dxa"/>
            </w:tcMar>
            <w:vAlign w:val="center"/>
          </w:tcPr>
          <w:p w14:paraId="4B9A2ED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D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ED9" w14:textId="77777777" w:rsidR="002A3970" w:rsidRDefault="00C35E63">
            <w:pPr>
              <w:jc w:val="right"/>
              <w:textAlignment w:val="center"/>
            </w:pPr>
            <w:r>
              <w:rPr>
                <w:rFonts w:ascii="Times New Roman" w:eastAsia="宋体" w:hAnsi="Times New Roman"/>
                <w:color w:val="000000"/>
                <w:sz w:val="16"/>
                <w:szCs w:val="16"/>
              </w:rPr>
              <w:t>1,486 </w:t>
            </w:r>
          </w:p>
        </w:tc>
        <w:tc>
          <w:tcPr>
            <w:tcW w:w="0" w:type="auto"/>
            <w:shd w:val="clear" w:color="auto" w:fill="FFFFFF"/>
            <w:tcMar>
              <w:top w:w="40" w:type="dxa"/>
              <w:left w:w="0" w:type="dxa"/>
              <w:bottom w:w="40" w:type="dxa"/>
              <w:right w:w="20" w:type="dxa"/>
            </w:tcMar>
            <w:vAlign w:val="center"/>
          </w:tcPr>
          <w:p w14:paraId="4B9A2EDA" w14:textId="77777777" w:rsidR="002A3970" w:rsidRDefault="002A3970">
            <w:pPr>
              <w:jc w:val="right"/>
              <w:rPr>
                <w:rFonts w:ascii="宋体"/>
              </w:rPr>
            </w:pPr>
          </w:p>
        </w:tc>
      </w:tr>
      <w:tr w:rsidR="002A3970" w14:paraId="4B9A2EE6" w14:textId="77777777">
        <w:trPr>
          <w:jc w:val="center"/>
        </w:trPr>
        <w:tc>
          <w:tcPr>
            <w:tcW w:w="0" w:type="auto"/>
            <w:gridSpan w:val="3"/>
            <w:shd w:val="clear" w:color="auto" w:fill="CCEEFF"/>
            <w:tcMar>
              <w:top w:w="40" w:type="dxa"/>
              <w:left w:w="380" w:type="dxa"/>
              <w:bottom w:w="40" w:type="dxa"/>
              <w:right w:w="20" w:type="dxa"/>
            </w:tcMar>
            <w:vAlign w:val="center"/>
          </w:tcPr>
          <w:p w14:paraId="4B9A2EDC" w14:textId="77777777" w:rsidR="002A3970" w:rsidRDefault="00C35E63">
            <w:pPr>
              <w:textAlignment w:val="center"/>
            </w:pPr>
            <w:r>
              <w:rPr>
                <w:rFonts w:ascii="Times New Roman" w:eastAsia="宋体" w:hAnsi="Times New Roman"/>
                <w:color w:val="000000"/>
                <w:sz w:val="16"/>
                <w:szCs w:val="16"/>
              </w:rPr>
              <w:t>Finance lease obligations due within one year</w:t>
            </w:r>
          </w:p>
        </w:tc>
        <w:tc>
          <w:tcPr>
            <w:tcW w:w="0" w:type="auto"/>
            <w:gridSpan w:val="3"/>
            <w:shd w:val="clear" w:color="auto" w:fill="CCEEFF"/>
            <w:tcMar>
              <w:top w:w="0" w:type="dxa"/>
              <w:left w:w="20" w:type="dxa"/>
              <w:bottom w:w="0" w:type="dxa"/>
              <w:right w:w="20" w:type="dxa"/>
            </w:tcMar>
            <w:vAlign w:val="bottom"/>
          </w:tcPr>
          <w:p w14:paraId="4B9A2ED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DE" w14:textId="77777777" w:rsidR="002A3970" w:rsidRDefault="00C35E63">
            <w:pPr>
              <w:jc w:val="right"/>
              <w:textAlignment w:val="center"/>
            </w:pPr>
            <w:r>
              <w:rPr>
                <w:rFonts w:ascii="Times New Roman" w:eastAsia="宋体" w:hAnsi="Times New Roman"/>
                <w:color w:val="000000"/>
                <w:sz w:val="16"/>
                <w:szCs w:val="16"/>
              </w:rPr>
              <w:t>549 </w:t>
            </w:r>
          </w:p>
        </w:tc>
        <w:tc>
          <w:tcPr>
            <w:tcW w:w="0" w:type="auto"/>
            <w:shd w:val="clear" w:color="auto" w:fill="CCEEFF"/>
            <w:tcMar>
              <w:top w:w="40" w:type="dxa"/>
              <w:left w:w="0" w:type="dxa"/>
              <w:bottom w:w="40" w:type="dxa"/>
              <w:right w:w="20" w:type="dxa"/>
            </w:tcMar>
            <w:vAlign w:val="center"/>
          </w:tcPr>
          <w:p w14:paraId="4B9A2ED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E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E1" w14:textId="77777777" w:rsidR="002A3970" w:rsidRDefault="00C35E63">
            <w:pPr>
              <w:jc w:val="right"/>
              <w:textAlignment w:val="center"/>
            </w:pPr>
            <w:r>
              <w:rPr>
                <w:rFonts w:ascii="Times New Roman" w:eastAsia="宋体" w:hAnsi="Times New Roman"/>
                <w:color w:val="000000"/>
                <w:sz w:val="16"/>
                <w:szCs w:val="16"/>
              </w:rPr>
              <w:t>511 </w:t>
            </w:r>
          </w:p>
        </w:tc>
        <w:tc>
          <w:tcPr>
            <w:tcW w:w="0" w:type="auto"/>
            <w:shd w:val="clear" w:color="auto" w:fill="CCEEFF"/>
            <w:tcMar>
              <w:top w:w="40" w:type="dxa"/>
              <w:left w:w="0" w:type="dxa"/>
              <w:bottom w:w="40" w:type="dxa"/>
              <w:right w:w="20" w:type="dxa"/>
            </w:tcMar>
            <w:vAlign w:val="center"/>
          </w:tcPr>
          <w:p w14:paraId="4B9A2EE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EE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EE4" w14:textId="77777777" w:rsidR="002A3970" w:rsidRDefault="00C35E63">
            <w:pPr>
              <w:jc w:val="right"/>
              <w:textAlignment w:val="center"/>
            </w:pPr>
            <w:r>
              <w:rPr>
                <w:rFonts w:ascii="Times New Roman" w:eastAsia="宋体" w:hAnsi="Times New Roman"/>
                <w:color w:val="000000"/>
                <w:sz w:val="16"/>
                <w:szCs w:val="16"/>
              </w:rPr>
              <w:t>508 </w:t>
            </w:r>
          </w:p>
        </w:tc>
        <w:tc>
          <w:tcPr>
            <w:tcW w:w="0" w:type="auto"/>
            <w:shd w:val="clear" w:color="auto" w:fill="CCEEFF"/>
            <w:tcMar>
              <w:top w:w="40" w:type="dxa"/>
              <w:left w:w="0" w:type="dxa"/>
              <w:bottom w:w="40" w:type="dxa"/>
              <w:right w:w="20" w:type="dxa"/>
            </w:tcMar>
            <w:vAlign w:val="center"/>
          </w:tcPr>
          <w:p w14:paraId="4B9A2EE5" w14:textId="77777777" w:rsidR="002A3970" w:rsidRDefault="002A3970">
            <w:pPr>
              <w:jc w:val="right"/>
              <w:rPr>
                <w:rFonts w:ascii="宋体"/>
              </w:rPr>
            </w:pPr>
          </w:p>
        </w:tc>
      </w:tr>
      <w:tr w:rsidR="002A3970" w14:paraId="4B9A2EEE" w14:textId="77777777">
        <w:trPr>
          <w:jc w:val="center"/>
          <w:hidden/>
        </w:trPr>
        <w:tc>
          <w:tcPr>
            <w:tcW w:w="0" w:type="auto"/>
            <w:gridSpan w:val="3"/>
            <w:shd w:val="clear" w:color="auto" w:fill="auto"/>
            <w:vAlign w:val="bottom"/>
          </w:tcPr>
          <w:p w14:paraId="4B9A2EE7" w14:textId="77777777" w:rsidR="002A3970" w:rsidRDefault="002A3970">
            <w:pPr>
              <w:rPr>
                <w:rFonts w:ascii="宋体"/>
                <w:vanish/>
              </w:rPr>
            </w:pPr>
          </w:p>
        </w:tc>
        <w:tc>
          <w:tcPr>
            <w:tcW w:w="0" w:type="auto"/>
            <w:gridSpan w:val="3"/>
            <w:shd w:val="clear" w:color="auto" w:fill="auto"/>
            <w:vAlign w:val="bottom"/>
          </w:tcPr>
          <w:p w14:paraId="4B9A2EE8" w14:textId="77777777" w:rsidR="002A3970" w:rsidRDefault="002A3970">
            <w:pPr>
              <w:rPr>
                <w:rFonts w:ascii="宋体"/>
                <w:vanish/>
              </w:rPr>
            </w:pPr>
          </w:p>
        </w:tc>
        <w:tc>
          <w:tcPr>
            <w:tcW w:w="0" w:type="auto"/>
            <w:gridSpan w:val="3"/>
            <w:shd w:val="clear" w:color="auto" w:fill="auto"/>
            <w:vAlign w:val="bottom"/>
          </w:tcPr>
          <w:p w14:paraId="4B9A2EE9" w14:textId="77777777" w:rsidR="002A3970" w:rsidRDefault="002A3970">
            <w:pPr>
              <w:rPr>
                <w:rFonts w:ascii="宋体"/>
                <w:vanish/>
              </w:rPr>
            </w:pPr>
          </w:p>
        </w:tc>
        <w:tc>
          <w:tcPr>
            <w:tcW w:w="0" w:type="auto"/>
            <w:gridSpan w:val="3"/>
            <w:shd w:val="clear" w:color="auto" w:fill="auto"/>
            <w:vAlign w:val="bottom"/>
          </w:tcPr>
          <w:p w14:paraId="4B9A2EEA" w14:textId="77777777" w:rsidR="002A3970" w:rsidRDefault="002A3970">
            <w:pPr>
              <w:rPr>
                <w:rFonts w:ascii="宋体"/>
                <w:vanish/>
              </w:rPr>
            </w:pPr>
          </w:p>
        </w:tc>
        <w:tc>
          <w:tcPr>
            <w:tcW w:w="0" w:type="auto"/>
            <w:gridSpan w:val="3"/>
            <w:shd w:val="clear" w:color="auto" w:fill="auto"/>
            <w:vAlign w:val="bottom"/>
          </w:tcPr>
          <w:p w14:paraId="4B9A2EEB" w14:textId="77777777" w:rsidR="002A3970" w:rsidRDefault="002A3970">
            <w:pPr>
              <w:rPr>
                <w:rFonts w:ascii="宋体"/>
                <w:vanish/>
              </w:rPr>
            </w:pPr>
          </w:p>
        </w:tc>
        <w:tc>
          <w:tcPr>
            <w:tcW w:w="0" w:type="auto"/>
            <w:gridSpan w:val="3"/>
            <w:shd w:val="clear" w:color="auto" w:fill="auto"/>
            <w:vAlign w:val="bottom"/>
          </w:tcPr>
          <w:p w14:paraId="4B9A2EEC" w14:textId="77777777" w:rsidR="002A3970" w:rsidRDefault="002A3970">
            <w:pPr>
              <w:rPr>
                <w:rFonts w:ascii="宋体"/>
                <w:vanish/>
              </w:rPr>
            </w:pPr>
          </w:p>
        </w:tc>
        <w:tc>
          <w:tcPr>
            <w:tcW w:w="0" w:type="auto"/>
            <w:gridSpan w:val="3"/>
            <w:shd w:val="clear" w:color="auto" w:fill="auto"/>
            <w:vAlign w:val="bottom"/>
          </w:tcPr>
          <w:p w14:paraId="4B9A2EED" w14:textId="77777777" w:rsidR="002A3970" w:rsidRDefault="002A3970">
            <w:pPr>
              <w:rPr>
                <w:rFonts w:ascii="宋体"/>
                <w:vanish/>
              </w:rPr>
            </w:pPr>
          </w:p>
        </w:tc>
      </w:tr>
      <w:tr w:rsidR="002A3970" w14:paraId="4B9A2EF6" w14:textId="77777777">
        <w:trPr>
          <w:jc w:val="center"/>
          <w:hidden/>
        </w:trPr>
        <w:tc>
          <w:tcPr>
            <w:tcW w:w="0" w:type="auto"/>
            <w:gridSpan w:val="3"/>
            <w:shd w:val="clear" w:color="auto" w:fill="auto"/>
            <w:vAlign w:val="bottom"/>
          </w:tcPr>
          <w:p w14:paraId="4B9A2EEF" w14:textId="77777777" w:rsidR="002A3970" w:rsidRDefault="002A3970">
            <w:pPr>
              <w:rPr>
                <w:rFonts w:ascii="宋体"/>
                <w:vanish/>
              </w:rPr>
            </w:pPr>
          </w:p>
        </w:tc>
        <w:tc>
          <w:tcPr>
            <w:tcW w:w="0" w:type="auto"/>
            <w:gridSpan w:val="3"/>
            <w:shd w:val="clear" w:color="auto" w:fill="auto"/>
            <w:vAlign w:val="bottom"/>
          </w:tcPr>
          <w:p w14:paraId="4B9A2EF0" w14:textId="77777777" w:rsidR="002A3970" w:rsidRDefault="002A3970">
            <w:pPr>
              <w:rPr>
                <w:rFonts w:ascii="宋体"/>
                <w:vanish/>
              </w:rPr>
            </w:pPr>
          </w:p>
        </w:tc>
        <w:tc>
          <w:tcPr>
            <w:tcW w:w="0" w:type="auto"/>
            <w:gridSpan w:val="3"/>
            <w:shd w:val="clear" w:color="auto" w:fill="auto"/>
            <w:vAlign w:val="bottom"/>
          </w:tcPr>
          <w:p w14:paraId="4B9A2EF1" w14:textId="77777777" w:rsidR="002A3970" w:rsidRDefault="002A3970">
            <w:pPr>
              <w:rPr>
                <w:rFonts w:ascii="宋体"/>
                <w:vanish/>
              </w:rPr>
            </w:pPr>
          </w:p>
        </w:tc>
        <w:tc>
          <w:tcPr>
            <w:tcW w:w="0" w:type="auto"/>
            <w:gridSpan w:val="3"/>
            <w:shd w:val="clear" w:color="auto" w:fill="auto"/>
            <w:vAlign w:val="bottom"/>
          </w:tcPr>
          <w:p w14:paraId="4B9A2EF2" w14:textId="77777777" w:rsidR="002A3970" w:rsidRDefault="002A3970">
            <w:pPr>
              <w:rPr>
                <w:rFonts w:ascii="宋体"/>
                <w:vanish/>
              </w:rPr>
            </w:pPr>
          </w:p>
        </w:tc>
        <w:tc>
          <w:tcPr>
            <w:tcW w:w="0" w:type="auto"/>
            <w:gridSpan w:val="3"/>
            <w:shd w:val="clear" w:color="auto" w:fill="auto"/>
            <w:vAlign w:val="bottom"/>
          </w:tcPr>
          <w:p w14:paraId="4B9A2EF3" w14:textId="77777777" w:rsidR="002A3970" w:rsidRDefault="002A3970">
            <w:pPr>
              <w:rPr>
                <w:rFonts w:ascii="宋体"/>
                <w:vanish/>
              </w:rPr>
            </w:pPr>
          </w:p>
        </w:tc>
        <w:tc>
          <w:tcPr>
            <w:tcW w:w="0" w:type="auto"/>
            <w:gridSpan w:val="3"/>
            <w:shd w:val="clear" w:color="auto" w:fill="auto"/>
            <w:vAlign w:val="bottom"/>
          </w:tcPr>
          <w:p w14:paraId="4B9A2EF4" w14:textId="77777777" w:rsidR="002A3970" w:rsidRDefault="002A3970">
            <w:pPr>
              <w:rPr>
                <w:rFonts w:ascii="宋体"/>
                <w:vanish/>
              </w:rPr>
            </w:pPr>
          </w:p>
        </w:tc>
        <w:tc>
          <w:tcPr>
            <w:tcW w:w="0" w:type="auto"/>
            <w:gridSpan w:val="3"/>
            <w:shd w:val="clear" w:color="auto" w:fill="auto"/>
            <w:vAlign w:val="bottom"/>
          </w:tcPr>
          <w:p w14:paraId="4B9A2EF5" w14:textId="77777777" w:rsidR="002A3970" w:rsidRDefault="002A3970">
            <w:pPr>
              <w:rPr>
                <w:rFonts w:ascii="宋体"/>
                <w:vanish/>
              </w:rPr>
            </w:pPr>
          </w:p>
        </w:tc>
      </w:tr>
      <w:tr w:rsidR="002A3970" w14:paraId="4B9A2F01" w14:textId="77777777">
        <w:trPr>
          <w:jc w:val="center"/>
        </w:trPr>
        <w:tc>
          <w:tcPr>
            <w:tcW w:w="0" w:type="auto"/>
            <w:gridSpan w:val="3"/>
            <w:shd w:val="clear" w:color="auto" w:fill="FFFFFF"/>
            <w:tcMar>
              <w:top w:w="40" w:type="dxa"/>
              <w:left w:w="740" w:type="dxa"/>
              <w:bottom w:w="40" w:type="dxa"/>
              <w:right w:w="20" w:type="dxa"/>
            </w:tcMar>
            <w:vAlign w:val="center"/>
          </w:tcPr>
          <w:p w14:paraId="4B9A2EF7" w14:textId="77777777" w:rsidR="002A3970" w:rsidRDefault="00C35E63">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vAlign w:val="bottom"/>
          </w:tcPr>
          <w:p w14:paraId="4B9A2EF8"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EF9" w14:textId="77777777" w:rsidR="002A3970" w:rsidRDefault="00C35E63">
            <w:pPr>
              <w:jc w:val="right"/>
              <w:textAlignment w:val="center"/>
            </w:pPr>
            <w:r>
              <w:rPr>
                <w:rFonts w:ascii="Times New Roman" w:eastAsia="宋体" w:hAnsi="Times New Roman"/>
                <w:color w:val="000000"/>
                <w:sz w:val="16"/>
                <w:szCs w:val="16"/>
              </w:rPr>
              <w:t>101,408 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EF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FB"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EFC" w14:textId="77777777" w:rsidR="002A3970" w:rsidRDefault="00C35E63">
            <w:pPr>
              <w:jc w:val="right"/>
              <w:textAlignment w:val="center"/>
            </w:pPr>
            <w:r>
              <w:rPr>
                <w:rFonts w:ascii="Times New Roman" w:eastAsia="宋体" w:hAnsi="Times New Roman"/>
                <w:color w:val="000000"/>
                <w:sz w:val="16"/>
                <w:szCs w:val="16"/>
              </w:rPr>
              <w:t>87,379 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EF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EFE"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EFF" w14:textId="77777777" w:rsidR="002A3970" w:rsidRDefault="00C35E63">
            <w:pPr>
              <w:jc w:val="right"/>
              <w:textAlignment w:val="center"/>
            </w:pPr>
            <w:r>
              <w:rPr>
                <w:rFonts w:ascii="Times New Roman" w:eastAsia="宋体" w:hAnsi="Times New Roman"/>
                <w:color w:val="000000"/>
                <w:sz w:val="16"/>
                <w:szCs w:val="16"/>
              </w:rPr>
              <w:t>87,620 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00" w14:textId="77777777" w:rsidR="002A3970" w:rsidRDefault="002A3970">
            <w:pPr>
              <w:jc w:val="right"/>
              <w:rPr>
                <w:rFonts w:ascii="宋体"/>
              </w:rPr>
            </w:pPr>
          </w:p>
        </w:tc>
      </w:tr>
      <w:tr w:rsidR="002A3970" w14:paraId="4B9A2F09" w14:textId="77777777">
        <w:trPr>
          <w:trHeight w:val="240"/>
          <w:jc w:val="center"/>
        </w:trPr>
        <w:tc>
          <w:tcPr>
            <w:tcW w:w="0" w:type="auto"/>
            <w:gridSpan w:val="3"/>
            <w:shd w:val="clear" w:color="auto" w:fill="CCEEFF"/>
            <w:tcMar>
              <w:top w:w="0" w:type="dxa"/>
              <w:left w:w="20" w:type="dxa"/>
              <w:bottom w:w="0" w:type="dxa"/>
              <w:right w:w="20" w:type="dxa"/>
            </w:tcMar>
            <w:vAlign w:val="bottom"/>
          </w:tcPr>
          <w:p w14:paraId="4B9A2F0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03"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0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05"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0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0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08" w14:textId="77777777" w:rsidR="002A3970" w:rsidRDefault="002A3970">
            <w:pPr>
              <w:rPr>
                <w:rFonts w:ascii="宋体"/>
              </w:rPr>
            </w:pPr>
          </w:p>
        </w:tc>
      </w:tr>
      <w:tr w:rsidR="002A3970" w14:paraId="4B9A2F14" w14:textId="77777777">
        <w:trPr>
          <w:jc w:val="center"/>
        </w:trPr>
        <w:tc>
          <w:tcPr>
            <w:tcW w:w="0" w:type="auto"/>
            <w:gridSpan w:val="3"/>
            <w:shd w:val="clear" w:color="auto" w:fill="FFFFFF"/>
            <w:tcMar>
              <w:top w:w="40" w:type="dxa"/>
              <w:left w:w="20" w:type="dxa"/>
              <w:bottom w:w="40" w:type="dxa"/>
              <w:right w:w="20" w:type="dxa"/>
            </w:tcMar>
            <w:vAlign w:val="center"/>
          </w:tcPr>
          <w:p w14:paraId="4B9A2F0A" w14:textId="77777777" w:rsidR="002A3970" w:rsidRDefault="00C35E63">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vAlign w:val="bottom"/>
          </w:tcPr>
          <w:p w14:paraId="4B9A2F0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0C" w14:textId="77777777" w:rsidR="002A3970" w:rsidRDefault="00C35E63">
            <w:pPr>
              <w:jc w:val="right"/>
              <w:textAlignment w:val="center"/>
            </w:pPr>
            <w:r>
              <w:rPr>
                <w:rFonts w:ascii="Times New Roman" w:eastAsia="宋体" w:hAnsi="Times New Roman"/>
                <w:color w:val="000000"/>
                <w:sz w:val="16"/>
                <w:szCs w:val="16"/>
              </w:rPr>
              <w:t>33,935 </w:t>
            </w:r>
          </w:p>
        </w:tc>
        <w:tc>
          <w:tcPr>
            <w:tcW w:w="0" w:type="auto"/>
            <w:shd w:val="clear" w:color="auto" w:fill="FFFFFF"/>
            <w:tcMar>
              <w:top w:w="40" w:type="dxa"/>
              <w:left w:w="0" w:type="dxa"/>
              <w:bottom w:w="40" w:type="dxa"/>
              <w:right w:w="20" w:type="dxa"/>
            </w:tcMar>
            <w:vAlign w:val="center"/>
          </w:tcPr>
          <w:p w14:paraId="4B9A2F0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0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0F" w14:textId="77777777" w:rsidR="002A3970" w:rsidRDefault="00C35E63">
            <w:pPr>
              <w:jc w:val="right"/>
              <w:textAlignment w:val="center"/>
            </w:pPr>
            <w:r>
              <w:rPr>
                <w:rFonts w:ascii="Times New Roman" w:eastAsia="宋体" w:hAnsi="Times New Roman"/>
                <w:color w:val="000000"/>
                <w:sz w:val="16"/>
                <w:szCs w:val="16"/>
              </w:rPr>
              <w:t>34,864 </w:t>
            </w:r>
          </w:p>
        </w:tc>
        <w:tc>
          <w:tcPr>
            <w:tcW w:w="0" w:type="auto"/>
            <w:shd w:val="clear" w:color="auto" w:fill="FFFFFF"/>
            <w:tcMar>
              <w:top w:w="40" w:type="dxa"/>
              <w:left w:w="0" w:type="dxa"/>
              <w:bottom w:w="40" w:type="dxa"/>
              <w:right w:w="20" w:type="dxa"/>
            </w:tcMar>
            <w:vAlign w:val="center"/>
          </w:tcPr>
          <w:p w14:paraId="4B9A2F1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1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12" w14:textId="77777777" w:rsidR="002A3970" w:rsidRDefault="00C35E63">
            <w:pPr>
              <w:jc w:val="right"/>
              <w:textAlignment w:val="center"/>
            </w:pPr>
            <w:r>
              <w:rPr>
                <w:rFonts w:ascii="Times New Roman" w:eastAsia="宋体" w:hAnsi="Times New Roman"/>
                <w:color w:val="000000"/>
                <w:sz w:val="16"/>
                <w:szCs w:val="16"/>
              </w:rPr>
              <w:t>36,425 </w:t>
            </w:r>
          </w:p>
        </w:tc>
        <w:tc>
          <w:tcPr>
            <w:tcW w:w="0" w:type="auto"/>
            <w:shd w:val="clear" w:color="auto" w:fill="FFFFFF"/>
            <w:tcMar>
              <w:top w:w="40" w:type="dxa"/>
              <w:left w:w="0" w:type="dxa"/>
              <w:bottom w:w="40" w:type="dxa"/>
              <w:right w:w="20" w:type="dxa"/>
            </w:tcMar>
            <w:vAlign w:val="center"/>
          </w:tcPr>
          <w:p w14:paraId="4B9A2F13" w14:textId="77777777" w:rsidR="002A3970" w:rsidRDefault="002A3970">
            <w:pPr>
              <w:jc w:val="right"/>
              <w:rPr>
                <w:rFonts w:ascii="宋体"/>
              </w:rPr>
            </w:pPr>
          </w:p>
        </w:tc>
      </w:tr>
      <w:tr w:rsidR="002A3970" w14:paraId="4B9A2F1F" w14:textId="77777777">
        <w:trPr>
          <w:jc w:val="center"/>
        </w:trPr>
        <w:tc>
          <w:tcPr>
            <w:tcW w:w="0" w:type="auto"/>
            <w:gridSpan w:val="3"/>
            <w:shd w:val="clear" w:color="auto" w:fill="CCEEFF"/>
            <w:tcMar>
              <w:top w:w="40" w:type="dxa"/>
              <w:left w:w="20" w:type="dxa"/>
              <w:bottom w:w="40" w:type="dxa"/>
              <w:right w:w="20" w:type="dxa"/>
            </w:tcMar>
            <w:vAlign w:val="center"/>
          </w:tcPr>
          <w:p w14:paraId="4B9A2F15" w14:textId="77777777" w:rsidR="002A3970" w:rsidRDefault="00C35E63">
            <w:pPr>
              <w:textAlignment w:val="center"/>
            </w:pPr>
            <w:r>
              <w:rPr>
                <w:rFonts w:ascii="Times New Roman" w:eastAsia="宋体" w:hAnsi="Times New Roman"/>
                <w:color w:val="000000"/>
                <w:sz w:val="16"/>
                <w:szCs w:val="16"/>
              </w:rPr>
              <w:t>Lo</w:t>
            </w:r>
            <w:r>
              <w:rPr>
                <w:rFonts w:ascii="Times New Roman" w:eastAsia="宋体" w:hAnsi="Times New Roman"/>
                <w:color w:val="000000"/>
                <w:sz w:val="16"/>
                <w:szCs w:val="16"/>
              </w:rPr>
              <w:t>ng-term operating lease obligations</w:t>
            </w:r>
          </w:p>
        </w:tc>
        <w:tc>
          <w:tcPr>
            <w:tcW w:w="0" w:type="auto"/>
            <w:gridSpan w:val="3"/>
            <w:shd w:val="clear" w:color="auto" w:fill="CCEEFF"/>
            <w:tcMar>
              <w:top w:w="0" w:type="dxa"/>
              <w:left w:w="20" w:type="dxa"/>
              <w:bottom w:w="0" w:type="dxa"/>
              <w:right w:w="20" w:type="dxa"/>
            </w:tcMar>
            <w:vAlign w:val="bottom"/>
          </w:tcPr>
          <w:p w14:paraId="4B9A2F1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17" w14:textId="77777777" w:rsidR="002A3970" w:rsidRDefault="00C35E63">
            <w:pPr>
              <w:jc w:val="right"/>
              <w:textAlignment w:val="center"/>
            </w:pPr>
            <w:r>
              <w:rPr>
                <w:rFonts w:ascii="Times New Roman" w:eastAsia="宋体" w:hAnsi="Times New Roman"/>
                <w:color w:val="000000"/>
                <w:sz w:val="16"/>
                <w:szCs w:val="16"/>
              </w:rPr>
              <w:t>12,658 </w:t>
            </w:r>
          </w:p>
        </w:tc>
        <w:tc>
          <w:tcPr>
            <w:tcW w:w="0" w:type="auto"/>
            <w:shd w:val="clear" w:color="auto" w:fill="CCEEFF"/>
            <w:tcMar>
              <w:top w:w="40" w:type="dxa"/>
              <w:left w:w="0" w:type="dxa"/>
              <w:bottom w:w="40" w:type="dxa"/>
              <w:right w:w="20" w:type="dxa"/>
            </w:tcMar>
            <w:vAlign w:val="center"/>
          </w:tcPr>
          <w:p w14:paraId="4B9A2F1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1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1A" w14:textId="77777777" w:rsidR="002A3970" w:rsidRDefault="00C35E63">
            <w:pPr>
              <w:jc w:val="right"/>
              <w:textAlignment w:val="center"/>
            </w:pPr>
            <w:r>
              <w:rPr>
                <w:rFonts w:ascii="Times New Roman" w:eastAsia="宋体" w:hAnsi="Times New Roman"/>
                <w:color w:val="000000"/>
                <w:sz w:val="16"/>
                <w:szCs w:val="16"/>
              </w:rPr>
              <w:t>13,009 </w:t>
            </w:r>
          </w:p>
        </w:tc>
        <w:tc>
          <w:tcPr>
            <w:tcW w:w="0" w:type="auto"/>
            <w:shd w:val="clear" w:color="auto" w:fill="CCEEFF"/>
            <w:tcMar>
              <w:top w:w="40" w:type="dxa"/>
              <w:left w:w="0" w:type="dxa"/>
              <w:bottom w:w="40" w:type="dxa"/>
              <w:right w:w="20" w:type="dxa"/>
            </w:tcMar>
            <w:vAlign w:val="center"/>
          </w:tcPr>
          <w:p w14:paraId="4B9A2F1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1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1D" w14:textId="77777777" w:rsidR="002A3970" w:rsidRDefault="00C35E63">
            <w:pPr>
              <w:jc w:val="right"/>
              <w:textAlignment w:val="center"/>
            </w:pPr>
            <w:r>
              <w:rPr>
                <w:rFonts w:ascii="Times New Roman" w:eastAsia="宋体" w:hAnsi="Times New Roman"/>
                <w:color w:val="000000"/>
                <w:sz w:val="16"/>
                <w:szCs w:val="16"/>
              </w:rPr>
              <w:t>13,095 </w:t>
            </w:r>
          </w:p>
        </w:tc>
        <w:tc>
          <w:tcPr>
            <w:tcW w:w="0" w:type="auto"/>
            <w:shd w:val="clear" w:color="auto" w:fill="CCEEFF"/>
            <w:tcMar>
              <w:top w:w="40" w:type="dxa"/>
              <w:left w:w="0" w:type="dxa"/>
              <w:bottom w:w="40" w:type="dxa"/>
              <w:right w:w="20" w:type="dxa"/>
            </w:tcMar>
            <w:vAlign w:val="center"/>
          </w:tcPr>
          <w:p w14:paraId="4B9A2F1E" w14:textId="77777777" w:rsidR="002A3970" w:rsidRDefault="002A3970">
            <w:pPr>
              <w:jc w:val="right"/>
              <w:rPr>
                <w:rFonts w:ascii="宋体"/>
              </w:rPr>
            </w:pPr>
          </w:p>
        </w:tc>
      </w:tr>
      <w:tr w:rsidR="002A3970" w14:paraId="4B9A2F2A" w14:textId="77777777">
        <w:trPr>
          <w:jc w:val="center"/>
        </w:trPr>
        <w:tc>
          <w:tcPr>
            <w:tcW w:w="0" w:type="auto"/>
            <w:gridSpan w:val="3"/>
            <w:shd w:val="clear" w:color="auto" w:fill="FFFFFF"/>
            <w:tcMar>
              <w:top w:w="40" w:type="dxa"/>
              <w:left w:w="20" w:type="dxa"/>
              <w:bottom w:w="40" w:type="dxa"/>
              <w:right w:w="20" w:type="dxa"/>
            </w:tcMar>
            <w:vAlign w:val="center"/>
          </w:tcPr>
          <w:p w14:paraId="4B9A2F20" w14:textId="77777777" w:rsidR="002A3970" w:rsidRDefault="00C35E63">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vAlign w:val="bottom"/>
          </w:tcPr>
          <w:p w14:paraId="4B9A2F2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22" w14:textId="77777777" w:rsidR="002A3970" w:rsidRDefault="00C35E63">
            <w:pPr>
              <w:jc w:val="right"/>
              <w:textAlignment w:val="center"/>
            </w:pPr>
            <w:r>
              <w:rPr>
                <w:rFonts w:ascii="Times New Roman" w:eastAsia="宋体" w:hAnsi="Times New Roman"/>
                <w:color w:val="000000"/>
                <w:sz w:val="16"/>
                <w:szCs w:val="16"/>
              </w:rPr>
              <w:t>4,512 </w:t>
            </w:r>
          </w:p>
        </w:tc>
        <w:tc>
          <w:tcPr>
            <w:tcW w:w="0" w:type="auto"/>
            <w:shd w:val="clear" w:color="auto" w:fill="FFFFFF"/>
            <w:tcMar>
              <w:top w:w="40" w:type="dxa"/>
              <w:left w:w="0" w:type="dxa"/>
              <w:bottom w:w="40" w:type="dxa"/>
              <w:right w:w="20" w:type="dxa"/>
            </w:tcMar>
            <w:vAlign w:val="center"/>
          </w:tcPr>
          <w:p w14:paraId="4B9A2F2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2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25" w14:textId="77777777" w:rsidR="002A3970" w:rsidRDefault="00C35E63">
            <w:pPr>
              <w:jc w:val="right"/>
              <w:textAlignment w:val="center"/>
            </w:pPr>
            <w:r>
              <w:rPr>
                <w:rFonts w:ascii="Times New Roman" w:eastAsia="宋体" w:hAnsi="Times New Roman"/>
                <w:color w:val="000000"/>
                <w:sz w:val="16"/>
                <w:szCs w:val="16"/>
              </w:rPr>
              <w:t>4,243 </w:t>
            </w:r>
          </w:p>
        </w:tc>
        <w:tc>
          <w:tcPr>
            <w:tcW w:w="0" w:type="auto"/>
            <w:shd w:val="clear" w:color="auto" w:fill="FFFFFF"/>
            <w:tcMar>
              <w:top w:w="40" w:type="dxa"/>
              <w:left w:w="0" w:type="dxa"/>
              <w:bottom w:w="40" w:type="dxa"/>
              <w:right w:w="20" w:type="dxa"/>
            </w:tcMar>
            <w:vAlign w:val="center"/>
          </w:tcPr>
          <w:p w14:paraId="4B9A2F2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2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28" w14:textId="77777777" w:rsidR="002A3970" w:rsidRDefault="00C35E63">
            <w:pPr>
              <w:jc w:val="right"/>
              <w:textAlignment w:val="center"/>
            </w:pPr>
            <w:r>
              <w:rPr>
                <w:rFonts w:ascii="Times New Roman" w:eastAsia="宋体" w:hAnsi="Times New Roman"/>
                <w:color w:val="000000"/>
                <w:sz w:val="16"/>
                <w:szCs w:val="16"/>
              </w:rPr>
              <w:t>4,061 </w:t>
            </w:r>
          </w:p>
        </w:tc>
        <w:tc>
          <w:tcPr>
            <w:tcW w:w="0" w:type="auto"/>
            <w:shd w:val="clear" w:color="auto" w:fill="FFFFFF"/>
            <w:tcMar>
              <w:top w:w="40" w:type="dxa"/>
              <w:left w:w="0" w:type="dxa"/>
              <w:bottom w:w="40" w:type="dxa"/>
              <w:right w:w="20" w:type="dxa"/>
            </w:tcMar>
            <w:vAlign w:val="center"/>
          </w:tcPr>
          <w:p w14:paraId="4B9A2F29" w14:textId="77777777" w:rsidR="002A3970" w:rsidRDefault="002A3970">
            <w:pPr>
              <w:jc w:val="right"/>
              <w:rPr>
                <w:rFonts w:ascii="宋体"/>
              </w:rPr>
            </w:pPr>
          </w:p>
        </w:tc>
      </w:tr>
      <w:tr w:rsidR="002A3970" w14:paraId="4B9A2F32" w14:textId="77777777">
        <w:trPr>
          <w:jc w:val="center"/>
          <w:hidden/>
        </w:trPr>
        <w:tc>
          <w:tcPr>
            <w:tcW w:w="0" w:type="auto"/>
            <w:gridSpan w:val="3"/>
            <w:shd w:val="clear" w:color="auto" w:fill="auto"/>
            <w:vAlign w:val="bottom"/>
          </w:tcPr>
          <w:p w14:paraId="4B9A2F2B" w14:textId="77777777" w:rsidR="002A3970" w:rsidRDefault="002A3970">
            <w:pPr>
              <w:rPr>
                <w:rFonts w:ascii="宋体"/>
                <w:vanish/>
              </w:rPr>
            </w:pPr>
          </w:p>
        </w:tc>
        <w:tc>
          <w:tcPr>
            <w:tcW w:w="0" w:type="auto"/>
            <w:gridSpan w:val="3"/>
            <w:shd w:val="clear" w:color="auto" w:fill="auto"/>
            <w:vAlign w:val="bottom"/>
          </w:tcPr>
          <w:p w14:paraId="4B9A2F2C" w14:textId="77777777" w:rsidR="002A3970" w:rsidRDefault="002A3970">
            <w:pPr>
              <w:rPr>
                <w:rFonts w:ascii="宋体"/>
                <w:vanish/>
              </w:rPr>
            </w:pPr>
          </w:p>
        </w:tc>
        <w:tc>
          <w:tcPr>
            <w:tcW w:w="0" w:type="auto"/>
            <w:gridSpan w:val="3"/>
            <w:shd w:val="clear" w:color="auto" w:fill="auto"/>
            <w:vAlign w:val="bottom"/>
          </w:tcPr>
          <w:p w14:paraId="4B9A2F2D" w14:textId="77777777" w:rsidR="002A3970" w:rsidRDefault="002A3970">
            <w:pPr>
              <w:rPr>
                <w:rFonts w:ascii="宋体"/>
                <w:vanish/>
              </w:rPr>
            </w:pPr>
          </w:p>
        </w:tc>
        <w:tc>
          <w:tcPr>
            <w:tcW w:w="0" w:type="auto"/>
            <w:gridSpan w:val="3"/>
            <w:shd w:val="clear" w:color="auto" w:fill="auto"/>
            <w:vAlign w:val="bottom"/>
          </w:tcPr>
          <w:p w14:paraId="4B9A2F2E" w14:textId="77777777" w:rsidR="002A3970" w:rsidRDefault="002A3970">
            <w:pPr>
              <w:rPr>
                <w:rFonts w:ascii="宋体"/>
                <w:vanish/>
              </w:rPr>
            </w:pPr>
          </w:p>
        </w:tc>
        <w:tc>
          <w:tcPr>
            <w:tcW w:w="0" w:type="auto"/>
            <w:gridSpan w:val="3"/>
            <w:shd w:val="clear" w:color="auto" w:fill="auto"/>
            <w:vAlign w:val="bottom"/>
          </w:tcPr>
          <w:p w14:paraId="4B9A2F2F" w14:textId="77777777" w:rsidR="002A3970" w:rsidRDefault="002A3970">
            <w:pPr>
              <w:rPr>
                <w:rFonts w:ascii="宋体"/>
                <w:vanish/>
              </w:rPr>
            </w:pPr>
          </w:p>
        </w:tc>
        <w:tc>
          <w:tcPr>
            <w:tcW w:w="0" w:type="auto"/>
            <w:gridSpan w:val="3"/>
            <w:shd w:val="clear" w:color="auto" w:fill="auto"/>
            <w:vAlign w:val="bottom"/>
          </w:tcPr>
          <w:p w14:paraId="4B9A2F30" w14:textId="77777777" w:rsidR="002A3970" w:rsidRDefault="002A3970">
            <w:pPr>
              <w:rPr>
                <w:rFonts w:ascii="宋体"/>
                <w:vanish/>
              </w:rPr>
            </w:pPr>
          </w:p>
        </w:tc>
        <w:tc>
          <w:tcPr>
            <w:tcW w:w="0" w:type="auto"/>
            <w:gridSpan w:val="3"/>
            <w:shd w:val="clear" w:color="auto" w:fill="auto"/>
            <w:vAlign w:val="bottom"/>
          </w:tcPr>
          <w:p w14:paraId="4B9A2F31" w14:textId="77777777" w:rsidR="002A3970" w:rsidRDefault="002A3970">
            <w:pPr>
              <w:rPr>
                <w:rFonts w:ascii="宋体"/>
                <w:vanish/>
              </w:rPr>
            </w:pPr>
          </w:p>
        </w:tc>
      </w:tr>
      <w:tr w:rsidR="002A3970" w14:paraId="4B9A2F3D" w14:textId="77777777">
        <w:trPr>
          <w:jc w:val="center"/>
        </w:trPr>
        <w:tc>
          <w:tcPr>
            <w:tcW w:w="0" w:type="auto"/>
            <w:gridSpan w:val="3"/>
            <w:shd w:val="clear" w:color="auto" w:fill="CCEEFF"/>
            <w:tcMar>
              <w:top w:w="40" w:type="dxa"/>
              <w:left w:w="20" w:type="dxa"/>
              <w:bottom w:w="40" w:type="dxa"/>
              <w:right w:w="20" w:type="dxa"/>
            </w:tcMar>
            <w:vAlign w:val="center"/>
          </w:tcPr>
          <w:p w14:paraId="4B9A2F33" w14:textId="77777777" w:rsidR="002A3970" w:rsidRDefault="00C35E63">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vAlign w:val="bottom"/>
          </w:tcPr>
          <w:p w14:paraId="4B9A2F3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35" w14:textId="77777777" w:rsidR="002A3970" w:rsidRDefault="00C35E63">
            <w:pPr>
              <w:jc w:val="right"/>
              <w:textAlignment w:val="center"/>
            </w:pPr>
            <w:r>
              <w:rPr>
                <w:rFonts w:ascii="Times New Roman" w:eastAsia="宋体" w:hAnsi="Times New Roman"/>
                <w:color w:val="000000"/>
                <w:sz w:val="16"/>
                <w:szCs w:val="16"/>
              </w:rPr>
              <w:t>14,760 </w:t>
            </w:r>
          </w:p>
        </w:tc>
        <w:tc>
          <w:tcPr>
            <w:tcW w:w="0" w:type="auto"/>
            <w:shd w:val="clear" w:color="auto" w:fill="CCEEFF"/>
            <w:tcMar>
              <w:top w:w="40" w:type="dxa"/>
              <w:left w:w="0" w:type="dxa"/>
              <w:bottom w:w="40" w:type="dxa"/>
              <w:right w:w="20" w:type="dxa"/>
            </w:tcMar>
            <w:vAlign w:val="center"/>
          </w:tcPr>
          <w:p w14:paraId="4B9A2F3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3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38" w14:textId="77777777" w:rsidR="002A3970" w:rsidRDefault="00C35E63">
            <w:pPr>
              <w:jc w:val="right"/>
              <w:textAlignment w:val="center"/>
            </w:pPr>
            <w:r>
              <w:rPr>
                <w:rFonts w:ascii="Times New Roman" w:eastAsia="宋体" w:hAnsi="Times New Roman"/>
                <w:color w:val="000000"/>
                <w:sz w:val="16"/>
                <w:szCs w:val="16"/>
              </w:rPr>
              <w:t>13,474 </w:t>
            </w:r>
          </w:p>
        </w:tc>
        <w:tc>
          <w:tcPr>
            <w:tcW w:w="0" w:type="auto"/>
            <w:shd w:val="clear" w:color="auto" w:fill="CCEEFF"/>
            <w:tcMar>
              <w:top w:w="40" w:type="dxa"/>
              <w:left w:w="0" w:type="dxa"/>
              <w:bottom w:w="40" w:type="dxa"/>
              <w:right w:w="20" w:type="dxa"/>
            </w:tcMar>
            <w:vAlign w:val="center"/>
          </w:tcPr>
          <w:p w14:paraId="4B9A2F3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3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3B" w14:textId="77777777" w:rsidR="002A3970" w:rsidRDefault="00C35E63">
            <w:pPr>
              <w:jc w:val="right"/>
              <w:textAlignment w:val="center"/>
            </w:pPr>
            <w:r>
              <w:rPr>
                <w:rFonts w:ascii="Times New Roman" w:eastAsia="宋体" w:hAnsi="Times New Roman"/>
                <w:color w:val="000000"/>
                <w:sz w:val="16"/>
                <w:szCs w:val="16"/>
              </w:rPr>
              <w:t>12,893 </w:t>
            </w:r>
          </w:p>
        </w:tc>
        <w:tc>
          <w:tcPr>
            <w:tcW w:w="0" w:type="auto"/>
            <w:shd w:val="clear" w:color="auto" w:fill="CCEEFF"/>
            <w:tcMar>
              <w:top w:w="40" w:type="dxa"/>
              <w:left w:w="0" w:type="dxa"/>
              <w:bottom w:w="40" w:type="dxa"/>
              <w:right w:w="20" w:type="dxa"/>
            </w:tcMar>
            <w:vAlign w:val="center"/>
          </w:tcPr>
          <w:p w14:paraId="4B9A2F3C" w14:textId="77777777" w:rsidR="002A3970" w:rsidRDefault="002A3970">
            <w:pPr>
              <w:jc w:val="right"/>
              <w:rPr>
                <w:rFonts w:ascii="宋体"/>
              </w:rPr>
            </w:pPr>
          </w:p>
        </w:tc>
      </w:tr>
      <w:tr w:rsidR="002A3970" w14:paraId="4B9A2F45" w14:textId="77777777">
        <w:trPr>
          <w:trHeight w:val="240"/>
          <w:jc w:val="center"/>
        </w:trPr>
        <w:tc>
          <w:tcPr>
            <w:tcW w:w="0" w:type="auto"/>
            <w:gridSpan w:val="3"/>
            <w:shd w:val="clear" w:color="auto" w:fill="FFFFFF"/>
            <w:tcMar>
              <w:top w:w="0" w:type="dxa"/>
              <w:left w:w="20" w:type="dxa"/>
              <w:bottom w:w="0" w:type="dxa"/>
              <w:right w:w="20" w:type="dxa"/>
            </w:tcMar>
            <w:vAlign w:val="bottom"/>
          </w:tcPr>
          <w:p w14:paraId="4B9A2F3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3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4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41"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4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4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44" w14:textId="77777777" w:rsidR="002A3970" w:rsidRDefault="002A3970">
            <w:pPr>
              <w:rPr>
                <w:rFonts w:ascii="宋体"/>
              </w:rPr>
            </w:pPr>
          </w:p>
        </w:tc>
      </w:tr>
      <w:tr w:rsidR="002A3970" w14:paraId="4B9A2F4D" w14:textId="77777777">
        <w:trPr>
          <w:jc w:val="center"/>
        </w:trPr>
        <w:tc>
          <w:tcPr>
            <w:tcW w:w="0" w:type="auto"/>
            <w:gridSpan w:val="3"/>
            <w:shd w:val="clear" w:color="auto" w:fill="CCEEFF"/>
            <w:tcMar>
              <w:top w:w="40" w:type="dxa"/>
              <w:left w:w="20" w:type="dxa"/>
              <w:bottom w:w="40" w:type="dxa"/>
              <w:right w:w="20" w:type="dxa"/>
            </w:tcMar>
            <w:vAlign w:val="center"/>
          </w:tcPr>
          <w:p w14:paraId="4B9A2F46" w14:textId="77777777" w:rsidR="002A3970" w:rsidRDefault="00C35E63">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vAlign w:val="bottom"/>
          </w:tcPr>
          <w:p w14:paraId="4B9A2F4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4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49"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4A"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4B"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4C" w14:textId="77777777" w:rsidR="002A3970" w:rsidRDefault="002A3970">
            <w:pPr>
              <w:rPr>
                <w:rFonts w:ascii="宋体"/>
              </w:rPr>
            </w:pPr>
          </w:p>
        </w:tc>
      </w:tr>
      <w:tr w:rsidR="002A3970" w14:paraId="4B9A2F55" w14:textId="77777777">
        <w:trPr>
          <w:trHeight w:val="240"/>
          <w:jc w:val="center"/>
        </w:trPr>
        <w:tc>
          <w:tcPr>
            <w:tcW w:w="0" w:type="auto"/>
            <w:gridSpan w:val="3"/>
            <w:shd w:val="clear" w:color="auto" w:fill="FFFFFF"/>
            <w:tcMar>
              <w:top w:w="0" w:type="dxa"/>
              <w:left w:w="20" w:type="dxa"/>
              <w:bottom w:w="0" w:type="dxa"/>
              <w:right w:w="20" w:type="dxa"/>
            </w:tcMar>
            <w:vAlign w:val="bottom"/>
          </w:tcPr>
          <w:p w14:paraId="4B9A2F4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4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5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51"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5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5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54" w14:textId="77777777" w:rsidR="002A3970" w:rsidRDefault="002A3970">
            <w:pPr>
              <w:rPr>
                <w:rFonts w:ascii="宋体"/>
              </w:rPr>
            </w:pPr>
          </w:p>
        </w:tc>
      </w:tr>
      <w:tr w:rsidR="002A3970" w14:paraId="4B9A2F60" w14:textId="77777777">
        <w:trPr>
          <w:jc w:val="center"/>
        </w:trPr>
        <w:tc>
          <w:tcPr>
            <w:tcW w:w="0" w:type="auto"/>
            <w:gridSpan w:val="3"/>
            <w:shd w:val="clear" w:color="auto" w:fill="CCEEFF"/>
            <w:tcMar>
              <w:top w:w="40" w:type="dxa"/>
              <w:left w:w="20" w:type="dxa"/>
              <w:bottom w:w="40" w:type="dxa"/>
              <w:right w:w="20" w:type="dxa"/>
            </w:tcMar>
            <w:vAlign w:val="center"/>
          </w:tcPr>
          <w:p w14:paraId="4B9A2F56" w14:textId="77777777" w:rsidR="002A3970" w:rsidRDefault="00C35E63">
            <w:pPr>
              <w:textAlignment w:val="center"/>
            </w:pPr>
            <w:r>
              <w:rPr>
                <w:rFonts w:ascii="Times New Roman" w:eastAsia="宋体" w:hAnsi="Times New Roman"/>
                <w:color w:val="000000"/>
                <w:sz w:val="16"/>
                <w:szCs w:val="16"/>
              </w:rPr>
              <w:t>Redeemable noncontrolling interest</w:t>
            </w:r>
          </w:p>
        </w:tc>
        <w:tc>
          <w:tcPr>
            <w:tcW w:w="0" w:type="auto"/>
            <w:gridSpan w:val="3"/>
            <w:shd w:val="clear" w:color="auto" w:fill="CCEEFF"/>
            <w:tcMar>
              <w:top w:w="0" w:type="dxa"/>
              <w:left w:w="20" w:type="dxa"/>
              <w:bottom w:w="0" w:type="dxa"/>
              <w:right w:w="20" w:type="dxa"/>
            </w:tcMar>
            <w:vAlign w:val="bottom"/>
          </w:tcPr>
          <w:p w14:paraId="4B9A2F5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58" w14:textId="77777777" w:rsidR="002A3970" w:rsidRDefault="00C35E63">
            <w:pPr>
              <w:jc w:val="right"/>
              <w:textAlignment w:val="center"/>
            </w:pPr>
            <w:r>
              <w:rPr>
                <w:rFonts w:ascii="Times New Roman" w:eastAsia="宋体" w:hAnsi="Times New Roman"/>
                <w:color w:val="000000"/>
                <w:sz w:val="16"/>
                <w:szCs w:val="16"/>
              </w:rPr>
              <w:t>260 </w:t>
            </w:r>
          </w:p>
        </w:tc>
        <w:tc>
          <w:tcPr>
            <w:tcW w:w="0" w:type="auto"/>
            <w:shd w:val="clear" w:color="auto" w:fill="CCEEFF"/>
            <w:tcMar>
              <w:top w:w="40" w:type="dxa"/>
              <w:left w:w="0" w:type="dxa"/>
              <w:bottom w:w="40" w:type="dxa"/>
              <w:right w:w="20" w:type="dxa"/>
            </w:tcMar>
            <w:vAlign w:val="center"/>
          </w:tcPr>
          <w:p w14:paraId="4B9A2F5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5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5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F5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5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5E"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2F5F" w14:textId="77777777" w:rsidR="002A3970" w:rsidRDefault="002A3970">
            <w:pPr>
              <w:jc w:val="right"/>
              <w:rPr>
                <w:rFonts w:ascii="宋体"/>
              </w:rPr>
            </w:pPr>
          </w:p>
        </w:tc>
      </w:tr>
      <w:tr w:rsidR="002A3970" w14:paraId="4B9A2F68" w14:textId="77777777">
        <w:trPr>
          <w:trHeight w:val="240"/>
          <w:jc w:val="center"/>
        </w:trPr>
        <w:tc>
          <w:tcPr>
            <w:tcW w:w="0" w:type="auto"/>
            <w:gridSpan w:val="3"/>
            <w:shd w:val="clear" w:color="auto" w:fill="FFFFFF"/>
            <w:tcMar>
              <w:top w:w="0" w:type="dxa"/>
              <w:left w:w="20" w:type="dxa"/>
              <w:bottom w:w="0" w:type="dxa"/>
              <w:right w:w="20" w:type="dxa"/>
            </w:tcMar>
            <w:vAlign w:val="bottom"/>
          </w:tcPr>
          <w:p w14:paraId="4B9A2F61"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6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6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6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65"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66"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2F67" w14:textId="77777777" w:rsidR="002A3970" w:rsidRDefault="002A3970">
            <w:pPr>
              <w:rPr>
                <w:rFonts w:ascii="宋体"/>
              </w:rPr>
            </w:pPr>
          </w:p>
        </w:tc>
      </w:tr>
      <w:tr w:rsidR="002A3970" w14:paraId="4B9A2F70" w14:textId="77777777">
        <w:trPr>
          <w:jc w:val="center"/>
        </w:trPr>
        <w:tc>
          <w:tcPr>
            <w:tcW w:w="0" w:type="auto"/>
            <w:gridSpan w:val="3"/>
            <w:shd w:val="clear" w:color="auto" w:fill="CCEEFF"/>
            <w:tcMar>
              <w:top w:w="40" w:type="dxa"/>
              <w:left w:w="20" w:type="dxa"/>
              <w:bottom w:w="40" w:type="dxa"/>
              <w:right w:w="20" w:type="dxa"/>
            </w:tcMar>
            <w:vAlign w:val="center"/>
          </w:tcPr>
          <w:p w14:paraId="4B9A2F69" w14:textId="77777777" w:rsidR="002A3970" w:rsidRDefault="00C35E63">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bottom"/>
          </w:tcPr>
          <w:p w14:paraId="4B9A2F6A"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6B"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6C"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6D"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6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2F6F" w14:textId="77777777" w:rsidR="002A3970" w:rsidRDefault="002A3970">
            <w:pPr>
              <w:rPr>
                <w:rFonts w:ascii="宋体"/>
              </w:rPr>
            </w:pPr>
          </w:p>
        </w:tc>
      </w:tr>
      <w:tr w:rsidR="002A3970" w14:paraId="4B9A2F7B" w14:textId="77777777">
        <w:trPr>
          <w:jc w:val="center"/>
        </w:trPr>
        <w:tc>
          <w:tcPr>
            <w:tcW w:w="0" w:type="auto"/>
            <w:gridSpan w:val="3"/>
            <w:shd w:val="clear" w:color="auto" w:fill="FFFFFF"/>
            <w:tcMar>
              <w:top w:w="40" w:type="dxa"/>
              <w:left w:w="380" w:type="dxa"/>
              <w:bottom w:w="40" w:type="dxa"/>
              <w:right w:w="20" w:type="dxa"/>
            </w:tcMar>
            <w:vAlign w:val="center"/>
          </w:tcPr>
          <w:p w14:paraId="4B9A2F71" w14:textId="77777777" w:rsidR="002A3970" w:rsidRDefault="00C35E63">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vAlign w:val="bottom"/>
          </w:tcPr>
          <w:p w14:paraId="4B9A2F7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73" w14:textId="77777777" w:rsidR="002A3970" w:rsidRDefault="00C35E63">
            <w:pPr>
              <w:jc w:val="right"/>
              <w:textAlignment w:val="center"/>
            </w:pPr>
            <w:r>
              <w:rPr>
                <w:rFonts w:ascii="Times New Roman" w:eastAsia="宋体" w:hAnsi="Times New Roman"/>
                <w:color w:val="000000"/>
                <w:sz w:val="16"/>
                <w:szCs w:val="16"/>
              </w:rPr>
              <w:t>270 </w:t>
            </w:r>
          </w:p>
        </w:tc>
        <w:tc>
          <w:tcPr>
            <w:tcW w:w="0" w:type="auto"/>
            <w:shd w:val="clear" w:color="auto" w:fill="FFFFFF"/>
            <w:tcMar>
              <w:top w:w="40" w:type="dxa"/>
              <w:left w:w="0" w:type="dxa"/>
              <w:bottom w:w="40" w:type="dxa"/>
              <w:right w:w="20" w:type="dxa"/>
            </w:tcMar>
            <w:vAlign w:val="center"/>
          </w:tcPr>
          <w:p w14:paraId="4B9A2F7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7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76" w14:textId="77777777" w:rsidR="002A3970" w:rsidRDefault="00C35E63">
            <w:pPr>
              <w:jc w:val="right"/>
              <w:textAlignment w:val="center"/>
            </w:pPr>
            <w:r>
              <w:rPr>
                <w:rFonts w:ascii="Times New Roman" w:eastAsia="宋体" w:hAnsi="Times New Roman"/>
                <w:color w:val="000000"/>
                <w:sz w:val="16"/>
                <w:szCs w:val="16"/>
              </w:rPr>
              <w:t>276 </w:t>
            </w:r>
          </w:p>
        </w:tc>
        <w:tc>
          <w:tcPr>
            <w:tcW w:w="0" w:type="auto"/>
            <w:shd w:val="clear" w:color="auto" w:fill="FFFFFF"/>
            <w:tcMar>
              <w:top w:w="40" w:type="dxa"/>
              <w:left w:w="0" w:type="dxa"/>
              <w:bottom w:w="40" w:type="dxa"/>
              <w:right w:w="20" w:type="dxa"/>
            </w:tcMar>
            <w:vAlign w:val="center"/>
          </w:tcPr>
          <w:p w14:paraId="4B9A2F7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7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79" w14:textId="77777777" w:rsidR="002A3970" w:rsidRDefault="00C35E63">
            <w:pPr>
              <w:jc w:val="right"/>
              <w:textAlignment w:val="center"/>
            </w:pPr>
            <w:r>
              <w:rPr>
                <w:rFonts w:ascii="Times New Roman" w:eastAsia="宋体" w:hAnsi="Times New Roman"/>
                <w:color w:val="000000"/>
                <w:sz w:val="16"/>
                <w:szCs w:val="16"/>
              </w:rPr>
              <w:t>277 </w:t>
            </w:r>
          </w:p>
        </w:tc>
        <w:tc>
          <w:tcPr>
            <w:tcW w:w="0" w:type="auto"/>
            <w:shd w:val="clear" w:color="auto" w:fill="FFFFFF"/>
            <w:tcMar>
              <w:top w:w="40" w:type="dxa"/>
              <w:left w:w="0" w:type="dxa"/>
              <w:bottom w:w="40" w:type="dxa"/>
              <w:right w:w="20" w:type="dxa"/>
            </w:tcMar>
            <w:vAlign w:val="center"/>
          </w:tcPr>
          <w:p w14:paraId="4B9A2F7A" w14:textId="77777777" w:rsidR="002A3970" w:rsidRDefault="002A3970">
            <w:pPr>
              <w:jc w:val="right"/>
              <w:rPr>
                <w:rFonts w:ascii="宋体"/>
              </w:rPr>
            </w:pPr>
          </w:p>
        </w:tc>
      </w:tr>
      <w:tr w:rsidR="002A3970" w14:paraId="4B9A2F86" w14:textId="77777777">
        <w:trPr>
          <w:jc w:val="center"/>
        </w:trPr>
        <w:tc>
          <w:tcPr>
            <w:tcW w:w="0" w:type="auto"/>
            <w:gridSpan w:val="3"/>
            <w:shd w:val="clear" w:color="auto" w:fill="CCEEFF"/>
            <w:tcMar>
              <w:top w:w="40" w:type="dxa"/>
              <w:left w:w="380" w:type="dxa"/>
              <w:bottom w:w="40" w:type="dxa"/>
              <w:right w:w="20" w:type="dxa"/>
            </w:tcMar>
            <w:vAlign w:val="center"/>
          </w:tcPr>
          <w:p w14:paraId="4B9A2F7C" w14:textId="77777777" w:rsidR="002A3970" w:rsidRDefault="00C35E63">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CCEEFF"/>
            <w:tcMar>
              <w:top w:w="0" w:type="dxa"/>
              <w:left w:w="20" w:type="dxa"/>
              <w:bottom w:w="0" w:type="dxa"/>
              <w:right w:w="20" w:type="dxa"/>
            </w:tcMar>
            <w:vAlign w:val="bottom"/>
          </w:tcPr>
          <w:p w14:paraId="4B9A2F7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7E" w14:textId="77777777" w:rsidR="002A3970" w:rsidRDefault="00C35E63">
            <w:pPr>
              <w:jc w:val="right"/>
              <w:textAlignment w:val="center"/>
            </w:pPr>
            <w:r>
              <w:rPr>
                <w:rFonts w:ascii="Times New Roman" w:eastAsia="宋体" w:hAnsi="Times New Roman"/>
                <w:color w:val="000000"/>
                <w:sz w:val="16"/>
                <w:szCs w:val="16"/>
              </w:rPr>
              <w:t>4,817 </w:t>
            </w:r>
          </w:p>
        </w:tc>
        <w:tc>
          <w:tcPr>
            <w:tcW w:w="0" w:type="auto"/>
            <w:shd w:val="clear" w:color="auto" w:fill="CCEEFF"/>
            <w:tcMar>
              <w:top w:w="40" w:type="dxa"/>
              <w:left w:w="0" w:type="dxa"/>
              <w:bottom w:w="40" w:type="dxa"/>
              <w:right w:w="20" w:type="dxa"/>
            </w:tcMar>
            <w:vAlign w:val="center"/>
          </w:tcPr>
          <w:p w14:paraId="4B9A2F7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8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81" w14:textId="77777777" w:rsidR="002A3970" w:rsidRDefault="00C35E63">
            <w:pPr>
              <w:jc w:val="right"/>
              <w:textAlignment w:val="center"/>
            </w:pPr>
            <w:r>
              <w:rPr>
                <w:rFonts w:ascii="Times New Roman" w:eastAsia="宋体" w:hAnsi="Times New Roman"/>
                <w:color w:val="000000"/>
                <w:sz w:val="16"/>
                <w:szCs w:val="16"/>
              </w:rPr>
              <w:t>4,839 </w:t>
            </w:r>
          </w:p>
        </w:tc>
        <w:tc>
          <w:tcPr>
            <w:tcW w:w="0" w:type="auto"/>
            <w:shd w:val="clear" w:color="auto" w:fill="CCEEFF"/>
            <w:tcMar>
              <w:top w:w="40" w:type="dxa"/>
              <w:left w:w="0" w:type="dxa"/>
              <w:bottom w:w="40" w:type="dxa"/>
              <w:right w:w="20" w:type="dxa"/>
            </w:tcMar>
            <w:vAlign w:val="center"/>
          </w:tcPr>
          <w:p w14:paraId="4B9A2F8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8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84" w14:textId="77777777" w:rsidR="002A3970" w:rsidRDefault="00C35E63">
            <w:pPr>
              <w:jc w:val="right"/>
              <w:textAlignment w:val="center"/>
            </w:pPr>
            <w:r>
              <w:rPr>
                <w:rFonts w:ascii="Times New Roman" w:eastAsia="宋体" w:hAnsi="Times New Roman"/>
                <w:color w:val="000000"/>
                <w:sz w:val="16"/>
                <w:szCs w:val="16"/>
              </w:rPr>
              <w:t>4,811 </w:t>
            </w:r>
          </w:p>
        </w:tc>
        <w:tc>
          <w:tcPr>
            <w:tcW w:w="0" w:type="auto"/>
            <w:shd w:val="clear" w:color="auto" w:fill="CCEEFF"/>
            <w:tcMar>
              <w:top w:w="40" w:type="dxa"/>
              <w:left w:w="0" w:type="dxa"/>
              <w:bottom w:w="40" w:type="dxa"/>
              <w:right w:w="20" w:type="dxa"/>
            </w:tcMar>
            <w:vAlign w:val="center"/>
          </w:tcPr>
          <w:p w14:paraId="4B9A2F85" w14:textId="77777777" w:rsidR="002A3970" w:rsidRDefault="002A3970">
            <w:pPr>
              <w:jc w:val="right"/>
              <w:rPr>
                <w:rFonts w:ascii="宋体"/>
              </w:rPr>
            </w:pPr>
          </w:p>
        </w:tc>
      </w:tr>
      <w:tr w:rsidR="002A3970" w14:paraId="4B9A2F91" w14:textId="77777777">
        <w:trPr>
          <w:jc w:val="center"/>
        </w:trPr>
        <w:tc>
          <w:tcPr>
            <w:tcW w:w="0" w:type="auto"/>
            <w:gridSpan w:val="3"/>
            <w:shd w:val="clear" w:color="auto" w:fill="FFFFFF"/>
            <w:tcMar>
              <w:top w:w="40" w:type="dxa"/>
              <w:left w:w="380" w:type="dxa"/>
              <w:bottom w:w="40" w:type="dxa"/>
              <w:right w:w="20" w:type="dxa"/>
            </w:tcMar>
            <w:vAlign w:val="center"/>
          </w:tcPr>
          <w:p w14:paraId="4B9A2F87" w14:textId="77777777" w:rsidR="002A3970" w:rsidRDefault="00C35E63">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bottom"/>
          </w:tcPr>
          <w:p w14:paraId="4B9A2F8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89" w14:textId="77777777" w:rsidR="002A3970" w:rsidRDefault="00C35E63">
            <w:pPr>
              <w:jc w:val="right"/>
              <w:textAlignment w:val="center"/>
            </w:pPr>
            <w:r>
              <w:rPr>
                <w:rFonts w:ascii="Times New Roman" w:eastAsia="宋体" w:hAnsi="Times New Roman"/>
                <w:color w:val="000000"/>
                <w:sz w:val="16"/>
                <w:szCs w:val="16"/>
              </w:rPr>
              <w:t>77,946 </w:t>
            </w:r>
          </w:p>
        </w:tc>
        <w:tc>
          <w:tcPr>
            <w:tcW w:w="0" w:type="auto"/>
            <w:shd w:val="clear" w:color="auto" w:fill="FFFFFF"/>
            <w:tcMar>
              <w:top w:w="40" w:type="dxa"/>
              <w:left w:w="0" w:type="dxa"/>
              <w:bottom w:w="40" w:type="dxa"/>
              <w:right w:w="20" w:type="dxa"/>
            </w:tcMar>
            <w:vAlign w:val="center"/>
          </w:tcPr>
          <w:p w14:paraId="4B9A2F8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8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8C" w14:textId="77777777" w:rsidR="002A3970" w:rsidRDefault="00C35E63">
            <w:pPr>
              <w:jc w:val="right"/>
              <w:textAlignment w:val="center"/>
            </w:pPr>
            <w:r>
              <w:rPr>
                <w:rFonts w:ascii="Times New Roman" w:eastAsia="宋体" w:hAnsi="Times New Roman"/>
                <w:color w:val="000000"/>
                <w:sz w:val="16"/>
                <w:szCs w:val="16"/>
              </w:rPr>
              <w:t>86,904 </w:t>
            </w:r>
          </w:p>
        </w:tc>
        <w:tc>
          <w:tcPr>
            <w:tcW w:w="0" w:type="auto"/>
            <w:shd w:val="clear" w:color="auto" w:fill="FFFFFF"/>
            <w:tcMar>
              <w:top w:w="40" w:type="dxa"/>
              <w:left w:w="0" w:type="dxa"/>
              <w:bottom w:w="40" w:type="dxa"/>
              <w:right w:w="20" w:type="dxa"/>
            </w:tcMar>
            <w:vAlign w:val="center"/>
          </w:tcPr>
          <w:p w14:paraId="4B9A2F8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8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2F8F" w14:textId="77777777" w:rsidR="002A3970" w:rsidRDefault="00C35E63">
            <w:pPr>
              <w:jc w:val="right"/>
              <w:textAlignment w:val="center"/>
            </w:pPr>
            <w:r>
              <w:rPr>
                <w:rFonts w:ascii="Times New Roman" w:eastAsia="宋体" w:hAnsi="Times New Roman"/>
                <w:color w:val="000000"/>
                <w:sz w:val="16"/>
                <w:szCs w:val="16"/>
              </w:rPr>
              <w:t>85,674 </w:t>
            </w:r>
          </w:p>
        </w:tc>
        <w:tc>
          <w:tcPr>
            <w:tcW w:w="0" w:type="auto"/>
            <w:shd w:val="clear" w:color="auto" w:fill="FFFFFF"/>
            <w:tcMar>
              <w:top w:w="40" w:type="dxa"/>
              <w:left w:w="0" w:type="dxa"/>
              <w:bottom w:w="40" w:type="dxa"/>
              <w:right w:w="20" w:type="dxa"/>
            </w:tcMar>
            <w:vAlign w:val="center"/>
          </w:tcPr>
          <w:p w14:paraId="4B9A2F90" w14:textId="77777777" w:rsidR="002A3970" w:rsidRDefault="002A3970">
            <w:pPr>
              <w:jc w:val="right"/>
              <w:rPr>
                <w:rFonts w:ascii="宋体"/>
              </w:rPr>
            </w:pPr>
          </w:p>
        </w:tc>
      </w:tr>
      <w:tr w:rsidR="002A3970" w14:paraId="4B9A2F9C" w14:textId="77777777">
        <w:trPr>
          <w:jc w:val="center"/>
        </w:trPr>
        <w:tc>
          <w:tcPr>
            <w:tcW w:w="0" w:type="auto"/>
            <w:gridSpan w:val="3"/>
            <w:shd w:val="clear" w:color="auto" w:fill="CCEEFF"/>
            <w:tcMar>
              <w:top w:w="40" w:type="dxa"/>
              <w:left w:w="380" w:type="dxa"/>
              <w:bottom w:w="40" w:type="dxa"/>
              <w:right w:w="20" w:type="dxa"/>
            </w:tcMar>
            <w:vAlign w:val="center"/>
          </w:tcPr>
          <w:p w14:paraId="4B9A2F92" w14:textId="77777777" w:rsidR="002A3970" w:rsidRDefault="00C35E63">
            <w:pPr>
              <w:textAlignment w:val="center"/>
            </w:pPr>
            <w:r>
              <w:rPr>
                <w:rFonts w:ascii="Times New Roman" w:eastAsia="宋体" w:hAnsi="Times New Roman"/>
                <w:color w:val="000000"/>
                <w:sz w:val="16"/>
                <w:szCs w:val="16"/>
              </w:rPr>
              <w:t>Accumulated other comprehensive loss</w:t>
            </w:r>
          </w:p>
        </w:tc>
        <w:tc>
          <w:tcPr>
            <w:tcW w:w="0" w:type="auto"/>
            <w:gridSpan w:val="3"/>
            <w:shd w:val="clear" w:color="auto" w:fill="CCEEFF"/>
            <w:tcMar>
              <w:top w:w="0" w:type="dxa"/>
              <w:left w:w="20" w:type="dxa"/>
              <w:bottom w:w="0" w:type="dxa"/>
              <w:right w:w="20" w:type="dxa"/>
            </w:tcMar>
            <w:vAlign w:val="bottom"/>
          </w:tcPr>
          <w:p w14:paraId="4B9A2F9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94" w14:textId="77777777" w:rsidR="002A3970" w:rsidRDefault="00C35E63">
            <w:pPr>
              <w:jc w:val="right"/>
              <w:textAlignment w:val="center"/>
            </w:pPr>
            <w:r>
              <w:rPr>
                <w:rFonts w:ascii="Times New Roman" w:eastAsia="宋体" w:hAnsi="Times New Roman"/>
                <w:color w:val="000000"/>
                <w:sz w:val="16"/>
                <w:szCs w:val="16"/>
              </w:rPr>
              <w:t>(10,780)</w:t>
            </w:r>
          </w:p>
        </w:tc>
        <w:tc>
          <w:tcPr>
            <w:tcW w:w="0" w:type="auto"/>
            <w:shd w:val="clear" w:color="auto" w:fill="CCEEFF"/>
            <w:tcMar>
              <w:top w:w="40" w:type="dxa"/>
              <w:left w:w="0" w:type="dxa"/>
              <w:bottom w:w="40" w:type="dxa"/>
              <w:right w:w="20" w:type="dxa"/>
            </w:tcMar>
            <w:vAlign w:val="center"/>
          </w:tcPr>
          <w:p w14:paraId="4B9A2F9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9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97" w14:textId="77777777" w:rsidR="002A3970" w:rsidRDefault="00C35E63">
            <w:pPr>
              <w:jc w:val="right"/>
              <w:textAlignment w:val="center"/>
            </w:pPr>
            <w:r>
              <w:rPr>
                <w:rFonts w:ascii="Times New Roman" w:eastAsia="宋体" w:hAnsi="Times New Roman"/>
                <w:color w:val="000000"/>
                <w:sz w:val="16"/>
                <w:szCs w:val="16"/>
              </w:rPr>
              <w:t>(8,766)</w:t>
            </w:r>
          </w:p>
        </w:tc>
        <w:tc>
          <w:tcPr>
            <w:tcW w:w="0" w:type="auto"/>
            <w:shd w:val="clear" w:color="auto" w:fill="CCEEFF"/>
            <w:tcMar>
              <w:top w:w="40" w:type="dxa"/>
              <w:left w:w="0" w:type="dxa"/>
              <w:bottom w:w="40" w:type="dxa"/>
              <w:right w:w="20" w:type="dxa"/>
            </w:tcMar>
            <w:vAlign w:val="center"/>
          </w:tcPr>
          <w:p w14:paraId="4B9A2F9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9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9A" w14:textId="77777777" w:rsidR="002A3970" w:rsidRDefault="00C35E63">
            <w:pPr>
              <w:jc w:val="right"/>
              <w:textAlignment w:val="center"/>
            </w:pPr>
            <w:r>
              <w:rPr>
                <w:rFonts w:ascii="Times New Roman" w:eastAsia="宋体" w:hAnsi="Times New Roman"/>
                <w:color w:val="000000"/>
                <w:sz w:val="16"/>
                <w:szCs w:val="16"/>
              </w:rPr>
              <w:t>(8,488)</w:t>
            </w:r>
          </w:p>
        </w:tc>
        <w:tc>
          <w:tcPr>
            <w:tcW w:w="0" w:type="auto"/>
            <w:shd w:val="clear" w:color="auto" w:fill="CCEEFF"/>
            <w:tcMar>
              <w:top w:w="40" w:type="dxa"/>
              <w:left w:w="0" w:type="dxa"/>
              <w:bottom w:w="40" w:type="dxa"/>
              <w:right w:w="20" w:type="dxa"/>
            </w:tcMar>
            <w:vAlign w:val="center"/>
          </w:tcPr>
          <w:p w14:paraId="4B9A2F9B" w14:textId="77777777" w:rsidR="002A3970" w:rsidRDefault="002A3970">
            <w:pPr>
              <w:jc w:val="right"/>
              <w:rPr>
                <w:rFonts w:ascii="宋体"/>
              </w:rPr>
            </w:pPr>
          </w:p>
        </w:tc>
      </w:tr>
      <w:tr w:rsidR="002A3970" w14:paraId="4B9A2FA7" w14:textId="77777777">
        <w:trPr>
          <w:jc w:val="center"/>
        </w:trPr>
        <w:tc>
          <w:tcPr>
            <w:tcW w:w="0" w:type="auto"/>
            <w:gridSpan w:val="3"/>
            <w:shd w:val="clear" w:color="auto" w:fill="FFFFFF"/>
            <w:tcMar>
              <w:top w:w="40" w:type="dxa"/>
              <w:left w:w="740" w:type="dxa"/>
              <w:bottom w:w="40" w:type="dxa"/>
              <w:right w:w="20" w:type="dxa"/>
            </w:tcMar>
            <w:vAlign w:val="center"/>
          </w:tcPr>
          <w:p w14:paraId="4B9A2F9D" w14:textId="77777777" w:rsidR="002A3970" w:rsidRDefault="00C35E63">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vAlign w:val="bottom"/>
          </w:tcPr>
          <w:p w14:paraId="4B9A2F9E"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F9F" w14:textId="77777777" w:rsidR="002A3970" w:rsidRDefault="00C35E63">
            <w:pPr>
              <w:jc w:val="right"/>
              <w:textAlignment w:val="center"/>
            </w:pPr>
            <w:r>
              <w:rPr>
                <w:rFonts w:ascii="Times New Roman" w:eastAsia="宋体" w:hAnsi="Times New Roman"/>
                <w:color w:val="000000"/>
                <w:sz w:val="16"/>
                <w:szCs w:val="16"/>
              </w:rPr>
              <w:t>72,253 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A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A1"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FA2" w14:textId="77777777" w:rsidR="002A3970" w:rsidRDefault="00C35E63">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A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A4"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FA5" w14:textId="77777777" w:rsidR="002A3970" w:rsidRDefault="00C35E63">
            <w:pPr>
              <w:jc w:val="right"/>
              <w:textAlignment w:val="center"/>
            </w:pPr>
            <w:r>
              <w:rPr>
                <w:rFonts w:ascii="Times New Roman" w:eastAsia="宋体" w:hAnsi="Times New Roman"/>
                <w:color w:val="000000"/>
                <w:sz w:val="16"/>
                <w:szCs w:val="16"/>
              </w:rPr>
              <w:t>82,274 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A6" w14:textId="77777777" w:rsidR="002A3970" w:rsidRDefault="002A3970">
            <w:pPr>
              <w:jc w:val="right"/>
              <w:rPr>
                <w:rFonts w:ascii="宋体"/>
              </w:rPr>
            </w:pPr>
          </w:p>
        </w:tc>
      </w:tr>
      <w:tr w:rsidR="002A3970" w14:paraId="4B9A2FB2" w14:textId="77777777">
        <w:trPr>
          <w:jc w:val="center"/>
        </w:trPr>
        <w:tc>
          <w:tcPr>
            <w:tcW w:w="0" w:type="auto"/>
            <w:gridSpan w:val="3"/>
            <w:shd w:val="clear" w:color="auto" w:fill="CCEEFF"/>
            <w:tcMar>
              <w:top w:w="40" w:type="dxa"/>
              <w:left w:w="380" w:type="dxa"/>
              <w:bottom w:w="40" w:type="dxa"/>
              <w:right w:w="20" w:type="dxa"/>
            </w:tcMar>
            <w:vAlign w:val="center"/>
          </w:tcPr>
          <w:p w14:paraId="4B9A2FA8" w14:textId="77777777" w:rsidR="002A3970" w:rsidRDefault="00C35E63">
            <w:pPr>
              <w:textAlignment w:val="center"/>
            </w:pPr>
            <w:r>
              <w:rPr>
                <w:rFonts w:ascii="Times New Roman" w:eastAsia="宋体" w:hAnsi="Times New Roman"/>
                <w:color w:val="000000"/>
                <w:sz w:val="16"/>
                <w:szCs w:val="16"/>
              </w:rPr>
              <w:t>Nonredeemable noncontrolling interest</w:t>
            </w:r>
          </w:p>
        </w:tc>
        <w:tc>
          <w:tcPr>
            <w:tcW w:w="0" w:type="auto"/>
            <w:gridSpan w:val="3"/>
            <w:shd w:val="clear" w:color="auto" w:fill="CCEEFF"/>
            <w:tcMar>
              <w:top w:w="0" w:type="dxa"/>
              <w:left w:w="20" w:type="dxa"/>
              <w:bottom w:w="0" w:type="dxa"/>
              <w:right w:w="20" w:type="dxa"/>
            </w:tcMar>
            <w:vAlign w:val="bottom"/>
          </w:tcPr>
          <w:p w14:paraId="4B9A2FA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AA" w14:textId="77777777" w:rsidR="002A3970" w:rsidRDefault="00C35E63">
            <w:pPr>
              <w:jc w:val="right"/>
              <w:textAlignment w:val="center"/>
            </w:pPr>
            <w:r>
              <w:rPr>
                <w:rFonts w:ascii="Times New Roman" w:eastAsia="宋体" w:hAnsi="Times New Roman"/>
                <w:color w:val="000000"/>
                <w:sz w:val="16"/>
                <w:szCs w:val="16"/>
              </w:rPr>
              <w:t>7,870 </w:t>
            </w:r>
          </w:p>
        </w:tc>
        <w:tc>
          <w:tcPr>
            <w:tcW w:w="0" w:type="auto"/>
            <w:shd w:val="clear" w:color="auto" w:fill="CCEEFF"/>
            <w:tcMar>
              <w:top w:w="40" w:type="dxa"/>
              <w:left w:w="0" w:type="dxa"/>
              <w:bottom w:w="40" w:type="dxa"/>
              <w:right w:w="20" w:type="dxa"/>
            </w:tcMar>
            <w:vAlign w:val="center"/>
          </w:tcPr>
          <w:p w14:paraId="4B9A2FA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A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AD" w14:textId="77777777" w:rsidR="002A3970" w:rsidRDefault="00C35E63">
            <w:pPr>
              <w:jc w:val="right"/>
              <w:textAlignment w:val="center"/>
            </w:pPr>
            <w:r>
              <w:rPr>
                <w:rFonts w:ascii="Times New Roman" w:eastAsia="宋体" w:hAnsi="Times New Roman"/>
                <w:color w:val="000000"/>
                <w:sz w:val="16"/>
                <w:szCs w:val="16"/>
              </w:rPr>
              <w:t>8,638 </w:t>
            </w:r>
          </w:p>
        </w:tc>
        <w:tc>
          <w:tcPr>
            <w:tcW w:w="0" w:type="auto"/>
            <w:shd w:val="clear" w:color="auto" w:fill="CCEEFF"/>
            <w:tcMar>
              <w:top w:w="40" w:type="dxa"/>
              <w:left w:w="0" w:type="dxa"/>
              <w:bottom w:w="40" w:type="dxa"/>
              <w:right w:w="20" w:type="dxa"/>
            </w:tcMar>
            <w:vAlign w:val="center"/>
          </w:tcPr>
          <w:p w14:paraId="4B9A2FA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A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2FB0" w14:textId="77777777" w:rsidR="002A3970" w:rsidRDefault="00C35E63">
            <w:pPr>
              <w:jc w:val="right"/>
              <w:textAlignment w:val="center"/>
            </w:pPr>
            <w:r>
              <w:rPr>
                <w:rFonts w:ascii="Times New Roman" w:eastAsia="宋体" w:hAnsi="Times New Roman"/>
                <w:color w:val="000000"/>
                <w:sz w:val="16"/>
                <w:szCs w:val="16"/>
              </w:rPr>
              <w:t>8,483 </w:t>
            </w:r>
          </w:p>
        </w:tc>
        <w:tc>
          <w:tcPr>
            <w:tcW w:w="0" w:type="auto"/>
            <w:shd w:val="clear" w:color="auto" w:fill="CCEEFF"/>
            <w:tcMar>
              <w:top w:w="40" w:type="dxa"/>
              <w:left w:w="0" w:type="dxa"/>
              <w:bottom w:w="40" w:type="dxa"/>
              <w:right w:w="20" w:type="dxa"/>
            </w:tcMar>
            <w:vAlign w:val="center"/>
          </w:tcPr>
          <w:p w14:paraId="4B9A2FB1" w14:textId="77777777" w:rsidR="002A3970" w:rsidRDefault="002A3970">
            <w:pPr>
              <w:jc w:val="right"/>
              <w:rPr>
                <w:rFonts w:ascii="宋体"/>
              </w:rPr>
            </w:pPr>
          </w:p>
        </w:tc>
      </w:tr>
      <w:tr w:rsidR="002A3970" w14:paraId="4B9A2FBD" w14:textId="77777777">
        <w:trPr>
          <w:jc w:val="center"/>
        </w:trPr>
        <w:tc>
          <w:tcPr>
            <w:tcW w:w="0" w:type="auto"/>
            <w:gridSpan w:val="3"/>
            <w:shd w:val="clear" w:color="auto" w:fill="FFFFFF"/>
            <w:tcMar>
              <w:top w:w="40" w:type="dxa"/>
              <w:left w:w="740" w:type="dxa"/>
              <w:bottom w:w="40" w:type="dxa"/>
              <w:right w:w="20" w:type="dxa"/>
            </w:tcMar>
            <w:vAlign w:val="center"/>
          </w:tcPr>
          <w:p w14:paraId="4B9A2FB3" w14:textId="77777777" w:rsidR="002A3970" w:rsidRDefault="00C35E63">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vAlign w:val="bottom"/>
          </w:tcPr>
          <w:p w14:paraId="4B9A2FB4"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FB5" w14:textId="77777777" w:rsidR="002A3970" w:rsidRDefault="00C35E63">
            <w:pPr>
              <w:jc w:val="right"/>
              <w:textAlignment w:val="center"/>
            </w:pPr>
            <w:r>
              <w:rPr>
                <w:rFonts w:ascii="Times New Roman" w:eastAsia="宋体" w:hAnsi="Times New Roman"/>
                <w:color w:val="000000"/>
                <w:sz w:val="16"/>
                <w:szCs w:val="16"/>
              </w:rPr>
              <w:t>80,123 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B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B7"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FB8" w14:textId="77777777" w:rsidR="002A3970" w:rsidRDefault="00C35E63">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B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2FBA"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2FBB" w14:textId="77777777" w:rsidR="002A3970" w:rsidRDefault="00C35E63">
            <w:pPr>
              <w:jc w:val="right"/>
              <w:textAlignment w:val="center"/>
            </w:pPr>
            <w:r>
              <w:rPr>
                <w:rFonts w:ascii="Times New Roman" w:eastAsia="宋体" w:hAnsi="Times New Roman"/>
                <w:color w:val="000000"/>
                <w:sz w:val="16"/>
                <w:szCs w:val="16"/>
              </w:rPr>
              <w:t>90,757 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2FBC" w14:textId="77777777" w:rsidR="002A3970" w:rsidRDefault="002A3970">
            <w:pPr>
              <w:jc w:val="right"/>
              <w:rPr>
                <w:rFonts w:ascii="宋体"/>
              </w:rPr>
            </w:pPr>
          </w:p>
        </w:tc>
      </w:tr>
      <w:tr w:rsidR="002A3970" w14:paraId="4B9A2FCB" w14:textId="77777777">
        <w:trPr>
          <w:jc w:val="center"/>
        </w:trPr>
        <w:tc>
          <w:tcPr>
            <w:tcW w:w="0" w:type="auto"/>
            <w:gridSpan w:val="3"/>
            <w:shd w:val="clear" w:color="auto" w:fill="CCEEFF"/>
            <w:tcMar>
              <w:top w:w="40" w:type="dxa"/>
              <w:left w:w="20" w:type="dxa"/>
              <w:bottom w:w="40" w:type="dxa"/>
              <w:right w:w="20" w:type="dxa"/>
            </w:tcMar>
            <w:vAlign w:val="center"/>
          </w:tcPr>
          <w:p w14:paraId="4B9A2FBE" w14:textId="77777777" w:rsidR="002A3970" w:rsidRDefault="00C35E63">
            <w:pPr>
              <w:textAlignment w:val="center"/>
            </w:pPr>
            <w:r>
              <w:rPr>
                <w:rFonts w:ascii="Times New Roman" w:eastAsia="宋体" w:hAnsi="Times New Roman"/>
                <w:b/>
                <w:bCs/>
                <w:color w:val="000000"/>
                <w:sz w:val="16"/>
                <w:szCs w:val="16"/>
              </w:rPr>
              <w:t>Total liabilities, redeemable noncontrolling interest, and equity</w:t>
            </w:r>
          </w:p>
        </w:tc>
        <w:tc>
          <w:tcPr>
            <w:tcW w:w="0" w:type="auto"/>
            <w:gridSpan w:val="3"/>
            <w:shd w:val="clear" w:color="auto" w:fill="CCEEFF"/>
            <w:tcMar>
              <w:top w:w="0" w:type="dxa"/>
              <w:left w:w="20" w:type="dxa"/>
              <w:bottom w:w="0" w:type="dxa"/>
              <w:right w:w="20" w:type="dxa"/>
            </w:tcMar>
            <w:vAlign w:val="bottom"/>
          </w:tcPr>
          <w:p w14:paraId="4B9A2FBF"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2FC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2FC1" w14:textId="77777777" w:rsidR="002A3970" w:rsidRDefault="00C35E63">
            <w:pPr>
              <w:jc w:val="right"/>
              <w:textAlignment w:val="center"/>
            </w:pPr>
            <w:r>
              <w:rPr>
                <w:rFonts w:ascii="Times New Roman" w:eastAsia="宋体" w:hAnsi="Times New Roman"/>
                <w:color w:val="000000"/>
                <w:sz w:val="16"/>
                <w:szCs w:val="16"/>
              </w:rPr>
              <w:t>247,656 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2FC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C3"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2FC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2FC5" w14:textId="77777777" w:rsidR="002A3970" w:rsidRDefault="00C35E63">
            <w:pPr>
              <w:jc w:val="right"/>
              <w:textAlignment w:val="center"/>
            </w:pPr>
            <w:r>
              <w:rPr>
                <w:rFonts w:ascii="Times New Roman" w:eastAsia="宋体" w:hAnsi="Times New Roman"/>
                <w:color w:val="000000"/>
                <w:sz w:val="16"/>
                <w:szCs w:val="16"/>
              </w:rPr>
              <w:t>244,860 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2FC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2FC7"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2FC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2FC9" w14:textId="77777777" w:rsidR="002A3970" w:rsidRDefault="00C35E63">
            <w:pPr>
              <w:jc w:val="right"/>
              <w:textAlignment w:val="center"/>
            </w:pPr>
            <w:r>
              <w:rPr>
                <w:rFonts w:ascii="Times New Roman" w:eastAsia="宋体" w:hAnsi="Times New Roman"/>
                <w:color w:val="000000"/>
                <w:sz w:val="16"/>
                <w:szCs w:val="16"/>
              </w:rPr>
              <w:t>244,851 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2FCA" w14:textId="77777777" w:rsidR="002A3970" w:rsidRDefault="002A3970">
            <w:pPr>
              <w:jc w:val="right"/>
              <w:rPr>
                <w:rFonts w:ascii="宋体"/>
              </w:rPr>
            </w:pPr>
          </w:p>
        </w:tc>
      </w:tr>
    </w:tbl>
    <w:p w14:paraId="4B9A2FCC" w14:textId="77777777" w:rsidR="002A3970" w:rsidRDefault="00C35E63">
      <w:pPr>
        <w:spacing w:before="80"/>
      </w:pPr>
      <w:r>
        <w:rPr>
          <w:rFonts w:ascii="Times New Roman" w:eastAsia="宋体" w:hAnsi="Times New Roman"/>
          <w:i/>
          <w:iCs/>
          <w:color w:val="000000"/>
          <w:sz w:val="16"/>
          <w:szCs w:val="16"/>
        </w:rPr>
        <w:t xml:space="preserve">See accompanying notes. </w:t>
      </w:r>
    </w:p>
    <w:p w14:paraId="4B9A2FCD" w14:textId="77777777" w:rsidR="002A3970" w:rsidRDefault="00C35E63">
      <w:pPr>
        <w:jc w:val="center"/>
      </w:pPr>
      <w:r>
        <w:rPr>
          <w:rFonts w:ascii="Times New Roman" w:eastAsia="宋体" w:hAnsi="Times New Roman"/>
          <w:color w:val="000000"/>
          <w:sz w:val="20"/>
          <w:szCs w:val="20"/>
        </w:rPr>
        <w:t>5</w:t>
      </w:r>
    </w:p>
    <w:p w14:paraId="4B9A2FCE" w14:textId="77777777" w:rsidR="002A3970" w:rsidRDefault="00C35E63">
      <w:r>
        <w:pict w14:anchorId="4B9A4C1A">
          <v:rect id="_x0000_i1029" style="width:415.3pt;height:1.5pt" o:hralign="center" o:hrstd="t" o:hr="t" fillcolor="#a0a0a0" stroked="f"/>
        </w:pict>
      </w:r>
    </w:p>
    <w:p w14:paraId="4B9A2FCF" w14:textId="77777777" w:rsidR="002A3970" w:rsidRDefault="00C35E63">
      <w:hyperlink r:id="rId44" w:anchor="i0522a2f6333e456295d59e779af751cb_7" w:history="1">
        <w:r>
          <w:rPr>
            <w:rStyle w:val="a5"/>
            <w:rFonts w:ascii="Times New Roman" w:eastAsia="宋体" w:hAnsi="Times New Roman"/>
            <w:sz w:val="20"/>
            <w:szCs w:val="20"/>
          </w:rPr>
          <w:t>Table of Contents</w:t>
        </w:r>
      </w:hyperlink>
    </w:p>
    <w:p w14:paraId="4B9A2FD0" w14:textId="77777777" w:rsidR="002A3970" w:rsidRDefault="00C35E63">
      <w:pPr>
        <w:jc w:val="center"/>
      </w:pPr>
      <w:r>
        <w:rPr>
          <w:rFonts w:ascii="Times New Roman" w:eastAsia="宋体" w:hAnsi="Times New Roman"/>
          <w:b/>
          <w:bCs/>
          <w:color w:val="000000"/>
          <w:sz w:val="20"/>
          <w:szCs w:val="20"/>
        </w:rPr>
        <w:t>Walmart Inc.</w:t>
      </w:r>
    </w:p>
    <w:p w14:paraId="4B9A2FD1" w14:textId="77777777" w:rsidR="002A3970" w:rsidRDefault="00C35E63">
      <w:pPr>
        <w:spacing w:before="60"/>
        <w:jc w:val="center"/>
      </w:pPr>
      <w:r>
        <w:rPr>
          <w:rFonts w:ascii="Times New Roman" w:eastAsia="宋体" w:hAnsi="Times New Roman"/>
          <w:b/>
          <w:bCs/>
          <w:color w:val="000000"/>
          <w:sz w:val="20"/>
          <w:szCs w:val="20"/>
        </w:rPr>
        <w:t>Condensed Consolidated Statements of Shareholders' Equity</w:t>
      </w:r>
    </w:p>
    <w:p w14:paraId="4B9A2FD2" w14:textId="77777777" w:rsidR="002A3970" w:rsidRDefault="00C35E63">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1"/>
        <w:gridCol w:w="37"/>
        <w:gridCol w:w="82"/>
        <w:gridCol w:w="404"/>
        <w:gridCol w:w="37"/>
        <w:gridCol w:w="37"/>
        <w:gridCol w:w="37"/>
        <w:gridCol w:w="36"/>
        <w:gridCol w:w="100"/>
        <w:gridCol w:w="486"/>
        <w:gridCol w:w="36"/>
        <w:gridCol w:w="36"/>
        <w:gridCol w:w="36"/>
        <w:gridCol w:w="36"/>
        <w:gridCol w:w="101"/>
        <w:gridCol w:w="619"/>
        <w:gridCol w:w="36"/>
        <w:gridCol w:w="36"/>
        <w:gridCol w:w="36"/>
        <w:gridCol w:w="36"/>
        <w:gridCol w:w="100"/>
        <w:gridCol w:w="555"/>
        <w:gridCol w:w="36"/>
        <w:gridCol w:w="36"/>
        <w:gridCol w:w="36"/>
        <w:gridCol w:w="36"/>
        <w:gridCol w:w="136"/>
        <w:gridCol w:w="940"/>
        <w:gridCol w:w="36"/>
        <w:gridCol w:w="36"/>
        <w:gridCol w:w="36"/>
        <w:gridCol w:w="36"/>
        <w:gridCol w:w="123"/>
        <w:gridCol w:w="842"/>
        <w:gridCol w:w="36"/>
        <w:gridCol w:w="36"/>
        <w:gridCol w:w="36"/>
        <w:gridCol w:w="36"/>
        <w:gridCol w:w="137"/>
        <w:gridCol w:w="948"/>
        <w:gridCol w:w="36"/>
        <w:gridCol w:w="36"/>
        <w:gridCol w:w="36"/>
        <w:gridCol w:w="36"/>
        <w:gridCol w:w="99"/>
        <w:gridCol w:w="472"/>
        <w:gridCol w:w="36"/>
        <w:gridCol w:w="36"/>
        <w:gridCol w:w="36"/>
        <w:gridCol w:w="36"/>
      </w:tblGrid>
      <w:tr w:rsidR="002A3970" w14:paraId="4B9A3006" w14:textId="77777777">
        <w:tc>
          <w:tcPr>
            <w:tcW w:w="50" w:type="pct"/>
            <w:shd w:val="clear" w:color="auto" w:fill="auto"/>
            <w:vAlign w:val="bottom"/>
          </w:tcPr>
          <w:p w14:paraId="4B9A2FD3" w14:textId="77777777" w:rsidR="002A3970" w:rsidRDefault="002A3970">
            <w:pPr>
              <w:rPr>
                <w:rFonts w:ascii="宋体"/>
              </w:rPr>
            </w:pPr>
          </w:p>
        </w:tc>
        <w:tc>
          <w:tcPr>
            <w:tcW w:w="1739" w:type="pct"/>
            <w:shd w:val="clear" w:color="auto" w:fill="auto"/>
            <w:vAlign w:val="bottom"/>
          </w:tcPr>
          <w:p w14:paraId="4B9A2FD4" w14:textId="77777777" w:rsidR="002A3970" w:rsidRDefault="002A3970">
            <w:pPr>
              <w:rPr>
                <w:rFonts w:ascii="宋体"/>
              </w:rPr>
            </w:pPr>
          </w:p>
        </w:tc>
        <w:tc>
          <w:tcPr>
            <w:tcW w:w="5" w:type="pct"/>
            <w:shd w:val="clear" w:color="auto" w:fill="auto"/>
            <w:vAlign w:val="bottom"/>
          </w:tcPr>
          <w:p w14:paraId="4B9A2FD5" w14:textId="77777777" w:rsidR="002A3970" w:rsidRDefault="002A3970">
            <w:pPr>
              <w:rPr>
                <w:rFonts w:ascii="宋体"/>
              </w:rPr>
            </w:pPr>
          </w:p>
        </w:tc>
        <w:tc>
          <w:tcPr>
            <w:tcW w:w="50" w:type="pct"/>
            <w:shd w:val="clear" w:color="auto" w:fill="auto"/>
            <w:vAlign w:val="bottom"/>
          </w:tcPr>
          <w:p w14:paraId="4B9A2FD6" w14:textId="77777777" w:rsidR="002A3970" w:rsidRDefault="002A3970">
            <w:pPr>
              <w:rPr>
                <w:rFonts w:ascii="宋体"/>
              </w:rPr>
            </w:pPr>
          </w:p>
        </w:tc>
        <w:tc>
          <w:tcPr>
            <w:tcW w:w="247" w:type="pct"/>
            <w:shd w:val="clear" w:color="auto" w:fill="auto"/>
            <w:vAlign w:val="bottom"/>
          </w:tcPr>
          <w:p w14:paraId="4B9A2FD7" w14:textId="77777777" w:rsidR="002A3970" w:rsidRDefault="002A3970">
            <w:pPr>
              <w:rPr>
                <w:rFonts w:ascii="宋体"/>
              </w:rPr>
            </w:pPr>
          </w:p>
        </w:tc>
        <w:tc>
          <w:tcPr>
            <w:tcW w:w="5" w:type="pct"/>
            <w:shd w:val="clear" w:color="auto" w:fill="auto"/>
            <w:vAlign w:val="bottom"/>
          </w:tcPr>
          <w:p w14:paraId="4B9A2FD8" w14:textId="77777777" w:rsidR="002A3970" w:rsidRDefault="002A3970">
            <w:pPr>
              <w:rPr>
                <w:rFonts w:ascii="宋体"/>
              </w:rPr>
            </w:pPr>
          </w:p>
        </w:tc>
        <w:tc>
          <w:tcPr>
            <w:tcW w:w="5" w:type="pct"/>
            <w:shd w:val="clear" w:color="auto" w:fill="auto"/>
            <w:vAlign w:val="bottom"/>
          </w:tcPr>
          <w:p w14:paraId="4B9A2FD9" w14:textId="77777777" w:rsidR="002A3970" w:rsidRDefault="002A3970">
            <w:pPr>
              <w:rPr>
                <w:rFonts w:ascii="宋体"/>
              </w:rPr>
            </w:pPr>
          </w:p>
        </w:tc>
        <w:tc>
          <w:tcPr>
            <w:tcW w:w="15" w:type="pct"/>
            <w:shd w:val="clear" w:color="auto" w:fill="auto"/>
            <w:vAlign w:val="bottom"/>
          </w:tcPr>
          <w:p w14:paraId="4B9A2FDA" w14:textId="77777777" w:rsidR="002A3970" w:rsidRDefault="002A3970">
            <w:pPr>
              <w:rPr>
                <w:rFonts w:ascii="宋体"/>
              </w:rPr>
            </w:pPr>
          </w:p>
        </w:tc>
        <w:tc>
          <w:tcPr>
            <w:tcW w:w="5" w:type="pct"/>
            <w:shd w:val="clear" w:color="auto" w:fill="auto"/>
            <w:vAlign w:val="bottom"/>
          </w:tcPr>
          <w:p w14:paraId="4B9A2FDB" w14:textId="77777777" w:rsidR="002A3970" w:rsidRDefault="002A3970">
            <w:pPr>
              <w:rPr>
                <w:rFonts w:ascii="宋体"/>
              </w:rPr>
            </w:pPr>
          </w:p>
        </w:tc>
        <w:tc>
          <w:tcPr>
            <w:tcW w:w="50" w:type="pct"/>
            <w:shd w:val="clear" w:color="auto" w:fill="auto"/>
            <w:vAlign w:val="bottom"/>
          </w:tcPr>
          <w:p w14:paraId="4B9A2FDC" w14:textId="77777777" w:rsidR="002A3970" w:rsidRDefault="002A3970">
            <w:pPr>
              <w:rPr>
                <w:rFonts w:ascii="宋体"/>
              </w:rPr>
            </w:pPr>
          </w:p>
        </w:tc>
        <w:tc>
          <w:tcPr>
            <w:tcW w:w="252" w:type="pct"/>
            <w:shd w:val="clear" w:color="auto" w:fill="auto"/>
            <w:vAlign w:val="bottom"/>
          </w:tcPr>
          <w:p w14:paraId="4B9A2FDD" w14:textId="77777777" w:rsidR="002A3970" w:rsidRDefault="002A3970">
            <w:pPr>
              <w:rPr>
                <w:rFonts w:ascii="宋体"/>
              </w:rPr>
            </w:pPr>
          </w:p>
        </w:tc>
        <w:tc>
          <w:tcPr>
            <w:tcW w:w="5" w:type="pct"/>
            <w:shd w:val="clear" w:color="auto" w:fill="auto"/>
            <w:vAlign w:val="bottom"/>
          </w:tcPr>
          <w:p w14:paraId="4B9A2FDE" w14:textId="77777777" w:rsidR="002A3970" w:rsidRDefault="002A3970">
            <w:pPr>
              <w:rPr>
                <w:rFonts w:ascii="宋体"/>
              </w:rPr>
            </w:pPr>
          </w:p>
        </w:tc>
        <w:tc>
          <w:tcPr>
            <w:tcW w:w="5" w:type="pct"/>
            <w:shd w:val="clear" w:color="auto" w:fill="auto"/>
            <w:vAlign w:val="bottom"/>
          </w:tcPr>
          <w:p w14:paraId="4B9A2FDF" w14:textId="77777777" w:rsidR="002A3970" w:rsidRDefault="002A3970">
            <w:pPr>
              <w:rPr>
                <w:rFonts w:ascii="宋体"/>
              </w:rPr>
            </w:pPr>
          </w:p>
        </w:tc>
        <w:tc>
          <w:tcPr>
            <w:tcW w:w="15" w:type="pct"/>
            <w:shd w:val="clear" w:color="auto" w:fill="auto"/>
            <w:vAlign w:val="bottom"/>
          </w:tcPr>
          <w:p w14:paraId="4B9A2FE0" w14:textId="77777777" w:rsidR="002A3970" w:rsidRDefault="002A3970">
            <w:pPr>
              <w:rPr>
                <w:rFonts w:ascii="宋体"/>
              </w:rPr>
            </w:pPr>
          </w:p>
        </w:tc>
        <w:tc>
          <w:tcPr>
            <w:tcW w:w="5" w:type="pct"/>
            <w:shd w:val="clear" w:color="auto" w:fill="auto"/>
            <w:vAlign w:val="bottom"/>
          </w:tcPr>
          <w:p w14:paraId="4B9A2FE1" w14:textId="77777777" w:rsidR="002A3970" w:rsidRDefault="002A3970">
            <w:pPr>
              <w:rPr>
                <w:rFonts w:ascii="宋体"/>
              </w:rPr>
            </w:pPr>
          </w:p>
        </w:tc>
        <w:tc>
          <w:tcPr>
            <w:tcW w:w="50" w:type="pct"/>
            <w:shd w:val="clear" w:color="auto" w:fill="auto"/>
            <w:vAlign w:val="bottom"/>
          </w:tcPr>
          <w:p w14:paraId="4B9A2FE2" w14:textId="77777777" w:rsidR="002A3970" w:rsidRDefault="002A3970">
            <w:pPr>
              <w:rPr>
                <w:rFonts w:ascii="宋体"/>
              </w:rPr>
            </w:pPr>
          </w:p>
        </w:tc>
        <w:tc>
          <w:tcPr>
            <w:tcW w:w="348" w:type="pct"/>
            <w:shd w:val="clear" w:color="auto" w:fill="auto"/>
            <w:vAlign w:val="bottom"/>
          </w:tcPr>
          <w:p w14:paraId="4B9A2FE3" w14:textId="77777777" w:rsidR="002A3970" w:rsidRDefault="002A3970">
            <w:pPr>
              <w:rPr>
                <w:rFonts w:ascii="宋体"/>
              </w:rPr>
            </w:pPr>
          </w:p>
        </w:tc>
        <w:tc>
          <w:tcPr>
            <w:tcW w:w="5" w:type="pct"/>
            <w:shd w:val="clear" w:color="auto" w:fill="auto"/>
            <w:vAlign w:val="bottom"/>
          </w:tcPr>
          <w:p w14:paraId="4B9A2FE4" w14:textId="77777777" w:rsidR="002A3970" w:rsidRDefault="002A3970">
            <w:pPr>
              <w:rPr>
                <w:rFonts w:ascii="宋体"/>
              </w:rPr>
            </w:pPr>
          </w:p>
        </w:tc>
        <w:tc>
          <w:tcPr>
            <w:tcW w:w="5" w:type="pct"/>
            <w:shd w:val="clear" w:color="auto" w:fill="auto"/>
            <w:vAlign w:val="bottom"/>
          </w:tcPr>
          <w:p w14:paraId="4B9A2FE5" w14:textId="77777777" w:rsidR="002A3970" w:rsidRDefault="002A3970">
            <w:pPr>
              <w:rPr>
                <w:rFonts w:ascii="宋体"/>
              </w:rPr>
            </w:pPr>
          </w:p>
        </w:tc>
        <w:tc>
          <w:tcPr>
            <w:tcW w:w="15" w:type="pct"/>
            <w:shd w:val="clear" w:color="auto" w:fill="auto"/>
            <w:vAlign w:val="bottom"/>
          </w:tcPr>
          <w:p w14:paraId="4B9A2FE6" w14:textId="77777777" w:rsidR="002A3970" w:rsidRDefault="002A3970">
            <w:pPr>
              <w:rPr>
                <w:rFonts w:ascii="宋体"/>
              </w:rPr>
            </w:pPr>
          </w:p>
        </w:tc>
        <w:tc>
          <w:tcPr>
            <w:tcW w:w="5" w:type="pct"/>
            <w:shd w:val="clear" w:color="auto" w:fill="auto"/>
            <w:vAlign w:val="bottom"/>
          </w:tcPr>
          <w:p w14:paraId="4B9A2FE7" w14:textId="77777777" w:rsidR="002A3970" w:rsidRDefault="002A3970">
            <w:pPr>
              <w:rPr>
                <w:rFonts w:ascii="宋体"/>
              </w:rPr>
            </w:pPr>
          </w:p>
        </w:tc>
        <w:tc>
          <w:tcPr>
            <w:tcW w:w="50" w:type="pct"/>
            <w:shd w:val="clear" w:color="auto" w:fill="auto"/>
            <w:vAlign w:val="bottom"/>
          </w:tcPr>
          <w:p w14:paraId="4B9A2FE8" w14:textId="77777777" w:rsidR="002A3970" w:rsidRDefault="002A3970">
            <w:pPr>
              <w:rPr>
                <w:rFonts w:ascii="宋体"/>
              </w:rPr>
            </w:pPr>
          </w:p>
        </w:tc>
        <w:tc>
          <w:tcPr>
            <w:tcW w:w="348" w:type="pct"/>
            <w:shd w:val="clear" w:color="auto" w:fill="auto"/>
            <w:vAlign w:val="bottom"/>
          </w:tcPr>
          <w:p w14:paraId="4B9A2FE9" w14:textId="77777777" w:rsidR="002A3970" w:rsidRDefault="002A3970">
            <w:pPr>
              <w:rPr>
                <w:rFonts w:ascii="宋体"/>
              </w:rPr>
            </w:pPr>
          </w:p>
        </w:tc>
        <w:tc>
          <w:tcPr>
            <w:tcW w:w="5" w:type="pct"/>
            <w:shd w:val="clear" w:color="auto" w:fill="auto"/>
            <w:vAlign w:val="bottom"/>
          </w:tcPr>
          <w:p w14:paraId="4B9A2FEA" w14:textId="77777777" w:rsidR="002A3970" w:rsidRDefault="002A3970">
            <w:pPr>
              <w:rPr>
                <w:rFonts w:ascii="宋体"/>
              </w:rPr>
            </w:pPr>
          </w:p>
        </w:tc>
        <w:tc>
          <w:tcPr>
            <w:tcW w:w="5" w:type="pct"/>
            <w:shd w:val="clear" w:color="auto" w:fill="auto"/>
            <w:vAlign w:val="bottom"/>
          </w:tcPr>
          <w:p w14:paraId="4B9A2FEB" w14:textId="77777777" w:rsidR="002A3970" w:rsidRDefault="002A3970">
            <w:pPr>
              <w:rPr>
                <w:rFonts w:ascii="宋体"/>
              </w:rPr>
            </w:pPr>
          </w:p>
        </w:tc>
        <w:tc>
          <w:tcPr>
            <w:tcW w:w="15" w:type="pct"/>
            <w:shd w:val="clear" w:color="auto" w:fill="auto"/>
            <w:vAlign w:val="bottom"/>
          </w:tcPr>
          <w:p w14:paraId="4B9A2FEC" w14:textId="77777777" w:rsidR="002A3970" w:rsidRDefault="002A3970">
            <w:pPr>
              <w:rPr>
                <w:rFonts w:ascii="宋体"/>
              </w:rPr>
            </w:pPr>
          </w:p>
        </w:tc>
        <w:tc>
          <w:tcPr>
            <w:tcW w:w="5" w:type="pct"/>
            <w:shd w:val="clear" w:color="auto" w:fill="auto"/>
            <w:vAlign w:val="bottom"/>
          </w:tcPr>
          <w:p w14:paraId="4B9A2FED" w14:textId="77777777" w:rsidR="002A3970" w:rsidRDefault="002A3970">
            <w:pPr>
              <w:rPr>
                <w:rFonts w:ascii="宋体"/>
              </w:rPr>
            </w:pPr>
          </w:p>
        </w:tc>
        <w:tc>
          <w:tcPr>
            <w:tcW w:w="50" w:type="pct"/>
            <w:shd w:val="clear" w:color="auto" w:fill="auto"/>
            <w:vAlign w:val="bottom"/>
          </w:tcPr>
          <w:p w14:paraId="4B9A2FEE" w14:textId="77777777" w:rsidR="002A3970" w:rsidRDefault="002A3970">
            <w:pPr>
              <w:rPr>
                <w:rFonts w:ascii="宋体"/>
              </w:rPr>
            </w:pPr>
          </w:p>
        </w:tc>
        <w:tc>
          <w:tcPr>
            <w:tcW w:w="348" w:type="pct"/>
            <w:shd w:val="clear" w:color="auto" w:fill="auto"/>
            <w:vAlign w:val="bottom"/>
          </w:tcPr>
          <w:p w14:paraId="4B9A2FEF" w14:textId="77777777" w:rsidR="002A3970" w:rsidRDefault="002A3970">
            <w:pPr>
              <w:rPr>
                <w:rFonts w:ascii="宋体"/>
              </w:rPr>
            </w:pPr>
          </w:p>
        </w:tc>
        <w:tc>
          <w:tcPr>
            <w:tcW w:w="5" w:type="pct"/>
            <w:shd w:val="clear" w:color="auto" w:fill="auto"/>
            <w:vAlign w:val="bottom"/>
          </w:tcPr>
          <w:p w14:paraId="4B9A2FF0" w14:textId="77777777" w:rsidR="002A3970" w:rsidRDefault="002A3970">
            <w:pPr>
              <w:rPr>
                <w:rFonts w:ascii="宋体"/>
              </w:rPr>
            </w:pPr>
          </w:p>
        </w:tc>
        <w:tc>
          <w:tcPr>
            <w:tcW w:w="5" w:type="pct"/>
            <w:shd w:val="clear" w:color="auto" w:fill="auto"/>
            <w:vAlign w:val="bottom"/>
          </w:tcPr>
          <w:p w14:paraId="4B9A2FF1" w14:textId="77777777" w:rsidR="002A3970" w:rsidRDefault="002A3970">
            <w:pPr>
              <w:rPr>
                <w:rFonts w:ascii="宋体"/>
              </w:rPr>
            </w:pPr>
          </w:p>
        </w:tc>
        <w:tc>
          <w:tcPr>
            <w:tcW w:w="15" w:type="pct"/>
            <w:shd w:val="clear" w:color="auto" w:fill="auto"/>
            <w:vAlign w:val="bottom"/>
          </w:tcPr>
          <w:p w14:paraId="4B9A2FF2" w14:textId="77777777" w:rsidR="002A3970" w:rsidRDefault="002A3970">
            <w:pPr>
              <w:rPr>
                <w:rFonts w:ascii="宋体"/>
              </w:rPr>
            </w:pPr>
          </w:p>
        </w:tc>
        <w:tc>
          <w:tcPr>
            <w:tcW w:w="5" w:type="pct"/>
            <w:shd w:val="clear" w:color="auto" w:fill="auto"/>
            <w:vAlign w:val="bottom"/>
          </w:tcPr>
          <w:p w14:paraId="4B9A2FF3" w14:textId="77777777" w:rsidR="002A3970" w:rsidRDefault="002A3970">
            <w:pPr>
              <w:rPr>
                <w:rFonts w:ascii="宋体"/>
              </w:rPr>
            </w:pPr>
          </w:p>
        </w:tc>
        <w:tc>
          <w:tcPr>
            <w:tcW w:w="50" w:type="pct"/>
            <w:shd w:val="clear" w:color="auto" w:fill="auto"/>
            <w:vAlign w:val="bottom"/>
          </w:tcPr>
          <w:p w14:paraId="4B9A2FF4" w14:textId="77777777" w:rsidR="002A3970" w:rsidRDefault="002A3970">
            <w:pPr>
              <w:rPr>
                <w:rFonts w:ascii="宋体"/>
              </w:rPr>
            </w:pPr>
          </w:p>
        </w:tc>
        <w:tc>
          <w:tcPr>
            <w:tcW w:w="348" w:type="pct"/>
            <w:shd w:val="clear" w:color="auto" w:fill="auto"/>
            <w:vAlign w:val="bottom"/>
          </w:tcPr>
          <w:p w14:paraId="4B9A2FF5" w14:textId="77777777" w:rsidR="002A3970" w:rsidRDefault="002A3970">
            <w:pPr>
              <w:rPr>
                <w:rFonts w:ascii="宋体"/>
              </w:rPr>
            </w:pPr>
          </w:p>
        </w:tc>
        <w:tc>
          <w:tcPr>
            <w:tcW w:w="5" w:type="pct"/>
            <w:shd w:val="clear" w:color="auto" w:fill="auto"/>
            <w:vAlign w:val="bottom"/>
          </w:tcPr>
          <w:p w14:paraId="4B9A2FF6" w14:textId="77777777" w:rsidR="002A3970" w:rsidRDefault="002A3970">
            <w:pPr>
              <w:rPr>
                <w:rFonts w:ascii="宋体"/>
              </w:rPr>
            </w:pPr>
          </w:p>
        </w:tc>
        <w:tc>
          <w:tcPr>
            <w:tcW w:w="5" w:type="pct"/>
            <w:shd w:val="clear" w:color="auto" w:fill="auto"/>
            <w:vAlign w:val="bottom"/>
          </w:tcPr>
          <w:p w14:paraId="4B9A2FF7" w14:textId="77777777" w:rsidR="002A3970" w:rsidRDefault="002A3970">
            <w:pPr>
              <w:rPr>
                <w:rFonts w:ascii="宋体"/>
              </w:rPr>
            </w:pPr>
          </w:p>
        </w:tc>
        <w:tc>
          <w:tcPr>
            <w:tcW w:w="15" w:type="pct"/>
            <w:shd w:val="clear" w:color="auto" w:fill="auto"/>
            <w:vAlign w:val="bottom"/>
          </w:tcPr>
          <w:p w14:paraId="4B9A2FF8" w14:textId="77777777" w:rsidR="002A3970" w:rsidRDefault="002A3970">
            <w:pPr>
              <w:rPr>
                <w:rFonts w:ascii="宋体"/>
              </w:rPr>
            </w:pPr>
          </w:p>
        </w:tc>
        <w:tc>
          <w:tcPr>
            <w:tcW w:w="5" w:type="pct"/>
            <w:shd w:val="clear" w:color="auto" w:fill="auto"/>
            <w:vAlign w:val="bottom"/>
          </w:tcPr>
          <w:p w14:paraId="4B9A2FF9" w14:textId="77777777" w:rsidR="002A3970" w:rsidRDefault="002A3970">
            <w:pPr>
              <w:rPr>
                <w:rFonts w:ascii="宋体"/>
              </w:rPr>
            </w:pPr>
          </w:p>
        </w:tc>
        <w:tc>
          <w:tcPr>
            <w:tcW w:w="50" w:type="pct"/>
            <w:shd w:val="clear" w:color="auto" w:fill="auto"/>
            <w:vAlign w:val="bottom"/>
          </w:tcPr>
          <w:p w14:paraId="4B9A2FFA" w14:textId="77777777" w:rsidR="002A3970" w:rsidRDefault="002A3970">
            <w:pPr>
              <w:rPr>
                <w:rFonts w:ascii="宋体"/>
              </w:rPr>
            </w:pPr>
          </w:p>
        </w:tc>
        <w:tc>
          <w:tcPr>
            <w:tcW w:w="348" w:type="pct"/>
            <w:shd w:val="clear" w:color="auto" w:fill="auto"/>
            <w:vAlign w:val="bottom"/>
          </w:tcPr>
          <w:p w14:paraId="4B9A2FFB" w14:textId="77777777" w:rsidR="002A3970" w:rsidRDefault="002A3970">
            <w:pPr>
              <w:rPr>
                <w:rFonts w:ascii="宋体"/>
              </w:rPr>
            </w:pPr>
          </w:p>
        </w:tc>
        <w:tc>
          <w:tcPr>
            <w:tcW w:w="5" w:type="pct"/>
            <w:shd w:val="clear" w:color="auto" w:fill="auto"/>
            <w:vAlign w:val="bottom"/>
          </w:tcPr>
          <w:p w14:paraId="4B9A2FFC" w14:textId="77777777" w:rsidR="002A3970" w:rsidRDefault="002A3970">
            <w:pPr>
              <w:rPr>
                <w:rFonts w:ascii="宋体"/>
              </w:rPr>
            </w:pPr>
          </w:p>
        </w:tc>
        <w:tc>
          <w:tcPr>
            <w:tcW w:w="5" w:type="pct"/>
            <w:shd w:val="clear" w:color="auto" w:fill="auto"/>
            <w:vAlign w:val="bottom"/>
          </w:tcPr>
          <w:p w14:paraId="4B9A2FFD" w14:textId="77777777" w:rsidR="002A3970" w:rsidRDefault="002A3970">
            <w:pPr>
              <w:rPr>
                <w:rFonts w:ascii="宋体"/>
              </w:rPr>
            </w:pPr>
          </w:p>
        </w:tc>
        <w:tc>
          <w:tcPr>
            <w:tcW w:w="15" w:type="pct"/>
            <w:shd w:val="clear" w:color="auto" w:fill="auto"/>
            <w:vAlign w:val="bottom"/>
          </w:tcPr>
          <w:p w14:paraId="4B9A2FFE" w14:textId="77777777" w:rsidR="002A3970" w:rsidRDefault="002A3970">
            <w:pPr>
              <w:rPr>
                <w:rFonts w:ascii="宋体"/>
              </w:rPr>
            </w:pPr>
          </w:p>
        </w:tc>
        <w:tc>
          <w:tcPr>
            <w:tcW w:w="5" w:type="pct"/>
            <w:shd w:val="clear" w:color="auto" w:fill="auto"/>
            <w:vAlign w:val="bottom"/>
          </w:tcPr>
          <w:p w14:paraId="4B9A2FFF" w14:textId="77777777" w:rsidR="002A3970" w:rsidRDefault="002A3970">
            <w:pPr>
              <w:rPr>
                <w:rFonts w:ascii="宋体"/>
              </w:rPr>
            </w:pPr>
          </w:p>
        </w:tc>
        <w:tc>
          <w:tcPr>
            <w:tcW w:w="50" w:type="pct"/>
            <w:shd w:val="clear" w:color="auto" w:fill="auto"/>
            <w:vAlign w:val="bottom"/>
          </w:tcPr>
          <w:p w14:paraId="4B9A3000" w14:textId="77777777" w:rsidR="002A3970" w:rsidRDefault="002A3970">
            <w:pPr>
              <w:rPr>
                <w:rFonts w:ascii="宋体"/>
              </w:rPr>
            </w:pPr>
          </w:p>
        </w:tc>
        <w:tc>
          <w:tcPr>
            <w:tcW w:w="348" w:type="pct"/>
            <w:shd w:val="clear" w:color="auto" w:fill="auto"/>
            <w:vAlign w:val="bottom"/>
          </w:tcPr>
          <w:p w14:paraId="4B9A3001" w14:textId="77777777" w:rsidR="002A3970" w:rsidRDefault="002A3970">
            <w:pPr>
              <w:rPr>
                <w:rFonts w:ascii="宋体"/>
              </w:rPr>
            </w:pPr>
          </w:p>
        </w:tc>
        <w:tc>
          <w:tcPr>
            <w:tcW w:w="5" w:type="pct"/>
            <w:shd w:val="clear" w:color="auto" w:fill="auto"/>
            <w:vAlign w:val="bottom"/>
          </w:tcPr>
          <w:p w14:paraId="4B9A3002" w14:textId="77777777" w:rsidR="002A3970" w:rsidRDefault="002A3970">
            <w:pPr>
              <w:rPr>
                <w:rFonts w:ascii="宋体"/>
              </w:rPr>
            </w:pPr>
          </w:p>
        </w:tc>
        <w:tc>
          <w:tcPr>
            <w:tcW w:w="0" w:type="auto"/>
            <w:shd w:val="clear" w:color="auto" w:fill="auto"/>
            <w:vAlign w:val="bottom"/>
          </w:tcPr>
          <w:p w14:paraId="4B9A3003" w14:textId="77777777" w:rsidR="002A3970" w:rsidRDefault="002A3970">
            <w:pPr>
              <w:rPr>
                <w:rFonts w:ascii="宋体"/>
                <w:vanish/>
              </w:rPr>
            </w:pPr>
          </w:p>
        </w:tc>
        <w:tc>
          <w:tcPr>
            <w:tcW w:w="0" w:type="auto"/>
            <w:shd w:val="clear" w:color="auto" w:fill="auto"/>
            <w:vAlign w:val="bottom"/>
          </w:tcPr>
          <w:p w14:paraId="4B9A3004" w14:textId="77777777" w:rsidR="002A3970" w:rsidRDefault="002A3970">
            <w:pPr>
              <w:rPr>
                <w:rFonts w:ascii="宋体"/>
                <w:vanish/>
              </w:rPr>
            </w:pPr>
          </w:p>
        </w:tc>
        <w:tc>
          <w:tcPr>
            <w:tcW w:w="0" w:type="auto"/>
            <w:shd w:val="clear" w:color="auto" w:fill="auto"/>
            <w:vAlign w:val="bottom"/>
          </w:tcPr>
          <w:p w14:paraId="4B9A3005" w14:textId="77777777" w:rsidR="002A3970" w:rsidRDefault="002A3970">
            <w:pPr>
              <w:rPr>
                <w:rFonts w:ascii="宋体"/>
                <w:vanish/>
              </w:rPr>
            </w:pPr>
          </w:p>
        </w:tc>
      </w:tr>
      <w:tr w:rsidR="002A3970" w14:paraId="4B9A301A" w14:textId="77777777">
        <w:tc>
          <w:tcPr>
            <w:tcW w:w="0" w:type="auto"/>
            <w:gridSpan w:val="3"/>
            <w:shd w:val="clear" w:color="auto" w:fill="auto"/>
            <w:tcMar>
              <w:top w:w="0" w:type="dxa"/>
              <w:left w:w="20" w:type="dxa"/>
              <w:bottom w:w="0" w:type="dxa"/>
              <w:right w:w="20" w:type="dxa"/>
            </w:tcMar>
            <w:vAlign w:val="bottom"/>
          </w:tcPr>
          <w:p w14:paraId="4B9A3007"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8"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E"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0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10" w14:textId="77777777" w:rsidR="002A3970" w:rsidRDefault="00C35E63">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4B9A301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12" w14:textId="77777777" w:rsidR="002A3970" w:rsidRDefault="00C35E63">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4B9A301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5"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6" w14:textId="77777777" w:rsidR="002A3970" w:rsidRDefault="002A3970">
            <w:pPr>
              <w:rPr>
                <w:rFonts w:ascii="宋体"/>
              </w:rPr>
            </w:pPr>
          </w:p>
        </w:tc>
        <w:tc>
          <w:tcPr>
            <w:tcW w:w="0" w:type="auto"/>
            <w:shd w:val="clear" w:color="auto" w:fill="auto"/>
            <w:vAlign w:val="bottom"/>
          </w:tcPr>
          <w:p w14:paraId="4B9A3017" w14:textId="77777777" w:rsidR="002A3970" w:rsidRDefault="002A3970">
            <w:pPr>
              <w:rPr>
                <w:rFonts w:ascii="宋体"/>
                <w:vanish/>
              </w:rPr>
            </w:pPr>
          </w:p>
        </w:tc>
        <w:tc>
          <w:tcPr>
            <w:tcW w:w="0" w:type="auto"/>
            <w:shd w:val="clear" w:color="auto" w:fill="auto"/>
            <w:vAlign w:val="bottom"/>
          </w:tcPr>
          <w:p w14:paraId="4B9A3018" w14:textId="77777777" w:rsidR="002A3970" w:rsidRDefault="002A3970">
            <w:pPr>
              <w:rPr>
                <w:rFonts w:ascii="宋体"/>
                <w:vanish/>
              </w:rPr>
            </w:pPr>
          </w:p>
        </w:tc>
        <w:tc>
          <w:tcPr>
            <w:tcW w:w="0" w:type="auto"/>
            <w:shd w:val="clear" w:color="auto" w:fill="auto"/>
            <w:vAlign w:val="bottom"/>
          </w:tcPr>
          <w:p w14:paraId="4B9A3019" w14:textId="77777777" w:rsidR="002A3970" w:rsidRDefault="002A3970">
            <w:pPr>
              <w:rPr>
                <w:rFonts w:ascii="宋体"/>
                <w:vanish/>
              </w:rPr>
            </w:pPr>
          </w:p>
        </w:tc>
      </w:tr>
      <w:tr w:rsidR="002A3970" w14:paraId="4B9A302E" w14:textId="77777777">
        <w:tc>
          <w:tcPr>
            <w:tcW w:w="0" w:type="auto"/>
            <w:gridSpan w:val="3"/>
            <w:shd w:val="clear" w:color="auto" w:fill="auto"/>
            <w:tcMar>
              <w:top w:w="0" w:type="dxa"/>
              <w:left w:w="20" w:type="dxa"/>
              <w:bottom w:w="0" w:type="dxa"/>
              <w:right w:w="20" w:type="dxa"/>
            </w:tcMar>
            <w:vAlign w:val="bottom"/>
          </w:tcPr>
          <w:p w14:paraId="4B9A301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E"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1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20" w14:textId="77777777" w:rsidR="002A3970" w:rsidRDefault="00C35E63">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4B9A302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2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2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24" w14:textId="77777777" w:rsidR="002A3970" w:rsidRDefault="00C35E63">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4B9A302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26" w14:textId="77777777" w:rsidR="002A3970" w:rsidRDefault="00C35E63">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4B9A302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28" w14:textId="77777777" w:rsidR="002A3970" w:rsidRDefault="00C35E63">
            <w:pPr>
              <w:jc w:val="center"/>
              <w:textAlignment w:val="bottom"/>
            </w:pPr>
            <w:r>
              <w:rPr>
                <w:rFonts w:ascii="Times New Roman" w:eastAsia="宋体" w:hAnsi="Times New Roman"/>
                <w:b/>
                <w:bCs/>
                <w:color w:val="000000"/>
                <w:sz w:val="16"/>
                <w:szCs w:val="16"/>
              </w:rPr>
              <w:t>Nonredeemable</w:t>
            </w:r>
          </w:p>
        </w:tc>
        <w:tc>
          <w:tcPr>
            <w:tcW w:w="0" w:type="auto"/>
            <w:gridSpan w:val="3"/>
            <w:shd w:val="clear" w:color="auto" w:fill="auto"/>
            <w:tcMar>
              <w:top w:w="0" w:type="dxa"/>
              <w:left w:w="20" w:type="dxa"/>
              <w:bottom w:w="0" w:type="dxa"/>
              <w:right w:w="20" w:type="dxa"/>
            </w:tcMar>
            <w:vAlign w:val="bottom"/>
          </w:tcPr>
          <w:p w14:paraId="4B9A302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02A" w14:textId="77777777" w:rsidR="002A3970" w:rsidRDefault="002A3970">
            <w:pPr>
              <w:rPr>
                <w:rFonts w:ascii="宋体"/>
              </w:rPr>
            </w:pPr>
          </w:p>
        </w:tc>
        <w:tc>
          <w:tcPr>
            <w:tcW w:w="0" w:type="auto"/>
            <w:shd w:val="clear" w:color="auto" w:fill="auto"/>
            <w:vAlign w:val="bottom"/>
          </w:tcPr>
          <w:p w14:paraId="4B9A302B" w14:textId="77777777" w:rsidR="002A3970" w:rsidRDefault="002A3970">
            <w:pPr>
              <w:rPr>
                <w:rFonts w:ascii="宋体"/>
                <w:vanish/>
              </w:rPr>
            </w:pPr>
          </w:p>
        </w:tc>
        <w:tc>
          <w:tcPr>
            <w:tcW w:w="0" w:type="auto"/>
            <w:shd w:val="clear" w:color="auto" w:fill="auto"/>
            <w:vAlign w:val="bottom"/>
          </w:tcPr>
          <w:p w14:paraId="4B9A302C" w14:textId="77777777" w:rsidR="002A3970" w:rsidRDefault="002A3970">
            <w:pPr>
              <w:rPr>
                <w:rFonts w:ascii="宋体"/>
                <w:vanish/>
              </w:rPr>
            </w:pPr>
          </w:p>
        </w:tc>
        <w:tc>
          <w:tcPr>
            <w:tcW w:w="0" w:type="auto"/>
            <w:shd w:val="clear" w:color="auto" w:fill="auto"/>
            <w:vAlign w:val="bottom"/>
          </w:tcPr>
          <w:p w14:paraId="4B9A302D" w14:textId="77777777" w:rsidR="002A3970" w:rsidRDefault="002A3970">
            <w:pPr>
              <w:rPr>
                <w:rFonts w:ascii="宋体"/>
                <w:vanish/>
              </w:rPr>
            </w:pPr>
          </w:p>
        </w:tc>
      </w:tr>
      <w:tr w:rsidR="002A3970" w14:paraId="4B9A3040"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4B9A302F"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4B9A3030" w14:textId="77777777" w:rsidR="002A3970" w:rsidRDefault="00C35E63">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4B9A303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32" w14:textId="77777777" w:rsidR="002A3970" w:rsidRDefault="00C35E63">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4B9A303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34" w14:textId="77777777" w:rsidR="002A3970" w:rsidRDefault="00C35E63">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4B9A303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36" w14:textId="77777777" w:rsidR="002A3970" w:rsidRDefault="00C35E63">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4B9A303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38" w14:textId="77777777" w:rsidR="002A3970" w:rsidRDefault="00C35E63">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4B9A303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3A" w14:textId="77777777" w:rsidR="002A3970" w:rsidRDefault="00C35E63">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4B9A303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3C" w14:textId="77777777" w:rsidR="002A3970" w:rsidRDefault="00C35E63">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4B9A303D" w14:textId="77777777" w:rsidR="002A3970" w:rsidRDefault="002A3970">
            <w:pPr>
              <w:rPr>
                <w:rFonts w:ascii="宋体"/>
                <w:vanish/>
              </w:rPr>
            </w:pPr>
          </w:p>
        </w:tc>
        <w:tc>
          <w:tcPr>
            <w:tcW w:w="0" w:type="auto"/>
            <w:shd w:val="clear" w:color="auto" w:fill="auto"/>
            <w:vAlign w:val="bottom"/>
          </w:tcPr>
          <w:p w14:paraId="4B9A303E" w14:textId="77777777" w:rsidR="002A3970" w:rsidRDefault="002A3970">
            <w:pPr>
              <w:rPr>
                <w:rFonts w:ascii="宋体"/>
                <w:vanish/>
              </w:rPr>
            </w:pPr>
          </w:p>
        </w:tc>
        <w:tc>
          <w:tcPr>
            <w:tcW w:w="0" w:type="auto"/>
            <w:shd w:val="clear" w:color="auto" w:fill="auto"/>
            <w:vAlign w:val="bottom"/>
          </w:tcPr>
          <w:p w14:paraId="4B9A303F" w14:textId="77777777" w:rsidR="002A3970" w:rsidRDefault="002A3970">
            <w:pPr>
              <w:rPr>
                <w:rFonts w:ascii="宋体"/>
                <w:vanish/>
              </w:rPr>
            </w:pPr>
          </w:p>
        </w:tc>
      </w:tr>
      <w:tr w:rsidR="002A3970" w14:paraId="4B9A3054" w14:textId="77777777">
        <w:trPr>
          <w:trHeight w:val="180"/>
        </w:trPr>
        <w:tc>
          <w:tcPr>
            <w:tcW w:w="0" w:type="auto"/>
            <w:gridSpan w:val="3"/>
            <w:vMerge/>
            <w:shd w:val="clear" w:color="auto" w:fill="auto"/>
            <w:tcMar>
              <w:top w:w="40" w:type="dxa"/>
              <w:left w:w="20" w:type="dxa"/>
              <w:bottom w:w="40" w:type="dxa"/>
              <w:right w:w="20" w:type="dxa"/>
            </w:tcMar>
            <w:vAlign w:val="bottom"/>
          </w:tcPr>
          <w:p w14:paraId="4B9A3041"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042" w14:textId="77777777" w:rsidR="002A3970" w:rsidRDefault="00C35E63">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043"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044" w14:textId="77777777" w:rsidR="002A3970" w:rsidRDefault="00C35E63">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4B9A304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46" w14:textId="77777777" w:rsidR="002A3970" w:rsidRDefault="00C35E63">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B9A304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48" w14:textId="77777777" w:rsidR="002A3970" w:rsidRDefault="00C35E63">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4B9A304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4A" w14:textId="77777777" w:rsidR="002A3970" w:rsidRDefault="00C35E63">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4B9A304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4C" w14:textId="77777777" w:rsidR="002A3970" w:rsidRDefault="00C35E63">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4B9A304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4E" w14:textId="77777777" w:rsidR="002A3970" w:rsidRDefault="00C35E63">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4B9A304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050" w14:textId="77777777" w:rsidR="002A3970" w:rsidRDefault="00C35E63">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4B9A3051" w14:textId="77777777" w:rsidR="002A3970" w:rsidRDefault="002A3970">
            <w:pPr>
              <w:rPr>
                <w:rFonts w:ascii="宋体"/>
                <w:vanish/>
              </w:rPr>
            </w:pPr>
          </w:p>
        </w:tc>
        <w:tc>
          <w:tcPr>
            <w:tcW w:w="0" w:type="auto"/>
            <w:shd w:val="clear" w:color="auto" w:fill="auto"/>
            <w:vAlign w:val="bottom"/>
          </w:tcPr>
          <w:p w14:paraId="4B9A3052" w14:textId="77777777" w:rsidR="002A3970" w:rsidRDefault="002A3970">
            <w:pPr>
              <w:rPr>
                <w:rFonts w:ascii="宋体"/>
                <w:vanish/>
              </w:rPr>
            </w:pPr>
          </w:p>
        </w:tc>
        <w:tc>
          <w:tcPr>
            <w:tcW w:w="0" w:type="auto"/>
            <w:shd w:val="clear" w:color="auto" w:fill="auto"/>
            <w:vAlign w:val="bottom"/>
          </w:tcPr>
          <w:p w14:paraId="4B9A3053" w14:textId="77777777" w:rsidR="002A3970" w:rsidRDefault="002A3970">
            <w:pPr>
              <w:rPr>
                <w:rFonts w:ascii="宋体"/>
                <w:vanish/>
              </w:rPr>
            </w:pPr>
          </w:p>
        </w:tc>
      </w:tr>
      <w:tr w:rsidR="00C35E63" w14:paraId="4B9A3077" w14:textId="77777777">
        <w:tc>
          <w:tcPr>
            <w:tcW w:w="0" w:type="auto"/>
            <w:gridSpan w:val="3"/>
            <w:shd w:val="clear" w:color="auto" w:fill="CCEEFF"/>
            <w:tcMar>
              <w:top w:w="40" w:type="dxa"/>
              <w:left w:w="20" w:type="dxa"/>
              <w:bottom w:w="40" w:type="dxa"/>
              <w:right w:w="20" w:type="dxa"/>
            </w:tcMar>
            <w:vAlign w:val="center"/>
          </w:tcPr>
          <w:p w14:paraId="4B9A3055" w14:textId="77777777" w:rsidR="002A3970" w:rsidRDefault="00C35E63">
            <w:pPr>
              <w:textAlignment w:val="center"/>
            </w:pPr>
            <w:r>
              <w:rPr>
                <w:rFonts w:ascii="Times New Roman" w:eastAsia="宋体" w:hAnsi="Times New Roman"/>
                <w:b/>
                <w:bCs/>
                <w:color w:val="000000"/>
                <w:sz w:val="16"/>
                <w:szCs w:val="16"/>
              </w:rPr>
              <w:t>Balances as of February 1, 2022</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056" w14:textId="77777777" w:rsidR="002A3970" w:rsidRDefault="00C35E63">
            <w:pPr>
              <w:jc w:val="right"/>
              <w:textAlignment w:val="center"/>
            </w:pPr>
            <w:r>
              <w:rPr>
                <w:rFonts w:ascii="Times New Roman" w:eastAsia="宋体" w:hAnsi="Times New Roman"/>
                <w:color w:val="000000"/>
                <w:sz w:val="16"/>
                <w:szCs w:val="16"/>
              </w:rPr>
              <w:t>2,761 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5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5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5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5A" w14:textId="77777777" w:rsidR="002A3970" w:rsidRDefault="00C35E63">
            <w:pPr>
              <w:jc w:val="right"/>
              <w:textAlignment w:val="center"/>
            </w:pPr>
            <w:r>
              <w:rPr>
                <w:rFonts w:ascii="Times New Roman" w:eastAsia="宋体" w:hAnsi="Times New Roman"/>
                <w:color w:val="000000"/>
                <w:sz w:val="16"/>
                <w:szCs w:val="16"/>
              </w:rPr>
              <w:t>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5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5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5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5E" w14:textId="77777777" w:rsidR="002A3970" w:rsidRDefault="00C35E63">
            <w:pPr>
              <w:jc w:val="right"/>
              <w:textAlignment w:val="center"/>
            </w:pPr>
            <w:r>
              <w:rPr>
                <w:rFonts w:ascii="Times New Roman" w:eastAsia="宋体" w:hAnsi="Times New Roman"/>
                <w:color w:val="000000"/>
                <w:sz w:val="16"/>
                <w:szCs w:val="16"/>
              </w:rPr>
              <w:t>4,839 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5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6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6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62" w14:textId="77777777" w:rsidR="002A3970" w:rsidRDefault="00C35E63">
            <w:pPr>
              <w:jc w:val="right"/>
              <w:textAlignment w:val="center"/>
            </w:pPr>
            <w:r>
              <w:rPr>
                <w:rFonts w:ascii="Times New Roman" w:eastAsia="宋体" w:hAnsi="Times New Roman"/>
                <w:color w:val="000000"/>
                <w:sz w:val="16"/>
                <w:szCs w:val="16"/>
              </w:rPr>
              <w:t>86,904 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6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6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6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66" w14:textId="77777777" w:rsidR="002A3970" w:rsidRDefault="00C35E63">
            <w:pPr>
              <w:jc w:val="right"/>
              <w:textAlignment w:val="center"/>
            </w:pPr>
            <w:r>
              <w:rPr>
                <w:rFonts w:ascii="Times New Roman" w:eastAsia="宋体" w:hAnsi="Times New Roman"/>
                <w:color w:val="000000"/>
                <w:sz w:val="16"/>
                <w:szCs w:val="16"/>
              </w:rPr>
              <w:t>(8,766)</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6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6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6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6A" w14:textId="77777777" w:rsidR="002A3970" w:rsidRDefault="00C35E63">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6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6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6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6E" w14:textId="77777777" w:rsidR="002A3970" w:rsidRDefault="00C35E63">
            <w:pPr>
              <w:jc w:val="right"/>
              <w:textAlignment w:val="center"/>
            </w:pPr>
            <w:r>
              <w:rPr>
                <w:rFonts w:ascii="Times New Roman" w:eastAsia="宋体" w:hAnsi="Times New Roman"/>
                <w:color w:val="000000"/>
                <w:sz w:val="16"/>
                <w:szCs w:val="16"/>
              </w:rPr>
              <w:t>8,638 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6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7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07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072" w14:textId="77777777" w:rsidR="002A3970" w:rsidRDefault="00C35E63">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073" w14:textId="77777777" w:rsidR="002A3970" w:rsidRDefault="002A3970">
            <w:pPr>
              <w:jc w:val="right"/>
              <w:rPr>
                <w:rFonts w:ascii="宋体"/>
              </w:rPr>
            </w:pPr>
          </w:p>
        </w:tc>
        <w:tc>
          <w:tcPr>
            <w:tcW w:w="0" w:type="auto"/>
            <w:shd w:val="clear" w:color="auto" w:fill="auto"/>
            <w:vAlign w:val="bottom"/>
          </w:tcPr>
          <w:p w14:paraId="4B9A3074" w14:textId="77777777" w:rsidR="002A3970" w:rsidRDefault="002A3970">
            <w:pPr>
              <w:rPr>
                <w:rFonts w:ascii="宋体"/>
                <w:vanish/>
              </w:rPr>
            </w:pPr>
          </w:p>
        </w:tc>
        <w:tc>
          <w:tcPr>
            <w:tcW w:w="0" w:type="auto"/>
            <w:shd w:val="clear" w:color="auto" w:fill="auto"/>
            <w:vAlign w:val="bottom"/>
          </w:tcPr>
          <w:p w14:paraId="4B9A3075" w14:textId="77777777" w:rsidR="002A3970" w:rsidRDefault="002A3970">
            <w:pPr>
              <w:rPr>
                <w:rFonts w:ascii="宋体"/>
                <w:vanish/>
              </w:rPr>
            </w:pPr>
          </w:p>
        </w:tc>
        <w:tc>
          <w:tcPr>
            <w:tcW w:w="0" w:type="auto"/>
            <w:shd w:val="clear" w:color="auto" w:fill="auto"/>
            <w:vAlign w:val="bottom"/>
          </w:tcPr>
          <w:p w14:paraId="4B9A3076" w14:textId="77777777" w:rsidR="002A3970" w:rsidRDefault="002A3970">
            <w:pPr>
              <w:rPr>
                <w:rFonts w:ascii="宋体"/>
                <w:vanish/>
              </w:rPr>
            </w:pPr>
          </w:p>
        </w:tc>
      </w:tr>
      <w:tr w:rsidR="002A3970" w14:paraId="4B9A3093" w14:textId="77777777">
        <w:tc>
          <w:tcPr>
            <w:tcW w:w="0" w:type="auto"/>
            <w:gridSpan w:val="3"/>
            <w:shd w:val="clear" w:color="auto" w:fill="FFFFFF"/>
            <w:tcMar>
              <w:top w:w="40" w:type="dxa"/>
              <w:left w:w="20" w:type="dxa"/>
              <w:bottom w:w="40" w:type="dxa"/>
              <w:right w:w="20" w:type="dxa"/>
            </w:tcMar>
            <w:vAlign w:val="center"/>
          </w:tcPr>
          <w:p w14:paraId="4B9A3078" w14:textId="77777777" w:rsidR="002A3970" w:rsidRDefault="00C35E63">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4B9A307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7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7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7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7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7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7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8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8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82" w14:textId="77777777" w:rsidR="002A3970" w:rsidRDefault="00C35E63">
            <w:pPr>
              <w:jc w:val="right"/>
              <w:textAlignment w:val="center"/>
            </w:pPr>
            <w:r>
              <w:rPr>
                <w:rFonts w:ascii="Times New Roman" w:eastAsia="宋体" w:hAnsi="Times New Roman"/>
                <w:color w:val="000000"/>
                <w:sz w:val="16"/>
                <w:szCs w:val="16"/>
              </w:rPr>
              <w:t>2,054 </w:t>
            </w:r>
          </w:p>
        </w:tc>
        <w:tc>
          <w:tcPr>
            <w:tcW w:w="0" w:type="auto"/>
            <w:shd w:val="clear" w:color="auto" w:fill="FFFFFF"/>
            <w:tcMar>
              <w:top w:w="40" w:type="dxa"/>
              <w:left w:w="0" w:type="dxa"/>
              <w:bottom w:w="40" w:type="dxa"/>
              <w:right w:w="20" w:type="dxa"/>
            </w:tcMar>
            <w:vAlign w:val="center"/>
          </w:tcPr>
          <w:p w14:paraId="4B9A308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8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8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8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8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88" w14:textId="77777777" w:rsidR="002A3970" w:rsidRDefault="00C35E63">
            <w:pPr>
              <w:jc w:val="right"/>
              <w:textAlignment w:val="center"/>
            </w:pPr>
            <w:r>
              <w:rPr>
                <w:rFonts w:ascii="Times New Roman" w:eastAsia="宋体" w:hAnsi="Times New Roman"/>
                <w:color w:val="000000"/>
                <w:sz w:val="16"/>
                <w:szCs w:val="16"/>
              </w:rPr>
              <w:t>2,054 </w:t>
            </w:r>
          </w:p>
        </w:tc>
        <w:tc>
          <w:tcPr>
            <w:tcW w:w="0" w:type="auto"/>
            <w:shd w:val="clear" w:color="auto" w:fill="FFFFFF"/>
            <w:tcMar>
              <w:top w:w="40" w:type="dxa"/>
              <w:left w:w="0" w:type="dxa"/>
              <w:bottom w:w="40" w:type="dxa"/>
              <w:right w:w="20" w:type="dxa"/>
            </w:tcMar>
            <w:vAlign w:val="center"/>
          </w:tcPr>
          <w:p w14:paraId="4B9A308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8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8B" w14:textId="77777777" w:rsidR="002A3970" w:rsidRDefault="00C35E63">
            <w:pPr>
              <w:jc w:val="right"/>
              <w:textAlignment w:val="center"/>
            </w:pPr>
            <w:r>
              <w:rPr>
                <w:rFonts w:ascii="Times New Roman" w:eastAsia="宋体" w:hAnsi="Times New Roman"/>
                <w:color w:val="000000"/>
                <w:sz w:val="16"/>
                <w:szCs w:val="16"/>
              </w:rPr>
              <w:t>49 </w:t>
            </w:r>
          </w:p>
        </w:tc>
        <w:tc>
          <w:tcPr>
            <w:tcW w:w="0" w:type="auto"/>
            <w:shd w:val="clear" w:color="auto" w:fill="FFFFFF"/>
            <w:tcMar>
              <w:top w:w="40" w:type="dxa"/>
              <w:left w:w="0" w:type="dxa"/>
              <w:bottom w:w="40" w:type="dxa"/>
              <w:right w:w="20" w:type="dxa"/>
            </w:tcMar>
            <w:vAlign w:val="center"/>
          </w:tcPr>
          <w:p w14:paraId="4B9A308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8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8E" w14:textId="77777777" w:rsidR="002A3970" w:rsidRDefault="00C35E63">
            <w:pPr>
              <w:jc w:val="right"/>
              <w:textAlignment w:val="center"/>
            </w:pPr>
            <w:r>
              <w:rPr>
                <w:rFonts w:ascii="Times New Roman" w:eastAsia="宋体" w:hAnsi="Times New Roman"/>
                <w:color w:val="000000"/>
                <w:sz w:val="16"/>
                <w:szCs w:val="16"/>
              </w:rPr>
              <w:t>2,103 </w:t>
            </w:r>
          </w:p>
        </w:tc>
        <w:tc>
          <w:tcPr>
            <w:tcW w:w="0" w:type="auto"/>
            <w:shd w:val="clear" w:color="auto" w:fill="FFFFFF"/>
            <w:tcMar>
              <w:top w:w="40" w:type="dxa"/>
              <w:left w:w="0" w:type="dxa"/>
              <w:bottom w:w="40" w:type="dxa"/>
              <w:right w:w="20" w:type="dxa"/>
            </w:tcMar>
            <w:vAlign w:val="center"/>
          </w:tcPr>
          <w:p w14:paraId="4B9A308F" w14:textId="77777777" w:rsidR="002A3970" w:rsidRDefault="002A3970">
            <w:pPr>
              <w:jc w:val="right"/>
              <w:rPr>
                <w:rFonts w:ascii="宋体"/>
              </w:rPr>
            </w:pPr>
          </w:p>
        </w:tc>
        <w:tc>
          <w:tcPr>
            <w:tcW w:w="0" w:type="auto"/>
            <w:shd w:val="clear" w:color="auto" w:fill="auto"/>
            <w:vAlign w:val="bottom"/>
          </w:tcPr>
          <w:p w14:paraId="4B9A3090" w14:textId="77777777" w:rsidR="002A3970" w:rsidRDefault="002A3970">
            <w:pPr>
              <w:rPr>
                <w:rFonts w:ascii="宋体"/>
                <w:vanish/>
              </w:rPr>
            </w:pPr>
          </w:p>
        </w:tc>
        <w:tc>
          <w:tcPr>
            <w:tcW w:w="0" w:type="auto"/>
            <w:shd w:val="clear" w:color="auto" w:fill="auto"/>
            <w:vAlign w:val="bottom"/>
          </w:tcPr>
          <w:p w14:paraId="4B9A3091" w14:textId="77777777" w:rsidR="002A3970" w:rsidRDefault="002A3970">
            <w:pPr>
              <w:rPr>
                <w:rFonts w:ascii="宋体"/>
                <w:vanish/>
              </w:rPr>
            </w:pPr>
          </w:p>
        </w:tc>
        <w:tc>
          <w:tcPr>
            <w:tcW w:w="0" w:type="auto"/>
            <w:shd w:val="clear" w:color="auto" w:fill="auto"/>
            <w:vAlign w:val="bottom"/>
          </w:tcPr>
          <w:p w14:paraId="4B9A3092" w14:textId="77777777" w:rsidR="002A3970" w:rsidRDefault="002A3970">
            <w:pPr>
              <w:rPr>
                <w:rFonts w:ascii="宋体"/>
                <w:vanish/>
              </w:rPr>
            </w:pPr>
          </w:p>
        </w:tc>
      </w:tr>
      <w:tr w:rsidR="002A3970" w14:paraId="4B9A30AF" w14:textId="77777777">
        <w:tc>
          <w:tcPr>
            <w:tcW w:w="0" w:type="auto"/>
            <w:gridSpan w:val="3"/>
            <w:shd w:val="clear" w:color="auto" w:fill="CCEEFF"/>
            <w:tcMar>
              <w:top w:w="40" w:type="dxa"/>
              <w:left w:w="20" w:type="dxa"/>
              <w:bottom w:w="40" w:type="dxa"/>
              <w:right w:w="20" w:type="dxa"/>
            </w:tcMar>
            <w:vAlign w:val="center"/>
          </w:tcPr>
          <w:p w14:paraId="4B9A3094" w14:textId="77777777" w:rsidR="002A3970" w:rsidRDefault="00C35E63">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CCEEFF"/>
            <w:tcMar>
              <w:top w:w="40" w:type="dxa"/>
              <w:left w:w="20" w:type="dxa"/>
              <w:bottom w:w="40" w:type="dxa"/>
              <w:right w:w="0" w:type="dxa"/>
            </w:tcMar>
            <w:vAlign w:val="center"/>
          </w:tcPr>
          <w:p w14:paraId="4B9A309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09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9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98"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09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9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9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09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9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9E"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09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A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A1" w14:textId="77777777" w:rsidR="002A3970" w:rsidRDefault="00C35E63">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4B9A30A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A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A4" w14:textId="77777777" w:rsidR="002A3970" w:rsidRDefault="00C35E63">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4B9A30A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A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A7" w14:textId="77777777" w:rsidR="002A3970" w:rsidRDefault="00C35E63">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B9A30A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A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AA" w14:textId="77777777" w:rsidR="002A3970" w:rsidRDefault="00C35E63">
            <w:pPr>
              <w:jc w:val="right"/>
              <w:textAlignment w:val="center"/>
            </w:pPr>
            <w:r>
              <w:rPr>
                <w:rFonts w:ascii="Times New Roman" w:eastAsia="宋体" w:hAnsi="Times New Roman"/>
                <w:color w:val="000000"/>
                <w:sz w:val="16"/>
                <w:szCs w:val="16"/>
              </w:rPr>
              <w:t>275 </w:t>
            </w:r>
          </w:p>
        </w:tc>
        <w:tc>
          <w:tcPr>
            <w:tcW w:w="0" w:type="auto"/>
            <w:shd w:val="clear" w:color="auto" w:fill="CCEEFF"/>
            <w:tcMar>
              <w:top w:w="40" w:type="dxa"/>
              <w:left w:w="0" w:type="dxa"/>
              <w:bottom w:w="40" w:type="dxa"/>
              <w:right w:w="20" w:type="dxa"/>
            </w:tcMar>
            <w:vAlign w:val="center"/>
          </w:tcPr>
          <w:p w14:paraId="4B9A30AB" w14:textId="77777777" w:rsidR="002A3970" w:rsidRDefault="002A3970">
            <w:pPr>
              <w:jc w:val="right"/>
              <w:rPr>
                <w:rFonts w:ascii="宋体"/>
              </w:rPr>
            </w:pPr>
          </w:p>
        </w:tc>
        <w:tc>
          <w:tcPr>
            <w:tcW w:w="0" w:type="auto"/>
            <w:shd w:val="clear" w:color="auto" w:fill="auto"/>
            <w:vAlign w:val="bottom"/>
          </w:tcPr>
          <w:p w14:paraId="4B9A30AC" w14:textId="77777777" w:rsidR="002A3970" w:rsidRDefault="002A3970">
            <w:pPr>
              <w:rPr>
                <w:rFonts w:ascii="宋体"/>
                <w:vanish/>
              </w:rPr>
            </w:pPr>
          </w:p>
        </w:tc>
        <w:tc>
          <w:tcPr>
            <w:tcW w:w="0" w:type="auto"/>
            <w:shd w:val="clear" w:color="auto" w:fill="auto"/>
            <w:vAlign w:val="bottom"/>
          </w:tcPr>
          <w:p w14:paraId="4B9A30AD" w14:textId="77777777" w:rsidR="002A3970" w:rsidRDefault="002A3970">
            <w:pPr>
              <w:rPr>
                <w:rFonts w:ascii="宋体"/>
                <w:vanish/>
              </w:rPr>
            </w:pPr>
          </w:p>
        </w:tc>
        <w:tc>
          <w:tcPr>
            <w:tcW w:w="0" w:type="auto"/>
            <w:shd w:val="clear" w:color="auto" w:fill="auto"/>
            <w:vAlign w:val="bottom"/>
          </w:tcPr>
          <w:p w14:paraId="4B9A30AE" w14:textId="77777777" w:rsidR="002A3970" w:rsidRDefault="002A3970">
            <w:pPr>
              <w:rPr>
                <w:rFonts w:ascii="宋体"/>
                <w:vanish/>
              </w:rPr>
            </w:pPr>
          </w:p>
        </w:tc>
      </w:tr>
      <w:tr w:rsidR="002A3970" w14:paraId="4B9A30CB" w14:textId="77777777">
        <w:tc>
          <w:tcPr>
            <w:tcW w:w="0" w:type="auto"/>
            <w:gridSpan w:val="3"/>
            <w:shd w:val="clear" w:color="auto" w:fill="FFFFFF"/>
            <w:tcMar>
              <w:top w:w="40" w:type="dxa"/>
              <w:left w:w="20" w:type="dxa"/>
              <w:bottom w:w="40" w:type="dxa"/>
              <w:right w:w="20" w:type="dxa"/>
            </w:tcMar>
            <w:vAlign w:val="center"/>
          </w:tcPr>
          <w:p w14:paraId="4B9A30B0" w14:textId="77777777" w:rsidR="002A3970" w:rsidRDefault="00C35E63">
            <w:pPr>
              <w:textAlignment w:val="center"/>
            </w:pPr>
            <w:r>
              <w:rPr>
                <w:rFonts w:ascii="Times New Roman" w:eastAsia="宋体" w:hAnsi="Times New Roman"/>
                <w:color w:val="000000"/>
                <w:sz w:val="16"/>
                <w:szCs w:val="16"/>
              </w:rPr>
              <w:t>Dividends declared ($2.24 per share)</w:t>
            </w:r>
          </w:p>
        </w:tc>
        <w:tc>
          <w:tcPr>
            <w:tcW w:w="0" w:type="auto"/>
            <w:gridSpan w:val="2"/>
            <w:shd w:val="clear" w:color="auto" w:fill="FFFFFF"/>
            <w:tcMar>
              <w:top w:w="40" w:type="dxa"/>
              <w:left w:w="20" w:type="dxa"/>
              <w:bottom w:w="40" w:type="dxa"/>
              <w:right w:w="0" w:type="dxa"/>
            </w:tcMar>
            <w:vAlign w:val="center"/>
          </w:tcPr>
          <w:p w14:paraId="4B9A30B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B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B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B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B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B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B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B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B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BA" w14:textId="77777777" w:rsidR="002A3970" w:rsidRDefault="00C35E63">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4B9A30B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B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B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B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B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C0" w14:textId="77777777" w:rsidR="002A3970" w:rsidRDefault="00C35E63">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4B9A30C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C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C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C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C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0C6" w14:textId="77777777" w:rsidR="002A3970" w:rsidRDefault="00C35E63">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4B9A30C7" w14:textId="77777777" w:rsidR="002A3970" w:rsidRDefault="002A3970">
            <w:pPr>
              <w:jc w:val="right"/>
              <w:rPr>
                <w:rFonts w:ascii="宋体"/>
              </w:rPr>
            </w:pPr>
          </w:p>
        </w:tc>
        <w:tc>
          <w:tcPr>
            <w:tcW w:w="0" w:type="auto"/>
            <w:shd w:val="clear" w:color="auto" w:fill="auto"/>
            <w:vAlign w:val="bottom"/>
          </w:tcPr>
          <w:p w14:paraId="4B9A30C8" w14:textId="77777777" w:rsidR="002A3970" w:rsidRDefault="002A3970">
            <w:pPr>
              <w:rPr>
                <w:rFonts w:ascii="宋体"/>
                <w:vanish/>
              </w:rPr>
            </w:pPr>
          </w:p>
        </w:tc>
        <w:tc>
          <w:tcPr>
            <w:tcW w:w="0" w:type="auto"/>
            <w:shd w:val="clear" w:color="auto" w:fill="auto"/>
            <w:vAlign w:val="bottom"/>
          </w:tcPr>
          <w:p w14:paraId="4B9A30C9" w14:textId="77777777" w:rsidR="002A3970" w:rsidRDefault="002A3970">
            <w:pPr>
              <w:rPr>
                <w:rFonts w:ascii="宋体"/>
                <w:vanish/>
              </w:rPr>
            </w:pPr>
          </w:p>
        </w:tc>
        <w:tc>
          <w:tcPr>
            <w:tcW w:w="0" w:type="auto"/>
            <w:shd w:val="clear" w:color="auto" w:fill="auto"/>
            <w:vAlign w:val="bottom"/>
          </w:tcPr>
          <w:p w14:paraId="4B9A30CA" w14:textId="77777777" w:rsidR="002A3970" w:rsidRDefault="002A3970">
            <w:pPr>
              <w:rPr>
                <w:rFonts w:ascii="宋体"/>
                <w:vanish/>
              </w:rPr>
            </w:pPr>
          </w:p>
        </w:tc>
      </w:tr>
      <w:tr w:rsidR="002A3970" w14:paraId="4B9A30E7" w14:textId="77777777">
        <w:tc>
          <w:tcPr>
            <w:tcW w:w="0" w:type="auto"/>
            <w:gridSpan w:val="3"/>
            <w:shd w:val="clear" w:color="auto" w:fill="CCEEFF"/>
            <w:tcMar>
              <w:top w:w="40" w:type="dxa"/>
              <w:left w:w="20" w:type="dxa"/>
              <w:bottom w:w="40" w:type="dxa"/>
              <w:right w:w="20" w:type="dxa"/>
            </w:tcMar>
            <w:vAlign w:val="center"/>
          </w:tcPr>
          <w:p w14:paraId="4B9A30CC" w14:textId="77777777" w:rsidR="002A3970" w:rsidRDefault="00C35E63">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B9A30CD" w14:textId="77777777" w:rsidR="002A3970" w:rsidRDefault="00C35E63">
            <w:pPr>
              <w:jc w:val="right"/>
              <w:textAlignment w:val="center"/>
            </w:pPr>
            <w:r>
              <w:rPr>
                <w:rFonts w:ascii="Times New Roman" w:eastAsia="宋体" w:hAnsi="Times New Roman"/>
                <w:color w:val="000000"/>
                <w:sz w:val="16"/>
                <w:szCs w:val="16"/>
              </w:rPr>
              <w:t>(17)</w:t>
            </w:r>
          </w:p>
        </w:tc>
        <w:tc>
          <w:tcPr>
            <w:tcW w:w="0" w:type="auto"/>
            <w:shd w:val="clear" w:color="auto" w:fill="CCEEFF"/>
            <w:tcMar>
              <w:top w:w="40" w:type="dxa"/>
              <w:left w:w="0" w:type="dxa"/>
              <w:bottom w:w="40" w:type="dxa"/>
              <w:right w:w="20" w:type="dxa"/>
            </w:tcMar>
            <w:vAlign w:val="center"/>
          </w:tcPr>
          <w:p w14:paraId="4B9A30C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C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D0" w14:textId="77777777" w:rsidR="002A3970" w:rsidRDefault="00C35E63">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4B9A30D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D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D3" w14:textId="77777777" w:rsidR="002A3970" w:rsidRDefault="00C35E63">
            <w:pPr>
              <w:jc w:val="right"/>
              <w:textAlignment w:val="center"/>
            </w:pPr>
            <w:r>
              <w:rPr>
                <w:rFonts w:ascii="Times New Roman" w:eastAsia="宋体" w:hAnsi="Times New Roman"/>
                <w:color w:val="000000"/>
                <w:sz w:val="16"/>
                <w:szCs w:val="16"/>
              </w:rPr>
              <w:t>(125)</w:t>
            </w:r>
          </w:p>
        </w:tc>
        <w:tc>
          <w:tcPr>
            <w:tcW w:w="0" w:type="auto"/>
            <w:shd w:val="clear" w:color="auto" w:fill="CCEEFF"/>
            <w:tcMar>
              <w:top w:w="40" w:type="dxa"/>
              <w:left w:w="0" w:type="dxa"/>
              <w:bottom w:w="40" w:type="dxa"/>
              <w:right w:w="20" w:type="dxa"/>
            </w:tcMar>
            <w:vAlign w:val="center"/>
          </w:tcPr>
          <w:p w14:paraId="4B9A30D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D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D6" w14:textId="77777777" w:rsidR="002A3970" w:rsidRDefault="00C35E63">
            <w:pPr>
              <w:jc w:val="right"/>
              <w:textAlignment w:val="center"/>
            </w:pPr>
            <w:r>
              <w:rPr>
                <w:rFonts w:ascii="Times New Roman" w:eastAsia="宋体" w:hAnsi="Times New Roman"/>
                <w:color w:val="000000"/>
                <w:sz w:val="16"/>
                <w:szCs w:val="16"/>
              </w:rPr>
              <w:t>(2,249)</w:t>
            </w:r>
          </w:p>
        </w:tc>
        <w:tc>
          <w:tcPr>
            <w:tcW w:w="0" w:type="auto"/>
            <w:shd w:val="clear" w:color="auto" w:fill="CCEEFF"/>
            <w:tcMar>
              <w:top w:w="40" w:type="dxa"/>
              <w:left w:w="0" w:type="dxa"/>
              <w:bottom w:w="40" w:type="dxa"/>
              <w:right w:w="20" w:type="dxa"/>
            </w:tcMar>
            <w:vAlign w:val="center"/>
          </w:tcPr>
          <w:p w14:paraId="4B9A30D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D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D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0D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D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DC" w14:textId="77777777" w:rsidR="002A3970" w:rsidRDefault="00C35E63">
            <w:pPr>
              <w:jc w:val="right"/>
              <w:textAlignment w:val="center"/>
            </w:pPr>
            <w:r>
              <w:rPr>
                <w:rFonts w:ascii="Times New Roman" w:eastAsia="宋体" w:hAnsi="Times New Roman"/>
                <w:color w:val="000000"/>
                <w:sz w:val="16"/>
                <w:szCs w:val="16"/>
              </w:rPr>
              <w:t>(2,376)</w:t>
            </w:r>
          </w:p>
        </w:tc>
        <w:tc>
          <w:tcPr>
            <w:tcW w:w="0" w:type="auto"/>
            <w:shd w:val="clear" w:color="auto" w:fill="CCEEFF"/>
            <w:tcMar>
              <w:top w:w="40" w:type="dxa"/>
              <w:left w:w="0" w:type="dxa"/>
              <w:bottom w:w="40" w:type="dxa"/>
              <w:right w:w="20" w:type="dxa"/>
            </w:tcMar>
            <w:vAlign w:val="center"/>
          </w:tcPr>
          <w:p w14:paraId="4B9A30D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D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D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0E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0E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0E2" w14:textId="77777777" w:rsidR="002A3970" w:rsidRDefault="00C35E63">
            <w:pPr>
              <w:jc w:val="right"/>
              <w:textAlignment w:val="center"/>
            </w:pPr>
            <w:r>
              <w:rPr>
                <w:rFonts w:ascii="Times New Roman" w:eastAsia="宋体" w:hAnsi="Times New Roman"/>
                <w:color w:val="000000"/>
                <w:sz w:val="16"/>
                <w:szCs w:val="16"/>
              </w:rPr>
              <w:t>(2,376)</w:t>
            </w:r>
          </w:p>
        </w:tc>
        <w:tc>
          <w:tcPr>
            <w:tcW w:w="0" w:type="auto"/>
            <w:shd w:val="clear" w:color="auto" w:fill="CCEEFF"/>
            <w:tcMar>
              <w:top w:w="40" w:type="dxa"/>
              <w:left w:w="0" w:type="dxa"/>
              <w:bottom w:w="40" w:type="dxa"/>
              <w:right w:w="20" w:type="dxa"/>
            </w:tcMar>
            <w:vAlign w:val="center"/>
          </w:tcPr>
          <w:p w14:paraId="4B9A30E3" w14:textId="77777777" w:rsidR="002A3970" w:rsidRDefault="002A3970">
            <w:pPr>
              <w:jc w:val="right"/>
              <w:rPr>
                <w:rFonts w:ascii="宋体"/>
              </w:rPr>
            </w:pPr>
          </w:p>
        </w:tc>
        <w:tc>
          <w:tcPr>
            <w:tcW w:w="0" w:type="auto"/>
            <w:shd w:val="clear" w:color="auto" w:fill="auto"/>
            <w:vAlign w:val="bottom"/>
          </w:tcPr>
          <w:p w14:paraId="4B9A30E4" w14:textId="77777777" w:rsidR="002A3970" w:rsidRDefault="002A3970">
            <w:pPr>
              <w:rPr>
                <w:rFonts w:ascii="宋体"/>
                <w:vanish/>
              </w:rPr>
            </w:pPr>
          </w:p>
        </w:tc>
        <w:tc>
          <w:tcPr>
            <w:tcW w:w="0" w:type="auto"/>
            <w:shd w:val="clear" w:color="auto" w:fill="auto"/>
            <w:vAlign w:val="bottom"/>
          </w:tcPr>
          <w:p w14:paraId="4B9A30E5" w14:textId="77777777" w:rsidR="002A3970" w:rsidRDefault="002A3970">
            <w:pPr>
              <w:rPr>
                <w:rFonts w:ascii="宋体"/>
                <w:vanish/>
              </w:rPr>
            </w:pPr>
          </w:p>
        </w:tc>
        <w:tc>
          <w:tcPr>
            <w:tcW w:w="0" w:type="auto"/>
            <w:shd w:val="clear" w:color="auto" w:fill="auto"/>
            <w:vAlign w:val="bottom"/>
          </w:tcPr>
          <w:p w14:paraId="4B9A30E6" w14:textId="77777777" w:rsidR="002A3970" w:rsidRDefault="002A3970">
            <w:pPr>
              <w:rPr>
                <w:rFonts w:ascii="宋体"/>
                <w:vanish/>
              </w:rPr>
            </w:pPr>
          </w:p>
        </w:tc>
      </w:tr>
      <w:tr w:rsidR="002A3970" w14:paraId="4B9A30FB" w14:textId="77777777">
        <w:trPr>
          <w:hidden/>
        </w:trPr>
        <w:tc>
          <w:tcPr>
            <w:tcW w:w="0" w:type="auto"/>
            <w:gridSpan w:val="3"/>
            <w:shd w:val="clear" w:color="auto" w:fill="auto"/>
            <w:vAlign w:val="bottom"/>
          </w:tcPr>
          <w:p w14:paraId="4B9A30E8" w14:textId="77777777" w:rsidR="002A3970" w:rsidRDefault="002A3970">
            <w:pPr>
              <w:rPr>
                <w:rFonts w:ascii="宋体"/>
                <w:vanish/>
              </w:rPr>
            </w:pPr>
          </w:p>
        </w:tc>
        <w:tc>
          <w:tcPr>
            <w:tcW w:w="0" w:type="auto"/>
            <w:gridSpan w:val="3"/>
            <w:shd w:val="clear" w:color="auto" w:fill="auto"/>
            <w:vAlign w:val="bottom"/>
          </w:tcPr>
          <w:p w14:paraId="4B9A30E9" w14:textId="77777777" w:rsidR="002A3970" w:rsidRDefault="002A3970">
            <w:pPr>
              <w:rPr>
                <w:rFonts w:ascii="宋体"/>
                <w:vanish/>
              </w:rPr>
            </w:pPr>
          </w:p>
        </w:tc>
        <w:tc>
          <w:tcPr>
            <w:tcW w:w="0" w:type="auto"/>
            <w:gridSpan w:val="3"/>
            <w:shd w:val="clear" w:color="auto" w:fill="auto"/>
            <w:vAlign w:val="bottom"/>
          </w:tcPr>
          <w:p w14:paraId="4B9A30EA" w14:textId="77777777" w:rsidR="002A3970" w:rsidRDefault="002A3970">
            <w:pPr>
              <w:rPr>
                <w:rFonts w:ascii="宋体"/>
                <w:vanish/>
              </w:rPr>
            </w:pPr>
          </w:p>
        </w:tc>
        <w:tc>
          <w:tcPr>
            <w:tcW w:w="0" w:type="auto"/>
            <w:gridSpan w:val="3"/>
            <w:shd w:val="clear" w:color="auto" w:fill="auto"/>
            <w:vAlign w:val="bottom"/>
          </w:tcPr>
          <w:p w14:paraId="4B9A30EB" w14:textId="77777777" w:rsidR="002A3970" w:rsidRDefault="002A3970">
            <w:pPr>
              <w:rPr>
                <w:rFonts w:ascii="宋体"/>
                <w:vanish/>
              </w:rPr>
            </w:pPr>
          </w:p>
        </w:tc>
        <w:tc>
          <w:tcPr>
            <w:tcW w:w="0" w:type="auto"/>
            <w:gridSpan w:val="3"/>
            <w:shd w:val="clear" w:color="auto" w:fill="auto"/>
            <w:vAlign w:val="bottom"/>
          </w:tcPr>
          <w:p w14:paraId="4B9A30EC" w14:textId="77777777" w:rsidR="002A3970" w:rsidRDefault="002A3970">
            <w:pPr>
              <w:rPr>
                <w:rFonts w:ascii="宋体"/>
                <w:vanish/>
              </w:rPr>
            </w:pPr>
          </w:p>
        </w:tc>
        <w:tc>
          <w:tcPr>
            <w:tcW w:w="0" w:type="auto"/>
            <w:gridSpan w:val="3"/>
            <w:shd w:val="clear" w:color="auto" w:fill="auto"/>
            <w:vAlign w:val="bottom"/>
          </w:tcPr>
          <w:p w14:paraId="4B9A30ED" w14:textId="77777777" w:rsidR="002A3970" w:rsidRDefault="002A3970">
            <w:pPr>
              <w:rPr>
                <w:rFonts w:ascii="宋体"/>
                <w:vanish/>
              </w:rPr>
            </w:pPr>
          </w:p>
        </w:tc>
        <w:tc>
          <w:tcPr>
            <w:tcW w:w="0" w:type="auto"/>
            <w:gridSpan w:val="3"/>
            <w:shd w:val="clear" w:color="auto" w:fill="auto"/>
            <w:vAlign w:val="bottom"/>
          </w:tcPr>
          <w:p w14:paraId="4B9A30EE" w14:textId="77777777" w:rsidR="002A3970" w:rsidRDefault="002A3970">
            <w:pPr>
              <w:rPr>
                <w:rFonts w:ascii="宋体"/>
                <w:vanish/>
              </w:rPr>
            </w:pPr>
          </w:p>
        </w:tc>
        <w:tc>
          <w:tcPr>
            <w:tcW w:w="0" w:type="auto"/>
            <w:gridSpan w:val="3"/>
            <w:shd w:val="clear" w:color="auto" w:fill="auto"/>
            <w:vAlign w:val="bottom"/>
          </w:tcPr>
          <w:p w14:paraId="4B9A30EF" w14:textId="77777777" w:rsidR="002A3970" w:rsidRDefault="002A3970">
            <w:pPr>
              <w:rPr>
                <w:rFonts w:ascii="宋体"/>
                <w:vanish/>
              </w:rPr>
            </w:pPr>
          </w:p>
        </w:tc>
        <w:tc>
          <w:tcPr>
            <w:tcW w:w="0" w:type="auto"/>
            <w:gridSpan w:val="3"/>
            <w:shd w:val="clear" w:color="auto" w:fill="auto"/>
            <w:vAlign w:val="bottom"/>
          </w:tcPr>
          <w:p w14:paraId="4B9A30F0" w14:textId="77777777" w:rsidR="002A3970" w:rsidRDefault="002A3970">
            <w:pPr>
              <w:rPr>
                <w:rFonts w:ascii="宋体"/>
                <w:vanish/>
              </w:rPr>
            </w:pPr>
          </w:p>
        </w:tc>
        <w:tc>
          <w:tcPr>
            <w:tcW w:w="0" w:type="auto"/>
            <w:gridSpan w:val="3"/>
            <w:shd w:val="clear" w:color="auto" w:fill="auto"/>
            <w:vAlign w:val="bottom"/>
          </w:tcPr>
          <w:p w14:paraId="4B9A30F1" w14:textId="77777777" w:rsidR="002A3970" w:rsidRDefault="002A3970">
            <w:pPr>
              <w:rPr>
                <w:rFonts w:ascii="宋体"/>
                <w:vanish/>
              </w:rPr>
            </w:pPr>
          </w:p>
        </w:tc>
        <w:tc>
          <w:tcPr>
            <w:tcW w:w="0" w:type="auto"/>
            <w:gridSpan w:val="3"/>
            <w:shd w:val="clear" w:color="auto" w:fill="auto"/>
            <w:vAlign w:val="bottom"/>
          </w:tcPr>
          <w:p w14:paraId="4B9A30F2" w14:textId="77777777" w:rsidR="002A3970" w:rsidRDefault="002A3970">
            <w:pPr>
              <w:rPr>
                <w:rFonts w:ascii="宋体"/>
                <w:vanish/>
              </w:rPr>
            </w:pPr>
          </w:p>
        </w:tc>
        <w:tc>
          <w:tcPr>
            <w:tcW w:w="0" w:type="auto"/>
            <w:gridSpan w:val="3"/>
            <w:shd w:val="clear" w:color="auto" w:fill="auto"/>
            <w:vAlign w:val="bottom"/>
          </w:tcPr>
          <w:p w14:paraId="4B9A30F3" w14:textId="77777777" w:rsidR="002A3970" w:rsidRDefault="002A3970">
            <w:pPr>
              <w:rPr>
                <w:rFonts w:ascii="宋体"/>
                <w:vanish/>
              </w:rPr>
            </w:pPr>
          </w:p>
        </w:tc>
        <w:tc>
          <w:tcPr>
            <w:tcW w:w="0" w:type="auto"/>
            <w:gridSpan w:val="3"/>
            <w:shd w:val="clear" w:color="auto" w:fill="auto"/>
            <w:vAlign w:val="bottom"/>
          </w:tcPr>
          <w:p w14:paraId="4B9A30F4" w14:textId="77777777" w:rsidR="002A3970" w:rsidRDefault="002A3970">
            <w:pPr>
              <w:rPr>
                <w:rFonts w:ascii="宋体"/>
                <w:vanish/>
              </w:rPr>
            </w:pPr>
          </w:p>
        </w:tc>
        <w:tc>
          <w:tcPr>
            <w:tcW w:w="0" w:type="auto"/>
            <w:gridSpan w:val="3"/>
            <w:shd w:val="clear" w:color="auto" w:fill="auto"/>
            <w:vAlign w:val="bottom"/>
          </w:tcPr>
          <w:p w14:paraId="4B9A30F5" w14:textId="77777777" w:rsidR="002A3970" w:rsidRDefault="002A3970">
            <w:pPr>
              <w:rPr>
                <w:rFonts w:ascii="宋体"/>
                <w:vanish/>
              </w:rPr>
            </w:pPr>
          </w:p>
        </w:tc>
        <w:tc>
          <w:tcPr>
            <w:tcW w:w="0" w:type="auto"/>
            <w:gridSpan w:val="3"/>
            <w:shd w:val="clear" w:color="auto" w:fill="auto"/>
            <w:vAlign w:val="bottom"/>
          </w:tcPr>
          <w:p w14:paraId="4B9A30F6" w14:textId="77777777" w:rsidR="002A3970" w:rsidRDefault="002A3970">
            <w:pPr>
              <w:rPr>
                <w:rFonts w:ascii="宋体"/>
                <w:vanish/>
              </w:rPr>
            </w:pPr>
          </w:p>
        </w:tc>
        <w:tc>
          <w:tcPr>
            <w:tcW w:w="0" w:type="auto"/>
            <w:gridSpan w:val="3"/>
            <w:shd w:val="clear" w:color="auto" w:fill="auto"/>
            <w:vAlign w:val="bottom"/>
          </w:tcPr>
          <w:p w14:paraId="4B9A30F7" w14:textId="77777777" w:rsidR="002A3970" w:rsidRDefault="002A3970">
            <w:pPr>
              <w:rPr>
                <w:rFonts w:ascii="宋体"/>
                <w:vanish/>
              </w:rPr>
            </w:pPr>
          </w:p>
        </w:tc>
        <w:tc>
          <w:tcPr>
            <w:tcW w:w="0" w:type="auto"/>
            <w:shd w:val="clear" w:color="auto" w:fill="auto"/>
            <w:vAlign w:val="bottom"/>
          </w:tcPr>
          <w:p w14:paraId="4B9A30F8" w14:textId="77777777" w:rsidR="002A3970" w:rsidRDefault="002A3970">
            <w:pPr>
              <w:rPr>
                <w:rFonts w:ascii="宋体"/>
                <w:vanish/>
              </w:rPr>
            </w:pPr>
          </w:p>
        </w:tc>
        <w:tc>
          <w:tcPr>
            <w:tcW w:w="0" w:type="auto"/>
            <w:shd w:val="clear" w:color="auto" w:fill="auto"/>
            <w:vAlign w:val="bottom"/>
          </w:tcPr>
          <w:p w14:paraId="4B9A30F9" w14:textId="77777777" w:rsidR="002A3970" w:rsidRDefault="002A3970">
            <w:pPr>
              <w:rPr>
                <w:rFonts w:ascii="宋体"/>
                <w:vanish/>
              </w:rPr>
            </w:pPr>
          </w:p>
        </w:tc>
        <w:tc>
          <w:tcPr>
            <w:tcW w:w="0" w:type="auto"/>
            <w:shd w:val="clear" w:color="auto" w:fill="auto"/>
            <w:vAlign w:val="bottom"/>
          </w:tcPr>
          <w:p w14:paraId="4B9A30FA" w14:textId="77777777" w:rsidR="002A3970" w:rsidRDefault="002A3970">
            <w:pPr>
              <w:rPr>
                <w:rFonts w:ascii="宋体"/>
                <w:vanish/>
              </w:rPr>
            </w:pPr>
          </w:p>
        </w:tc>
      </w:tr>
      <w:tr w:rsidR="002A3970" w14:paraId="4B9A3117" w14:textId="77777777">
        <w:tc>
          <w:tcPr>
            <w:tcW w:w="0" w:type="auto"/>
            <w:gridSpan w:val="3"/>
            <w:shd w:val="clear" w:color="auto" w:fill="FFFFFF"/>
            <w:tcMar>
              <w:top w:w="40" w:type="dxa"/>
              <w:left w:w="20" w:type="dxa"/>
              <w:bottom w:w="40" w:type="dxa"/>
              <w:right w:w="20" w:type="dxa"/>
            </w:tcMar>
            <w:vAlign w:val="center"/>
          </w:tcPr>
          <w:p w14:paraId="4B9A30FC"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4B9A30F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0F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0F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0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0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0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03" w14:textId="77777777" w:rsidR="002A3970" w:rsidRDefault="00C35E63">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B9A310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0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0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0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0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0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0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0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0C" w14:textId="77777777" w:rsidR="002A3970" w:rsidRDefault="00C35E63">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B9A310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0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0F" w14:textId="77777777" w:rsidR="002A3970" w:rsidRDefault="00C35E63">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4B9A311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1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12" w14:textId="77777777" w:rsidR="002A3970" w:rsidRDefault="00C35E63">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4B9A3113" w14:textId="77777777" w:rsidR="002A3970" w:rsidRDefault="002A3970">
            <w:pPr>
              <w:jc w:val="right"/>
              <w:rPr>
                <w:rFonts w:ascii="宋体"/>
              </w:rPr>
            </w:pPr>
          </w:p>
        </w:tc>
        <w:tc>
          <w:tcPr>
            <w:tcW w:w="0" w:type="auto"/>
            <w:shd w:val="clear" w:color="auto" w:fill="auto"/>
            <w:vAlign w:val="bottom"/>
          </w:tcPr>
          <w:p w14:paraId="4B9A3114" w14:textId="77777777" w:rsidR="002A3970" w:rsidRDefault="002A3970">
            <w:pPr>
              <w:rPr>
                <w:rFonts w:ascii="宋体"/>
                <w:vanish/>
              </w:rPr>
            </w:pPr>
          </w:p>
        </w:tc>
        <w:tc>
          <w:tcPr>
            <w:tcW w:w="0" w:type="auto"/>
            <w:shd w:val="clear" w:color="auto" w:fill="auto"/>
            <w:vAlign w:val="bottom"/>
          </w:tcPr>
          <w:p w14:paraId="4B9A3115" w14:textId="77777777" w:rsidR="002A3970" w:rsidRDefault="002A3970">
            <w:pPr>
              <w:rPr>
                <w:rFonts w:ascii="宋体"/>
                <w:vanish/>
              </w:rPr>
            </w:pPr>
          </w:p>
        </w:tc>
        <w:tc>
          <w:tcPr>
            <w:tcW w:w="0" w:type="auto"/>
            <w:shd w:val="clear" w:color="auto" w:fill="auto"/>
            <w:vAlign w:val="bottom"/>
          </w:tcPr>
          <w:p w14:paraId="4B9A3116" w14:textId="77777777" w:rsidR="002A3970" w:rsidRDefault="002A3970">
            <w:pPr>
              <w:rPr>
                <w:rFonts w:ascii="宋体"/>
                <w:vanish/>
              </w:rPr>
            </w:pPr>
          </w:p>
        </w:tc>
      </w:tr>
      <w:tr w:rsidR="002A3970" w14:paraId="4B9A3133" w14:textId="77777777">
        <w:tc>
          <w:tcPr>
            <w:tcW w:w="0" w:type="auto"/>
            <w:gridSpan w:val="3"/>
            <w:shd w:val="clear" w:color="auto" w:fill="CCEEFF"/>
            <w:tcMar>
              <w:top w:w="40" w:type="dxa"/>
              <w:left w:w="20" w:type="dxa"/>
              <w:bottom w:w="40" w:type="dxa"/>
              <w:right w:w="20" w:type="dxa"/>
            </w:tcMar>
            <w:vAlign w:val="center"/>
          </w:tcPr>
          <w:p w14:paraId="4B9A3118" w14:textId="77777777" w:rsidR="002A3970" w:rsidRDefault="00C35E63">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B9A3119" w14:textId="77777777" w:rsidR="002A3970" w:rsidRDefault="00C35E63">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4B9A311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1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1C" w14:textId="77777777" w:rsidR="002A3970" w:rsidRDefault="00C35E63">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B9A311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1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1F" w14:textId="77777777" w:rsidR="002A3970" w:rsidRDefault="00C35E63">
            <w:pPr>
              <w:jc w:val="right"/>
              <w:textAlignment w:val="center"/>
            </w:pPr>
            <w:r>
              <w:rPr>
                <w:rFonts w:ascii="Times New Roman" w:eastAsia="宋体" w:hAnsi="Times New Roman"/>
                <w:color w:val="000000"/>
                <w:sz w:val="16"/>
                <w:szCs w:val="16"/>
              </w:rPr>
              <w:t>(151)</w:t>
            </w:r>
          </w:p>
        </w:tc>
        <w:tc>
          <w:tcPr>
            <w:tcW w:w="0" w:type="auto"/>
            <w:shd w:val="clear" w:color="auto" w:fill="CCEEFF"/>
            <w:tcMar>
              <w:top w:w="40" w:type="dxa"/>
              <w:left w:w="0" w:type="dxa"/>
              <w:bottom w:w="40" w:type="dxa"/>
              <w:right w:w="20" w:type="dxa"/>
            </w:tcMar>
            <w:vAlign w:val="center"/>
          </w:tcPr>
          <w:p w14:paraId="4B9A312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2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22" w14:textId="77777777" w:rsidR="002A3970" w:rsidRDefault="00C35E63">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4B9A312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2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2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2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2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28" w14:textId="77777777" w:rsidR="002A3970" w:rsidRDefault="00C35E63">
            <w:pPr>
              <w:jc w:val="right"/>
              <w:textAlignment w:val="center"/>
            </w:pPr>
            <w:r>
              <w:rPr>
                <w:rFonts w:ascii="Times New Roman" w:eastAsia="宋体" w:hAnsi="Times New Roman"/>
                <w:color w:val="000000"/>
                <w:sz w:val="16"/>
                <w:szCs w:val="16"/>
              </w:rPr>
              <w:t>(154)</w:t>
            </w:r>
          </w:p>
        </w:tc>
        <w:tc>
          <w:tcPr>
            <w:tcW w:w="0" w:type="auto"/>
            <w:shd w:val="clear" w:color="auto" w:fill="CCEEFF"/>
            <w:tcMar>
              <w:top w:w="40" w:type="dxa"/>
              <w:left w:w="0" w:type="dxa"/>
              <w:bottom w:w="40" w:type="dxa"/>
              <w:right w:w="20" w:type="dxa"/>
            </w:tcMar>
            <w:vAlign w:val="center"/>
          </w:tcPr>
          <w:p w14:paraId="4B9A312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2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2B" w14:textId="77777777" w:rsidR="002A3970" w:rsidRDefault="00C35E63">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4B9A312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2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2E" w14:textId="77777777" w:rsidR="002A3970" w:rsidRDefault="00C35E63">
            <w:pPr>
              <w:jc w:val="right"/>
              <w:textAlignment w:val="center"/>
            </w:pPr>
            <w:r>
              <w:rPr>
                <w:rFonts w:ascii="Times New Roman" w:eastAsia="宋体" w:hAnsi="Times New Roman"/>
                <w:color w:val="000000"/>
                <w:sz w:val="16"/>
                <w:szCs w:val="16"/>
              </w:rPr>
              <w:t>(155)</w:t>
            </w:r>
          </w:p>
        </w:tc>
        <w:tc>
          <w:tcPr>
            <w:tcW w:w="0" w:type="auto"/>
            <w:shd w:val="clear" w:color="auto" w:fill="CCEEFF"/>
            <w:tcMar>
              <w:top w:w="40" w:type="dxa"/>
              <w:left w:w="0" w:type="dxa"/>
              <w:bottom w:w="40" w:type="dxa"/>
              <w:right w:w="20" w:type="dxa"/>
            </w:tcMar>
            <w:vAlign w:val="center"/>
          </w:tcPr>
          <w:p w14:paraId="4B9A312F" w14:textId="77777777" w:rsidR="002A3970" w:rsidRDefault="002A3970">
            <w:pPr>
              <w:jc w:val="right"/>
              <w:rPr>
                <w:rFonts w:ascii="宋体"/>
              </w:rPr>
            </w:pPr>
          </w:p>
        </w:tc>
        <w:tc>
          <w:tcPr>
            <w:tcW w:w="0" w:type="auto"/>
            <w:shd w:val="clear" w:color="auto" w:fill="auto"/>
            <w:vAlign w:val="bottom"/>
          </w:tcPr>
          <w:p w14:paraId="4B9A3130" w14:textId="77777777" w:rsidR="002A3970" w:rsidRDefault="002A3970">
            <w:pPr>
              <w:rPr>
                <w:rFonts w:ascii="宋体"/>
                <w:vanish/>
              </w:rPr>
            </w:pPr>
          </w:p>
        </w:tc>
        <w:tc>
          <w:tcPr>
            <w:tcW w:w="0" w:type="auto"/>
            <w:shd w:val="clear" w:color="auto" w:fill="auto"/>
            <w:vAlign w:val="bottom"/>
          </w:tcPr>
          <w:p w14:paraId="4B9A3131" w14:textId="77777777" w:rsidR="002A3970" w:rsidRDefault="002A3970">
            <w:pPr>
              <w:rPr>
                <w:rFonts w:ascii="宋体"/>
                <w:vanish/>
              </w:rPr>
            </w:pPr>
          </w:p>
        </w:tc>
        <w:tc>
          <w:tcPr>
            <w:tcW w:w="0" w:type="auto"/>
            <w:shd w:val="clear" w:color="auto" w:fill="auto"/>
            <w:vAlign w:val="bottom"/>
          </w:tcPr>
          <w:p w14:paraId="4B9A3132" w14:textId="77777777" w:rsidR="002A3970" w:rsidRDefault="002A3970">
            <w:pPr>
              <w:rPr>
                <w:rFonts w:ascii="宋体"/>
                <w:vanish/>
              </w:rPr>
            </w:pPr>
          </w:p>
        </w:tc>
      </w:tr>
      <w:tr w:rsidR="00C35E63" w14:paraId="4B9A3156" w14:textId="77777777">
        <w:tc>
          <w:tcPr>
            <w:tcW w:w="0" w:type="auto"/>
            <w:gridSpan w:val="3"/>
            <w:shd w:val="clear" w:color="auto" w:fill="FFFFFF"/>
            <w:tcMar>
              <w:top w:w="40" w:type="dxa"/>
              <w:left w:w="20" w:type="dxa"/>
              <w:bottom w:w="40" w:type="dxa"/>
              <w:right w:w="20" w:type="dxa"/>
            </w:tcMar>
            <w:vAlign w:val="center"/>
          </w:tcPr>
          <w:p w14:paraId="4B9A3134" w14:textId="77777777" w:rsidR="002A3970" w:rsidRDefault="00C35E63">
            <w:pPr>
              <w:textAlignment w:val="center"/>
            </w:pPr>
            <w:r>
              <w:rPr>
                <w:rFonts w:ascii="Times New Roman" w:eastAsia="宋体" w:hAnsi="Times New Roman"/>
                <w:b/>
                <w:bCs/>
                <w:color w:val="000000"/>
                <w:sz w:val="16"/>
                <w:szCs w:val="16"/>
              </w:rPr>
              <w:t>Balances as of April 30, 2022</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135" w14:textId="77777777" w:rsidR="002A3970" w:rsidRDefault="00C35E63">
            <w:pPr>
              <w:jc w:val="right"/>
              <w:textAlignment w:val="center"/>
            </w:pPr>
            <w:r>
              <w:rPr>
                <w:rFonts w:ascii="Times New Roman" w:eastAsia="宋体" w:hAnsi="Times New Roman"/>
                <w:color w:val="000000"/>
                <w:sz w:val="16"/>
                <w:szCs w:val="16"/>
              </w:rPr>
              <w:t>2,748 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3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37"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3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39" w14:textId="77777777" w:rsidR="002A3970" w:rsidRDefault="00C35E63">
            <w:pPr>
              <w:jc w:val="right"/>
              <w:textAlignment w:val="center"/>
            </w:pPr>
            <w:r>
              <w:rPr>
                <w:rFonts w:ascii="Times New Roman" w:eastAsia="宋体" w:hAnsi="Times New Roman"/>
                <w:color w:val="000000"/>
                <w:sz w:val="16"/>
                <w:szCs w:val="16"/>
              </w:rPr>
              <w:t>275 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3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3B"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3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3D" w14:textId="77777777" w:rsidR="002A3970" w:rsidRDefault="00C35E63">
            <w:pPr>
              <w:jc w:val="right"/>
              <w:textAlignment w:val="center"/>
            </w:pPr>
            <w:r>
              <w:rPr>
                <w:rFonts w:ascii="Times New Roman" w:eastAsia="宋体" w:hAnsi="Times New Roman"/>
                <w:color w:val="000000"/>
                <w:sz w:val="16"/>
                <w:szCs w:val="16"/>
              </w:rPr>
              <w:t>4,587 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3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3F"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4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41" w14:textId="77777777" w:rsidR="002A3970" w:rsidRDefault="00C35E63">
            <w:pPr>
              <w:jc w:val="right"/>
              <w:textAlignment w:val="center"/>
            </w:pPr>
            <w:r>
              <w:rPr>
                <w:rFonts w:ascii="Times New Roman" w:eastAsia="宋体" w:hAnsi="Times New Roman"/>
                <w:color w:val="000000"/>
                <w:sz w:val="16"/>
                <w:szCs w:val="16"/>
              </w:rPr>
              <w:t>80,532 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4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43"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4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45" w14:textId="77777777" w:rsidR="002A3970" w:rsidRDefault="00C35E63">
            <w:pPr>
              <w:jc w:val="right"/>
              <w:textAlignment w:val="center"/>
            </w:pPr>
            <w:r>
              <w:rPr>
                <w:rFonts w:ascii="Times New Roman" w:eastAsia="宋体" w:hAnsi="Times New Roman"/>
                <w:color w:val="000000"/>
                <w:sz w:val="16"/>
                <w:szCs w:val="16"/>
              </w:rPr>
              <w:t>(8,498)</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4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47"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4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49" w14:textId="77777777" w:rsidR="002A3970" w:rsidRDefault="00C35E63">
            <w:pPr>
              <w:jc w:val="right"/>
              <w:textAlignment w:val="center"/>
            </w:pPr>
            <w:r>
              <w:rPr>
                <w:rFonts w:ascii="Times New Roman" w:eastAsia="宋体" w:hAnsi="Times New Roman"/>
                <w:color w:val="000000"/>
                <w:sz w:val="16"/>
                <w:szCs w:val="16"/>
              </w:rPr>
              <w:t>76,896 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4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4B"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4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4D" w14:textId="77777777" w:rsidR="002A3970" w:rsidRDefault="00C35E63">
            <w:pPr>
              <w:jc w:val="right"/>
              <w:textAlignment w:val="center"/>
            </w:pPr>
            <w:r>
              <w:rPr>
                <w:rFonts w:ascii="Times New Roman" w:eastAsia="宋体" w:hAnsi="Times New Roman"/>
                <w:color w:val="000000"/>
                <w:sz w:val="16"/>
                <w:szCs w:val="16"/>
              </w:rPr>
              <w:t>8,704 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4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4F"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15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151" w14:textId="77777777" w:rsidR="002A3970" w:rsidRDefault="00C35E63">
            <w:pPr>
              <w:jc w:val="right"/>
              <w:textAlignment w:val="center"/>
            </w:pPr>
            <w:r>
              <w:rPr>
                <w:rFonts w:ascii="Times New Roman" w:eastAsia="宋体" w:hAnsi="Times New Roman"/>
                <w:color w:val="000000"/>
                <w:sz w:val="16"/>
                <w:szCs w:val="16"/>
              </w:rPr>
              <w:t>85,600 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152" w14:textId="77777777" w:rsidR="002A3970" w:rsidRDefault="002A3970">
            <w:pPr>
              <w:jc w:val="right"/>
              <w:rPr>
                <w:rFonts w:ascii="宋体"/>
              </w:rPr>
            </w:pPr>
          </w:p>
        </w:tc>
        <w:tc>
          <w:tcPr>
            <w:tcW w:w="0" w:type="auto"/>
            <w:shd w:val="clear" w:color="auto" w:fill="auto"/>
            <w:vAlign w:val="bottom"/>
          </w:tcPr>
          <w:p w14:paraId="4B9A3153" w14:textId="77777777" w:rsidR="002A3970" w:rsidRDefault="002A3970">
            <w:pPr>
              <w:rPr>
                <w:rFonts w:ascii="宋体"/>
                <w:vanish/>
              </w:rPr>
            </w:pPr>
          </w:p>
        </w:tc>
        <w:tc>
          <w:tcPr>
            <w:tcW w:w="0" w:type="auto"/>
            <w:shd w:val="clear" w:color="auto" w:fill="auto"/>
            <w:vAlign w:val="bottom"/>
          </w:tcPr>
          <w:p w14:paraId="4B9A3154" w14:textId="77777777" w:rsidR="002A3970" w:rsidRDefault="002A3970">
            <w:pPr>
              <w:rPr>
                <w:rFonts w:ascii="宋体"/>
                <w:vanish/>
              </w:rPr>
            </w:pPr>
          </w:p>
        </w:tc>
        <w:tc>
          <w:tcPr>
            <w:tcW w:w="0" w:type="auto"/>
            <w:shd w:val="clear" w:color="auto" w:fill="auto"/>
            <w:vAlign w:val="bottom"/>
          </w:tcPr>
          <w:p w14:paraId="4B9A3155" w14:textId="77777777" w:rsidR="002A3970" w:rsidRDefault="002A3970">
            <w:pPr>
              <w:rPr>
                <w:rFonts w:ascii="宋体"/>
                <w:vanish/>
              </w:rPr>
            </w:pPr>
          </w:p>
        </w:tc>
      </w:tr>
      <w:tr w:rsidR="002A3970" w14:paraId="4B9A3172" w14:textId="77777777">
        <w:tc>
          <w:tcPr>
            <w:tcW w:w="0" w:type="auto"/>
            <w:gridSpan w:val="3"/>
            <w:shd w:val="clear" w:color="auto" w:fill="CCEEFF"/>
            <w:tcMar>
              <w:top w:w="40" w:type="dxa"/>
              <w:left w:w="20" w:type="dxa"/>
              <w:bottom w:w="40" w:type="dxa"/>
              <w:right w:w="20" w:type="dxa"/>
            </w:tcMar>
            <w:vAlign w:val="center"/>
          </w:tcPr>
          <w:p w14:paraId="4B9A3157" w14:textId="77777777" w:rsidR="002A3970" w:rsidRDefault="00C35E63">
            <w:pPr>
              <w:textAlignment w:val="center"/>
            </w:pPr>
            <w:r>
              <w:rPr>
                <w:rFonts w:ascii="Times New Roman" w:eastAsia="宋体" w:hAnsi="Times New Roman"/>
                <w:color w:val="000000"/>
                <w:sz w:val="16"/>
                <w:szCs w:val="16"/>
              </w:rPr>
              <w:t>Consolidated n</w:t>
            </w:r>
            <w:r>
              <w:rPr>
                <w:rFonts w:ascii="Times New Roman" w:eastAsia="宋体" w:hAnsi="Times New Roman"/>
                <w:color w:val="000000"/>
                <w:sz w:val="16"/>
                <w:szCs w:val="16"/>
              </w:rPr>
              <w:t>et income (loss)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58"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5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5A"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5B"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5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5D"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5E"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5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60"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61" w14:textId="77777777" w:rsidR="002A3970" w:rsidRDefault="00C35E63">
            <w:pPr>
              <w:jc w:val="right"/>
              <w:textAlignment w:val="center"/>
            </w:pPr>
            <w:r>
              <w:rPr>
                <w:rFonts w:ascii="Times New Roman" w:eastAsia="宋体" w:hAnsi="Times New Roman"/>
                <w:color w:val="000000"/>
                <w:sz w:val="16"/>
                <w:szCs w:val="16"/>
              </w:rPr>
              <w:t>5,149 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6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63"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64"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6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66"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67" w14:textId="77777777" w:rsidR="002A3970" w:rsidRDefault="00C35E63">
            <w:pPr>
              <w:jc w:val="right"/>
              <w:textAlignment w:val="center"/>
            </w:pPr>
            <w:r>
              <w:rPr>
                <w:rFonts w:ascii="Times New Roman" w:eastAsia="宋体" w:hAnsi="Times New Roman"/>
                <w:color w:val="000000"/>
                <w:sz w:val="16"/>
                <w:szCs w:val="16"/>
              </w:rPr>
              <w:t>5,149 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6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69"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6A" w14:textId="77777777" w:rsidR="002A3970" w:rsidRDefault="00C35E63">
            <w:pPr>
              <w:jc w:val="right"/>
              <w:textAlignment w:val="center"/>
            </w:pPr>
            <w:r>
              <w:rPr>
                <w:rFonts w:ascii="Times New Roman" w:eastAsia="宋体" w:hAnsi="Times New Roman"/>
                <w:color w:val="000000"/>
                <w:sz w:val="16"/>
                <w:szCs w:val="16"/>
              </w:rPr>
              <w:t>(2)</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6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6C"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16D" w14:textId="77777777" w:rsidR="002A3970" w:rsidRDefault="00C35E63">
            <w:pPr>
              <w:jc w:val="right"/>
              <w:textAlignment w:val="center"/>
            </w:pPr>
            <w:r>
              <w:rPr>
                <w:rFonts w:ascii="Times New Roman" w:eastAsia="宋体" w:hAnsi="Times New Roman"/>
                <w:color w:val="000000"/>
                <w:sz w:val="16"/>
                <w:szCs w:val="16"/>
              </w:rPr>
              <w:t>5,147 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16E" w14:textId="77777777" w:rsidR="002A3970" w:rsidRDefault="002A3970">
            <w:pPr>
              <w:jc w:val="right"/>
              <w:rPr>
                <w:rFonts w:ascii="宋体"/>
              </w:rPr>
            </w:pPr>
          </w:p>
        </w:tc>
        <w:tc>
          <w:tcPr>
            <w:tcW w:w="0" w:type="auto"/>
            <w:shd w:val="clear" w:color="auto" w:fill="auto"/>
            <w:vAlign w:val="bottom"/>
          </w:tcPr>
          <w:p w14:paraId="4B9A316F" w14:textId="77777777" w:rsidR="002A3970" w:rsidRDefault="002A3970">
            <w:pPr>
              <w:rPr>
                <w:rFonts w:ascii="宋体"/>
                <w:vanish/>
              </w:rPr>
            </w:pPr>
          </w:p>
        </w:tc>
        <w:tc>
          <w:tcPr>
            <w:tcW w:w="0" w:type="auto"/>
            <w:shd w:val="clear" w:color="auto" w:fill="auto"/>
            <w:vAlign w:val="bottom"/>
          </w:tcPr>
          <w:p w14:paraId="4B9A3170" w14:textId="77777777" w:rsidR="002A3970" w:rsidRDefault="002A3970">
            <w:pPr>
              <w:rPr>
                <w:rFonts w:ascii="宋体"/>
                <w:vanish/>
              </w:rPr>
            </w:pPr>
          </w:p>
        </w:tc>
        <w:tc>
          <w:tcPr>
            <w:tcW w:w="0" w:type="auto"/>
            <w:shd w:val="clear" w:color="auto" w:fill="auto"/>
            <w:vAlign w:val="bottom"/>
          </w:tcPr>
          <w:p w14:paraId="4B9A3171" w14:textId="77777777" w:rsidR="002A3970" w:rsidRDefault="002A3970">
            <w:pPr>
              <w:rPr>
                <w:rFonts w:ascii="宋体"/>
                <w:vanish/>
              </w:rPr>
            </w:pPr>
          </w:p>
        </w:tc>
      </w:tr>
      <w:tr w:rsidR="002A3970" w14:paraId="4B9A318E" w14:textId="77777777">
        <w:tc>
          <w:tcPr>
            <w:tcW w:w="0" w:type="auto"/>
            <w:gridSpan w:val="3"/>
            <w:shd w:val="clear" w:color="auto" w:fill="FFFFFF"/>
            <w:tcMar>
              <w:top w:w="40" w:type="dxa"/>
              <w:left w:w="20" w:type="dxa"/>
              <w:bottom w:w="40" w:type="dxa"/>
              <w:right w:w="20" w:type="dxa"/>
            </w:tcMar>
            <w:vAlign w:val="center"/>
          </w:tcPr>
          <w:p w14:paraId="4B9A3173" w14:textId="77777777" w:rsidR="002A3970" w:rsidRDefault="00C35E63">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FFFFFF"/>
            <w:tcMar>
              <w:top w:w="40" w:type="dxa"/>
              <w:left w:w="20" w:type="dxa"/>
              <w:bottom w:w="40" w:type="dxa"/>
              <w:right w:w="0" w:type="dxa"/>
            </w:tcMar>
            <w:vAlign w:val="center"/>
          </w:tcPr>
          <w:p w14:paraId="4B9A317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7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7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7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7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7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7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7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7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7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7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7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80" w14:textId="77777777" w:rsidR="002A3970" w:rsidRDefault="00C35E63">
            <w:pPr>
              <w:jc w:val="right"/>
              <w:textAlignment w:val="center"/>
            </w:pPr>
            <w:r>
              <w:rPr>
                <w:rFonts w:ascii="Times New Roman" w:eastAsia="宋体" w:hAnsi="Times New Roman"/>
                <w:color w:val="000000"/>
                <w:sz w:val="16"/>
                <w:szCs w:val="16"/>
              </w:rPr>
              <w:t>(1,396)</w:t>
            </w:r>
          </w:p>
        </w:tc>
        <w:tc>
          <w:tcPr>
            <w:tcW w:w="0" w:type="auto"/>
            <w:shd w:val="clear" w:color="auto" w:fill="FFFFFF"/>
            <w:tcMar>
              <w:top w:w="40" w:type="dxa"/>
              <w:left w:w="0" w:type="dxa"/>
              <w:bottom w:w="40" w:type="dxa"/>
              <w:right w:w="20" w:type="dxa"/>
            </w:tcMar>
            <w:vAlign w:val="center"/>
          </w:tcPr>
          <w:p w14:paraId="4B9A318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8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83" w14:textId="77777777" w:rsidR="002A3970" w:rsidRDefault="00C35E63">
            <w:pPr>
              <w:jc w:val="right"/>
              <w:textAlignment w:val="center"/>
            </w:pPr>
            <w:r>
              <w:rPr>
                <w:rFonts w:ascii="Times New Roman" w:eastAsia="宋体" w:hAnsi="Times New Roman"/>
                <w:color w:val="000000"/>
                <w:sz w:val="16"/>
                <w:szCs w:val="16"/>
              </w:rPr>
              <w:t>(1,396)</w:t>
            </w:r>
          </w:p>
        </w:tc>
        <w:tc>
          <w:tcPr>
            <w:tcW w:w="0" w:type="auto"/>
            <w:shd w:val="clear" w:color="auto" w:fill="FFFFFF"/>
            <w:tcMar>
              <w:top w:w="40" w:type="dxa"/>
              <w:left w:w="0" w:type="dxa"/>
              <w:bottom w:w="40" w:type="dxa"/>
              <w:right w:w="20" w:type="dxa"/>
            </w:tcMar>
            <w:vAlign w:val="center"/>
          </w:tcPr>
          <w:p w14:paraId="4B9A318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8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86" w14:textId="77777777" w:rsidR="002A3970" w:rsidRDefault="00C35E63">
            <w:pPr>
              <w:jc w:val="right"/>
              <w:textAlignment w:val="center"/>
            </w:pPr>
            <w:r>
              <w:rPr>
                <w:rFonts w:ascii="Times New Roman" w:eastAsia="宋体" w:hAnsi="Times New Roman"/>
                <w:color w:val="000000"/>
                <w:sz w:val="16"/>
                <w:szCs w:val="16"/>
              </w:rPr>
              <w:t>(275)</w:t>
            </w:r>
          </w:p>
        </w:tc>
        <w:tc>
          <w:tcPr>
            <w:tcW w:w="0" w:type="auto"/>
            <w:shd w:val="clear" w:color="auto" w:fill="FFFFFF"/>
            <w:tcMar>
              <w:top w:w="40" w:type="dxa"/>
              <w:left w:w="0" w:type="dxa"/>
              <w:bottom w:w="40" w:type="dxa"/>
              <w:right w:w="20" w:type="dxa"/>
            </w:tcMar>
            <w:vAlign w:val="center"/>
          </w:tcPr>
          <w:p w14:paraId="4B9A318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8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89" w14:textId="77777777" w:rsidR="002A3970" w:rsidRDefault="00C35E63">
            <w:pPr>
              <w:jc w:val="right"/>
              <w:textAlignment w:val="center"/>
            </w:pPr>
            <w:r>
              <w:rPr>
                <w:rFonts w:ascii="Times New Roman" w:eastAsia="宋体" w:hAnsi="Times New Roman"/>
                <w:color w:val="000000"/>
                <w:sz w:val="16"/>
                <w:szCs w:val="16"/>
              </w:rPr>
              <w:t>(1,671)</w:t>
            </w:r>
          </w:p>
        </w:tc>
        <w:tc>
          <w:tcPr>
            <w:tcW w:w="0" w:type="auto"/>
            <w:shd w:val="clear" w:color="auto" w:fill="FFFFFF"/>
            <w:tcMar>
              <w:top w:w="40" w:type="dxa"/>
              <w:left w:w="0" w:type="dxa"/>
              <w:bottom w:w="40" w:type="dxa"/>
              <w:right w:w="20" w:type="dxa"/>
            </w:tcMar>
            <w:vAlign w:val="center"/>
          </w:tcPr>
          <w:p w14:paraId="4B9A318A" w14:textId="77777777" w:rsidR="002A3970" w:rsidRDefault="002A3970">
            <w:pPr>
              <w:jc w:val="right"/>
              <w:rPr>
                <w:rFonts w:ascii="宋体"/>
              </w:rPr>
            </w:pPr>
          </w:p>
        </w:tc>
        <w:tc>
          <w:tcPr>
            <w:tcW w:w="0" w:type="auto"/>
            <w:shd w:val="clear" w:color="auto" w:fill="auto"/>
            <w:vAlign w:val="bottom"/>
          </w:tcPr>
          <w:p w14:paraId="4B9A318B" w14:textId="77777777" w:rsidR="002A3970" w:rsidRDefault="002A3970">
            <w:pPr>
              <w:rPr>
                <w:rFonts w:ascii="宋体"/>
                <w:vanish/>
              </w:rPr>
            </w:pPr>
          </w:p>
        </w:tc>
        <w:tc>
          <w:tcPr>
            <w:tcW w:w="0" w:type="auto"/>
            <w:shd w:val="clear" w:color="auto" w:fill="auto"/>
            <w:vAlign w:val="bottom"/>
          </w:tcPr>
          <w:p w14:paraId="4B9A318C" w14:textId="77777777" w:rsidR="002A3970" w:rsidRDefault="002A3970">
            <w:pPr>
              <w:rPr>
                <w:rFonts w:ascii="宋体"/>
                <w:vanish/>
              </w:rPr>
            </w:pPr>
          </w:p>
        </w:tc>
        <w:tc>
          <w:tcPr>
            <w:tcW w:w="0" w:type="auto"/>
            <w:shd w:val="clear" w:color="auto" w:fill="auto"/>
            <w:vAlign w:val="bottom"/>
          </w:tcPr>
          <w:p w14:paraId="4B9A318D" w14:textId="77777777" w:rsidR="002A3970" w:rsidRDefault="002A3970">
            <w:pPr>
              <w:rPr>
                <w:rFonts w:ascii="宋体"/>
                <w:vanish/>
              </w:rPr>
            </w:pPr>
          </w:p>
        </w:tc>
      </w:tr>
      <w:tr w:rsidR="002A3970" w14:paraId="4B9A31A2" w14:textId="77777777">
        <w:trPr>
          <w:hidden/>
        </w:trPr>
        <w:tc>
          <w:tcPr>
            <w:tcW w:w="0" w:type="auto"/>
            <w:gridSpan w:val="3"/>
            <w:shd w:val="clear" w:color="auto" w:fill="auto"/>
            <w:vAlign w:val="bottom"/>
          </w:tcPr>
          <w:p w14:paraId="4B9A318F" w14:textId="77777777" w:rsidR="002A3970" w:rsidRDefault="002A3970">
            <w:pPr>
              <w:rPr>
                <w:rFonts w:ascii="宋体"/>
                <w:vanish/>
              </w:rPr>
            </w:pPr>
          </w:p>
        </w:tc>
        <w:tc>
          <w:tcPr>
            <w:tcW w:w="0" w:type="auto"/>
            <w:gridSpan w:val="3"/>
            <w:shd w:val="clear" w:color="auto" w:fill="auto"/>
            <w:vAlign w:val="bottom"/>
          </w:tcPr>
          <w:p w14:paraId="4B9A3190" w14:textId="77777777" w:rsidR="002A3970" w:rsidRDefault="002A3970">
            <w:pPr>
              <w:rPr>
                <w:rFonts w:ascii="宋体"/>
                <w:vanish/>
              </w:rPr>
            </w:pPr>
          </w:p>
        </w:tc>
        <w:tc>
          <w:tcPr>
            <w:tcW w:w="0" w:type="auto"/>
            <w:gridSpan w:val="3"/>
            <w:shd w:val="clear" w:color="auto" w:fill="auto"/>
            <w:vAlign w:val="bottom"/>
          </w:tcPr>
          <w:p w14:paraId="4B9A3191" w14:textId="77777777" w:rsidR="002A3970" w:rsidRDefault="002A3970">
            <w:pPr>
              <w:rPr>
                <w:rFonts w:ascii="宋体"/>
                <w:vanish/>
              </w:rPr>
            </w:pPr>
          </w:p>
        </w:tc>
        <w:tc>
          <w:tcPr>
            <w:tcW w:w="0" w:type="auto"/>
            <w:gridSpan w:val="3"/>
            <w:shd w:val="clear" w:color="auto" w:fill="auto"/>
            <w:vAlign w:val="bottom"/>
          </w:tcPr>
          <w:p w14:paraId="4B9A3192" w14:textId="77777777" w:rsidR="002A3970" w:rsidRDefault="002A3970">
            <w:pPr>
              <w:rPr>
                <w:rFonts w:ascii="宋体"/>
                <w:vanish/>
              </w:rPr>
            </w:pPr>
          </w:p>
        </w:tc>
        <w:tc>
          <w:tcPr>
            <w:tcW w:w="0" w:type="auto"/>
            <w:gridSpan w:val="3"/>
            <w:shd w:val="clear" w:color="auto" w:fill="auto"/>
            <w:vAlign w:val="bottom"/>
          </w:tcPr>
          <w:p w14:paraId="4B9A3193" w14:textId="77777777" w:rsidR="002A3970" w:rsidRDefault="002A3970">
            <w:pPr>
              <w:rPr>
                <w:rFonts w:ascii="宋体"/>
                <w:vanish/>
              </w:rPr>
            </w:pPr>
          </w:p>
        </w:tc>
        <w:tc>
          <w:tcPr>
            <w:tcW w:w="0" w:type="auto"/>
            <w:gridSpan w:val="3"/>
            <w:shd w:val="clear" w:color="auto" w:fill="auto"/>
            <w:vAlign w:val="bottom"/>
          </w:tcPr>
          <w:p w14:paraId="4B9A3194" w14:textId="77777777" w:rsidR="002A3970" w:rsidRDefault="002A3970">
            <w:pPr>
              <w:rPr>
                <w:rFonts w:ascii="宋体"/>
                <w:vanish/>
              </w:rPr>
            </w:pPr>
          </w:p>
        </w:tc>
        <w:tc>
          <w:tcPr>
            <w:tcW w:w="0" w:type="auto"/>
            <w:gridSpan w:val="3"/>
            <w:shd w:val="clear" w:color="auto" w:fill="auto"/>
            <w:vAlign w:val="bottom"/>
          </w:tcPr>
          <w:p w14:paraId="4B9A3195" w14:textId="77777777" w:rsidR="002A3970" w:rsidRDefault="002A3970">
            <w:pPr>
              <w:rPr>
                <w:rFonts w:ascii="宋体"/>
                <w:vanish/>
              </w:rPr>
            </w:pPr>
          </w:p>
        </w:tc>
        <w:tc>
          <w:tcPr>
            <w:tcW w:w="0" w:type="auto"/>
            <w:gridSpan w:val="3"/>
            <w:shd w:val="clear" w:color="auto" w:fill="auto"/>
            <w:vAlign w:val="bottom"/>
          </w:tcPr>
          <w:p w14:paraId="4B9A3196" w14:textId="77777777" w:rsidR="002A3970" w:rsidRDefault="002A3970">
            <w:pPr>
              <w:rPr>
                <w:rFonts w:ascii="宋体"/>
                <w:vanish/>
              </w:rPr>
            </w:pPr>
          </w:p>
        </w:tc>
        <w:tc>
          <w:tcPr>
            <w:tcW w:w="0" w:type="auto"/>
            <w:gridSpan w:val="3"/>
            <w:shd w:val="clear" w:color="auto" w:fill="auto"/>
            <w:vAlign w:val="bottom"/>
          </w:tcPr>
          <w:p w14:paraId="4B9A3197" w14:textId="77777777" w:rsidR="002A3970" w:rsidRDefault="002A3970">
            <w:pPr>
              <w:rPr>
                <w:rFonts w:ascii="宋体"/>
                <w:vanish/>
              </w:rPr>
            </w:pPr>
          </w:p>
        </w:tc>
        <w:tc>
          <w:tcPr>
            <w:tcW w:w="0" w:type="auto"/>
            <w:gridSpan w:val="3"/>
            <w:shd w:val="clear" w:color="auto" w:fill="auto"/>
            <w:vAlign w:val="bottom"/>
          </w:tcPr>
          <w:p w14:paraId="4B9A3198" w14:textId="77777777" w:rsidR="002A3970" w:rsidRDefault="002A3970">
            <w:pPr>
              <w:rPr>
                <w:rFonts w:ascii="宋体"/>
                <w:vanish/>
              </w:rPr>
            </w:pPr>
          </w:p>
        </w:tc>
        <w:tc>
          <w:tcPr>
            <w:tcW w:w="0" w:type="auto"/>
            <w:gridSpan w:val="3"/>
            <w:shd w:val="clear" w:color="auto" w:fill="auto"/>
            <w:vAlign w:val="bottom"/>
          </w:tcPr>
          <w:p w14:paraId="4B9A3199" w14:textId="77777777" w:rsidR="002A3970" w:rsidRDefault="002A3970">
            <w:pPr>
              <w:rPr>
                <w:rFonts w:ascii="宋体"/>
                <w:vanish/>
              </w:rPr>
            </w:pPr>
          </w:p>
        </w:tc>
        <w:tc>
          <w:tcPr>
            <w:tcW w:w="0" w:type="auto"/>
            <w:gridSpan w:val="3"/>
            <w:shd w:val="clear" w:color="auto" w:fill="auto"/>
            <w:vAlign w:val="bottom"/>
          </w:tcPr>
          <w:p w14:paraId="4B9A319A" w14:textId="77777777" w:rsidR="002A3970" w:rsidRDefault="002A3970">
            <w:pPr>
              <w:rPr>
                <w:rFonts w:ascii="宋体"/>
                <w:vanish/>
              </w:rPr>
            </w:pPr>
          </w:p>
        </w:tc>
        <w:tc>
          <w:tcPr>
            <w:tcW w:w="0" w:type="auto"/>
            <w:gridSpan w:val="3"/>
            <w:shd w:val="clear" w:color="auto" w:fill="auto"/>
            <w:vAlign w:val="bottom"/>
          </w:tcPr>
          <w:p w14:paraId="4B9A319B" w14:textId="77777777" w:rsidR="002A3970" w:rsidRDefault="002A3970">
            <w:pPr>
              <w:rPr>
                <w:rFonts w:ascii="宋体"/>
                <w:vanish/>
              </w:rPr>
            </w:pPr>
          </w:p>
        </w:tc>
        <w:tc>
          <w:tcPr>
            <w:tcW w:w="0" w:type="auto"/>
            <w:gridSpan w:val="3"/>
            <w:shd w:val="clear" w:color="auto" w:fill="auto"/>
            <w:vAlign w:val="bottom"/>
          </w:tcPr>
          <w:p w14:paraId="4B9A319C" w14:textId="77777777" w:rsidR="002A3970" w:rsidRDefault="002A3970">
            <w:pPr>
              <w:rPr>
                <w:rFonts w:ascii="宋体"/>
                <w:vanish/>
              </w:rPr>
            </w:pPr>
          </w:p>
        </w:tc>
        <w:tc>
          <w:tcPr>
            <w:tcW w:w="0" w:type="auto"/>
            <w:gridSpan w:val="3"/>
            <w:shd w:val="clear" w:color="auto" w:fill="auto"/>
            <w:vAlign w:val="bottom"/>
          </w:tcPr>
          <w:p w14:paraId="4B9A319D" w14:textId="77777777" w:rsidR="002A3970" w:rsidRDefault="002A3970">
            <w:pPr>
              <w:rPr>
                <w:rFonts w:ascii="宋体"/>
                <w:vanish/>
              </w:rPr>
            </w:pPr>
          </w:p>
        </w:tc>
        <w:tc>
          <w:tcPr>
            <w:tcW w:w="0" w:type="auto"/>
            <w:gridSpan w:val="3"/>
            <w:shd w:val="clear" w:color="auto" w:fill="auto"/>
            <w:vAlign w:val="bottom"/>
          </w:tcPr>
          <w:p w14:paraId="4B9A319E" w14:textId="77777777" w:rsidR="002A3970" w:rsidRDefault="002A3970">
            <w:pPr>
              <w:rPr>
                <w:rFonts w:ascii="宋体"/>
                <w:vanish/>
              </w:rPr>
            </w:pPr>
          </w:p>
        </w:tc>
        <w:tc>
          <w:tcPr>
            <w:tcW w:w="0" w:type="auto"/>
            <w:shd w:val="clear" w:color="auto" w:fill="auto"/>
            <w:vAlign w:val="bottom"/>
          </w:tcPr>
          <w:p w14:paraId="4B9A319F" w14:textId="77777777" w:rsidR="002A3970" w:rsidRDefault="002A3970">
            <w:pPr>
              <w:rPr>
                <w:rFonts w:ascii="宋体"/>
                <w:vanish/>
              </w:rPr>
            </w:pPr>
          </w:p>
        </w:tc>
        <w:tc>
          <w:tcPr>
            <w:tcW w:w="0" w:type="auto"/>
            <w:shd w:val="clear" w:color="auto" w:fill="auto"/>
            <w:vAlign w:val="bottom"/>
          </w:tcPr>
          <w:p w14:paraId="4B9A31A0" w14:textId="77777777" w:rsidR="002A3970" w:rsidRDefault="002A3970">
            <w:pPr>
              <w:rPr>
                <w:rFonts w:ascii="宋体"/>
                <w:vanish/>
              </w:rPr>
            </w:pPr>
          </w:p>
        </w:tc>
        <w:tc>
          <w:tcPr>
            <w:tcW w:w="0" w:type="auto"/>
            <w:shd w:val="clear" w:color="auto" w:fill="auto"/>
            <w:vAlign w:val="bottom"/>
          </w:tcPr>
          <w:p w14:paraId="4B9A31A1" w14:textId="77777777" w:rsidR="002A3970" w:rsidRDefault="002A3970">
            <w:pPr>
              <w:rPr>
                <w:rFonts w:ascii="宋体"/>
                <w:vanish/>
              </w:rPr>
            </w:pPr>
          </w:p>
        </w:tc>
      </w:tr>
      <w:tr w:rsidR="002A3970" w14:paraId="4B9A31BE" w14:textId="77777777">
        <w:tc>
          <w:tcPr>
            <w:tcW w:w="0" w:type="auto"/>
            <w:gridSpan w:val="3"/>
            <w:shd w:val="clear" w:color="auto" w:fill="CCEEFF"/>
            <w:tcMar>
              <w:top w:w="40" w:type="dxa"/>
              <w:left w:w="20" w:type="dxa"/>
              <w:bottom w:w="40" w:type="dxa"/>
              <w:right w:w="20" w:type="dxa"/>
            </w:tcMar>
            <w:vAlign w:val="center"/>
          </w:tcPr>
          <w:p w14:paraId="4B9A31A3" w14:textId="77777777" w:rsidR="002A3970" w:rsidRDefault="00C35E63">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B9A31A4" w14:textId="77777777" w:rsidR="002A3970" w:rsidRDefault="00C35E63">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4B9A31A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A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A7" w14:textId="77777777" w:rsidR="002A3970" w:rsidRDefault="00C35E63">
            <w:pPr>
              <w:jc w:val="right"/>
              <w:textAlignment w:val="center"/>
            </w:pPr>
            <w:r>
              <w:rPr>
                <w:rFonts w:ascii="Times New Roman" w:eastAsia="宋体" w:hAnsi="Times New Roman"/>
                <w:color w:val="000000"/>
                <w:sz w:val="16"/>
                <w:szCs w:val="16"/>
              </w:rPr>
              <w:t>(3)</w:t>
            </w:r>
          </w:p>
        </w:tc>
        <w:tc>
          <w:tcPr>
            <w:tcW w:w="0" w:type="auto"/>
            <w:shd w:val="clear" w:color="auto" w:fill="CCEEFF"/>
            <w:tcMar>
              <w:top w:w="40" w:type="dxa"/>
              <w:left w:w="0" w:type="dxa"/>
              <w:bottom w:w="40" w:type="dxa"/>
              <w:right w:w="20" w:type="dxa"/>
            </w:tcMar>
            <w:vAlign w:val="center"/>
          </w:tcPr>
          <w:p w14:paraId="4B9A31A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A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AA" w14:textId="77777777" w:rsidR="002A3970" w:rsidRDefault="00C35E63">
            <w:pPr>
              <w:jc w:val="right"/>
              <w:textAlignment w:val="center"/>
            </w:pPr>
            <w:r>
              <w:rPr>
                <w:rFonts w:ascii="Times New Roman" w:eastAsia="宋体" w:hAnsi="Times New Roman"/>
                <w:color w:val="000000"/>
                <w:sz w:val="16"/>
                <w:szCs w:val="16"/>
              </w:rPr>
              <w:t>(182)</w:t>
            </w:r>
          </w:p>
        </w:tc>
        <w:tc>
          <w:tcPr>
            <w:tcW w:w="0" w:type="auto"/>
            <w:shd w:val="clear" w:color="auto" w:fill="CCEEFF"/>
            <w:tcMar>
              <w:top w:w="40" w:type="dxa"/>
              <w:left w:w="0" w:type="dxa"/>
              <w:bottom w:w="40" w:type="dxa"/>
              <w:right w:w="20" w:type="dxa"/>
            </w:tcMar>
            <w:vAlign w:val="center"/>
          </w:tcPr>
          <w:p w14:paraId="4B9A31A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A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AD" w14:textId="77777777" w:rsidR="002A3970" w:rsidRDefault="00C35E63">
            <w:pPr>
              <w:jc w:val="right"/>
              <w:textAlignment w:val="center"/>
            </w:pPr>
            <w:r>
              <w:rPr>
                <w:rFonts w:ascii="Times New Roman" w:eastAsia="宋体" w:hAnsi="Times New Roman"/>
                <w:color w:val="000000"/>
                <w:sz w:val="16"/>
                <w:szCs w:val="16"/>
              </w:rPr>
              <w:t>(3,201)</w:t>
            </w:r>
          </w:p>
        </w:tc>
        <w:tc>
          <w:tcPr>
            <w:tcW w:w="0" w:type="auto"/>
            <w:shd w:val="clear" w:color="auto" w:fill="CCEEFF"/>
            <w:tcMar>
              <w:top w:w="40" w:type="dxa"/>
              <w:left w:w="0" w:type="dxa"/>
              <w:bottom w:w="40" w:type="dxa"/>
              <w:right w:w="20" w:type="dxa"/>
            </w:tcMar>
            <w:vAlign w:val="center"/>
          </w:tcPr>
          <w:p w14:paraId="4B9A31A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A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B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B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B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B3" w14:textId="77777777" w:rsidR="002A3970" w:rsidRDefault="00C35E63">
            <w:pPr>
              <w:jc w:val="right"/>
              <w:textAlignment w:val="center"/>
            </w:pPr>
            <w:r>
              <w:rPr>
                <w:rFonts w:ascii="Times New Roman" w:eastAsia="宋体" w:hAnsi="Times New Roman"/>
                <w:color w:val="000000"/>
                <w:sz w:val="16"/>
                <w:szCs w:val="16"/>
              </w:rPr>
              <w:t>(3,386)</w:t>
            </w:r>
          </w:p>
        </w:tc>
        <w:tc>
          <w:tcPr>
            <w:tcW w:w="0" w:type="auto"/>
            <w:shd w:val="clear" w:color="auto" w:fill="CCEEFF"/>
            <w:tcMar>
              <w:top w:w="40" w:type="dxa"/>
              <w:left w:w="0" w:type="dxa"/>
              <w:bottom w:w="40" w:type="dxa"/>
              <w:right w:w="20" w:type="dxa"/>
            </w:tcMar>
            <w:vAlign w:val="center"/>
          </w:tcPr>
          <w:p w14:paraId="4B9A31B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B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B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B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B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B9" w14:textId="77777777" w:rsidR="002A3970" w:rsidRDefault="00C35E63">
            <w:pPr>
              <w:jc w:val="right"/>
              <w:textAlignment w:val="center"/>
            </w:pPr>
            <w:r>
              <w:rPr>
                <w:rFonts w:ascii="Times New Roman" w:eastAsia="宋体" w:hAnsi="Times New Roman"/>
                <w:color w:val="000000"/>
                <w:sz w:val="16"/>
                <w:szCs w:val="16"/>
              </w:rPr>
              <w:t>(3,386)</w:t>
            </w:r>
          </w:p>
        </w:tc>
        <w:tc>
          <w:tcPr>
            <w:tcW w:w="0" w:type="auto"/>
            <w:shd w:val="clear" w:color="auto" w:fill="CCEEFF"/>
            <w:tcMar>
              <w:top w:w="40" w:type="dxa"/>
              <w:left w:w="0" w:type="dxa"/>
              <w:bottom w:w="40" w:type="dxa"/>
              <w:right w:w="20" w:type="dxa"/>
            </w:tcMar>
            <w:vAlign w:val="center"/>
          </w:tcPr>
          <w:p w14:paraId="4B9A31BA" w14:textId="77777777" w:rsidR="002A3970" w:rsidRDefault="002A3970">
            <w:pPr>
              <w:jc w:val="right"/>
              <w:rPr>
                <w:rFonts w:ascii="宋体"/>
              </w:rPr>
            </w:pPr>
          </w:p>
        </w:tc>
        <w:tc>
          <w:tcPr>
            <w:tcW w:w="0" w:type="auto"/>
            <w:shd w:val="clear" w:color="auto" w:fill="auto"/>
            <w:vAlign w:val="bottom"/>
          </w:tcPr>
          <w:p w14:paraId="4B9A31BB" w14:textId="77777777" w:rsidR="002A3970" w:rsidRDefault="002A3970">
            <w:pPr>
              <w:rPr>
                <w:rFonts w:ascii="宋体"/>
                <w:vanish/>
              </w:rPr>
            </w:pPr>
          </w:p>
        </w:tc>
        <w:tc>
          <w:tcPr>
            <w:tcW w:w="0" w:type="auto"/>
            <w:shd w:val="clear" w:color="auto" w:fill="auto"/>
            <w:vAlign w:val="bottom"/>
          </w:tcPr>
          <w:p w14:paraId="4B9A31BC" w14:textId="77777777" w:rsidR="002A3970" w:rsidRDefault="002A3970">
            <w:pPr>
              <w:rPr>
                <w:rFonts w:ascii="宋体"/>
                <w:vanish/>
              </w:rPr>
            </w:pPr>
          </w:p>
        </w:tc>
        <w:tc>
          <w:tcPr>
            <w:tcW w:w="0" w:type="auto"/>
            <w:shd w:val="clear" w:color="auto" w:fill="auto"/>
            <w:vAlign w:val="bottom"/>
          </w:tcPr>
          <w:p w14:paraId="4B9A31BD" w14:textId="77777777" w:rsidR="002A3970" w:rsidRDefault="002A3970">
            <w:pPr>
              <w:rPr>
                <w:rFonts w:ascii="宋体"/>
                <w:vanish/>
              </w:rPr>
            </w:pPr>
          </w:p>
        </w:tc>
      </w:tr>
      <w:tr w:rsidR="002A3970" w14:paraId="4B9A31DA" w14:textId="77777777">
        <w:tc>
          <w:tcPr>
            <w:tcW w:w="0" w:type="auto"/>
            <w:gridSpan w:val="3"/>
            <w:shd w:val="clear" w:color="auto" w:fill="FFFFFF"/>
            <w:tcMar>
              <w:top w:w="40" w:type="dxa"/>
              <w:left w:w="20" w:type="dxa"/>
              <w:bottom w:w="40" w:type="dxa"/>
              <w:right w:w="20" w:type="dxa"/>
            </w:tcMar>
            <w:vAlign w:val="center"/>
          </w:tcPr>
          <w:p w14:paraId="4B9A31BF" w14:textId="77777777" w:rsidR="002A3970" w:rsidRDefault="00C35E63">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4B9A31C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C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C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C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C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C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C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C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C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C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C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C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C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C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C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C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D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D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D2" w14:textId="77777777" w:rsidR="002A3970" w:rsidRDefault="00C35E63">
            <w:pPr>
              <w:jc w:val="right"/>
              <w:textAlignment w:val="center"/>
            </w:pPr>
            <w:r>
              <w:rPr>
                <w:rFonts w:ascii="Times New Roman" w:eastAsia="宋体" w:hAnsi="Times New Roman"/>
                <w:color w:val="000000"/>
                <w:sz w:val="16"/>
                <w:szCs w:val="16"/>
              </w:rPr>
              <w:t>(434)</w:t>
            </w:r>
          </w:p>
        </w:tc>
        <w:tc>
          <w:tcPr>
            <w:tcW w:w="0" w:type="auto"/>
            <w:shd w:val="clear" w:color="auto" w:fill="FFFFFF"/>
            <w:tcMar>
              <w:top w:w="40" w:type="dxa"/>
              <w:left w:w="0" w:type="dxa"/>
              <w:bottom w:w="40" w:type="dxa"/>
              <w:right w:w="20" w:type="dxa"/>
            </w:tcMar>
            <w:vAlign w:val="center"/>
          </w:tcPr>
          <w:p w14:paraId="4B9A31D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D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D5" w14:textId="77777777" w:rsidR="002A3970" w:rsidRDefault="00C35E63">
            <w:pPr>
              <w:jc w:val="right"/>
              <w:textAlignment w:val="center"/>
            </w:pPr>
            <w:r>
              <w:rPr>
                <w:rFonts w:ascii="Times New Roman" w:eastAsia="宋体" w:hAnsi="Times New Roman"/>
                <w:color w:val="000000"/>
                <w:sz w:val="16"/>
                <w:szCs w:val="16"/>
              </w:rPr>
              <w:t>(434)</w:t>
            </w:r>
          </w:p>
        </w:tc>
        <w:tc>
          <w:tcPr>
            <w:tcW w:w="0" w:type="auto"/>
            <w:shd w:val="clear" w:color="auto" w:fill="FFFFFF"/>
            <w:tcMar>
              <w:top w:w="40" w:type="dxa"/>
              <w:left w:w="0" w:type="dxa"/>
              <w:bottom w:w="40" w:type="dxa"/>
              <w:right w:w="20" w:type="dxa"/>
            </w:tcMar>
            <w:vAlign w:val="center"/>
          </w:tcPr>
          <w:p w14:paraId="4B9A31D6" w14:textId="77777777" w:rsidR="002A3970" w:rsidRDefault="002A3970">
            <w:pPr>
              <w:jc w:val="right"/>
              <w:rPr>
                <w:rFonts w:ascii="宋体"/>
              </w:rPr>
            </w:pPr>
          </w:p>
        </w:tc>
        <w:tc>
          <w:tcPr>
            <w:tcW w:w="0" w:type="auto"/>
            <w:shd w:val="clear" w:color="auto" w:fill="auto"/>
            <w:vAlign w:val="bottom"/>
          </w:tcPr>
          <w:p w14:paraId="4B9A31D7" w14:textId="77777777" w:rsidR="002A3970" w:rsidRDefault="002A3970">
            <w:pPr>
              <w:rPr>
                <w:rFonts w:ascii="宋体"/>
                <w:vanish/>
              </w:rPr>
            </w:pPr>
          </w:p>
        </w:tc>
        <w:tc>
          <w:tcPr>
            <w:tcW w:w="0" w:type="auto"/>
            <w:shd w:val="clear" w:color="auto" w:fill="auto"/>
            <w:vAlign w:val="bottom"/>
          </w:tcPr>
          <w:p w14:paraId="4B9A31D8" w14:textId="77777777" w:rsidR="002A3970" w:rsidRDefault="002A3970">
            <w:pPr>
              <w:rPr>
                <w:rFonts w:ascii="宋体"/>
                <w:vanish/>
              </w:rPr>
            </w:pPr>
          </w:p>
        </w:tc>
        <w:tc>
          <w:tcPr>
            <w:tcW w:w="0" w:type="auto"/>
            <w:shd w:val="clear" w:color="auto" w:fill="auto"/>
            <w:vAlign w:val="bottom"/>
          </w:tcPr>
          <w:p w14:paraId="4B9A31D9" w14:textId="77777777" w:rsidR="002A3970" w:rsidRDefault="002A3970">
            <w:pPr>
              <w:rPr>
                <w:rFonts w:ascii="宋体"/>
                <w:vanish/>
              </w:rPr>
            </w:pPr>
          </w:p>
        </w:tc>
      </w:tr>
      <w:tr w:rsidR="002A3970" w14:paraId="4B9A31F6" w14:textId="77777777">
        <w:tc>
          <w:tcPr>
            <w:tcW w:w="0" w:type="auto"/>
            <w:gridSpan w:val="3"/>
            <w:shd w:val="clear" w:color="auto" w:fill="CCEEFF"/>
            <w:tcMar>
              <w:top w:w="40" w:type="dxa"/>
              <w:left w:w="20" w:type="dxa"/>
              <w:bottom w:w="40" w:type="dxa"/>
              <w:right w:w="20" w:type="dxa"/>
            </w:tcMar>
            <w:vAlign w:val="center"/>
          </w:tcPr>
          <w:p w14:paraId="4B9A31DB"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4B9A31D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D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D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D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E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E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E2" w14:textId="77777777" w:rsidR="002A3970" w:rsidRDefault="00C35E63">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4B9A31E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E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E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E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E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E8"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1E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E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EB" w14:textId="77777777" w:rsidR="002A3970" w:rsidRDefault="00C35E63">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4B9A31E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E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EE" w14:textId="77777777" w:rsidR="002A3970" w:rsidRDefault="00C35E63">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B9A31E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1F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1F1" w14:textId="77777777" w:rsidR="002A3970" w:rsidRDefault="00C35E63">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B9A31F2" w14:textId="77777777" w:rsidR="002A3970" w:rsidRDefault="002A3970">
            <w:pPr>
              <w:jc w:val="right"/>
              <w:rPr>
                <w:rFonts w:ascii="宋体"/>
              </w:rPr>
            </w:pPr>
          </w:p>
        </w:tc>
        <w:tc>
          <w:tcPr>
            <w:tcW w:w="0" w:type="auto"/>
            <w:shd w:val="clear" w:color="auto" w:fill="auto"/>
            <w:vAlign w:val="bottom"/>
          </w:tcPr>
          <w:p w14:paraId="4B9A31F3" w14:textId="77777777" w:rsidR="002A3970" w:rsidRDefault="002A3970">
            <w:pPr>
              <w:rPr>
                <w:rFonts w:ascii="宋体"/>
                <w:vanish/>
              </w:rPr>
            </w:pPr>
          </w:p>
        </w:tc>
        <w:tc>
          <w:tcPr>
            <w:tcW w:w="0" w:type="auto"/>
            <w:shd w:val="clear" w:color="auto" w:fill="auto"/>
            <w:vAlign w:val="bottom"/>
          </w:tcPr>
          <w:p w14:paraId="4B9A31F4" w14:textId="77777777" w:rsidR="002A3970" w:rsidRDefault="002A3970">
            <w:pPr>
              <w:rPr>
                <w:rFonts w:ascii="宋体"/>
                <w:vanish/>
              </w:rPr>
            </w:pPr>
          </w:p>
        </w:tc>
        <w:tc>
          <w:tcPr>
            <w:tcW w:w="0" w:type="auto"/>
            <w:shd w:val="clear" w:color="auto" w:fill="auto"/>
            <w:vAlign w:val="bottom"/>
          </w:tcPr>
          <w:p w14:paraId="4B9A31F5" w14:textId="77777777" w:rsidR="002A3970" w:rsidRDefault="002A3970">
            <w:pPr>
              <w:rPr>
                <w:rFonts w:ascii="宋体"/>
                <w:vanish/>
              </w:rPr>
            </w:pPr>
          </w:p>
        </w:tc>
      </w:tr>
      <w:tr w:rsidR="002A3970" w14:paraId="4B9A3212" w14:textId="77777777">
        <w:tc>
          <w:tcPr>
            <w:tcW w:w="0" w:type="auto"/>
            <w:gridSpan w:val="3"/>
            <w:shd w:val="clear" w:color="auto" w:fill="FFFFFF"/>
            <w:tcMar>
              <w:top w:w="40" w:type="dxa"/>
              <w:left w:w="20" w:type="dxa"/>
              <w:bottom w:w="40" w:type="dxa"/>
              <w:right w:w="20" w:type="dxa"/>
            </w:tcMar>
            <w:vAlign w:val="center"/>
          </w:tcPr>
          <w:p w14:paraId="4B9A31F7" w14:textId="77777777" w:rsidR="002A3970" w:rsidRDefault="00C35E63">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4B9A31F8"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F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F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F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1F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1F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1FE" w14:textId="77777777" w:rsidR="002A3970" w:rsidRDefault="00C35E63">
            <w:pPr>
              <w:jc w:val="right"/>
              <w:textAlignment w:val="center"/>
            </w:pPr>
            <w:r>
              <w:rPr>
                <w:rFonts w:ascii="Times New Roman" w:eastAsia="宋体" w:hAnsi="Times New Roman"/>
                <w:color w:val="000000"/>
                <w:sz w:val="16"/>
                <w:szCs w:val="16"/>
              </w:rPr>
              <w:t>259 </w:t>
            </w:r>
          </w:p>
        </w:tc>
        <w:tc>
          <w:tcPr>
            <w:tcW w:w="0" w:type="auto"/>
            <w:shd w:val="clear" w:color="auto" w:fill="FFFFFF"/>
            <w:tcMar>
              <w:top w:w="40" w:type="dxa"/>
              <w:left w:w="0" w:type="dxa"/>
              <w:bottom w:w="40" w:type="dxa"/>
              <w:right w:w="20" w:type="dxa"/>
            </w:tcMar>
            <w:vAlign w:val="center"/>
          </w:tcPr>
          <w:p w14:paraId="4B9A31F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0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01" w14:textId="77777777" w:rsidR="002A3970" w:rsidRDefault="00C35E63">
            <w:pPr>
              <w:jc w:val="right"/>
              <w:textAlignment w:val="center"/>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center"/>
          </w:tcPr>
          <w:p w14:paraId="4B9A320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0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0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0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0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07" w14:textId="77777777" w:rsidR="002A3970" w:rsidRDefault="00C35E63">
            <w:pPr>
              <w:jc w:val="right"/>
              <w:textAlignment w:val="center"/>
            </w:pPr>
            <w:r>
              <w:rPr>
                <w:rFonts w:ascii="Times New Roman" w:eastAsia="宋体" w:hAnsi="Times New Roman"/>
                <w:color w:val="000000"/>
                <w:sz w:val="16"/>
                <w:szCs w:val="16"/>
              </w:rPr>
              <w:t>298 </w:t>
            </w:r>
          </w:p>
        </w:tc>
        <w:tc>
          <w:tcPr>
            <w:tcW w:w="0" w:type="auto"/>
            <w:shd w:val="clear" w:color="auto" w:fill="FFFFFF"/>
            <w:tcMar>
              <w:top w:w="40" w:type="dxa"/>
              <w:left w:w="0" w:type="dxa"/>
              <w:bottom w:w="40" w:type="dxa"/>
              <w:right w:w="20" w:type="dxa"/>
            </w:tcMar>
            <w:vAlign w:val="center"/>
          </w:tcPr>
          <w:p w14:paraId="4B9A320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0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0A" w14:textId="77777777" w:rsidR="002A3970" w:rsidRDefault="00C35E63">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B9A320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0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0D" w14:textId="77777777" w:rsidR="002A3970" w:rsidRDefault="00C35E63">
            <w:pPr>
              <w:jc w:val="right"/>
              <w:textAlignment w:val="center"/>
            </w:pPr>
            <w:r>
              <w:rPr>
                <w:rFonts w:ascii="Times New Roman" w:eastAsia="宋体" w:hAnsi="Times New Roman"/>
                <w:color w:val="000000"/>
                <w:sz w:val="16"/>
                <w:szCs w:val="16"/>
              </w:rPr>
              <w:t>321 </w:t>
            </w:r>
          </w:p>
        </w:tc>
        <w:tc>
          <w:tcPr>
            <w:tcW w:w="0" w:type="auto"/>
            <w:shd w:val="clear" w:color="auto" w:fill="FFFFFF"/>
            <w:tcMar>
              <w:top w:w="40" w:type="dxa"/>
              <w:left w:w="0" w:type="dxa"/>
              <w:bottom w:w="40" w:type="dxa"/>
              <w:right w:w="20" w:type="dxa"/>
            </w:tcMar>
            <w:vAlign w:val="center"/>
          </w:tcPr>
          <w:p w14:paraId="4B9A320E" w14:textId="77777777" w:rsidR="002A3970" w:rsidRDefault="002A3970">
            <w:pPr>
              <w:jc w:val="right"/>
              <w:rPr>
                <w:rFonts w:ascii="宋体"/>
              </w:rPr>
            </w:pPr>
          </w:p>
        </w:tc>
        <w:tc>
          <w:tcPr>
            <w:tcW w:w="0" w:type="auto"/>
            <w:shd w:val="clear" w:color="auto" w:fill="auto"/>
            <w:vAlign w:val="bottom"/>
          </w:tcPr>
          <w:p w14:paraId="4B9A320F" w14:textId="77777777" w:rsidR="002A3970" w:rsidRDefault="002A3970">
            <w:pPr>
              <w:rPr>
                <w:rFonts w:ascii="宋体"/>
                <w:vanish/>
              </w:rPr>
            </w:pPr>
          </w:p>
        </w:tc>
        <w:tc>
          <w:tcPr>
            <w:tcW w:w="0" w:type="auto"/>
            <w:shd w:val="clear" w:color="auto" w:fill="auto"/>
            <w:vAlign w:val="bottom"/>
          </w:tcPr>
          <w:p w14:paraId="4B9A3210" w14:textId="77777777" w:rsidR="002A3970" w:rsidRDefault="002A3970">
            <w:pPr>
              <w:rPr>
                <w:rFonts w:ascii="宋体"/>
                <w:vanish/>
              </w:rPr>
            </w:pPr>
          </w:p>
        </w:tc>
        <w:tc>
          <w:tcPr>
            <w:tcW w:w="0" w:type="auto"/>
            <w:shd w:val="clear" w:color="auto" w:fill="auto"/>
            <w:vAlign w:val="bottom"/>
          </w:tcPr>
          <w:p w14:paraId="4B9A3211" w14:textId="77777777" w:rsidR="002A3970" w:rsidRDefault="002A3970">
            <w:pPr>
              <w:rPr>
                <w:rFonts w:ascii="宋体"/>
                <w:vanish/>
              </w:rPr>
            </w:pPr>
          </w:p>
        </w:tc>
      </w:tr>
      <w:tr w:rsidR="002A3970" w14:paraId="4B9A322E" w14:textId="77777777">
        <w:tc>
          <w:tcPr>
            <w:tcW w:w="0" w:type="auto"/>
            <w:gridSpan w:val="3"/>
            <w:shd w:val="clear" w:color="auto" w:fill="CCEEFF"/>
            <w:tcMar>
              <w:top w:w="40" w:type="dxa"/>
              <w:left w:w="20" w:type="dxa"/>
              <w:bottom w:w="40" w:type="dxa"/>
              <w:right w:w="20" w:type="dxa"/>
            </w:tcMar>
            <w:vAlign w:val="center"/>
          </w:tcPr>
          <w:p w14:paraId="4B9A3213" w14:textId="77777777" w:rsidR="002A3970" w:rsidRDefault="00C35E63">
            <w:pPr>
              <w:textAlignment w:val="center"/>
            </w:pPr>
            <w:r>
              <w:rPr>
                <w:rFonts w:ascii="Times New Roman" w:eastAsia="宋体" w:hAnsi="Times New Roman"/>
                <w:b/>
                <w:bCs/>
                <w:color w:val="000000"/>
                <w:sz w:val="16"/>
                <w:szCs w:val="16"/>
              </w:rPr>
              <w:t>Balances as of July 31, 2022</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14" w14:textId="77777777" w:rsidR="002A3970" w:rsidRDefault="00C35E63">
            <w:pPr>
              <w:jc w:val="right"/>
              <w:textAlignment w:val="center"/>
            </w:pPr>
            <w:r>
              <w:rPr>
                <w:rFonts w:ascii="Times New Roman" w:eastAsia="宋体" w:hAnsi="Times New Roman"/>
                <w:color w:val="000000"/>
                <w:sz w:val="16"/>
                <w:szCs w:val="16"/>
              </w:rPr>
              <w:t>2,722 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1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16"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17" w14:textId="77777777" w:rsidR="002A3970" w:rsidRDefault="00C35E63">
            <w:pPr>
              <w:jc w:val="right"/>
              <w:textAlignment w:val="center"/>
            </w:pPr>
            <w:r>
              <w:rPr>
                <w:rFonts w:ascii="Times New Roman" w:eastAsia="宋体" w:hAnsi="Times New Roman"/>
                <w:color w:val="000000"/>
                <w:sz w:val="16"/>
                <w:szCs w:val="16"/>
              </w:rPr>
              <w:t>272 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1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19"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1A" w14:textId="77777777" w:rsidR="002A3970" w:rsidRDefault="00C35E63">
            <w:pPr>
              <w:jc w:val="right"/>
              <w:textAlignment w:val="center"/>
            </w:pPr>
            <w:r>
              <w:rPr>
                <w:rFonts w:ascii="Times New Roman" w:eastAsia="宋体" w:hAnsi="Times New Roman"/>
                <w:color w:val="000000"/>
                <w:sz w:val="16"/>
                <w:szCs w:val="16"/>
              </w:rPr>
              <w:t>4,672 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1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1C"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1D" w14:textId="77777777" w:rsidR="002A3970" w:rsidRDefault="00C35E63">
            <w:pPr>
              <w:jc w:val="right"/>
              <w:textAlignment w:val="center"/>
            </w:pPr>
            <w:r>
              <w:rPr>
                <w:rFonts w:ascii="Times New Roman" w:eastAsia="宋体" w:hAnsi="Times New Roman"/>
                <w:color w:val="000000"/>
                <w:sz w:val="16"/>
                <w:szCs w:val="16"/>
              </w:rPr>
              <w:t>82,519 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1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1F"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20" w14:textId="77777777" w:rsidR="002A3970" w:rsidRDefault="00C35E63">
            <w:pPr>
              <w:jc w:val="right"/>
              <w:textAlignment w:val="center"/>
            </w:pPr>
            <w:r>
              <w:rPr>
                <w:rFonts w:ascii="Times New Roman" w:eastAsia="宋体" w:hAnsi="Times New Roman"/>
                <w:color w:val="000000"/>
                <w:sz w:val="16"/>
                <w:szCs w:val="16"/>
              </w:rPr>
              <w:t>(9,894)</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2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22"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23" w14:textId="77777777" w:rsidR="002A3970" w:rsidRDefault="00C35E63">
            <w:pPr>
              <w:jc w:val="right"/>
              <w:textAlignment w:val="center"/>
            </w:pPr>
            <w:r>
              <w:rPr>
                <w:rFonts w:ascii="Times New Roman" w:eastAsia="宋体" w:hAnsi="Times New Roman"/>
                <w:color w:val="000000"/>
                <w:sz w:val="16"/>
                <w:szCs w:val="16"/>
              </w:rPr>
              <w:t>77,569 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2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2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26" w14:textId="77777777" w:rsidR="002A3970" w:rsidRDefault="00C35E63">
            <w:pPr>
              <w:jc w:val="right"/>
              <w:textAlignment w:val="center"/>
            </w:pPr>
            <w:r>
              <w:rPr>
                <w:rFonts w:ascii="Times New Roman" w:eastAsia="宋体" w:hAnsi="Times New Roman"/>
                <w:color w:val="000000"/>
                <w:sz w:val="16"/>
                <w:szCs w:val="16"/>
              </w:rPr>
              <w:t>8,018 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2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2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229" w14:textId="77777777" w:rsidR="002A3970" w:rsidRDefault="00C35E63">
            <w:pPr>
              <w:jc w:val="right"/>
              <w:textAlignment w:val="center"/>
            </w:pPr>
            <w:r>
              <w:rPr>
                <w:rFonts w:ascii="Times New Roman" w:eastAsia="宋体" w:hAnsi="Times New Roman"/>
                <w:color w:val="000000"/>
                <w:sz w:val="16"/>
                <w:szCs w:val="16"/>
              </w:rPr>
              <w:t>85,587 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22A" w14:textId="77777777" w:rsidR="002A3970" w:rsidRDefault="002A3970">
            <w:pPr>
              <w:jc w:val="right"/>
              <w:rPr>
                <w:rFonts w:ascii="宋体"/>
              </w:rPr>
            </w:pPr>
          </w:p>
        </w:tc>
        <w:tc>
          <w:tcPr>
            <w:tcW w:w="0" w:type="auto"/>
            <w:shd w:val="clear" w:color="auto" w:fill="auto"/>
            <w:vAlign w:val="bottom"/>
          </w:tcPr>
          <w:p w14:paraId="4B9A322B" w14:textId="77777777" w:rsidR="002A3970" w:rsidRDefault="002A3970">
            <w:pPr>
              <w:rPr>
                <w:rFonts w:ascii="宋体"/>
                <w:vanish/>
              </w:rPr>
            </w:pPr>
          </w:p>
        </w:tc>
        <w:tc>
          <w:tcPr>
            <w:tcW w:w="0" w:type="auto"/>
            <w:shd w:val="clear" w:color="auto" w:fill="auto"/>
            <w:vAlign w:val="bottom"/>
          </w:tcPr>
          <w:p w14:paraId="4B9A322C" w14:textId="77777777" w:rsidR="002A3970" w:rsidRDefault="002A3970">
            <w:pPr>
              <w:rPr>
                <w:rFonts w:ascii="宋体"/>
                <w:vanish/>
              </w:rPr>
            </w:pPr>
          </w:p>
        </w:tc>
        <w:tc>
          <w:tcPr>
            <w:tcW w:w="0" w:type="auto"/>
            <w:shd w:val="clear" w:color="auto" w:fill="auto"/>
            <w:vAlign w:val="bottom"/>
          </w:tcPr>
          <w:p w14:paraId="4B9A322D" w14:textId="77777777" w:rsidR="002A3970" w:rsidRDefault="002A3970">
            <w:pPr>
              <w:rPr>
                <w:rFonts w:ascii="宋体"/>
                <w:vanish/>
              </w:rPr>
            </w:pPr>
          </w:p>
        </w:tc>
      </w:tr>
      <w:tr w:rsidR="002A3970" w14:paraId="4B9A324A" w14:textId="77777777">
        <w:tc>
          <w:tcPr>
            <w:tcW w:w="0" w:type="auto"/>
            <w:gridSpan w:val="3"/>
            <w:shd w:val="clear" w:color="auto" w:fill="FFFFFF"/>
            <w:tcMar>
              <w:top w:w="40" w:type="dxa"/>
              <w:left w:w="20" w:type="dxa"/>
              <w:bottom w:w="40" w:type="dxa"/>
              <w:right w:w="20" w:type="dxa"/>
            </w:tcMar>
            <w:vAlign w:val="center"/>
          </w:tcPr>
          <w:p w14:paraId="4B9A322F" w14:textId="77777777" w:rsidR="002A3970" w:rsidRDefault="00C35E63">
            <w:pPr>
              <w:textAlignment w:val="center"/>
            </w:pPr>
            <w:r>
              <w:rPr>
                <w:rFonts w:ascii="Times New Roman" w:eastAsia="宋体" w:hAnsi="Times New Roman"/>
                <w:color w:val="000000"/>
                <w:sz w:val="16"/>
                <w:szCs w:val="16"/>
              </w:rPr>
              <w:t>Consolidated net income (loss)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30"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3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32"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33"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3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35"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36"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3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38"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39" w14:textId="77777777" w:rsidR="002A3970" w:rsidRDefault="00C35E63">
            <w:pPr>
              <w:jc w:val="right"/>
              <w:textAlignment w:val="center"/>
            </w:pPr>
            <w:r>
              <w:rPr>
                <w:rFonts w:ascii="Times New Roman" w:eastAsia="宋体" w:hAnsi="Times New Roman"/>
                <w:color w:val="000000"/>
                <w:sz w:val="16"/>
                <w:szCs w:val="16"/>
              </w:rPr>
              <w:t>(1,798)</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3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3B"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3C"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3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3E"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3F" w14:textId="77777777" w:rsidR="002A3970" w:rsidRDefault="00C35E63">
            <w:pPr>
              <w:jc w:val="right"/>
              <w:textAlignment w:val="center"/>
            </w:pPr>
            <w:r>
              <w:rPr>
                <w:rFonts w:ascii="Times New Roman" w:eastAsia="宋体" w:hAnsi="Times New Roman"/>
                <w:color w:val="000000"/>
                <w:sz w:val="16"/>
                <w:szCs w:val="16"/>
              </w:rPr>
              <w:t>(1,798)</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4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41"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42" w14:textId="77777777" w:rsidR="002A3970" w:rsidRDefault="00C35E63">
            <w:pPr>
              <w:jc w:val="right"/>
              <w:textAlignment w:val="center"/>
            </w:pPr>
            <w:r>
              <w:rPr>
                <w:rFonts w:ascii="Times New Roman" w:eastAsia="宋体" w:hAnsi="Times New Roman"/>
                <w:color w:val="000000"/>
                <w:sz w:val="16"/>
                <w:szCs w:val="16"/>
              </w:rPr>
              <w:t>31 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4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44"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245" w14:textId="77777777" w:rsidR="002A3970" w:rsidRDefault="00C35E63">
            <w:pPr>
              <w:jc w:val="right"/>
              <w:textAlignment w:val="center"/>
            </w:pPr>
            <w:r>
              <w:rPr>
                <w:rFonts w:ascii="Times New Roman" w:eastAsia="宋体" w:hAnsi="Times New Roman"/>
                <w:color w:val="000000"/>
                <w:sz w:val="16"/>
                <w:szCs w:val="16"/>
              </w:rPr>
              <w:t>(1,767)</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246" w14:textId="77777777" w:rsidR="002A3970" w:rsidRDefault="002A3970">
            <w:pPr>
              <w:jc w:val="right"/>
              <w:rPr>
                <w:rFonts w:ascii="宋体"/>
              </w:rPr>
            </w:pPr>
          </w:p>
        </w:tc>
        <w:tc>
          <w:tcPr>
            <w:tcW w:w="0" w:type="auto"/>
            <w:shd w:val="clear" w:color="auto" w:fill="auto"/>
            <w:vAlign w:val="bottom"/>
          </w:tcPr>
          <w:p w14:paraId="4B9A3247" w14:textId="77777777" w:rsidR="002A3970" w:rsidRDefault="002A3970">
            <w:pPr>
              <w:rPr>
                <w:rFonts w:ascii="宋体"/>
                <w:vanish/>
              </w:rPr>
            </w:pPr>
          </w:p>
        </w:tc>
        <w:tc>
          <w:tcPr>
            <w:tcW w:w="0" w:type="auto"/>
            <w:shd w:val="clear" w:color="auto" w:fill="auto"/>
            <w:vAlign w:val="bottom"/>
          </w:tcPr>
          <w:p w14:paraId="4B9A3248" w14:textId="77777777" w:rsidR="002A3970" w:rsidRDefault="002A3970">
            <w:pPr>
              <w:rPr>
                <w:rFonts w:ascii="宋体"/>
                <w:vanish/>
              </w:rPr>
            </w:pPr>
          </w:p>
        </w:tc>
        <w:tc>
          <w:tcPr>
            <w:tcW w:w="0" w:type="auto"/>
            <w:shd w:val="clear" w:color="auto" w:fill="auto"/>
            <w:vAlign w:val="bottom"/>
          </w:tcPr>
          <w:p w14:paraId="4B9A3249" w14:textId="77777777" w:rsidR="002A3970" w:rsidRDefault="002A3970">
            <w:pPr>
              <w:rPr>
                <w:rFonts w:ascii="宋体"/>
                <w:vanish/>
              </w:rPr>
            </w:pPr>
          </w:p>
        </w:tc>
      </w:tr>
      <w:tr w:rsidR="002A3970" w14:paraId="4B9A3266" w14:textId="77777777">
        <w:tc>
          <w:tcPr>
            <w:tcW w:w="0" w:type="auto"/>
            <w:gridSpan w:val="3"/>
            <w:shd w:val="clear" w:color="auto" w:fill="CCEEFF"/>
            <w:tcMar>
              <w:top w:w="40" w:type="dxa"/>
              <w:left w:w="20" w:type="dxa"/>
              <w:bottom w:w="40" w:type="dxa"/>
              <w:right w:w="20" w:type="dxa"/>
            </w:tcMar>
            <w:vAlign w:val="center"/>
          </w:tcPr>
          <w:p w14:paraId="4B9A324B" w14:textId="77777777" w:rsidR="002A3970" w:rsidRDefault="00C35E63">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CCEEFF"/>
            <w:tcMar>
              <w:top w:w="40" w:type="dxa"/>
              <w:left w:w="20" w:type="dxa"/>
              <w:bottom w:w="40" w:type="dxa"/>
              <w:right w:w="0" w:type="dxa"/>
            </w:tcMar>
            <w:vAlign w:val="center"/>
          </w:tcPr>
          <w:p w14:paraId="4B9A324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4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4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4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5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5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52"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5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5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5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5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5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58" w14:textId="77777777" w:rsidR="002A3970" w:rsidRDefault="00C35E63">
            <w:pPr>
              <w:jc w:val="right"/>
              <w:textAlignment w:val="center"/>
            </w:pPr>
            <w:r>
              <w:rPr>
                <w:rFonts w:ascii="Times New Roman" w:eastAsia="宋体" w:hAnsi="Times New Roman"/>
                <w:color w:val="000000"/>
                <w:sz w:val="16"/>
                <w:szCs w:val="16"/>
              </w:rPr>
              <w:t>(886)</w:t>
            </w:r>
          </w:p>
        </w:tc>
        <w:tc>
          <w:tcPr>
            <w:tcW w:w="0" w:type="auto"/>
            <w:shd w:val="clear" w:color="auto" w:fill="CCEEFF"/>
            <w:tcMar>
              <w:top w:w="40" w:type="dxa"/>
              <w:left w:w="0" w:type="dxa"/>
              <w:bottom w:w="40" w:type="dxa"/>
              <w:right w:w="20" w:type="dxa"/>
            </w:tcMar>
            <w:vAlign w:val="center"/>
          </w:tcPr>
          <w:p w14:paraId="4B9A325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5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5B" w14:textId="77777777" w:rsidR="002A3970" w:rsidRDefault="00C35E63">
            <w:pPr>
              <w:jc w:val="right"/>
              <w:textAlignment w:val="center"/>
            </w:pPr>
            <w:r>
              <w:rPr>
                <w:rFonts w:ascii="Times New Roman" w:eastAsia="宋体" w:hAnsi="Times New Roman"/>
                <w:color w:val="000000"/>
                <w:sz w:val="16"/>
                <w:szCs w:val="16"/>
              </w:rPr>
              <w:t>(886)</w:t>
            </w:r>
          </w:p>
        </w:tc>
        <w:tc>
          <w:tcPr>
            <w:tcW w:w="0" w:type="auto"/>
            <w:shd w:val="clear" w:color="auto" w:fill="CCEEFF"/>
            <w:tcMar>
              <w:top w:w="40" w:type="dxa"/>
              <w:left w:w="0" w:type="dxa"/>
              <w:bottom w:w="40" w:type="dxa"/>
              <w:right w:w="20" w:type="dxa"/>
            </w:tcMar>
            <w:vAlign w:val="center"/>
          </w:tcPr>
          <w:p w14:paraId="4B9A325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5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5E" w14:textId="77777777" w:rsidR="002A3970" w:rsidRDefault="00C35E63">
            <w:pPr>
              <w:jc w:val="right"/>
              <w:textAlignment w:val="center"/>
            </w:pPr>
            <w:r>
              <w:rPr>
                <w:rFonts w:ascii="Times New Roman" w:eastAsia="宋体" w:hAnsi="Times New Roman"/>
                <w:color w:val="000000"/>
                <w:sz w:val="16"/>
                <w:szCs w:val="16"/>
              </w:rPr>
              <w:t>(208)</w:t>
            </w:r>
          </w:p>
        </w:tc>
        <w:tc>
          <w:tcPr>
            <w:tcW w:w="0" w:type="auto"/>
            <w:shd w:val="clear" w:color="auto" w:fill="CCEEFF"/>
            <w:tcMar>
              <w:top w:w="40" w:type="dxa"/>
              <w:left w:w="0" w:type="dxa"/>
              <w:bottom w:w="40" w:type="dxa"/>
              <w:right w:w="20" w:type="dxa"/>
            </w:tcMar>
            <w:vAlign w:val="center"/>
          </w:tcPr>
          <w:p w14:paraId="4B9A325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6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61" w14:textId="77777777" w:rsidR="002A3970" w:rsidRDefault="00C35E63">
            <w:pPr>
              <w:jc w:val="right"/>
              <w:textAlignment w:val="center"/>
            </w:pPr>
            <w:r>
              <w:rPr>
                <w:rFonts w:ascii="Times New Roman" w:eastAsia="宋体" w:hAnsi="Times New Roman"/>
                <w:color w:val="000000"/>
                <w:sz w:val="16"/>
                <w:szCs w:val="16"/>
              </w:rPr>
              <w:t>(1,094)</w:t>
            </w:r>
          </w:p>
        </w:tc>
        <w:tc>
          <w:tcPr>
            <w:tcW w:w="0" w:type="auto"/>
            <w:shd w:val="clear" w:color="auto" w:fill="CCEEFF"/>
            <w:tcMar>
              <w:top w:w="40" w:type="dxa"/>
              <w:left w:w="0" w:type="dxa"/>
              <w:bottom w:w="40" w:type="dxa"/>
              <w:right w:w="20" w:type="dxa"/>
            </w:tcMar>
            <w:vAlign w:val="center"/>
          </w:tcPr>
          <w:p w14:paraId="4B9A3262" w14:textId="77777777" w:rsidR="002A3970" w:rsidRDefault="002A3970">
            <w:pPr>
              <w:jc w:val="right"/>
              <w:rPr>
                <w:rFonts w:ascii="宋体"/>
              </w:rPr>
            </w:pPr>
          </w:p>
        </w:tc>
        <w:tc>
          <w:tcPr>
            <w:tcW w:w="0" w:type="auto"/>
            <w:shd w:val="clear" w:color="auto" w:fill="auto"/>
            <w:vAlign w:val="bottom"/>
          </w:tcPr>
          <w:p w14:paraId="4B9A3263" w14:textId="77777777" w:rsidR="002A3970" w:rsidRDefault="002A3970">
            <w:pPr>
              <w:rPr>
                <w:rFonts w:ascii="宋体"/>
                <w:vanish/>
              </w:rPr>
            </w:pPr>
          </w:p>
        </w:tc>
        <w:tc>
          <w:tcPr>
            <w:tcW w:w="0" w:type="auto"/>
            <w:shd w:val="clear" w:color="auto" w:fill="auto"/>
            <w:vAlign w:val="bottom"/>
          </w:tcPr>
          <w:p w14:paraId="4B9A3264" w14:textId="77777777" w:rsidR="002A3970" w:rsidRDefault="002A3970">
            <w:pPr>
              <w:rPr>
                <w:rFonts w:ascii="宋体"/>
                <w:vanish/>
              </w:rPr>
            </w:pPr>
          </w:p>
        </w:tc>
        <w:tc>
          <w:tcPr>
            <w:tcW w:w="0" w:type="auto"/>
            <w:shd w:val="clear" w:color="auto" w:fill="auto"/>
            <w:vAlign w:val="bottom"/>
          </w:tcPr>
          <w:p w14:paraId="4B9A3265" w14:textId="77777777" w:rsidR="002A3970" w:rsidRDefault="002A3970">
            <w:pPr>
              <w:rPr>
                <w:rFonts w:ascii="宋体"/>
                <w:vanish/>
              </w:rPr>
            </w:pPr>
          </w:p>
        </w:tc>
      </w:tr>
      <w:tr w:rsidR="002A3970" w14:paraId="4B9A3282" w14:textId="77777777">
        <w:tc>
          <w:tcPr>
            <w:tcW w:w="0" w:type="auto"/>
            <w:gridSpan w:val="3"/>
            <w:shd w:val="clear" w:color="auto" w:fill="FFFFFF"/>
            <w:tcMar>
              <w:top w:w="40" w:type="dxa"/>
              <w:left w:w="20" w:type="dxa"/>
              <w:bottom w:w="40" w:type="dxa"/>
              <w:right w:w="20" w:type="dxa"/>
            </w:tcMar>
            <w:vAlign w:val="center"/>
          </w:tcPr>
          <w:p w14:paraId="4B9A3267" w14:textId="77777777" w:rsidR="002A3970" w:rsidRDefault="00C35E63">
            <w:pPr>
              <w:textAlignment w:val="center"/>
            </w:pPr>
            <w:r>
              <w:rPr>
                <w:rFonts w:ascii="Times New Roman" w:eastAsia="宋体" w:hAnsi="Times New Roman"/>
                <w:color w:val="000000"/>
                <w:sz w:val="16"/>
                <w:szCs w:val="16"/>
              </w:rPr>
              <w:t>Dividends</w:t>
            </w:r>
          </w:p>
        </w:tc>
        <w:tc>
          <w:tcPr>
            <w:tcW w:w="0" w:type="auto"/>
            <w:gridSpan w:val="2"/>
            <w:shd w:val="clear" w:color="auto" w:fill="FFFFFF"/>
            <w:tcMar>
              <w:top w:w="40" w:type="dxa"/>
              <w:left w:w="20" w:type="dxa"/>
              <w:bottom w:w="40" w:type="dxa"/>
              <w:right w:w="0" w:type="dxa"/>
            </w:tcMar>
            <w:vAlign w:val="center"/>
          </w:tcPr>
          <w:p w14:paraId="4B9A3268"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6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6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6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6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6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6E"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6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7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71" w14:textId="77777777" w:rsidR="002A3970" w:rsidRDefault="00C35E63">
            <w:pPr>
              <w:jc w:val="right"/>
              <w:textAlignment w:val="center"/>
            </w:pPr>
            <w:r>
              <w:rPr>
                <w:rFonts w:ascii="Times New Roman" w:eastAsia="宋体" w:hAnsi="Times New Roman"/>
                <w:color w:val="000000"/>
                <w:sz w:val="16"/>
                <w:szCs w:val="16"/>
              </w:rPr>
              <w:t>43 </w:t>
            </w:r>
          </w:p>
        </w:tc>
        <w:tc>
          <w:tcPr>
            <w:tcW w:w="0" w:type="auto"/>
            <w:shd w:val="clear" w:color="auto" w:fill="FFFFFF"/>
            <w:tcMar>
              <w:top w:w="40" w:type="dxa"/>
              <w:left w:w="0" w:type="dxa"/>
              <w:bottom w:w="40" w:type="dxa"/>
              <w:right w:w="20" w:type="dxa"/>
            </w:tcMar>
            <w:vAlign w:val="center"/>
          </w:tcPr>
          <w:p w14:paraId="4B9A327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7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7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7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7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77" w14:textId="77777777" w:rsidR="002A3970" w:rsidRDefault="00C35E63">
            <w:pPr>
              <w:jc w:val="right"/>
              <w:textAlignment w:val="center"/>
            </w:pPr>
            <w:r>
              <w:rPr>
                <w:rFonts w:ascii="Times New Roman" w:eastAsia="宋体" w:hAnsi="Times New Roman"/>
                <w:color w:val="000000"/>
                <w:sz w:val="16"/>
                <w:szCs w:val="16"/>
              </w:rPr>
              <w:t>43 </w:t>
            </w:r>
          </w:p>
        </w:tc>
        <w:tc>
          <w:tcPr>
            <w:tcW w:w="0" w:type="auto"/>
            <w:shd w:val="clear" w:color="auto" w:fill="FFFFFF"/>
            <w:tcMar>
              <w:top w:w="40" w:type="dxa"/>
              <w:left w:w="0" w:type="dxa"/>
              <w:bottom w:w="40" w:type="dxa"/>
              <w:right w:w="20" w:type="dxa"/>
            </w:tcMar>
            <w:vAlign w:val="center"/>
          </w:tcPr>
          <w:p w14:paraId="4B9A327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7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7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7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7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7D" w14:textId="77777777" w:rsidR="002A3970" w:rsidRDefault="00C35E63">
            <w:pPr>
              <w:jc w:val="right"/>
              <w:textAlignment w:val="center"/>
            </w:pPr>
            <w:r>
              <w:rPr>
                <w:rFonts w:ascii="Times New Roman" w:eastAsia="宋体" w:hAnsi="Times New Roman"/>
                <w:color w:val="000000"/>
                <w:sz w:val="16"/>
                <w:szCs w:val="16"/>
              </w:rPr>
              <w:t>43 </w:t>
            </w:r>
          </w:p>
        </w:tc>
        <w:tc>
          <w:tcPr>
            <w:tcW w:w="0" w:type="auto"/>
            <w:shd w:val="clear" w:color="auto" w:fill="FFFFFF"/>
            <w:tcMar>
              <w:top w:w="40" w:type="dxa"/>
              <w:left w:w="0" w:type="dxa"/>
              <w:bottom w:w="40" w:type="dxa"/>
              <w:right w:w="20" w:type="dxa"/>
            </w:tcMar>
            <w:vAlign w:val="center"/>
          </w:tcPr>
          <w:p w14:paraId="4B9A327E" w14:textId="77777777" w:rsidR="002A3970" w:rsidRDefault="002A3970">
            <w:pPr>
              <w:jc w:val="right"/>
              <w:rPr>
                <w:rFonts w:ascii="宋体"/>
              </w:rPr>
            </w:pPr>
          </w:p>
        </w:tc>
        <w:tc>
          <w:tcPr>
            <w:tcW w:w="0" w:type="auto"/>
            <w:shd w:val="clear" w:color="auto" w:fill="auto"/>
            <w:vAlign w:val="bottom"/>
          </w:tcPr>
          <w:p w14:paraId="4B9A327F" w14:textId="77777777" w:rsidR="002A3970" w:rsidRDefault="002A3970">
            <w:pPr>
              <w:rPr>
                <w:rFonts w:ascii="宋体"/>
                <w:vanish/>
              </w:rPr>
            </w:pPr>
          </w:p>
        </w:tc>
        <w:tc>
          <w:tcPr>
            <w:tcW w:w="0" w:type="auto"/>
            <w:shd w:val="clear" w:color="auto" w:fill="auto"/>
            <w:vAlign w:val="bottom"/>
          </w:tcPr>
          <w:p w14:paraId="4B9A3280" w14:textId="77777777" w:rsidR="002A3970" w:rsidRDefault="002A3970">
            <w:pPr>
              <w:rPr>
                <w:rFonts w:ascii="宋体"/>
                <w:vanish/>
              </w:rPr>
            </w:pPr>
          </w:p>
        </w:tc>
        <w:tc>
          <w:tcPr>
            <w:tcW w:w="0" w:type="auto"/>
            <w:shd w:val="clear" w:color="auto" w:fill="auto"/>
            <w:vAlign w:val="bottom"/>
          </w:tcPr>
          <w:p w14:paraId="4B9A3281" w14:textId="77777777" w:rsidR="002A3970" w:rsidRDefault="002A3970">
            <w:pPr>
              <w:rPr>
                <w:rFonts w:ascii="宋体"/>
                <w:vanish/>
              </w:rPr>
            </w:pPr>
          </w:p>
        </w:tc>
      </w:tr>
      <w:tr w:rsidR="002A3970" w14:paraId="4B9A329E" w14:textId="77777777">
        <w:tc>
          <w:tcPr>
            <w:tcW w:w="0" w:type="auto"/>
            <w:gridSpan w:val="3"/>
            <w:shd w:val="clear" w:color="auto" w:fill="CCEEFF"/>
            <w:tcMar>
              <w:top w:w="40" w:type="dxa"/>
              <w:left w:w="20" w:type="dxa"/>
              <w:bottom w:w="40" w:type="dxa"/>
              <w:right w:w="20" w:type="dxa"/>
            </w:tcMar>
            <w:vAlign w:val="center"/>
          </w:tcPr>
          <w:p w14:paraId="4B9A3283" w14:textId="77777777" w:rsidR="002A3970" w:rsidRDefault="00C35E63">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B9A3284" w14:textId="77777777" w:rsidR="002A3970" w:rsidRDefault="00C35E63">
            <w:pPr>
              <w:jc w:val="right"/>
              <w:textAlignment w:val="center"/>
            </w:pPr>
            <w:r>
              <w:rPr>
                <w:rFonts w:ascii="Times New Roman" w:eastAsia="宋体" w:hAnsi="Times New Roman"/>
                <w:color w:val="000000"/>
                <w:sz w:val="16"/>
                <w:szCs w:val="16"/>
              </w:rPr>
              <w:t>(22)</w:t>
            </w:r>
          </w:p>
        </w:tc>
        <w:tc>
          <w:tcPr>
            <w:tcW w:w="0" w:type="auto"/>
            <w:shd w:val="clear" w:color="auto" w:fill="CCEEFF"/>
            <w:tcMar>
              <w:top w:w="40" w:type="dxa"/>
              <w:left w:w="0" w:type="dxa"/>
              <w:bottom w:w="40" w:type="dxa"/>
              <w:right w:w="20" w:type="dxa"/>
            </w:tcMar>
            <w:vAlign w:val="center"/>
          </w:tcPr>
          <w:p w14:paraId="4B9A328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8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87" w14:textId="77777777" w:rsidR="002A3970" w:rsidRDefault="00C35E63">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4B9A328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8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8A" w14:textId="77777777" w:rsidR="002A3970" w:rsidRDefault="00C35E63">
            <w:pPr>
              <w:jc w:val="right"/>
              <w:textAlignment w:val="center"/>
            </w:pPr>
            <w:r>
              <w:rPr>
                <w:rFonts w:ascii="Times New Roman" w:eastAsia="宋体" w:hAnsi="Times New Roman"/>
                <w:color w:val="000000"/>
                <w:sz w:val="16"/>
                <w:szCs w:val="16"/>
              </w:rPr>
              <w:t>(158)</w:t>
            </w:r>
          </w:p>
        </w:tc>
        <w:tc>
          <w:tcPr>
            <w:tcW w:w="0" w:type="auto"/>
            <w:shd w:val="clear" w:color="auto" w:fill="CCEEFF"/>
            <w:tcMar>
              <w:top w:w="40" w:type="dxa"/>
              <w:left w:w="0" w:type="dxa"/>
              <w:bottom w:w="40" w:type="dxa"/>
              <w:right w:w="20" w:type="dxa"/>
            </w:tcMar>
            <w:vAlign w:val="center"/>
          </w:tcPr>
          <w:p w14:paraId="4B9A328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8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8D" w14:textId="77777777" w:rsidR="002A3970" w:rsidRDefault="00C35E63">
            <w:pPr>
              <w:jc w:val="right"/>
              <w:textAlignment w:val="center"/>
            </w:pPr>
            <w:r>
              <w:rPr>
                <w:rFonts w:ascii="Times New Roman" w:eastAsia="宋体" w:hAnsi="Times New Roman"/>
                <w:color w:val="000000"/>
                <w:sz w:val="16"/>
                <w:szCs w:val="16"/>
              </w:rPr>
              <w:t>(2,772)</w:t>
            </w:r>
          </w:p>
        </w:tc>
        <w:tc>
          <w:tcPr>
            <w:tcW w:w="0" w:type="auto"/>
            <w:shd w:val="clear" w:color="auto" w:fill="CCEEFF"/>
            <w:tcMar>
              <w:top w:w="40" w:type="dxa"/>
              <w:left w:w="0" w:type="dxa"/>
              <w:bottom w:w="40" w:type="dxa"/>
              <w:right w:w="20" w:type="dxa"/>
            </w:tcMar>
            <w:vAlign w:val="center"/>
          </w:tcPr>
          <w:p w14:paraId="4B9A328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8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9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9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9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93" w14:textId="77777777" w:rsidR="002A3970" w:rsidRDefault="00C35E63">
            <w:pPr>
              <w:jc w:val="right"/>
              <w:textAlignment w:val="center"/>
            </w:pPr>
            <w:r>
              <w:rPr>
                <w:rFonts w:ascii="Times New Roman" w:eastAsia="宋体" w:hAnsi="Times New Roman"/>
                <w:color w:val="000000"/>
                <w:sz w:val="16"/>
                <w:szCs w:val="16"/>
              </w:rPr>
              <w:t>(2,932)</w:t>
            </w:r>
          </w:p>
        </w:tc>
        <w:tc>
          <w:tcPr>
            <w:tcW w:w="0" w:type="auto"/>
            <w:shd w:val="clear" w:color="auto" w:fill="CCEEFF"/>
            <w:tcMar>
              <w:top w:w="40" w:type="dxa"/>
              <w:left w:w="0" w:type="dxa"/>
              <w:bottom w:w="40" w:type="dxa"/>
              <w:right w:w="20" w:type="dxa"/>
            </w:tcMar>
            <w:vAlign w:val="center"/>
          </w:tcPr>
          <w:p w14:paraId="4B9A329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9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9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9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9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99" w14:textId="77777777" w:rsidR="002A3970" w:rsidRDefault="00C35E63">
            <w:pPr>
              <w:jc w:val="right"/>
              <w:textAlignment w:val="center"/>
            </w:pPr>
            <w:r>
              <w:rPr>
                <w:rFonts w:ascii="Times New Roman" w:eastAsia="宋体" w:hAnsi="Times New Roman"/>
                <w:color w:val="000000"/>
                <w:sz w:val="16"/>
                <w:szCs w:val="16"/>
              </w:rPr>
              <w:t>(2,932)</w:t>
            </w:r>
          </w:p>
        </w:tc>
        <w:tc>
          <w:tcPr>
            <w:tcW w:w="0" w:type="auto"/>
            <w:shd w:val="clear" w:color="auto" w:fill="CCEEFF"/>
            <w:tcMar>
              <w:top w:w="40" w:type="dxa"/>
              <w:left w:w="0" w:type="dxa"/>
              <w:bottom w:w="40" w:type="dxa"/>
              <w:right w:w="20" w:type="dxa"/>
            </w:tcMar>
            <w:vAlign w:val="center"/>
          </w:tcPr>
          <w:p w14:paraId="4B9A329A" w14:textId="77777777" w:rsidR="002A3970" w:rsidRDefault="002A3970">
            <w:pPr>
              <w:jc w:val="right"/>
              <w:rPr>
                <w:rFonts w:ascii="宋体"/>
              </w:rPr>
            </w:pPr>
          </w:p>
        </w:tc>
        <w:tc>
          <w:tcPr>
            <w:tcW w:w="0" w:type="auto"/>
            <w:shd w:val="clear" w:color="auto" w:fill="auto"/>
            <w:vAlign w:val="bottom"/>
          </w:tcPr>
          <w:p w14:paraId="4B9A329B" w14:textId="77777777" w:rsidR="002A3970" w:rsidRDefault="002A3970">
            <w:pPr>
              <w:rPr>
                <w:rFonts w:ascii="宋体"/>
                <w:vanish/>
              </w:rPr>
            </w:pPr>
          </w:p>
        </w:tc>
        <w:tc>
          <w:tcPr>
            <w:tcW w:w="0" w:type="auto"/>
            <w:shd w:val="clear" w:color="auto" w:fill="auto"/>
            <w:vAlign w:val="bottom"/>
          </w:tcPr>
          <w:p w14:paraId="4B9A329C" w14:textId="77777777" w:rsidR="002A3970" w:rsidRDefault="002A3970">
            <w:pPr>
              <w:rPr>
                <w:rFonts w:ascii="宋体"/>
                <w:vanish/>
              </w:rPr>
            </w:pPr>
          </w:p>
        </w:tc>
        <w:tc>
          <w:tcPr>
            <w:tcW w:w="0" w:type="auto"/>
            <w:shd w:val="clear" w:color="auto" w:fill="auto"/>
            <w:vAlign w:val="bottom"/>
          </w:tcPr>
          <w:p w14:paraId="4B9A329D" w14:textId="77777777" w:rsidR="002A3970" w:rsidRDefault="002A3970">
            <w:pPr>
              <w:rPr>
                <w:rFonts w:ascii="宋体"/>
                <w:vanish/>
              </w:rPr>
            </w:pPr>
          </w:p>
        </w:tc>
      </w:tr>
      <w:tr w:rsidR="002A3970" w14:paraId="4B9A32BA" w14:textId="77777777">
        <w:tc>
          <w:tcPr>
            <w:tcW w:w="0" w:type="auto"/>
            <w:gridSpan w:val="3"/>
            <w:shd w:val="clear" w:color="auto" w:fill="FFFFFF"/>
            <w:tcMar>
              <w:top w:w="40" w:type="dxa"/>
              <w:left w:w="20" w:type="dxa"/>
              <w:bottom w:w="40" w:type="dxa"/>
              <w:right w:w="20" w:type="dxa"/>
            </w:tcMar>
            <w:vAlign w:val="center"/>
          </w:tcPr>
          <w:p w14:paraId="4B9A329F" w14:textId="77777777" w:rsidR="002A3970" w:rsidRDefault="00C35E63">
            <w:pPr>
              <w:textAlignment w:val="center"/>
            </w:pPr>
            <w:r>
              <w:rPr>
                <w:rFonts w:ascii="Times New Roman" w:eastAsia="宋体" w:hAnsi="Times New Roman"/>
                <w:color w:val="000000"/>
                <w:sz w:val="16"/>
                <w:szCs w:val="16"/>
              </w:rPr>
              <w:t xml:space="preserve">Dividends to noncontrolling interest </w:t>
            </w:r>
          </w:p>
        </w:tc>
        <w:tc>
          <w:tcPr>
            <w:tcW w:w="0" w:type="auto"/>
            <w:gridSpan w:val="2"/>
            <w:shd w:val="clear" w:color="auto" w:fill="FFFFFF"/>
            <w:tcMar>
              <w:top w:w="40" w:type="dxa"/>
              <w:left w:w="20" w:type="dxa"/>
              <w:bottom w:w="40" w:type="dxa"/>
              <w:right w:w="0" w:type="dxa"/>
            </w:tcMar>
            <w:vAlign w:val="center"/>
          </w:tcPr>
          <w:p w14:paraId="4B9A32A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A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A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A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A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A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A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A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A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A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A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A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A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A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A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A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B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B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B2" w14:textId="77777777" w:rsidR="002A3970" w:rsidRDefault="00C35E63">
            <w:pPr>
              <w:jc w:val="right"/>
              <w:textAlignment w:val="center"/>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center"/>
          </w:tcPr>
          <w:p w14:paraId="4B9A32B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B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B5" w14:textId="77777777" w:rsidR="002A3970" w:rsidRDefault="00C35E63">
            <w:pPr>
              <w:jc w:val="right"/>
              <w:textAlignment w:val="center"/>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center"/>
          </w:tcPr>
          <w:p w14:paraId="4B9A32B6" w14:textId="77777777" w:rsidR="002A3970" w:rsidRDefault="002A3970">
            <w:pPr>
              <w:jc w:val="right"/>
              <w:rPr>
                <w:rFonts w:ascii="宋体"/>
              </w:rPr>
            </w:pPr>
          </w:p>
        </w:tc>
        <w:tc>
          <w:tcPr>
            <w:tcW w:w="0" w:type="auto"/>
            <w:shd w:val="clear" w:color="auto" w:fill="auto"/>
            <w:vAlign w:val="bottom"/>
          </w:tcPr>
          <w:p w14:paraId="4B9A32B7" w14:textId="77777777" w:rsidR="002A3970" w:rsidRDefault="002A3970">
            <w:pPr>
              <w:rPr>
                <w:rFonts w:ascii="宋体"/>
                <w:vanish/>
              </w:rPr>
            </w:pPr>
          </w:p>
        </w:tc>
        <w:tc>
          <w:tcPr>
            <w:tcW w:w="0" w:type="auto"/>
            <w:shd w:val="clear" w:color="auto" w:fill="auto"/>
            <w:vAlign w:val="bottom"/>
          </w:tcPr>
          <w:p w14:paraId="4B9A32B8" w14:textId="77777777" w:rsidR="002A3970" w:rsidRDefault="002A3970">
            <w:pPr>
              <w:rPr>
                <w:rFonts w:ascii="宋体"/>
                <w:vanish/>
              </w:rPr>
            </w:pPr>
          </w:p>
        </w:tc>
        <w:tc>
          <w:tcPr>
            <w:tcW w:w="0" w:type="auto"/>
            <w:shd w:val="clear" w:color="auto" w:fill="auto"/>
            <w:vAlign w:val="bottom"/>
          </w:tcPr>
          <w:p w14:paraId="4B9A32B9" w14:textId="77777777" w:rsidR="002A3970" w:rsidRDefault="002A3970">
            <w:pPr>
              <w:rPr>
                <w:rFonts w:ascii="宋体"/>
                <w:vanish/>
              </w:rPr>
            </w:pPr>
          </w:p>
        </w:tc>
      </w:tr>
      <w:tr w:rsidR="002A3970" w14:paraId="4B9A32D6" w14:textId="77777777">
        <w:tc>
          <w:tcPr>
            <w:tcW w:w="0" w:type="auto"/>
            <w:gridSpan w:val="3"/>
            <w:shd w:val="clear" w:color="auto" w:fill="CCEEFF"/>
            <w:tcMar>
              <w:top w:w="40" w:type="dxa"/>
              <w:left w:w="20" w:type="dxa"/>
              <w:bottom w:w="40" w:type="dxa"/>
              <w:right w:w="20" w:type="dxa"/>
            </w:tcMar>
            <w:vAlign w:val="center"/>
          </w:tcPr>
          <w:p w14:paraId="4B9A32BB"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4B9A32B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B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B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B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C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C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C2" w14:textId="77777777" w:rsidR="002A3970" w:rsidRDefault="00C35E63">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B9A32C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C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C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C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C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C8"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2C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C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CB" w14:textId="77777777" w:rsidR="002A3970" w:rsidRDefault="00C35E63">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B9A32C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C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CE" w14:textId="77777777" w:rsidR="002A3970" w:rsidRDefault="00C35E63">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B9A32C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D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2D1" w14:textId="77777777" w:rsidR="002A3970" w:rsidRDefault="00C35E63">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B9A32D2" w14:textId="77777777" w:rsidR="002A3970" w:rsidRDefault="002A3970">
            <w:pPr>
              <w:jc w:val="right"/>
              <w:rPr>
                <w:rFonts w:ascii="宋体"/>
              </w:rPr>
            </w:pPr>
          </w:p>
        </w:tc>
        <w:tc>
          <w:tcPr>
            <w:tcW w:w="0" w:type="auto"/>
            <w:shd w:val="clear" w:color="auto" w:fill="auto"/>
            <w:vAlign w:val="bottom"/>
          </w:tcPr>
          <w:p w14:paraId="4B9A32D3" w14:textId="77777777" w:rsidR="002A3970" w:rsidRDefault="002A3970">
            <w:pPr>
              <w:rPr>
                <w:rFonts w:ascii="宋体"/>
                <w:vanish/>
              </w:rPr>
            </w:pPr>
          </w:p>
        </w:tc>
        <w:tc>
          <w:tcPr>
            <w:tcW w:w="0" w:type="auto"/>
            <w:shd w:val="clear" w:color="auto" w:fill="auto"/>
            <w:vAlign w:val="bottom"/>
          </w:tcPr>
          <w:p w14:paraId="4B9A32D4" w14:textId="77777777" w:rsidR="002A3970" w:rsidRDefault="002A3970">
            <w:pPr>
              <w:rPr>
                <w:rFonts w:ascii="宋体"/>
                <w:vanish/>
              </w:rPr>
            </w:pPr>
          </w:p>
        </w:tc>
        <w:tc>
          <w:tcPr>
            <w:tcW w:w="0" w:type="auto"/>
            <w:shd w:val="clear" w:color="auto" w:fill="auto"/>
            <w:vAlign w:val="bottom"/>
          </w:tcPr>
          <w:p w14:paraId="4B9A32D5" w14:textId="77777777" w:rsidR="002A3970" w:rsidRDefault="002A3970">
            <w:pPr>
              <w:rPr>
                <w:rFonts w:ascii="宋体"/>
                <w:vanish/>
              </w:rPr>
            </w:pPr>
          </w:p>
        </w:tc>
      </w:tr>
      <w:tr w:rsidR="002A3970" w14:paraId="4B9A32F2" w14:textId="77777777">
        <w:tc>
          <w:tcPr>
            <w:tcW w:w="0" w:type="auto"/>
            <w:gridSpan w:val="3"/>
            <w:shd w:val="clear" w:color="auto" w:fill="FFFFFF"/>
            <w:tcMar>
              <w:top w:w="40" w:type="dxa"/>
              <w:left w:w="20" w:type="dxa"/>
              <w:bottom w:w="40" w:type="dxa"/>
              <w:right w:w="20" w:type="dxa"/>
            </w:tcMar>
            <w:vAlign w:val="center"/>
          </w:tcPr>
          <w:p w14:paraId="4B9A32D7" w14:textId="77777777" w:rsidR="002A3970" w:rsidRDefault="00C35E63">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4B9A32D8" w14:textId="77777777" w:rsidR="002A3970" w:rsidRDefault="00C35E63">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B9A32D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D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D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D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D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DE" w14:textId="77777777" w:rsidR="002A3970" w:rsidRDefault="00C35E63">
            <w:pPr>
              <w:jc w:val="right"/>
              <w:textAlignment w:val="center"/>
            </w:pPr>
            <w:r>
              <w:rPr>
                <w:rFonts w:ascii="Times New Roman" w:eastAsia="宋体" w:hAnsi="Times New Roman"/>
                <w:color w:val="000000"/>
                <w:sz w:val="16"/>
                <w:szCs w:val="16"/>
              </w:rPr>
              <w:t>296 </w:t>
            </w:r>
          </w:p>
        </w:tc>
        <w:tc>
          <w:tcPr>
            <w:tcW w:w="0" w:type="auto"/>
            <w:shd w:val="clear" w:color="auto" w:fill="FFFFFF"/>
            <w:tcMar>
              <w:top w:w="40" w:type="dxa"/>
              <w:left w:w="0" w:type="dxa"/>
              <w:bottom w:w="40" w:type="dxa"/>
              <w:right w:w="20" w:type="dxa"/>
            </w:tcMar>
            <w:vAlign w:val="center"/>
          </w:tcPr>
          <w:p w14:paraId="4B9A32D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E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E1" w14:textId="77777777" w:rsidR="002A3970" w:rsidRDefault="00C35E63">
            <w:pPr>
              <w:jc w:val="right"/>
              <w:textAlignment w:val="center"/>
            </w:pPr>
            <w:r>
              <w:rPr>
                <w:rFonts w:ascii="Times New Roman" w:eastAsia="宋体" w:hAnsi="Times New Roman"/>
                <w:color w:val="000000"/>
                <w:sz w:val="16"/>
                <w:szCs w:val="16"/>
              </w:rPr>
              <w:t>(46)</w:t>
            </w:r>
          </w:p>
        </w:tc>
        <w:tc>
          <w:tcPr>
            <w:tcW w:w="0" w:type="auto"/>
            <w:shd w:val="clear" w:color="auto" w:fill="FFFFFF"/>
            <w:tcMar>
              <w:top w:w="40" w:type="dxa"/>
              <w:left w:w="0" w:type="dxa"/>
              <w:bottom w:w="40" w:type="dxa"/>
              <w:right w:w="20" w:type="dxa"/>
            </w:tcMar>
            <w:vAlign w:val="center"/>
          </w:tcPr>
          <w:p w14:paraId="4B9A32E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E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E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2E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E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E7" w14:textId="77777777" w:rsidR="002A3970" w:rsidRDefault="00C35E63">
            <w:pPr>
              <w:jc w:val="right"/>
              <w:textAlignment w:val="center"/>
            </w:pPr>
            <w:r>
              <w:rPr>
                <w:rFonts w:ascii="Times New Roman" w:eastAsia="宋体" w:hAnsi="Times New Roman"/>
                <w:color w:val="000000"/>
                <w:sz w:val="16"/>
                <w:szCs w:val="16"/>
              </w:rPr>
              <w:t>250 </w:t>
            </w:r>
          </w:p>
        </w:tc>
        <w:tc>
          <w:tcPr>
            <w:tcW w:w="0" w:type="auto"/>
            <w:shd w:val="clear" w:color="auto" w:fill="FFFFFF"/>
            <w:tcMar>
              <w:top w:w="40" w:type="dxa"/>
              <w:left w:w="0" w:type="dxa"/>
              <w:bottom w:w="40" w:type="dxa"/>
              <w:right w:w="20" w:type="dxa"/>
            </w:tcMar>
            <w:vAlign w:val="center"/>
          </w:tcPr>
          <w:p w14:paraId="4B9A32E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E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EA" w14:textId="77777777" w:rsidR="002A3970" w:rsidRDefault="00C35E63">
            <w:pPr>
              <w:jc w:val="right"/>
              <w:textAlignment w:val="center"/>
            </w:pPr>
            <w:r>
              <w:rPr>
                <w:rFonts w:ascii="Times New Roman" w:eastAsia="宋体" w:hAnsi="Times New Roman"/>
                <w:color w:val="000000"/>
                <w:sz w:val="16"/>
                <w:szCs w:val="16"/>
              </w:rPr>
              <w:t>36 </w:t>
            </w:r>
          </w:p>
        </w:tc>
        <w:tc>
          <w:tcPr>
            <w:tcW w:w="0" w:type="auto"/>
            <w:shd w:val="clear" w:color="auto" w:fill="FFFFFF"/>
            <w:tcMar>
              <w:top w:w="40" w:type="dxa"/>
              <w:left w:w="0" w:type="dxa"/>
              <w:bottom w:w="40" w:type="dxa"/>
              <w:right w:w="20" w:type="dxa"/>
            </w:tcMar>
            <w:vAlign w:val="center"/>
          </w:tcPr>
          <w:p w14:paraId="4B9A32E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2E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2ED" w14:textId="77777777" w:rsidR="002A3970" w:rsidRDefault="00C35E63">
            <w:pPr>
              <w:jc w:val="right"/>
              <w:textAlignment w:val="center"/>
            </w:pPr>
            <w:r>
              <w:rPr>
                <w:rFonts w:ascii="Times New Roman" w:eastAsia="宋体" w:hAnsi="Times New Roman"/>
                <w:color w:val="000000"/>
                <w:sz w:val="16"/>
                <w:szCs w:val="16"/>
              </w:rPr>
              <w:t>286 </w:t>
            </w:r>
          </w:p>
        </w:tc>
        <w:tc>
          <w:tcPr>
            <w:tcW w:w="0" w:type="auto"/>
            <w:shd w:val="clear" w:color="auto" w:fill="FFFFFF"/>
            <w:tcMar>
              <w:top w:w="40" w:type="dxa"/>
              <w:left w:w="0" w:type="dxa"/>
              <w:bottom w:w="40" w:type="dxa"/>
              <w:right w:w="20" w:type="dxa"/>
            </w:tcMar>
            <w:vAlign w:val="center"/>
          </w:tcPr>
          <w:p w14:paraId="4B9A32EE" w14:textId="77777777" w:rsidR="002A3970" w:rsidRDefault="002A3970">
            <w:pPr>
              <w:jc w:val="right"/>
              <w:rPr>
                <w:rFonts w:ascii="宋体"/>
              </w:rPr>
            </w:pPr>
          </w:p>
        </w:tc>
        <w:tc>
          <w:tcPr>
            <w:tcW w:w="0" w:type="auto"/>
            <w:shd w:val="clear" w:color="auto" w:fill="auto"/>
            <w:vAlign w:val="bottom"/>
          </w:tcPr>
          <w:p w14:paraId="4B9A32EF" w14:textId="77777777" w:rsidR="002A3970" w:rsidRDefault="002A3970">
            <w:pPr>
              <w:rPr>
                <w:rFonts w:ascii="宋体"/>
                <w:vanish/>
              </w:rPr>
            </w:pPr>
          </w:p>
        </w:tc>
        <w:tc>
          <w:tcPr>
            <w:tcW w:w="0" w:type="auto"/>
            <w:shd w:val="clear" w:color="auto" w:fill="auto"/>
            <w:vAlign w:val="bottom"/>
          </w:tcPr>
          <w:p w14:paraId="4B9A32F0" w14:textId="77777777" w:rsidR="002A3970" w:rsidRDefault="002A3970">
            <w:pPr>
              <w:rPr>
                <w:rFonts w:ascii="宋体"/>
                <w:vanish/>
              </w:rPr>
            </w:pPr>
          </w:p>
        </w:tc>
        <w:tc>
          <w:tcPr>
            <w:tcW w:w="0" w:type="auto"/>
            <w:shd w:val="clear" w:color="auto" w:fill="auto"/>
            <w:vAlign w:val="bottom"/>
          </w:tcPr>
          <w:p w14:paraId="4B9A32F1" w14:textId="77777777" w:rsidR="002A3970" w:rsidRDefault="002A3970">
            <w:pPr>
              <w:rPr>
                <w:rFonts w:ascii="宋体"/>
                <w:vanish/>
              </w:rPr>
            </w:pPr>
          </w:p>
        </w:tc>
      </w:tr>
      <w:tr w:rsidR="00C35E63" w14:paraId="4B9A3315" w14:textId="77777777">
        <w:tc>
          <w:tcPr>
            <w:tcW w:w="0" w:type="auto"/>
            <w:gridSpan w:val="3"/>
            <w:shd w:val="clear" w:color="auto" w:fill="CCEEFF"/>
            <w:tcMar>
              <w:top w:w="40" w:type="dxa"/>
              <w:left w:w="20" w:type="dxa"/>
              <w:bottom w:w="40" w:type="dxa"/>
              <w:right w:w="20" w:type="dxa"/>
            </w:tcMar>
            <w:vAlign w:val="center"/>
          </w:tcPr>
          <w:p w14:paraId="4B9A32F3" w14:textId="77777777" w:rsidR="002A3970" w:rsidRDefault="00C35E63">
            <w:pPr>
              <w:textAlignment w:val="center"/>
            </w:pPr>
            <w:r>
              <w:rPr>
                <w:rFonts w:ascii="Times New Roman" w:eastAsia="宋体" w:hAnsi="Times New Roman"/>
                <w:b/>
                <w:bCs/>
                <w:color w:val="000000"/>
                <w:sz w:val="16"/>
                <w:szCs w:val="16"/>
              </w:rPr>
              <w:t>Balances as of October 31,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2F4" w14:textId="77777777" w:rsidR="002A3970" w:rsidRDefault="00C35E63">
            <w:pPr>
              <w:jc w:val="right"/>
              <w:textAlignment w:val="center"/>
            </w:pPr>
            <w:r>
              <w:rPr>
                <w:rFonts w:ascii="Times New Roman" w:eastAsia="宋体" w:hAnsi="Times New Roman"/>
                <w:color w:val="000000"/>
                <w:sz w:val="16"/>
                <w:szCs w:val="16"/>
              </w:rPr>
              <w:t>2,701 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2F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F6"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2F7"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2F8" w14:textId="77777777" w:rsidR="002A3970" w:rsidRDefault="00C35E63">
            <w:pPr>
              <w:jc w:val="right"/>
              <w:textAlignment w:val="center"/>
            </w:pPr>
            <w:r>
              <w:rPr>
                <w:rFonts w:ascii="Times New Roman" w:eastAsia="宋体" w:hAnsi="Times New Roman"/>
                <w:color w:val="000000"/>
                <w:sz w:val="16"/>
                <w:szCs w:val="16"/>
              </w:rPr>
              <w:t>270 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2F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FA"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2F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2FC" w14:textId="77777777" w:rsidR="002A3970" w:rsidRDefault="00C35E63">
            <w:pPr>
              <w:jc w:val="right"/>
              <w:textAlignment w:val="center"/>
            </w:pPr>
            <w:r>
              <w:rPr>
                <w:rFonts w:ascii="Times New Roman" w:eastAsia="宋体" w:hAnsi="Times New Roman"/>
                <w:color w:val="000000"/>
                <w:sz w:val="16"/>
                <w:szCs w:val="16"/>
              </w:rPr>
              <w:t>4,817 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2F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2FE"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2F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300" w14:textId="77777777" w:rsidR="002A3970" w:rsidRDefault="00C35E63">
            <w:pPr>
              <w:jc w:val="right"/>
              <w:textAlignment w:val="center"/>
            </w:pPr>
            <w:r>
              <w:rPr>
                <w:rFonts w:ascii="Times New Roman" w:eastAsia="宋体" w:hAnsi="Times New Roman"/>
                <w:color w:val="000000"/>
                <w:sz w:val="16"/>
                <w:szCs w:val="16"/>
              </w:rPr>
              <w:t>77,946 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30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02"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303"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304" w14:textId="77777777" w:rsidR="002A3970" w:rsidRDefault="00C35E63">
            <w:pPr>
              <w:jc w:val="right"/>
              <w:textAlignment w:val="center"/>
            </w:pPr>
            <w:r>
              <w:rPr>
                <w:rFonts w:ascii="Times New Roman" w:eastAsia="宋体" w:hAnsi="Times New Roman"/>
                <w:color w:val="000000"/>
                <w:sz w:val="16"/>
                <w:szCs w:val="16"/>
              </w:rPr>
              <w:t>(10,780)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30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06"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307"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308" w14:textId="77777777" w:rsidR="002A3970" w:rsidRDefault="00C35E63">
            <w:pPr>
              <w:jc w:val="right"/>
              <w:textAlignment w:val="center"/>
            </w:pPr>
            <w:r>
              <w:rPr>
                <w:rFonts w:ascii="Times New Roman" w:eastAsia="宋体" w:hAnsi="Times New Roman"/>
                <w:color w:val="000000"/>
                <w:sz w:val="16"/>
                <w:szCs w:val="16"/>
              </w:rPr>
              <w:t>72,253 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30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0A"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30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30C" w14:textId="77777777" w:rsidR="002A3970" w:rsidRDefault="00C35E63">
            <w:pPr>
              <w:jc w:val="right"/>
              <w:textAlignment w:val="center"/>
            </w:pPr>
            <w:r>
              <w:rPr>
                <w:rFonts w:ascii="Times New Roman" w:eastAsia="宋体" w:hAnsi="Times New Roman"/>
                <w:color w:val="000000"/>
                <w:sz w:val="16"/>
                <w:szCs w:val="16"/>
              </w:rPr>
              <w:t>7,870 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30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0E"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30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310" w14:textId="77777777" w:rsidR="002A3970" w:rsidRDefault="00C35E63">
            <w:pPr>
              <w:jc w:val="right"/>
              <w:textAlignment w:val="center"/>
            </w:pPr>
            <w:r>
              <w:rPr>
                <w:rFonts w:ascii="Times New Roman" w:eastAsia="宋体" w:hAnsi="Times New Roman"/>
                <w:color w:val="000000"/>
                <w:sz w:val="16"/>
                <w:szCs w:val="16"/>
              </w:rPr>
              <w:t>80,123 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311" w14:textId="77777777" w:rsidR="002A3970" w:rsidRDefault="002A3970">
            <w:pPr>
              <w:jc w:val="right"/>
              <w:rPr>
                <w:rFonts w:ascii="宋体"/>
              </w:rPr>
            </w:pPr>
          </w:p>
        </w:tc>
        <w:tc>
          <w:tcPr>
            <w:tcW w:w="0" w:type="auto"/>
            <w:shd w:val="clear" w:color="auto" w:fill="auto"/>
            <w:vAlign w:val="bottom"/>
          </w:tcPr>
          <w:p w14:paraId="4B9A3312" w14:textId="77777777" w:rsidR="002A3970" w:rsidRDefault="002A3970">
            <w:pPr>
              <w:rPr>
                <w:rFonts w:ascii="宋体"/>
                <w:vanish/>
              </w:rPr>
            </w:pPr>
          </w:p>
        </w:tc>
        <w:tc>
          <w:tcPr>
            <w:tcW w:w="0" w:type="auto"/>
            <w:shd w:val="clear" w:color="auto" w:fill="auto"/>
            <w:vAlign w:val="bottom"/>
          </w:tcPr>
          <w:p w14:paraId="4B9A3313" w14:textId="77777777" w:rsidR="002A3970" w:rsidRDefault="002A3970">
            <w:pPr>
              <w:rPr>
                <w:rFonts w:ascii="宋体"/>
                <w:vanish/>
              </w:rPr>
            </w:pPr>
          </w:p>
        </w:tc>
        <w:tc>
          <w:tcPr>
            <w:tcW w:w="0" w:type="auto"/>
            <w:shd w:val="clear" w:color="auto" w:fill="auto"/>
            <w:vAlign w:val="bottom"/>
          </w:tcPr>
          <w:p w14:paraId="4B9A3314" w14:textId="77777777" w:rsidR="002A3970" w:rsidRDefault="002A3970">
            <w:pPr>
              <w:rPr>
                <w:rFonts w:ascii="宋体"/>
                <w:vanish/>
              </w:rPr>
            </w:pPr>
          </w:p>
        </w:tc>
      </w:tr>
    </w:tbl>
    <w:p w14:paraId="4B9A3316" w14:textId="77777777" w:rsidR="002A3970" w:rsidRDefault="00C35E63">
      <w:pPr>
        <w:spacing w:before="80"/>
      </w:pPr>
      <w:r>
        <w:rPr>
          <w:rFonts w:ascii="Times New Roman" w:eastAsia="宋体" w:hAnsi="Times New Roman"/>
          <w:i/>
          <w:iCs/>
          <w:color w:val="000000"/>
          <w:sz w:val="16"/>
          <w:szCs w:val="16"/>
        </w:rPr>
        <w:t xml:space="preserve">See accompanying notes. </w:t>
      </w:r>
    </w:p>
    <w:p w14:paraId="4B9A3317" w14:textId="77777777" w:rsidR="002A3970" w:rsidRDefault="002A3970">
      <w:pPr>
        <w:spacing w:before="80"/>
      </w:pPr>
    </w:p>
    <w:p w14:paraId="4B9A3318" w14:textId="77777777" w:rsidR="002A3970" w:rsidRDefault="00C35E63">
      <w:pPr>
        <w:jc w:val="center"/>
      </w:pPr>
      <w:r>
        <w:rPr>
          <w:rFonts w:ascii="Times New Roman" w:eastAsia="宋体" w:hAnsi="Times New Roman"/>
          <w:color w:val="000000"/>
          <w:sz w:val="20"/>
          <w:szCs w:val="20"/>
        </w:rPr>
        <w:t>6</w:t>
      </w:r>
    </w:p>
    <w:p w14:paraId="4B9A3319" w14:textId="77777777" w:rsidR="002A3970" w:rsidRDefault="00C35E63">
      <w:r>
        <w:pict w14:anchorId="4B9A4C1B">
          <v:rect id="_x0000_i1030" style="width:415.3pt;height:1.5pt" o:hralign="center" o:hrstd="t" o:hr="t" fillcolor="#a0a0a0" stroked="f"/>
        </w:pict>
      </w:r>
    </w:p>
    <w:p w14:paraId="4B9A331A" w14:textId="77777777" w:rsidR="002A3970" w:rsidRDefault="00C35E63">
      <w:hyperlink r:id="rId45" w:anchor="i0522a2f6333e456295d59e779af751cb_7" w:history="1">
        <w:r>
          <w:rPr>
            <w:rStyle w:val="a5"/>
            <w:rFonts w:ascii="Times New Roman" w:eastAsia="宋体" w:hAnsi="Times New Roman"/>
            <w:sz w:val="20"/>
            <w:szCs w:val="20"/>
          </w:rPr>
          <w:t>Table of Contents</w:t>
        </w:r>
      </w:hyperlink>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962"/>
        <w:gridCol w:w="38"/>
        <w:gridCol w:w="79"/>
        <w:gridCol w:w="409"/>
        <w:gridCol w:w="37"/>
        <w:gridCol w:w="36"/>
        <w:gridCol w:w="36"/>
        <w:gridCol w:w="36"/>
        <w:gridCol w:w="100"/>
        <w:gridCol w:w="484"/>
        <w:gridCol w:w="36"/>
        <w:gridCol w:w="36"/>
        <w:gridCol w:w="36"/>
        <w:gridCol w:w="36"/>
        <w:gridCol w:w="101"/>
        <w:gridCol w:w="619"/>
        <w:gridCol w:w="36"/>
        <w:gridCol w:w="36"/>
        <w:gridCol w:w="36"/>
        <w:gridCol w:w="36"/>
        <w:gridCol w:w="100"/>
        <w:gridCol w:w="555"/>
        <w:gridCol w:w="36"/>
        <w:gridCol w:w="36"/>
        <w:gridCol w:w="36"/>
        <w:gridCol w:w="36"/>
        <w:gridCol w:w="136"/>
        <w:gridCol w:w="940"/>
        <w:gridCol w:w="36"/>
        <w:gridCol w:w="36"/>
        <w:gridCol w:w="36"/>
        <w:gridCol w:w="36"/>
        <w:gridCol w:w="123"/>
        <w:gridCol w:w="842"/>
        <w:gridCol w:w="36"/>
        <w:gridCol w:w="36"/>
        <w:gridCol w:w="36"/>
        <w:gridCol w:w="36"/>
        <w:gridCol w:w="137"/>
        <w:gridCol w:w="948"/>
        <w:gridCol w:w="36"/>
        <w:gridCol w:w="36"/>
        <w:gridCol w:w="36"/>
        <w:gridCol w:w="36"/>
        <w:gridCol w:w="99"/>
        <w:gridCol w:w="472"/>
        <w:gridCol w:w="36"/>
        <w:gridCol w:w="36"/>
        <w:gridCol w:w="36"/>
        <w:gridCol w:w="36"/>
      </w:tblGrid>
      <w:tr w:rsidR="002A3970" w14:paraId="4B9A334E" w14:textId="77777777">
        <w:trPr>
          <w:jc w:val="center"/>
        </w:trPr>
        <w:tc>
          <w:tcPr>
            <w:tcW w:w="50" w:type="pct"/>
            <w:shd w:val="clear" w:color="auto" w:fill="auto"/>
            <w:vAlign w:val="bottom"/>
          </w:tcPr>
          <w:p w14:paraId="4B9A331B" w14:textId="77777777" w:rsidR="002A3970" w:rsidRDefault="002A3970">
            <w:pPr>
              <w:rPr>
                <w:rFonts w:ascii="宋体"/>
              </w:rPr>
            </w:pPr>
          </w:p>
        </w:tc>
        <w:tc>
          <w:tcPr>
            <w:tcW w:w="1732" w:type="pct"/>
            <w:shd w:val="clear" w:color="auto" w:fill="auto"/>
            <w:vAlign w:val="bottom"/>
          </w:tcPr>
          <w:p w14:paraId="4B9A331C" w14:textId="77777777" w:rsidR="002A3970" w:rsidRDefault="002A3970">
            <w:pPr>
              <w:rPr>
                <w:rFonts w:ascii="宋体"/>
              </w:rPr>
            </w:pPr>
          </w:p>
        </w:tc>
        <w:tc>
          <w:tcPr>
            <w:tcW w:w="5" w:type="pct"/>
            <w:shd w:val="clear" w:color="auto" w:fill="auto"/>
            <w:vAlign w:val="bottom"/>
          </w:tcPr>
          <w:p w14:paraId="4B9A331D" w14:textId="77777777" w:rsidR="002A3970" w:rsidRDefault="002A3970">
            <w:pPr>
              <w:rPr>
                <w:rFonts w:ascii="宋体"/>
              </w:rPr>
            </w:pPr>
          </w:p>
        </w:tc>
        <w:tc>
          <w:tcPr>
            <w:tcW w:w="50" w:type="pct"/>
            <w:shd w:val="clear" w:color="auto" w:fill="auto"/>
            <w:vAlign w:val="bottom"/>
          </w:tcPr>
          <w:p w14:paraId="4B9A331E" w14:textId="77777777" w:rsidR="002A3970" w:rsidRDefault="002A3970">
            <w:pPr>
              <w:rPr>
                <w:rFonts w:ascii="宋体"/>
              </w:rPr>
            </w:pPr>
          </w:p>
        </w:tc>
        <w:tc>
          <w:tcPr>
            <w:tcW w:w="262" w:type="pct"/>
            <w:shd w:val="clear" w:color="auto" w:fill="auto"/>
            <w:vAlign w:val="bottom"/>
          </w:tcPr>
          <w:p w14:paraId="4B9A331F" w14:textId="77777777" w:rsidR="002A3970" w:rsidRDefault="002A3970">
            <w:pPr>
              <w:rPr>
                <w:rFonts w:ascii="宋体"/>
              </w:rPr>
            </w:pPr>
          </w:p>
        </w:tc>
        <w:tc>
          <w:tcPr>
            <w:tcW w:w="5" w:type="pct"/>
            <w:shd w:val="clear" w:color="auto" w:fill="auto"/>
            <w:vAlign w:val="bottom"/>
          </w:tcPr>
          <w:p w14:paraId="4B9A3320" w14:textId="77777777" w:rsidR="002A3970" w:rsidRDefault="002A3970">
            <w:pPr>
              <w:rPr>
                <w:rFonts w:ascii="宋体"/>
              </w:rPr>
            </w:pPr>
          </w:p>
        </w:tc>
        <w:tc>
          <w:tcPr>
            <w:tcW w:w="5" w:type="pct"/>
            <w:shd w:val="clear" w:color="auto" w:fill="auto"/>
            <w:vAlign w:val="bottom"/>
          </w:tcPr>
          <w:p w14:paraId="4B9A3321" w14:textId="77777777" w:rsidR="002A3970" w:rsidRDefault="002A3970">
            <w:pPr>
              <w:rPr>
                <w:rFonts w:ascii="宋体"/>
              </w:rPr>
            </w:pPr>
          </w:p>
        </w:tc>
        <w:tc>
          <w:tcPr>
            <w:tcW w:w="15" w:type="pct"/>
            <w:shd w:val="clear" w:color="auto" w:fill="auto"/>
            <w:vAlign w:val="bottom"/>
          </w:tcPr>
          <w:p w14:paraId="4B9A3322" w14:textId="77777777" w:rsidR="002A3970" w:rsidRDefault="002A3970">
            <w:pPr>
              <w:rPr>
                <w:rFonts w:ascii="宋体"/>
              </w:rPr>
            </w:pPr>
          </w:p>
        </w:tc>
        <w:tc>
          <w:tcPr>
            <w:tcW w:w="5" w:type="pct"/>
            <w:shd w:val="clear" w:color="auto" w:fill="auto"/>
            <w:vAlign w:val="bottom"/>
          </w:tcPr>
          <w:p w14:paraId="4B9A3323" w14:textId="77777777" w:rsidR="002A3970" w:rsidRDefault="002A3970">
            <w:pPr>
              <w:rPr>
                <w:rFonts w:ascii="宋体"/>
              </w:rPr>
            </w:pPr>
          </w:p>
        </w:tc>
        <w:tc>
          <w:tcPr>
            <w:tcW w:w="50" w:type="pct"/>
            <w:shd w:val="clear" w:color="auto" w:fill="auto"/>
            <w:vAlign w:val="bottom"/>
          </w:tcPr>
          <w:p w14:paraId="4B9A3324" w14:textId="77777777" w:rsidR="002A3970" w:rsidRDefault="002A3970">
            <w:pPr>
              <w:rPr>
                <w:rFonts w:ascii="宋体"/>
              </w:rPr>
            </w:pPr>
          </w:p>
        </w:tc>
        <w:tc>
          <w:tcPr>
            <w:tcW w:w="247" w:type="pct"/>
            <w:shd w:val="clear" w:color="auto" w:fill="auto"/>
            <w:vAlign w:val="bottom"/>
          </w:tcPr>
          <w:p w14:paraId="4B9A3325" w14:textId="77777777" w:rsidR="002A3970" w:rsidRDefault="002A3970">
            <w:pPr>
              <w:rPr>
                <w:rFonts w:ascii="宋体"/>
              </w:rPr>
            </w:pPr>
          </w:p>
        </w:tc>
        <w:tc>
          <w:tcPr>
            <w:tcW w:w="5" w:type="pct"/>
            <w:shd w:val="clear" w:color="auto" w:fill="auto"/>
            <w:vAlign w:val="bottom"/>
          </w:tcPr>
          <w:p w14:paraId="4B9A3326" w14:textId="77777777" w:rsidR="002A3970" w:rsidRDefault="002A3970">
            <w:pPr>
              <w:rPr>
                <w:rFonts w:ascii="宋体"/>
              </w:rPr>
            </w:pPr>
          </w:p>
        </w:tc>
        <w:tc>
          <w:tcPr>
            <w:tcW w:w="5" w:type="pct"/>
            <w:shd w:val="clear" w:color="auto" w:fill="auto"/>
            <w:vAlign w:val="bottom"/>
          </w:tcPr>
          <w:p w14:paraId="4B9A3327" w14:textId="77777777" w:rsidR="002A3970" w:rsidRDefault="002A3970">
            <w:pPr>
              <w:rPr>
                <w:rFonts w:ascii="宋体"/>
              </w:rPr>
            </w:pPr>
          </w:p>
        </w:tc>
        <w:tc>
          <w:tcPr>
            <w:tcW w:w="15" w:type="pct"/>
            <w:shd w:val="clear" w:color="auto" w:fill="auto"/>
            <w:vAlign w:val="bottom"/>
          </w:tcPr>
          <w:p w14:paraId="4B9A3328" w14:textId="77777777" w:rsidR="002A3970" w:rsidRDefault="002A3970">
            <w:pPr>
              <w:rPr>
                <w:rFonts w:ascii="宋体"/>
              </w:rPr>
            </w:pPr>
          </w:p>
        </w:tc>
        <w:tc>
          <w:tcPr>
            <w:tcW w:w="5" w:type="pct"/>
            <w:shd w:val="clear" w:color="auto" w:fill="auto"/>
            <w:vAlign w:val="bottom"/>
          </w:tcPr>
          <w:p w14:paraId="4B9A3329" w14:textId="77777777" w:rsidR="002A3970" w:rsidRDefault="002A3970">
            <w:pPr>
              <w:rPr>
                <w:rFonts w:ascii="宋体"/>
              </w:rPr>
            </w:pPr>
          </w:p>
        </w:tc>
        <w:tc>
          <w:tcPr>
            <w:tcW w:w="50" w:type="pct"/>
            <w:shd w:val="clear" w:color="auto" w:fill="auto"/>
            <w:vAlign w:val="bottom"/>
          </w:tcPr>
          <w:p w14:paraId="4B9A332A" w14:textId="77777777" w:rsidR="002A3970" w:rsidRDefault="002A3970">
            <w:pPr>
              <w:rPr>
                <w:rFonts w:ascii="宋体"/>
              </w:rPr>
            </w:pPr>
          </w:p>
        </w:tc>
        <w:tc>
          <w:tcPr>
            <w:tcW w:w="347" w:type="pct"/>
            <w:shd w:val="clear" w:color="auto" w:fill="auto"/>
            <w:vAlign w:val="bottom"/>
          </w:tcPr>
          <w:p w14:paraId="4B9A332B" w14:textId="77777777" w:rsidR="002A3970" w:rsidRDefault="002A3970">
            <w:pPr>
              <w:rPr>
                <w:rFonts w:ascii="宋体"/>
              </w:rPr>
            </w:pPr>
          </w:p>
        </w:tc>
        <w:tc>
          <w:tcPr>
            <w:tcW w:w="5" w:type="pct"/>
            <w:shd w:val="clear" w:color="auto" w:fill="auto"/>
            <w:vAlign w:val="bottom"/>
          </w:tcPr>
          <w:p w14:paraId="4B9A332C" w14:textId="77777777" w:rsidR="002A3970" w:rsidRDefault="002A3970">
            <w:pPr>
              <w:rPr>
                <w:rFonts w:ascii="宋体"/>
              </w:rPr>
            </w:pPr>
          </w:p>
        </w:tc>
        <w:tc>
          <w:tcPr>
            <w:tcW w:w="5" w:type="pct"/>
            <w:shd w:val="clear" w:color="auto" w:fill="auto"/>
            <w:vAlign w:val="bottom"/>
          </w:tcPr>
          <w:p w14:paraId="4B9A332D" w14:textId="77777777" w:rsidR="002A3970" w:rsidRDefault="002A3970">
            <w:pPr>
              <w:rPr>
                <w:rFonts w:ascii="宋体"/>
              </w:rPr>
            </w:pPr>
          </w:p>
        </w:tc>
        <w:tc>
          <w:tcPr>
            <w:tcW w:w="15" w:type="pct"/>
            <w:shd w:val="clear" w:color="auto" w:fill="auto"/>
            <w:vAlign w:val="bottom"/>
          </w:tcPr>
          <w:p w14:paraId="4B9A332E" w14:textId="77777777" w:rsidR="002A3970" w:rsidRDefault="002A3970">
            <w:pPr>
              <w:rPr>
                <w:rFonts w:ascii="宋体"/>
              </w:rPr>
            </w:pPr>
          </w:p>
        </w:tc>
        <w:tc>
          <w:tcPr>
            <w:tcW w:w="5" w:type="pct"/>
            <w:shd w:val="clear" w:color="auto" w:fill="auto"/>
            <w:vAlign w:val="bottom"/>
          </w:tcPr>
          <w:p w14:paraId="4B9A332F" w14:textId="77777777" w:rsidR="002A3970" w:rsidRDefault="002A3970">
            <w:pPr>
              <w:rPr>
                <w:rFonts w:ascii="宋体"/>
              </w:rPr>
            </w:pPr>
          </w:p>
        </w:tc>
        <w:tc>
          <w:tcPr>
            <w:tcW w:w="50" w:type="pct"/>
            <w:shd w:val="clear" w:color="auto" w:fill="auto"/>
            <w:vAlign w:val="bottom"/>
          </w:tcPr>
          <w:p w14:paraId="4B9A3330" w14:textId="77777777" w:rsidR="002A3970" w:rsidRDefault="002A3970">
            <w:pPr>
              <w:rPr>
                <w:rFonts w:ascii="宋体"/>
              </w:rPr>
            </w:pPr>
          </w:p>
        </w:tc>
        <w:tc>
          <w:tcPr>
            <w:tcW w:w="347" w:type="pct"/>
            <w:shd w:val="clear" w:color="auto" w:fill="auto"/>
            <w:vAlign w:val="bottom"/>
          </w:tcPr>
          <w:p w14:paraId="4B9A3331" w14:textId="77777777" w:rsidR="002A3970" w:rsidRDefault="002A3970">
            <w:pPr>
              <w:rPr>
                <w:rFonts w:ascii="宋体"/>
              </w:rPr>
            </w:pPr>
          </w:p>
        </w:tc>
        <w:tc>
          <w:tcPr>
            <w:tcW w:w="5" w:type="pct"/>
            <w:shd w:val="clear" w:color="auto" w:fill="auto"/>
            <w:vAlign w:val="bottom"/>
          </w:tcPr>
          <w:p w14:paraId="4B9A3332" w14:textId="77777777" w:rsidR="002A3970" w:rsidRDefault="002A3970">
            <w:pPr>
              <w:rPr>
                <w:rFonts w:ascii="宋体"/>
              </w:rPr>
            </w:pPr>
          </w:p>
        </w:tc>
        <w:tc>
          <w:tcPr>
            <w:tcW w:w="5" w:type="pct"/>
            <w:shd w:val="clear" w:color="auto" w:fill="auto"/>
            <w:vAlign w:val="bottom"/>
          </w:tcPr>
          <w:p w14:paraId="4B9A3333" w14:textId="77777777" w:rsidR="002A3970" w:rsidRDefault="002A3970">
            <w:pPr>
              <w:rPr>
                <w:rFonts w:ascii="宋体"/>
              </w:rPr>
            </w:pPr>
          </w:p>
        </w:tc>
        <w:tc>
          <w:tcPr>
            <w:tcW w:w="15" w:type="pct"/>
            <w:shd w:val="clear" w:color="auto" w:fill="auto"/>
            <w:vAlign w:val="bottom"/>
          </w:tcPr>
          <w:p w14:paraId="4B9A3334" w14:textId="77777777" w:rsidR="002A3970" w:rsidRDefault="002A3970">
            <w:pPr>
              <w:rPr>
                <w:rFonts w:ascii="宋体"/>
              </w:rPr>
            </w:pPr>
          </w:p>
        </w:tc>
        <w:tc>
          <w:tcPr>
            <w:tcW w:w="5" w:type="pct"/>
            <w:shd w:val="clear" w:color="auto" w:fill="auto"/>
            <w:vAlign w:val="bottom"/>
          </w:tcPr>
          <w:p w14:paraId="4B9A3335" w14:textId="77777777" w:rsidR="002A3970" w:rsidRDefault="002A3970">
            <w:pPr>
              <w:rPr>
                <w:rFonts w:ascii="宋体"/>
              </w:rPr>
            </w:pPr>
          </w:p>
        </w:tc>
        <w:tc>
          <w:tcPr>
            <w:tcW w:w="50" w:type="pct"/>
            <w:shd w:val="clear" w:color="auto" w:fill="auto"/>
            <w:vAlign w:val="bottom"/>
          </w:tcPr>
          <w:p w14:paraId="4B9A3336" w14:textId="77777777" w:rsidR="002A3970" w:rsidRDefault="002A3970">
            <w:pPr>
              <w:rPr>
                <w:rFonts w:ascii="宋体"/>
              </w:rPr>
            </w:pPr>
          </w:p>
        </w:tc>
        <w:tc>
          <w:tcPr>
            <w:tcW w:w="347" w:type="pct"/>
            <w:shd w:val="clear" w:color="auto" w:fill="auto"/>
            <w:vAlign w:val="bottom"/>
          </w:tcPr>
          <w:p w14:paraId="4B9A3337" w14:textId="77777777" w:rsidR="002A3970" w:rsidRDefault="002A3970">
            <w:pPr>
              <w:rPr>
                <w:rFonts w:ascii="宋体"/>
              </w:rPr>
            </w:pPr>
          </w:p>
        </w:tc>
        <w:tc>
          <w:tcPr>
            <w:tcW w:w="5" w:type="pct"/>
            <w:shd w:val="clear" w:color="auto" w:fill="auto"/>
            <w:vAlign w:val="bottom"/>
          </w:tcPr>
          <w:p w14:paraId="4B9A3338" w14:textId="77777777" w:rsidR="002A3970" w:rsidRDefault="002A3970">
            <w:pPr>
              <w:rPr>
                <w:rFonts w:ascii="宋体"/>
              </w:rPr>
            </w:pPr>
          </w:p>
        </w:tc>
        <w:tc>
          <w:tcPr>
            <w:tcW w:w="5" w:type="pct"/>
            <w:shd w:val="clear" w:color="auto" w:fill="auto"/>
            <w:vAlign w:val="bottom"/>
          </w:tcPr>
          <w:p w14:paraId="4B9A3339" w14:textId="77777777" w:rsidR="002A3970" w:rsidRDefault="002A3970">
            <w:pPr>
              <w:rPr>
                <w:rFonts w:ascii="宋体"/>
              </w:rPr>
            </w:pPr>
          </w:p>
        </w:tc>
        <w:tc>
          <w:tcPr>
            <w:tcW w:w="15" w:type="pct"/>
            <w:shd w:val="clear" w:color="auto" w:fill="auto"/>
            <w:vAlign w:val="bottom"/>
          </w:tcPr>
          <w:p w14:paraId="4B9A333A" w14:textId="77777777" w:rsidR="002A3970" w:rsidRDefault="002A3970">
            <w:pPr>
              <w:rPr>
                <w:rFonts w:ascii="宋体"/>
              </w:rPr>
            </w:pPr>
          </w:p>
        </w:tc>
        <w:tc>
          <w:tcPr>
            <w:tcW w:w="5" w:type="pct"/>
            <w:shd w:val="clear" w:color="auto" w:fill="auto"/>
            <w:vAlign w:val="bottom"/>
          </w:tcPr>
          <w:p w14:paraId="4B9A333B" w14:textId="77777777" w:rsidR="002A3970" w:rsidRDefault="002A3970">
            <w:pPr>
              <w:rPr>
                <w:rFonts w:ascii="宋体"/>
              </w:rPr>
            </w:pPr>
          </w:p>
        </w:tc>
        <w:tc>
          <w:tcPr>
            <w:tcW w:w="50" w:type="pct"/>
            <w:shd w:val="clear" w:color="auto" w:fill="auto"/>
            <w:vAlign w:val="bottom"/>
          </w:tcPr>
          <w:p w14:paraId="4B9A333C" w14:textId="77777777" w:rsidR="002A3970" w:rsidRDefault="002A3970">
            <w:pPr>
              <w:rPr>
                <w:rFonts w:ascii="宋体"/>
              </w:rPr>
            </w:pPr>
          </w:p>
        </w:tc>
        <w:tc>
          <w:tcPr>
            <w:tcW w:w="347" w:type="pct"/>
            <w:shd w:val="clear" w:color="auto" w:fill="auto"/>
            <w:vAlign w:val="bottom"/>
          </w:tcPr>
          <w:p w14:paraId="4B9A333D" w14:textId="77777777" w:rsidR="002A3970" w:rsidRDefault="002A3970">
            <w:pPr>
              <w:rPr>
                <w:rFonts w:ascii="宋体"/>
              </w:rPr>
            </w:pPr>
          </w:p>
        </w:tc>
        <w:tc>
          <w:tcPr>
            <w:tcW w:w="5" w:type="pct"/>
            <w:shd w:val="clear" w:color="auto" w:fill="auto"/>
            <w:vAlign w:val="bottom"/>
          </w:tcPr>
          <w:p w14:paraId="4B9A333E" w14:textId="77777777" w:rsidR="002A3970" w:rsidRDefault="002A3970">
            <w:pPr>
              <w:rPr>
                <w:rFonts w:ascii="宋体"/>
              </w:rPr>
            </w:pPr>
          </w:p>
        </w:tc>
        <w:tc>
          <w:tcPr>
            <w:tcW w:w="5" w:type="pct"/>
            <w:shd w:val="clear" w:color="auto" w:fill="auto"/>
            <w:vAlign w:val="bottom"/>
          </w:tcPr>
          <w:p w14:paraId="4B9A333F" w14:textId="77777777" w:rsidR="002A3970" w:rsidRDefault="002A3970">
            <w:pPr>
              <w:rPr>
                <w:rFonts w:ascii="宋体"/>
              </w:rPr>
            </w:pPr>
          </w:p>
        </w:tc>
        <w:tc>
          <w:tcPr>
            <w:tcW w:w="15" w:type="pct"/>
            <w:shd w:val="clear" w:color="auto" w:fill="auto"/>
            <w:vAlign w:val="bottom"/>
          </w:tcPr>
          <w:p w14:paraId="4B9A3340" w14:textId="77777777" w:rsidR="002A3970" w:rsidRDefault="002A3970">
            <w:pPr>
              <w:rPr>
                <w:rFonts w:ascii="宋体"/>
              </w:rPr>
            </w:pPr>
          </w:p>
        </w:tc>
        <w:tc>
          <w:tcPr>
            <w:tcW w:w="5" w:type="pct"/>
            <w:shd w:val="clear" w:color="auto" w:fill="auto"/>
            <w:vAlign w:val="bottom"/>
          </w:tcPr>
          <w:p w14:paraId="4B9A3341" w14:textId="77777777" w:rsidR="002A3970" w:rsidRDefault="002A3970">
            <w:pPr>
              <w:rPr>
                <w:rFonts w:ascii="宋体"/>
              </w:rPr>
            </w:pPr>
          </w:p>
        </w:tc>
        <w:tc>
          <w:tcPr>
            <w:tcW w:w="50" w:type="pct"/>
            <w:shd w:val="clear" w:color="auto" w:fill="auto"/>
            <w:vAlign w:val="bottom"/>
          </w:tcPr>
          <w:p w14:paraId="4B9A3342" w14:textId="77777777" w:rsidR="002A3970" w:rsidRDefault="002A3970">
            <w:pPr>
              <w:rPr>
                <w:rFonts w:ascii="宋体"/>
              </w:rPr>
            </w:pPr>
          </w:p>
        </w:tc>
        <w:tc>
          <w:tcPr>
            <w:tcW w:w="347" w:type="pct"/>
            <w:shd w:val="clear" w:color="auto" w:fill="auto"/>
            <w:vAlign w:val="bottom"/>
          </w:tcPr>
          <w:p w14:paraId="4B9A3343" w14:textId="77777777" w:rsidR="002A3970" w:rsidRDefault="002A3970">
            <w:pPr>
              <w:rPr>
                <w:rFonts w:ascii="宋体"/>
              </w:rPr>
            </w:pPr>
          </w:p>
        </w:tc>
        <w:tc>
          <w:tcPr>
            <w:tcW w:w="5" w:type="pct"/>
            <w:shd w:val="clear" w:color="auto" w:fill="auto"/>
            <w:vAlign w:val="bottom"/>
          </w:tcPr>
          <w:p w14:paraId="4B9A3344" w14:textId="77777777" w:rsidR="002A3970" w:rsidRDefault="002A3970">
            <w:pPr>
              <w:rPr>
                <w:rFonts w:ascii="宋体"/>
              </w:rPr>
            </w:pPr>
          </w:p>
        </w:tc>
        <w:tc>
          <w:tcPr>
            <w:tcW w:w="5" w:type="pct"/>
            <w:shd w:val="clear" w:color="auto" w:fill="auto"/>
            <w:vAlign w:val="bottom"/>
          </w:tcPr>
          <w:p w14:paraId="4B9A3345" w14:textId="77777777" w:rsidR="002A3970" w:rsidRDefault="002A3970">
            <w:pPr>
              <w:rPr>
                <w:rFonts w:ascii="宋体"/>
              </w:rPr>
            </w:pPr>
          </w:p>
        </w:tc>
        <w:tc>
          <w:tcPr>
            <w:tcW w:w="15" w:type="pct"/>
            <w:shd w:val="clear" w:color="auto" w:fill="auto"/>
            <w:vAlign w:val="bottom"/>
          </w:tcPr>
          <w:p w14:paraId="4B9A3346" w14:textId="77777777" w:rsidR="002A3970" w:rsidRDefault="002A3970">
            <w:pPr>
              <w:rPr>
                <w:rFonts w:ascii="宋体"/>
              </w:rPr>
            </w:pPr>
          </w:p>
        </w:tc>
        <w:tc>
          <w:tcPr>
            <w:tcW w:w="5" w:type="pct"/>
            <w:shd w:val="clear" w:color="auto" w:fill="auto"/>
            <w:vAlign w:val="bottom"/>
          </w:tcPr>
          <w:p w14:paraId="4B9A3347" w14:textId="77777777" w:rsidR="002A3970" w:rsidRDefault="002A3970">
            <w:pPr>
              <w:rPr>
                <w:rFonts w:ascii="宋体"/>
              </w:rPr>
            </w:pPr>
          </w:p>
        </w:tc>
        <w:tc>
          <w:tcPr>
            <w:tcW w:w="50" w:type="pct"/>
            <w:shd w:val="clear" w:color="auto" w:fill="auto"/>
            <w:vAlign w:val="bottom"/>
          </w:tcPr>
          <w:p w14:paraId="4B9A3348" w14:textId="77777777" w:rsidR="002A3970" w:rsidRDefault="002A3970">
            <w:pPr>
              <w:rPr>
                <w:rFonts w:ascii="宋体"/>
              </w:rPr>
            </w:pPr>
          </w:p>
        </w:tc>
        <w:tc>
          <w:tcPr>
            <w:tcW w:w="348" w:type="pct"/>
            <w:shd w:val="clear" w:color="auto" w:fill="auto"/>
            <w:vAlign w:val="bottom"/>
          </w:tcPr>
          <w:p w14:paraId="4B9A3349" w14:textId="77777777" w:rsidR="002A3970" w:rsidRDefault="002A3970">
            <w:pPr>
              <w:rPr>
                <w:rFonts w:ascii="宋体"/>
              </w:rPr>
            </w:pPr>
          </w:p>
        </w:tc>
        <w:tc>
          <w:tcPr>
            <w:tcW w:w="5" w:type="pct"/>
            <w:shd w:val="clear" w:color="auto" w:fill="auto"/>
            <w:vAlign w:val="bottom"/>
          </w:tcPr>
          <w:p w14:paraId="4B9A334A" w14:textId="77777777" w:rsidR="002A3970" w:rsidRDefault="002A3970">
            <w:pPr>
              <w:rPr>
                <w:rFonts w:ascii="宋体"/>
              </w:rPr>
            </w:pPr>
          </w:p>
        </w:tc>
        <w:tc>
          <w:tcPr>
            <w:tcW w:w="0" w:type="auto"/>
            <w:shd w:val="clear" w:color="auto" w:fill="auto"/>
            <w:vAlign w:val="bottom"/>
          </w:tcPr>
          <w:p w14:paraId="4B9A334B" w14:textId="77777777" w:rsidR="002A3970" w:rsidRDefault="002A3970">
            <w:pPr>
              <w:rPr>
                <w:rFonts w:ascii="宋体"/>
                <w:vanish/>
              </w:rPr>
            </w:pPr>
          </w:p>
        </w:tc>
        <w:tc>
          <w:tcPr>
            <w:tcW w:w="0" w:type="auto"/>
            <w:shd w:val="clear" w:color="auto" w:fill="auto"/>
            <w:vAlign w:val="bottom"/>
          </w:tcPr>
          <w:p w14:paraId="4B9A334C" w14:textId="77777777" w:rsidR="002A3970" w:rsidRDefault="002A3970">
            <w:pPr>
              <w:rPr>
                <w:rFonts w:ascii="宋体"/>
                <w:vanish/>
              </w:rPr>
            </w:pPr>
          </w:p>
        </w:tc>
        <w:tc>
          <w:tcPr>
            <w:tcW w:w="0" w:type="auto"/>
            <w:shd w:val="clear" w:color="auto" w:fill="auto"/>
            <w:vAlign w:val="bottom"/>
          </w:tcPr>
          <w:p w14:paraId="4B9A334D" w14:textId="77777777" w:rsidR="002A3970" w:rsidRDefault="002A3970">
            <w:pPr>
              <w:rPr>
                <w:rFonts w:ascii="宋体"/>
                <w:vanish/>
              </w:rPr>
            </w:pPr>
          </w:p>
        </w:tc>
      </w:tr>
      <w:tr w:rsidR="002A3970" w14:paraId="4B9A3362" w14:textId="77777777">
        <w:trPr>
          <w:jc w:val="center"/>
        </w:trPr>
        <w:tc>
          <w:tcPr>
            <w:tcW w:w="0" w:type="auto"/>
            <w:gridSpan w:val="3"/>
            <w:shd w:val="clear" w:color="auto" w:fill="auto"/>
            <w:tcMar>
              <w:top w:w="0" w:type="dxa"/>
              <w:left w:w="20" w:type="dxa"/>
              <w:bottom w:w="0" w:type="dxa"/>
              <w:right w:w="20" w:type="dxa"/>
            </w:tcMar>
            <w:vAlign w:val="bottom"/>
          </w:tcPr>
          <w:p w14:paraId="4B9A334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0"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5"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6"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58" w14:textId="77777777" w:rsidR="002A3970" w:rsidRDefault="00C35E63">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4B9A335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5A" w14:textId="77777777" w:rsidR="002A3970" w:rsidRDefault="00C35E63">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4B9A335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5E" w14:textId="77777777" w:rsidR="002A3970" w:rsidRDefault="002A3970">
            <w:pPr>
              <w:rPr>
                <w:rFonts w:ascii="宋体"/>
              </w:rPr>
            </w:pPr>
          </w:p>
        </w:tc>
        <w:tc>
          <w:tcPr>
            <w:tcW w:w="0" w:type="auto"/>
            <w:shd w:val="clear" w:color="auto" w:fill="auto"/>
            <w:vAlign w:val="bottom"/>
          </w:tcPr>
          <w:p w14:paraId="4B9A335F" w14:textId="77777777" w:rsidR="002A3970" w:rsidRDefault="002A3970">
            <w:pPr>
              <w:rPr>
                <w:rFonts w:ascii="宋体"/>
                <w:vanish/>
              </w:rPr>
            </w:pPr>
          </w:p>
        </w:tc>
        <w:tc>
          <w:tcPr>
            <w:tcW w:w="0" w:type="auto"/>
            <w:shd w:val="clear" w:color="auto" w:fill="auto"/>
            <w:vAlign w:val="bottom"/>
          </w:tcPr>
          <w:p w14:paraId="4B9A3360" w14:textId="77777777" w:rsidR="002A3970" w:rsidRDefault="002A3970">
            <w:pPr>
              <w:rPr>
                <w:rFonts w:ascii="宋体"/>
                <w:vanish/>
              </w:rPr>
            </w:pPr>
          </w:p>
        </w:tc>
        <w:tc>
          <w:tcPr>
            <w:tcW w:w="0" w:type="auto"/>
            <w:shd w:val="clear" w:color="auto" w:fill="auto"/>
            <w:vAlign w:val="bottom"/>
          </w:tcPr>
          <w:p w14:paraId="4B9A3361" w14:textId="77777777" w:rsidR="002A3970" w:rsidRDefault="002A3970">
            <w:pPr>
              <w:rPr>
                <w:rFonts w:ascii="宋体"/>
                <w:vanish/>
              </w:rPr>
            </w:pPr>
          </w:p>
        </w:tc>
      </w:tr>
      <w:tr w:rsidR="002A3970" w14:paraId="4B9A3376" w14:textId="77777777">
        <w:trPr>
          <w:jc w:val="center"/>
        </w:trPr>
        <w:tc>
          <w:tcPr>
            <w:tcW w:w="0" w:type="auto"/>
            <w:gridSpan w:val="3"/>
            <w:shd w:val="clear" w:color="auto" w:fill="auto"/>
            <w:tcMar>
              <w:top w:w="0" w:type="dxa"/>
              <w:left w:w="20" w:type="dxa"/>
              <w:bottom w:w="0" w:type="dxa"/>
              <w:right w:w="20" w:type="dxa"/>
            </w:tcMar>
            <w:vAlign w:val="bottom"/>
          </w:tcPr>
          <w:p w14:paraId="4B9A336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6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65"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66"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6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68" w14:textId="77777777" w:rsidR="002A3970" w:rsidRDefault="00C35E63">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4B9A336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6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6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6C" w14:textId="77777777" w:rsidR="002A3970" w:rsidRDefault="00C35E63">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4B9A336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6E" w14:textId="77777777" w:rsidR="002A3970" w:rsidRDefault="00C35E63">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4B9A336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70" w14:textId="77777777" w:rsidR="002A3970" w:rsidRDefault="00C35E63">
            <w:pPr>
              <w:jc w:val="center"/>
              <w:textAlignment w:val="bottom"/>
            </w:pPr>
            <w:r>
              <w:rPr>
                <w:rFonts w:ascii="Times New Roman" w:eastAsia="宋体" w:hAnsi="Times New Roman"/>
                <w:b/>
                <w:bCs/>
                <w:color w:val="000000"/>
                <w:sz w:val="16"/>
                <w:szCs w:val="16"/>
              </w:rPr>
              <w:t>Nonredeemable</w:t>
            </w:r>
          </w:p>
        </w:tc>
        <w:tc>
          <w:tcPr>
            <w:tcW w:w="0" w:type="auto"/>
            <w:gridSpan w:val="3"/>
            <w:shd w:val="clear" w:color="auto" w:fill="auto"/>
            <w:tcMar>
              <w:top w:w="0" w:type="dxa"/>
              <w:left w:w="20" w:type="dxa"/>
              <w:bottom w:w="0" w:type="dxa"/>
              <w:right w:w="20" w:type="dxa"/>
            </w:tcMar>
            <w:vAlign w:val="bottom"/>
          </w:tcPr>
          <w:p w14:paraId="4B9A337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372" w14:textId="77777777" w:rsidR="002A3970" w:rsidRDefault="002A3970">
            <w:pPr>
              <w:rPr>
                <w:rFonts w:ascii="宋体"/>
              </w:rPr>
            </w:pPr>
          </w:p>
        </w:tc>
        <w:tc>
          <w:tcPr>
            <w:tcW w:w="0" w:type="auto"/>
            <w:shd w:val="clear" w:color="auto" w:fill="auto"/>
            <w:vAlign w:val="bottom"/>
          </w:tcPr>
          <w:p w14:paraId="4B9A3373" w14:textId="77777777" w:rsidR="002A3970" w:rsidRDefault="002A3970">
            <w:pPr>
              <w:rPr>
                <w:rFonts w:ascii="宋体"/>
                <w:vanish/>
              </w:rPr>
            </w:pPr>
          </w:p>
        </w:tc>
        <w:tc>
          <w:tcPr>
            <w:tcW w:w="0" w:type="auto"/>
            <w:shd w:val="clear" w:color="auto" w:fill="auto"/>
            <w:vAlign w:val="bottom"/>
          </w:tcPr>
          <w:p w14:paraId="4B9A3374" w14:textId="77777777" w:rsidR="002A3970" w:rsidRDefault="002A3970">
            <w:pPr>
              <w:rPr>
                <w:rFonts w:ascii="宋体"/>
                <w:vanish/>
              </w:rPr>
            </w:pPr>
          </w:p>
        </w:tc>
        <w:tc>
          <w:tcPr>
            <w:tcW w:w="0" w:type="auto"/>
            <w:shd w:val="clear" w:color="auto" w:fill="auto"/>
            <w:vAlign w:val="bottom"/>
          </w:tcPr>
          <w:p w14:paraId="4B9A3375" w14:textId="77777777" w:rsidR="002A3970" w:rsidRDefault="002A3970">
            <w:pPr>
              <w:rPr>
                <w:rFonts w:ascii="宋体"/>
                <w:vanish/>
              </w:rPr>
            </w:pPr>
          </w:p>
        </w:tc>
      </w:tr>
      <w:tr w:rsidR="002A3970" w14:paraId="4B9A3388"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4B9A3377"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4B9A3378" w14:textId="77777777" w:rsidR="002A3970" w:rsidRDefault="00C35E63">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4B9A337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7A" w14:textId="77777777" w:rsidR="002A3970" w:rsidRDefault="00C35E63">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4B9A337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7C" w14:textId="77777777" w:rsidR="002A3970" w:rsidRDefault="00C35E63">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4B9A337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7E" w14:textId="77777777" w:rsidR="002A3970" w:rsidRDefault="00C35E63">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4B9A337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80" w14:textId="77777777" w:rsidR="002A3970" w:rsidRDefault="00C35E63">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4B9A338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82" w14:textId="77777777" w:rsidR="002A3970" w:rsidRDefault="00C35E63">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4B9A338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84" w14:textId="77777777" w:rsidR="002A3970" w:rsidRDefault="00C35E63">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4B9A3385" w14:textId="77777777" w:rsidR="002A3970" w:rsidRDefault="002A3970">
            <w:pPr>
              <w:rPr>
                <w:rFonts w:ascii="宋体"/>
                <w:vanish/>
              </w:rPr>
            </w:pPr>
          </w:p>
        </w:tc>
        <w:tc>
          <w:tcPr>
            <w:tcW w:w="0" w:type="auto"/>
            <w:shd w:val="clear" w:color="auto" w:fill="auto"/>
            <w:vAlign w:val="bottom"/>
          </w:tcPr>
          <w:p w14:paraId="4B9A3386" w14:textId="77777777" w:rsidR="002A3970" w:rsidRDefault="002A3970">
            <w:pPr>
              <w:rPr>
                <w:rFonts w:ascii="宋体"/>
                <w:vanish/>
              </w:rPr>
            </w:pPr>
          </w:p>
        </w:tc>
        <w:tc>
          <w:tcPr>
            <w:tcW w:w="0" w:type="auto"/>
            <w:shd w:val="clear" w:color="auto" w:fill="auto"/>
            <w:vAlign w:val="bottom"/>
          </w:tcPr>
          <w:p w14:paraId="4B9A3387" w14:textId="77777777" w:rsidR="002A3970" w:rsidRDefault="002A3970">
            <w:pPr>
              <w:rPr>
                <w:rFonts w:ascii="宋体"/>
                <w:vanish/>
              </w:rPr>
            </w:pPr>
          </w:p>
        </w:tc>
      </w:tr>
      <w:tr w:rsidR="002A3970" w14:paraId="4B9A339C"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4B9A3389"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38A" w14:textId="77777777" w:rsidR="002A3970" w:rsidRDefault="00C35E63">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38B"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38C" w14:textId="77777777" w:rsidR="002A3970" w:rsidRDefault="00C35E63">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4B9A338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8E" w14:textId="77777777" w:rsidR="002A3970" w:rsidRDefault="00C35E63">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B9A338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90" w14:textId="77777777" w:rsidR="002A3970" w:rsidRDefault="00C35E63">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4B9A339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92" w14:textId="77777777" w:rsidR="002A3970" w:rsidRDefault="00C35E63">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4B9A339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94" w14:textId="77777777" w:rsidR="002A3970" w:rsidRDefault="00C35E63">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4B9A339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96" w14:textId="77777777" w:rsidR="002A3970" w:rsidRDefault="00C35E63">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4B9A339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398" w14:textId="77777777" w:rsidR="002A3970" w:rsidRDefault="00C35E63">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4B9A3399" w14:textId="77777777" w:rsidR="002A3970" w:rsidRDefault="002A3970">
            <w:pPr>
              <w:rPr>
                <w:rFonts w:ascii="宋体"/>
                <w:vanish/>
              </w:rPr>
            </w:pPr>
          </w:p>
        </w:tc>
        <w:tc>
          <w:tcPr>
            <w:tcW w:w="0" w:type="auto"/>
            <w:shd w:val="clear" w:color="auto" w:fill="auto"/>
            <w:vAlign w:val="bottom"/>
          </w:tcPr>
          <w:p w14:paraId="4B9A339A" w14:textId="77777777" w:rsidR="002A3970" w:rsidRDefault="002A3970">
            <w:pPr>
              <w:rPr>
                <w:rFonts w:ascii="宋体"/>
                <w:vanish/>
              </w:rPr>
            </w:pPr>
          </w:p>
        </w:tc>
        <w:tc>
          <w:tcPr>
            <w:tcW w:w="0" w:type="auto"/>
            <w:shd w:val="clear" w:color="auto" w:fill="auto"/>
            <w:vAlign w:val="bottom"/>
          </w:tcPr>
          <w:p w14:paraId="4B9A339B" w14:textId="77777777" w:rsidR="002A3970" w:rsidRDefault="002A3970">
            <w:pPr>
              <w:rPr>
                <w:rFonts w:ascii="宋体"/>
                <w:vanish/>
              </w:rPr>
            </w:pPr>
          </w:p>
        </w:tc>
      </w:tr>
      <w:tr w:rsidR="002A3970" w14:paraId="4B9A33BF" w14:textId="77777777">
        <w:trPr>
          <w:jc w:val="center"/>
        </w:trPr>
        <w:tc>
          <w:tcPr>
            <w:tcW w:w="0" w:type="auto"/>
            <w:gridSpan w:val="3"/>
            <w:shd w:val="clear" w:color="auto" w:fill="CCEEFF"/>
            <w:tcMar>
              <w:top w:w="40" w:type="dxa"/>
              <w:left w:w="20" w:type="dxa"/>
              <w:bottom w:w="40" w:type="dxa"/>
              <w:right w:w="20" w:type="dxa"/>
            </w:tcMar>
            <w:vAlign w:val="center"/>
          </w:tcPr>
          <w:p w14:paraId="4B9A339D" w14:textId="77777777" w:rsidR="002A3970" w:rsidRDefault="00C35E63">
            <w:pPr>
              <w:textAlignment w:val="center"/>
            </w:pPr>
            <w:r>
              <w:rPr>
                <w:rFonts w:ascii="Times New Roman" w:eastAsia="宋体" w:hAnsi="Times New Roman"/>
                <w:b/>
                <w:bCs/>
                <w:color w:val="000000"/>
                <w:sz w:val="16"/>
                <w:szCs w:val="16"/>
              </w:rPr>
              <w:t>Balances as of February 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39E" w14:textId="77777777" w:rsidR="002A3970" w:rsidRDefault="00C35E63">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9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A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A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A2" w14:textId="77777777" w:rsidR="002A3970" w:rsidRDefault="00C35E63">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A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A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A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A6" w14:textId="77777777" w:rsidR="002A3970" w:rsidRDefault="00C35E63">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A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A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A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AA" w14:textId="77777777" w:rsidR="002A3970" w:rsidRDefault="00C35E63">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A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A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A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AE" w14:textId="77777777" w:rsidR="002A3970" w:rsidRDefault="00C35E63">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A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B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B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B2" w14:textId="77777777" w:rsidR="002A3970" w:rsidRDefault="00C35E63">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B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B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B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B6" w14:textId="77777777" w:rsidR="002A3970" w:rsidRDefault="00C35E63">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B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B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3B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3BA" w14:textId="77777777" w:rsidR="002A3970" w:rsidRDefault="00C35E63">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3BB" w14:textId="77777777" w:rsidR="002A3970" w:rsidRDefault="002A3970">
            <w:pPr>
              <w:jc w:val="right"/>
              <w:rPr>
                <w:rFonts w:ascii="宋体"/>
              </w:rPr>
            </w:pPr>
          </w:p>
        </w:tc>
        <w:tc>
          <w:tcPr>
            <w:tcW w:w="0" w:type="auto"/>
            <w:shd w:val="clear" w:color="auto" w:fill="auto"/>
            <w:vAlign w:val="bottom"/>
          </w:tcPr>
          <w:p w14:paraId="4B9A33BC" w14:textId="77777777" w:rsidR="002A3970" w:rsidRDefault="002A3970">
            <w:pPr>
              <w:rPr>
                <w:rFonts w:ascii="宋体"/>
                <w:vanish/>
              </w:rPr>
            </w:pPr>
          </w:p>
        </w:tc>
        <w:tc>
          <w:tcPr>
            <w:tcW w:w="0" w:type="auto"/>
            <w:shd w:val="clear" w:color="auto" w:fill="auto"/>
            <w:vAlign w:val="bottom"/>
          </w:tcPr>
          <w:p w14:paraId="4B9A33BD" w14:textId="77777777" w:rsidR="002A3970" w:rsidRDefault="002A3970">
            <w:pPr>
              <w:rPr>
                <w:rFonts w:ascii="宋体"/>
                <w:vanish/>
              </w:rPr>
            </w:pPr>
          </w:p>
        </w:tc>
        <w:tc>
          <w:tcPr>
            <w:tcW w:w="0" w:type="auto"/>
            <w:shd w:val="clear" w:color="auto" w:fill="auto"/>
            <w:vAlign w:val="bottom"/>
          </w:tcPr>
          <w:p w14:paraId="4B9A33BE" w14:textId="77777777" w:rsidR="002A3970" w:rsidRDefault="002A3970">
            <w:pPr>
              <w:rPr>
                <w:rFonts w:ascii="宋体"/>
                <w:vanish/>
              </w:rPr>
            </w:pPr>
          </w:p>
        </w:tc>
      </w:tr>
      <w:tr w:rsidR="002A3970" w14:paraId="4B9A33DB" w14:textId="77777777">
        <w:trPr>
          <w:jc w:val="center"/>
        </w:trPr>
        <w:tc>
          <w:tcPr>
            <w:tcW w:w="0" w:type="auto"/>
            <w:gridSpan w:val="3"/>
            <w:shd w:val="clear" w:color="auto" w:fill="FFFFFF"/>
            <w:tcMar>
              <w:top w:w="40" w:type="dxa"/>
              <w:left w:w="20" w:type="dxa"/>
              <w:bottom w:w="40" w:type="dxa"/>
              <w:right w:w="20" w:type="dxa"/>
            </w:tcMar>
            <w:vAlign w:val="center"/>
          </w:tcPr>
          <w:p w14:paraId="4B9A33C0" w14:textId="77777777" w:rsidR="002A3970" w:rsidRDefault="00C35E63">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4B9A33C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3C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C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C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3C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C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C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3C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C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CA" w14:textId="77777777" w:rsidR="002A3970" w:rsidRDefault="00C35E63">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4B9A33C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C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C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3C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C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D0" w14:textId="77777777" w:rsidR="002A3970" w:rsidRDefault="00C35E63">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4B9A33D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D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D3" w14:textId="77777777" w:rsidR="002A3970" w:rsidRDefault="00C35E63">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4B9A33D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D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D6" w14:textId="77777777" w:rsidR="002A3970" w:rsidRDefault="00C35E63">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4B9A33D7" w14:textId="77777777" w:rsidR="002A3970" w:rsidRDefault="002A3970">
            <w:pPr>
              <w:jc w:val="right"/>
              <w:rPr>
                <w:rFonts w:ascii="宋体"/>
              </w:rPr>
            </w:pPr>
          </w:p>
        </w:tc>
        <w:tc>
          <w:tcPr>
            <w:tcW w:w="0" w:type="auto"/>
            <w:shd w:val="clear" w:color="auto" w:fill="auto"/>
            <w:vAlign w:val="bottom"/>
          </w:tcPr>
          <w:p w14:paraId="4B9A33D8" w14:textId="77777777" w:rsidR="002A3970" w:rsidRDefault="002A3970">
            <w:pPr>
              <w:rPr>
                <w:rFonts w:ascii="宋体"/>
                <w:vanish/>
              </w:rPr>
            </w:pPr>
          </w:p>
        </w:tc>
        <w:tc>
          <w:tcPr>
            <w:tcW w:w="0" w:type="auto"/>
            <w:shd w:val="clear" w:color="auto" w:fill="auto"/>
            <w:vAlign w:val="bottom"/>
          </w:tcPr>
          <w:p w14:paraId="4B9A33D9" w14:textId="77777777" w:rsidR="002A3970" w:rsidRDefault="002A3970">
            <w:pPr>
              <w:rPr>
                <w:rFonts w:ascii="宋体"/>
                <w:vanish/>
              </w:rPr>
            </w:pPr>
          </w:p>
        </w:tc>
        <w:tc>
          <w:tcPr>
            <w:tcW w:w="0" w:type="auto"/>
            <w:shd w:val="clear" w:color="auto" w:fill="auto"/>
            <w:vAlign w:val="bottom"/>
          </w:tcPr>
          <w:p w14:paraId="4B9A33DA" w14:textId="77777777" w:rsidR="002A3970" w:rsidRDefault="002A3970">
            <w:pPr>
              <w:rPr>
                <w:rFonts w:ascii="宋体"/>
                <w:vanish/>
              </w:rPr>
            </w:pPr>
          </w:p>
        </w:tc>
      </w:tr>
      <w:tr w:rsidR="002A3970" w14:paraId="4B9A33F7" w14:textId="77777777">
        <w:trPr>
          <w:jc w:val="center"/>
        </w:trPr>
        <w:tc>
          <w:tcPr>
            <w:tcW w:w="0" w:type="auto"/>
            <w:gridSpan w:val="3"/>
            <w:shd w:val="clear" w:color="auto" w:fill="CCEEFF"/>
            <w:tcMar>
              <w:top w:w="40" w:type="dxa"/>
              <w:left w:w="20" w:type="dxa"/>
              <w:bottom w:w="40" w:type="dxa"/>
              <w:right w:w="20" w:type="dxa"/>
            </w:tcMar>
            <w:vAlign w:val="center"/>
          </w:tcPr>
          <w:p w14:paraId="4B9A33DC" w14:textId="77777777" w:rsidR="002A3970" w:rsidRDefault="00C35E63">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4B9A33D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3D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D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E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3E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E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E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3E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E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E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3E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E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E9" w14:textId="77777777" w:rsidR="002A3970" w:rsidRDefault="00C35E63">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4B9A33E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E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EC" w14:textId="77777777" w:rsidR="002A3970" w:rsidRDefault="00C35E63">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4B9A33E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E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EF" w14:textId="77777777" w:rsidR="002A3970" w:rsidRDefault="00C35E63">
            <w:pPr>
              <w:jc w:val="right"/>
              <w:textAlignment w:val="center"/>
            </w:pPr>
            <w:r>
              <w:rPr>
                <w:rFonts w:ascii="Times New Roman" w:eastAsia="宋体" w:hAnsi="Times New Roman"/>
                <w:color w:val="000000"/>
                <w:sz w:val="16"/>
                <w:szCs w:val="16"/>
              </w:rPr>
              <w:t>(74)</w:t>
            </w:r>
          </w:p>
        </w:tc>
        <w:tc>
          <w:tcPr>
            <w:tcW w:w="0" w:type="auto"/>
            <w:shd w:val="clear" w:color="auto" w:fill="CCEEFF"/>
            <w:tcMar>
              <w:top w:w="40" w:type="dxa"/>
              <w:left w:w="0" w:type="dxa"/>
              <w:bottom w:w="40" w:type="dxa"/>
              <w:right w:w="20" w:type="dxa"/>
            </w:tcMar>
            <w:vAlign w:val="center"/>
          </w:tcPr>
          <w:p w14:paraId="4B9A33F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3F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3F2" w14:textId="77777777" w:rsidR="002A3970" w:rsidRDefault="00C35E63">
            <w:pPr>
              <w:jc w:val="right"/>
              <w:textAlignment w:val="center"/>
            </w:pPr>
            <w:r>
              <w:rPr>
                <w:rFonts w:ascii="Times New Roman" w:eastAsia="宋体" w:hAnsi="Times New Roman"/>
                <w:color w:val="000000"/>
                <w:sz w:val="16"/>
                <w:szCs w:val="16"/>
              </w:rPr>
              <w:t>3,746 </w:t>
            </w:r>
          </w:p>
        </w:tc>
        <w:tc>
          <w:tcPr>
            <w:tcW w:w="0" w:type="auto"/>
            <w:shd w:val="clear" w:color="auto" w:fill="CCEEFF"/>
            <w:tcMar>
              <w:top w:w="40" w:type="dxa"/>
              <w:left w:w="0" w:type="dxa"/>
              <w:bottom w:w="40" w:type="dxa"/>
              <w:right w:w="20" w:type="dxa"/>
            </w:tcMar>
            <w:vAlign w:val="center"/>
          </w:tcPr>
          <w:p w14:paraId="4B9A33F3" w14:textId="77777777" w:rsidR="002A3970" w:rsidRDefault="002A3970">
            <w:pPr>
              <w:jc w:val="right"/>
              <w:rPr>
                <w:rFonts w:ascii="宋体"/>
              </w:rPr>
            </w:pPr>
          </w:p>
        </w:tc>
        <w:tc>
          <w:tcPr>
            <w:tcW w:w="0" w:type="auto"/>
            <w:shd w:val="clear" w:color="auto" w:fill="auto"/>
            <w:vAlign w:val="bottom"/>
          </w:tcPr>
          <w:p w14:paraId="4B9A33F4" w14:textId="77777777" w:rsidR="002A3970" w:rsidRDefault="002A3970">
            <w:pPr>
              <w:rPr>
                <w:rFonts w:ascii="宋体"/>
                <w:vanish/>
              </w:rPr>
            </w:pPr>
          </w:p>
        </w:tc>
        <w:tc>
          <w:tcPr>
            <w:tcW w:w="0" w:type="auto"/>
            <w:shd w:val="clear" w:color="auto" w:fill="auto"/>
            <w:vAlign w:val="bottom"/>
          </w:tcPr>
          <w:p w14:paraId="4B9A33F5" w14:textId="77777777" w:rsidR="002A3970" w:rsidRDefault="002A3970">
            <w:pPr>
              <w:rPr>
                <w:rFonts w:ascii="宋体"/>
                <w:vanish/>
              </w:rPr>
            </w:pPr>
          </w:p>
        </w:tc>
        <w:tc>
          <w:tcPr>
            <w:tcW w:w="0" w:type="auto"/>
            <w:shd w:val="clear" w:color="auto" w:fill="auto"/>
            <w:vAlign w:val="bottom"/>
          </w:tcPr>
          <w:p w14:paraId="4B9A33F6" w14:textId="77777777" w:rsidR="002A3970" w:rsidRDefault="002A3970">
            <w:pPr>
              <w:rPr>
                <w:rFonts w:ascii="宋体"/>
                <w:vanish/>
              </w:rPr>
            </w:pPr>
          </w:p>
        </w:tc>
      </w:tr>
      <w:tr w:rsidR="002A3970" w14:paraId="4B9A3413" w14:textId="77777777">
        <w:trPr>
          <w:jc w:val="center"/>
        </w:trPr>
        <w:tc>
          <w:tcPr>
            <w:tcW w:w="0" w:type="auto"/>
            <w:gridSpan w:val="3"/>
            <w:shd w:val="clear" w:color="auto" w:fill="FFFFFF"/>
            <w:tcMar>
              <w:top w:w="40" w:type="dxa"/>
              <w:left w:w="20" w:type="dxa"/>
              <w:bottom w:w="40" w:type="dxa"/>
              <w:right w:w="20" w:type="dxa"/>
            </w:tcMar>
            <w:vAlign w:val="center"/>
          </w:tcPr>
          <w:p w14:paraId="4B9A33F8" w14:textId="77777777" w:rsidR="002A3970" w:rsidRDefault="00C35E63">
            <w:pPr>
              <w:textAlignment w:val="center"/>
            </w:pPr>
            <w:r>
              <w:rPr>
                <w:rFonts w:ascii="Times New Roman" w:eastAsia="宋体" w:hAnsi="Times New Roman"/>
                <w:color w:val="000000"/>
                <w:sz w:val="16"/>
                <w:szCs w:val="16"/>
              </w:rPr>
              <w:t>Dividends declared ($2.20 per share)</w:t>
            </w:r>
          </w:p>
        </w:tc>
        <w:tc>
          <w:tcPr>
            <w:tcW w:w="0" w:type="auto"/>
            <w:gridSpan w:val="2"/>
            <w:shd w:val="clear" w:color="auto" w:fill="FFFFFF"/>
            <w:tcMar>
              <w:top w:w="40" w:type="dxa"/>
              <w:left w:w="20" w:type="dxa"/>
              <w:bottom w:w="40" w:type="dxa"/>
              <w:right w:w="0" w:type="dxa"/>
            </w:tcMar>
            <w:vAlign w:val="center"/>
          </w:tcPr>
          <w:p w14:paraId="4B9A33F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3F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F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F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3F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3F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3F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0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0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02" w14:textId="77777777" w:rsidR="002A3970" w:rsidRDefault="00C35E63">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4B9A340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0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0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0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0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08" w14:textId="77777777" w:rsidR="002A3970" w:rsidRDefault="00C35E63">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4B9A340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0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0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0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0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0E" w14:textId="77777777" w:rsidR="002A3970" w:rsidRDefault="00C35E63">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4B9A340F" w14:textId="77777777" w:rsidR="002A3970" w:rsidRDefault="002A3970">
            <w:pPr>
              <w:jc w:val="right"/>
              <w:rPr>
                <w:rFonts w:ascii="宋体"/>
              </w:rPr>
            </w:pPr>
          </w:p>
        </w:tc>
        <w:tc>
          <w:tcPr>
            <w:tcW w:w="0" w:type="auto"/>
            <w:shd w:val="clear" w:color="auto" w:fill="auto"/>
            <w:vAlign w:val="bottom"/>
          </w:tcPr>
          <w:p w14:paraId="4B9A3410" w14:textId="77777777" w:rsidR="002A3970" w:rsidRDefault="002A3970">
            <w:pPr>
              <w:rPr>
                <w:rFonts w:ascii="宋体"/>
                <w:vanish/>
              </w:rPr>
            </w:pPr>
          </w:p>
        </w:tc>
        <w:tc>
          <w:tcPr>
            <w:tcW w:w="0" w:type="auto"/>
            <w:shd w:val="clear" w:color="auto" w:fill="auto"/>
            <w:vAlign w:val="bottom"/>
          </w:tcPr>
          <w:p w14:paraId="4B9A3411" w14:textId="77777777" w:rsidR="002A3970" w:rsidRDefault="002A3970">
            <w:pPr>
              <w:rPr>
                <w:rFonts w:ascii="宋体"/>
                <w:vanish/>
              </w:rPr>
            </w:pPr>
          </w:p>
        </w:tc>
        <w:tc>
          <w:tcPr>
            <w:tcW w:w="0" w:type="auto"/>
            <w:shd w:val="clear" w:color="auto" w:fill="auto"/>
            <w:vAlign w:val="bottom"/>
          </w:tcPr>
          <w:p w14:paraId="4B9A3412" w14:textId="77777777" w:rsidR="002A3970" w:rsidRDefault="002A3970">
            <w:pPr>
              <w:rPr>
                <w:rFonts w:ascii="宋体"/>
                <w:vanish/>
              </w:rPr>
            </w:pPr>
          </w:p>
        </w:tc>
      </w:tr>
      <w:tr w:rsidR="002A3970" w14:paraId="4B9A342F" w14:textId="77777777">
        <w:trPr>
          <w:jc w:val="center"/>
        </w:trPr>
        <w:tc>
          <w:tcPr>
            <w:tcW w:w="0" w:type="auto"/>
            <w:gridSpan w:val="3"/>
            <w:shd w:val="clear" w:color="auto" w:fill="CCEEFF"/>
            <w:tcMar>
              <w:top w:w="40" w:type="dxa"/>
              <w:left w:w="20" w:type="dxa"/>
              <w:bottom w:w="40" w:type="dxa"/>
              <w:right w:w="20" w:type="dxa"/>
            </w:tcMar>
            <w:vAlign w:val="center"/>
          </w:tcPr>
          <w:p w14:paraId="4B9A3414" w14:textId="77777777" w:rsidR="002A3970" w:rsidRDefault="00C35E63">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B9A3415" w14:textId="77777777" w:rsidR="002A3970" w:rsidRDefault="00C35E63">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4B9A341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1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18" w14:textId="77777777" w:rsidR="002A3970" w:rsidRDefault="00C35E63">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4B9A341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1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1B" w14:textId="77777777" w:rsidR="002A3970" w:rsidRDefault="00C35E63">
            <w:pPr>
              <w:jc w:val="right"/>
              <w:textAlignment w:val="center"/>
            </w:pPr>
            <w:r>
              <w:rPr>
                <w:rFonts w:ascii="Times New Roman" w:eastAsia="宋体" w:hAnsi="Times New Roman"/>
                <w:color w:val="000000"/>
                <w:sz w:val="16"/>
                <w:szCs w:val="16"/>
              </w:rPr>
              <w:t>(112)</w:t>
            </w:r>
          </w:p>
        </w:tc>
        <w:tc>
          <w:tcPr>
            <w:tcW w:w="0" w:type="auto"/>
            <w:shd w:val="clear" w:color="auto" w:fill="CCEEFF"/>
            <w:tcMar>
              <w:top w:w="40" w:type="dxa"/>
              <w:left w:w="0" w:type="dxa"/>
              <w:bottom w:w="40" w:type="dxa"/>
              <w:right w:w="20" w:type="dxa"/>
            </w:tcMar>
            <w:vAlign w:val="center"/>
          </w:tcPr>
          <w:p w14:paraId="4B9A341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1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1E" w14:textId="77777777" w:rsidR="002A3970" w:rsidRDefault="00C35E63">
            <w:pPr>
              <w:jc w:val="right"/>
              <w:textAlignment w:val="center"/>
            </w:pPr>
            <w:r>
              <w:rPr>
                <w:rFonts w:ascii="Times New Roman" w:eastAsia="宋体" w:hAnsi="Times New Roman"/>
                <w:color w:val="000000"/>
                <w:sz w:val="16"/>
                <w:szCs w:val="16"/>
              </w:rPr>
              <w:t>(2,718)</w:t>
            </w:r>
          </w:p>
        </w:tc>
        <w:tc>
          <w:tcPr>
            <w:tcW w:w="0" w:type="auto"/>
            <w:shd w:val="clear" w:color="auto" w:fill="CCEEFF"/>
            <w:tcMar>
              <w:top w:w="40" w:type="dxa"/>
              <w:left w:w="0" w:type="dxa"/>
              <w:bottom w:w="40" w:type="dxa"/>
              <w:right w:w="20" w:type="dxa"/>
            </w:tcMar>
            <w:vAlign w:val="center"/>
          </w:tcPr>
          <w:p w14:paraId="4B9A341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2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2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2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2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24" w14:textId="77777777" w:rsidR="002A3970" w:rsidRDefault="00C35E63">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4B9A342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2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2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2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2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2A" w14:textId="77777777" w:rsidR="002A3970" w:rsidRDefault="00C35E63">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4B9A342B" w14:textId="77777777" w:rsidR="002A3970" w:rsidRDefault="002A3970">
            <w:pPr>
              <w:jc w:val="right"/>
              <w:rPr>
                <w:rFonts w:ascii="宋体"/>
              </w:rPr>
            </w:pPr>
          </w:p>
        </w:tc>
        <w:tc>
          <w:tcPr>
            <w:tcW w:w="0" w:type="auto"/>
            <w:shd w:val="clear" w:color="auto" w:fill="auto"/>
            <w:vAlign w:val="bottom"/>
          </w:tcPr>
          <w:p w14:paraId="4B9A342C" w14:textId="77777777" w:rsidR="002A3970" w:rsidRDefault="002A3970">
            <w:pPr>
              <w:rPr>
                <w:rFonts w:ascii="宋体"/>
                <w:vanish/>
              </w:rPr>
            </w:pPr>
          </w:p>
        </w:tc>
        <w:tc>
          <w:tcPr>
            <w:tcW w:w="0" w:type="auto"/>
            <w:shd w:val="clear" w:color="auto" w:fill="auto"/>
            <w:vAlign w:val="bottom"/>
          </w:tcPr>
          <w:p w14:paraId="4B9A342D" w14:textId="77777777" w:rsidR="002A3970" w:rsidRDefault="002A3970">
            <w:pPr>
              <w:rPr>
                <w:rFonts w:ascii="宋体"/>
                <w:vanish/>
              </w:rPr>
            </w:pPr>
          </w:p>
        </w:tc>
        <w:tc>
          <w:tcPr>
            <w:tcW w:w="0" w:type="auto"/>
            <w:shd w:val="clear" w:color="auto" w:fill="auto"/>
            <w:vAlign w:val="bottom"/>
          </w:tcPr>
          <w:p w14:paraId="4B9A342E" w14:textId="77777777" w:rsidR="002A3970" w:rsidRDefault="002A3970">
            <w:pPr>
              <w:rPr>
                <w:rFonts w:ascii="宋体"/>
                <w:vanish/>
              </w:rPr>
            </w:pPr>
          </w:p>
        </w:tc>
      </w:tr>
      <w:tr w:rsidR="002A3970" w14:paraId="4B9A344B" w14:textId="77777777">
        <w:trPr>
          <w:jc w:val="center"/>
        </w:trPr>
        <w:tc>
          <w:tcPr>
            <w:tcW w:w="0" w:type="auto"/>
            <w:gridSpan w:val="3"/>
            <w:shd w:val="clear" w:color="auto" w:fill="FFFFFF"/>
            <w:tcMar>
              <w:top w:w="40" w:type="dxa"/>
              <w:left w:w="20" w:type="dxa"/>
              <w:bottom w:w="40" w:type="dxa"/>
              <w:right w:w="20" w:type="dxa"/>
            </w:tcMar>
            <w:vAlign w:val="center"/>
          </w:tcPr>
          <w:p w14:paraId="4B9A3430" w14:textId="77777777" w:rsidR="002A3970" w:rsidRDefault="00C35E63">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4B9A343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3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3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3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3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3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3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3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3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3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3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3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3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3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3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4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4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4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43" w14:textId="77777777" w:rsidR="002A3970" w:rsidRDefault="00C35E63">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4B9A344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4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46" w14:textId="77777777" w:rsidR="002A3970" w:rsidRDefault="00C35E63">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4B9A3447" w14:textId="77777777" w:rsidR="002A3970" w:rsidRDefault="002A3970">
            <w:pPr>
              <w:jc w:val="right"/>
              <w:rPr>
                <w:rFonts w:ascii="宋体"/>
              </w:rPr>
            </w:pPr>
          </w:p>
        </w:tc>
        <w:tc>
          <w:tcPr>
            <w:tcW w:w="0" w:type="auto"/>
            <w:shd w:val="clear" w:color="auto" w:fill="auto"/>
            <w:vAlign w:val="bottom"/>
          </w:tcPr>
          <w:p w14:paraId="4B9A3448" w14:textId="77777777" w:rsidR="002A3970" w:rsidRDefault="002A3970">
            <w:pPr>
              <w:rPr>
                <w:rFonts w:ascii="宋体"/>
                <w:vanish/>
              </w:rPr>
            </w:pPr>
          </w:p>
        </w:tc>
        <w:tc>
          <w:tcPr>
            <w:tcW w:w="0" w:type="auto"/>
            <w:shd w:val="clear" w:color="auto" w:fill="auto"/>
            <w:vAlign w:val="bottom"/>
          </w:tcPr>
          <w:p w14:paraId="4B9A3449" w14:textId="77777777" w:rsidR="002A3970" w:rsidRDefault="002A3970">
            <w:pPr>
              <w:rPr>
                <w:rFonts w:ascii="宋体"/>
                <w:vanish/>
              </w:rPr>
            </w:pPr>
          </w:p>
        </w:tc>
        <w:tc>
          <w:tcPr>
            <w:tcW w:w="0" w:type="auto"/>
            <w:shd w:val="clear" w:color="auto" w:fill="auto"/>
            <w:vAlign w:val="bottom"/>
          </w:tcPr>
          <w:p w14:paraId="4B9A344A" w14:textId="77777777" w:rsidR="002A3970" w:rsidRDefault="002A3970">
            <w:pPr>
              <w:rPr>
                <w:rFonts w:ascii="宋体"/>
                <w:vanish/>
              </w:rPr>
            </w:pPr>
          </w:p>
        </w:tc>
      </w:tr>
      <w:tr w:rsidR="002A3970" w14:paraId="4B9A3467" w14:textId="77777777">
        <w:trPr>
          <w:jc w:val="center"/>
        </w:trPr>
        <w:tc>
          <w:tcPr>
            <w:tcW w:w="0" w:type="auto"/>
            <w:gridSpan w:val="3"/>
            <w:shd w:val="clear" w:color="auto" w:fill="CCEEFF"/>
            <w:tcMar>
              <w:top w:w="40" w:type="dxa"/>
              <w:left w:w="20" w:type="dxa"/>
              <w:bottom w:w="40" w:type="dxa"/>
              <w:right w:w="20" w:type="dxa"/>
            </w:tcMar>
            <w:vAlign w:val="center"/>
          </w:tcPr>
          <w:p w14:paraId="4B9A344C"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4B9A344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4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4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5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5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5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53" w14:textId="77777777" w:rsidR="002A3970" w:rsidRDefault="00C35E63">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4B9A345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5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5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5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5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5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5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5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5C" w14:textId="77777777" w:rsidR="002A3970" w:rsidRDefault="00C35E63">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4B9A345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5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5F" w14:textId="77777777" w:rsidR="002A3970" w:rsidRDefault="00C35E63">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4B9A346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6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62" w14:textId="77777777" w:rsidR="002A3970" w:rsidRDefault="00C35E63">
            <w:pPr>
              <w:jc w:val="right"/>
              <w:textAlignment w:val="center"/>
            </w:pPr>
            <w:r>
              <w:rPr>
                <w:rFonts w:ascii="Times New Roman" w:eastAsia="宋体" w:hAnsi="Times New Roman"/>
                <w:color w:val="000000"/>
                <w:sz w:val="16"/>
                <w:szCs w:val="16"/>
              </w:rPr>
              <w:t>75 </w:t>
            </w:r>
          </w:p>
        </w:tc>
        <w:tc>
          <w:tcPr>
            <w:tcW w:w="0" w:type="auto"/>
            <w:shd w:val="clear" w:color="auto" w:fill="CCEEFF"/>
            <w:tcMar>
              <w:top w:w="40" w:type="dxa"/>
              <w:left w:w="0" w:type="dxa"/>
              <w:bottom w:w="40" w:type="dxa"/>
              <w:right w:w="20" w:type="dxa"/>
            </w:tcMar>
            <w:vAlign w:val="center"/>
          </w:tcPr>
          <w:p w14:paraId="4B9A3463" w14:textId="77777777" w:rsidR="002A3970" w:rsidRDefault="002A3970">
            <w:pPr>
              <w:jc w:val="right"/>
              <w:rPr>
                <w:rFonts w:ascii="宋体"/>
              </w:rPr>
            </w:pPr>
          </w:p>
        </w:tc>
        <w:tc>
          <w:tcPr>
            <w:tcW w:w="0" w:type="auto"/>
            <w:shd w:val="clear" w:color="auto" w:fill="auto"/>
            <w:vAlign w:val="bottom"/>
          </w:tcPr>
          <w:p w14:paraId="4B9A3464" w14:textId="77777777" w:rsidR="002A3970" w:rsidRDefault="002A3970">
            <w:pPr>
              <w:rPr>
                <w:rFonts w:ascii="宋体"/>
                <w:vanish/>
              </w:rPr>
            </w:pPr>
          </w:p>
        </w:tc>
        <w:tc>
          <w:tcPr>
            <w:tcW w:w="0" w:type="auto"/>
            <w:shd w:val="clear" w:color="auto" w:fill="auto"/>
            <w:vAlign w:val="bottom"/>
          </w:tcPr>
          <w:p w14:paraId="4B9A3465" w14:textId="77777777" w:rsidR="002A3970" w:rsidRDefault="002A3970">
            <w:pPr>
              <w:rPr>
                <w:rFonts w:ascii="宋体"/>
                <w:vanish/>
              </w:rPr>
            </w:pPr>
          </w:p>
        </w:tc>
        <w:tc>
          <w:tcPr>
            <w:tcW w:w="0" w:type="auto"/>
            <w:shd w:val="clear" w:color="auto" w:fill="auto"/>
            <w:vAlign w:val="bottom"/>
          </w:tcPr>
          <w:p w14:paraId="4B9A3466" w14:textId="77777777" w:rsidR="002A3970" w:rsidRDefault="002A3970">
            <w:pPr>
              <w:rPr>
                <w:rFonts w:ascii="宋体"/>
                <w:vanish/>
              </w:rPr>
            </w:pPr>
          </w:p>
        </w:tc>
      </w:tr>
      <w:tr w:rsidR="002A3970" w14:paraId="4B9A3483" w14:textId="77777777">
        <w:trPr>
          <w:jc w:val="center"/>
        </w:trPr>
        <w:tc>
          <w:tcPr>
            <w:tcW w:w="0" w:type="auto"/>
            <w:gridSpan w:val="3"/>
            <w:shd w:val="clear" w:color="auto" w:fill="FFFFFF"/>
            <w:tcMar>
              <w:top w:w="40" w:type="dxa"/>
              <w:left w:w="20" w:type="dxa"/>
              <w:bottom w:w="40" w:type="dxa"/>
              <w:right w:w="20" w:type="dxa"/>
            </w:tcMar>
            <w:vAlign w:val="center"/>
          </w:tcPr>
          <w:p w14:paraId="4B9A3468" w14:textId="77777777" w:rsidR="002A3970" w:rsidRDefault="00C35E63">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4B9A3469" w14:textId="77777777" w:rsidR="002A3970" w:rsidRDefault="00C35E63">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4B9A346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6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6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6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6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6F" w14:textId="77777777" w:rsidR="002A3970" w:rsidRDefault="00C35E63">
            <w:pPr>
              <w:jc w:val="right"/>
              <w:textAlignment w:val="center"/>
            </w:pPr>
            <w:r>
              <w:rPr>
                <w:rFonts w:ascii="Times New Roman" w:eastAsia="宋体" w:hAnsi="Times New Roman"/>
                <w:color w:val="000000"/>
                <w:sz w:val="16"/>
                <w:szCs w:val="16"/>
              </w:rPr>
              <w:t>(128)</w:t>
            </w:r>
          </w:p>
        </w:tc>
        <w:tc>
          <w:tcPr>
            <w:tcW w:w="0" w:type="auto"/>
            <w:shd w:val="clear" w:color="auto" w:fill="FFFFFF"/>
            <w:tcMar>
              <w:top w:w="40" w:type="dxa"/>
              <w:left w:w="0" w:type="dxa"/>
              <w:bottom w:w="40" w:type="dxa"/>
              <w:right w:w="20" w:type="dxa"/>
            </w:tcMar>
            <w:vAlign w:val="center"/>
          </w:tcPr>
          <w:p w14:paraId="4B9A347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7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72" w14:textId="77777777" w:rsidR="002A3970" w:rsidRDefault="00C35E63">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B9A347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7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7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47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7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78" w14:textId="77777777" w:rsidR="002A3970" w:rsidRDefault="00C35E63">
            <w:pPr>
              <w:jc w:val="right"/>
              <w:textAlignment w:val="center"/>
            </w:pPr>
            <w:r>
              <w:rPr>
                <w:rFonts w:ascii="Times New Roman" w:eastAsia="宋体" w:hAnsi="Times New Roman"/>
                <w:color w:val="000000"/>
                <w:sz w:val="16"/>
                <w:szCs w:val="16"/>
              </w:rPr>
              <w:t>(126)</w:t>
            </w:r>
          </w:p>
        </w:tc>
        <w:tc>
          <w:tcPr>
            <w:tcW w:w="0" w:type="auto"/>
            <w:shd w:val="clear" w:color="auto" w:fill="FFFFFF"/>
            <w:tcMar>
              <w:top w:w="40" w:type="dxa"/>
              <w:left w:w="0" w:type="dxa"/>
              <w:bottom w:w="40" w:type="dxa"/>
              <w:right w:w="20" w:type="dxa"/>
            </w:tcMar>
            <w:vAlign w:val="center"/>
          </w:tcPr>
          <w:p w14:paraId="4B9A347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7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7B" w14:textId="77777777" w:rsidR="002A3970" w:rsidRDefault="00C35E63">
            <w:pPr>
              <w:jc w:val="right"/>
              <w:textAlignment w:val="center"/>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center"/>
          </w:tcPr>
          <w:p w14:paraId="4B9A347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7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7E" w14:textId="77777777" w:rsidR="002A3970" w:rsidRDefault="00C35E63">
            <w:pPr>
              <w:jc w:val="right"/>
              <w:textAlignment w:val="center"/>
            </w:pPr>
            <w:r>
              <w:rPr>
                <w:rFonts w:ascii="Times New Roman" w:eastAsia="宋体" w:hAnsi="Times New Roman"/>
                <w:color w:val="000000"/>
                <w:sz w:val="16"/>
                <w:szCs w:val="16"/>
              </w:rPr>
              <w:t>(131)</w:t>
            </w:r>
          </w:p>
        </w:tc>
        <w:tc>
          <w:tcPr>
            <w:tcW w:w="0" w:type="auto"/>
            <w:shd w:val="clear" w:color="auto" w:fill="FFFFFF"/>
            <w:tcMar>
              <w:top w:w="40" w:type="dxa"/>
              <w:left w:w="0" w:type="dxa"/>
              <w:bottom w:w="40" w:type="dxa"/>
              <w:right w:w="20" w:type="dxa"/>
            </w:tcMar>
            <w:vAlign w:val="center"/>
          </w:tcPr>
          <w:p w14:paraId="4B9A347F" w14:textId="77777777" w:rsidR="002A3970" w:rsidRDefault="002A3970">
            <w:pPr>
              <w:jc w:val="right"/>
              <w:rPr>
                <w:rFonts w:ascii="宋体"/>
              </w:rPr>
            </w:pPr>
          </w:p>
        </w:tc>
        <w:tc>
          <w:tcPr>
            <w:tcW w:w="0" w:type="auto"/>
            <w:shd w:val="clear" w:color="auto" w:fill="auto"/>
            <w:vAlign w:val="bottom"/>
          </w:tcPr>
          <w:p w14:paraId="4B9A3480" w14:textId="77777777" w:rsidR="002A3970" w:rsidRDefault="002A3970">
            <w:pPr>
              <w:rPr>
                <w:rFonts w:ascii="宋体"/>
                <w:vanish/>
              </w:rPr>
            </w:pPr>
          </w:p>
        </w:tc>
        <w:tc>
          <w:tcPr>
            <w:tcW w:w="0" w:type="auto"/>
            <w:shd w:val="clear" w:color="auto" w:fill="auto"/>
            <w:vAlign w:val="bottom"/>
          </w:tcPr>
          <w:p w14:paraId="4B9A3481" w14:textId="77777777" w:rsidR="002A3970" w:rsidRDefault="002A3970">
            <w:pPr>
              <w:rPr>
                <w:rFonts w:ascii="宋体"/>
                <w:vanish/>
              </w:rPr>
            </w:pPr>
          </w:p>
        </w:tc>
        <w:tc>
          <w:tcPr>
            <w:tcW w:w="0" w:type="auto"/>
            <w:shd w:val="clear" w:color="auto" w:fill="auto"/>
            <w:vAlign w:val="bottom"/>
          </w:tcPr>
          <w:p w14:paraId="4B9A3482" w14:textId="77777777" w:rsidR="002A3970" w:rsidRDefault="002A3970">
            <w:pPr>
              <w:rPr>
                <w:rFonts w:ascii="宋体"/>
                <w:vanish/>
              </w:rPr>
            </w:pPr>
          </w:p>
        </w:tc>
      </w:tr>
      <w:tr w:rsidR="002A3970" w14:paraId="4B9A34A6" w14:textId="77777777">
        <w:trPr>
          <w:jc w:val="center"/>
        </w:trPr>
        <w:tc>
          <w:tcPr>
            <w:tcW w:w="0" w:type="auto"/>
            <w:gridSpan w:val="3"/>
            <w:shd w:val="clear" w:color="auto" w:fill="CCEEFF"/>
            <w:tcMar>
              <w:top w:w="40" w:type="dxa"/>
              <w:left w:w="20" w:type="dxa"/>
              <w:bottom w:w="40" w:type="dxa"/>
              <w:right w:w="20" w:type="dxa"/>
            </w:tcMar>
            <w:vAlign w:val="center"/>
          </w:tcPr>
          <w:p w14:paraId="4B9A3484" w14:textId="77777777" w:rsidR="002A3970" w:rsidRDefault="00C35E63">
            <w:pPr>
              <w:textAlignment w:val="center"/>
            </w:pPr>
            <w:r>
              <w:rPr>
                <w:rFonts w:ascii="Times New Roman" w:eastAsia="宋体" w:hAnsi="Times New Roman"/>
                <w:b/>
                <w:bCs/>
                <w:color w:val="000000"/>
                <w:sz w:val="16"/>
                <w:szCs w:val="16"/>
              </w:rPr>
              <w:t>Balances as of April 30,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485" w14:textId="77777777" w:rsidR="002A3970" w:rsidRDefault="00C35E63">
            <w:pPr>
              <w:jc w:val="right"/>
              <w:textAlignment w:val="center"/>
            </w:pPr>
            <w:r>
              <w:rPr>
                <w:rFonts w:ascii="Times New Roman" w:eastAsia="宋体" w:hAnsi="Times New Roman"/>
                <w:color w:val="000000"/>
                <w:sz w:val="16"/>
                <w:szCs w:val="16"/>
              </w:rPr>
              <w:t>2,805 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8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87"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8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89" w14:textId="77777777" w:rsidR="002A3970" w:rsidRDefault="00C35E63">
            <w:pPr>
              <w:jc w:val="right"/>
              <w:textAlignment w:val="center"/>
            </w:pPr>
            <w:r>
              <w:rPr>
                <w:rFonts w:ascii="Times New Roman" w:eastAsia="宋体" w:hAnsi="Times New Roman"/>
                <w:color w:val="000000"/>
                <w:sz w:val="16"/>
                <w:szCs w:val="16"/>
              </w:rPr>
              <w:t>280 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8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8B"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8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8D" w14:textId="77777777" w:rsidR="002A3970" w:rsidRDefault="00C35E63">
            <w:pPr>
              <w:jc w:val="right"/>
              <w:textAlignment w:val="center"/>
            </w:pPr>
            <w:r>
              <w:rPr>
                <w:rFonts w:ascii="Times New Roman" w:eastAsia="宋体" w:hAnsi="Times New Roman"/>
                <w:color w:val="000000"/>
                <w:sz w:val="16"/>
                <w:szCs w:val="16"/>
              </w:rPr>
              <w:t>3,424 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8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8F"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9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91" w14:textId="77777777" w:rsidR="002A3970" w:rsidRDefault="00C35E63">
            <w:pPr>
              <w:jc w:val="right"/>
              <w:textAlignment w:val="center"/>
            </w:pPr>
            <w:r>
              <w:rPr>
                <w:rFonts w:ascii="Times New Roman" w:eastAsia="宋体" w:hAnsi="Times New Roman"/>
                <w:color w:val="000000"/>
                <w:sz w:val="16"/>
                <w:szCs w:val="16"/>
              </w:rPr>
              <w:t>82,577 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9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93"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9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95" w14:textId="77777777" w:rsidR="002A3970" w:rsidRDefault="00C35E63">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9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97"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9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99" w14:textId="77777777" w:rsidR="002A3970" w:rsidRDefault="00C35E63">
            <w:pPr>
              <w:jc w:val="right"/>
              <w:textAlignment w:val="center"/>
            </w:pPr>
            <w:r>
              <w:rPr>
                <w:rFonts w:ascii="Times New Roman" w:eastAsia="宋体" w:hAnsi="Times New Roman"/>
                <w:color w:val="000000"/>
                <w:sz w:val="16"/>
                <w:szCs w:val="16"/>
              </w:rPr>
              <w:t>78,335 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9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9B"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9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9D" w14:textId="77777777" w:rsidR="002A3970" w:rsidRDefault="00C35E63">
            <w:pPr>
              <w:jc w:val="right"/>
              <w:textAlignment w:val="center"/>
            </w:pPr>
            <w:r>
              <w:rPr>
                <w:rFonts w:ascii="Times New Roman" w:eastAsia="宋体" w:hAnsi="Times New Roman"/>
                <w:color w:val="000000"/>
                <w:sz w:val="16"/>
                <w:szCs w:val="16"/>
              </w:rPr>
              <w:t>6,257 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9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9F"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4A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4A1" w14:textId="77777777" w:rsidR="002A3970" w:rsidRDefault="00C35E63">
            <w:pPr>
              <w:jc w:val="right"/>
              <w:textAlignment w:val="center"/>
            </w:pPr>
            <w:r>
              <w:rPr>
                <w:rFonts w:ascii="Times New Roman" w:eastAsia="宋体" w:hAnsi="Times New Roman"/>
                <w:color w:val="000000"/>
                <w:sz w:val="16"/>
                <w:szCs w:val="16"/>
              </w:rPr>
              <w:t>84,592 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4A2" w14:textId="77777777" w:rsidR="002A3970" w:rsidRDefault="002A3970">
            <w:pPr>
              <w:jc w:val="right"/>
              <w:rPr>
                <w:rFonts w:ascii="宋体"/>
              </w:rPr>
            </w:pPr>
          </w:p>
        </w:tc>
        <w:tc>
          <w:tcPr>
            <w:tcW w:w="0" w:type="auto"/>
            <w:shd w:val="clear" w:color="auto" w:fill="auto"/>
            <w:vAlign w:val="bottom"/>
          </w:tcPr>
          <w:p w14:paraId="4B9A34A3" w14:textId="77777777" w:rsidR="002A3970" w:rsidRDefault="002A3970">
            <w:pPr>
              <w:rPr>
                <w:rFonts w:ascii="宋体"/>
                <w:vanish/>
              </w:rPr>
            </w:pPr>
          </w:p>
        </w:tc>
        <w:tc>
          <w:tcPr>
            <w:tcW w:w="0" w:type="auto"/>
            <w:shd w:val="clear" w:color="auto" w:fill="auto"/>
            <w:vAlign w:val="bottom"/>
          </w:tcPr>
          <w:p w14:paraId="4B9A34A4" w14:textId="77777777" w:rsidR="002A3970" w:rsidRDefault="002A3970">
            <w:pPr>
              <w:rPr>
                <w:rFonts w:ascii="宋体"/>
                <w:vanish/>
              </w:rPr>
            </w:pPr>
          </w:p>
        </w:tc>
        <w:tc>
          <w:tcPr>
            <w:tcW w:w="0" w:type="auto"/>
            <w:shd w:val="clear" w:color="auto" w:fill="auto"/>
            <w:vAlign w:val="bottom"/>
          </w:tcPr>
          <w:p w14:paraId="4B9A34A5" w14:textId="77777777" w:rsidR="002A3970" w:rsidRDefault="002A3970">
            <w:pPr>
              <w:rPr>
                <w:rFonts w:ascii="宋体"/>
                <w:vanish/>
              </w:rPr>
            </w:pPr>
          </w:p>
        </w:tc>
      </w:tr>
      <w:tr w:rsidR="002A3970" w14:paraId="4B9A34C2" w14:textId="77777777">
        <w:trPr>
          <w:jc w:val="center"/>
        </w:trPr>
        <w:tc>
          <w:tcPr>
            <w:tcW w:w="0" w:type="auto"/>
            <w:gridSpan w:val="3"/>
            <w:shd w:val="clear" w:color="auto" w:fill="FFFFFF"/>
            <w:tcMar>
              <w:top w:w="40" w:type="dxa"/>
              <w:left w:w="20" w:type="dxa"/>
              <w:bottom w:w="40" w:type="dxa"/>
              <w:right w:w="20" w:type="dxa"/>
            </w:tcMar>
            <w:vAlign w:val="center"/>
          </w:tcPr>
          <w:p w14:paraId="4B9A34A7" w14:textId="77777777" w:rsidR="002A3970" w:rsidRDefault="00C35E63">
            <w:pPr>
              <w:textAlignment w:val="center"/>
            </w:pPr>
            <w:r>
              <w:rPr>
                <w:rFonts w:ascii="Times New Roman" w:eastAsia="宋体" w:hAnsi="Times New Roman"/>
                <w:color w:val="000000"/>
                <w:sz w:val="16"/>
                <w:szCs w:val="16"/>
              </w:rPr>
              <w:t>Consolidated</w:t>
            </w:r>
            <w:r>
              <w:rPr>
                <w:rFonts w:ascii="Times New Roman" w:eastAsia="宋体" w:hAnsi="Times New Roman"/>
                <w:color w:val="000000"/>
                <w:sz w:val="16"/>
                <w:szCs w:val="16"/>
              </w:rPr>
              <w:t xml:space="preserve"> net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A8"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A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AA"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AB"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A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AD"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AE"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A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B0"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B1" w14:textId="77777777" w:rsidR="002A3970" w:rsidRDefault="00C35E63">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B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B3"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B4"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B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B6"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B7" w14:textId="77777777" w:rsidR="002A3970" w:rsidRDefault="00C35E63">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B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B9"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BA" w14:textId="77777777" w:rsidR="002A3970" w:rsidRDefault="00C35E63">
            <w:pPr>
              <w:jc w:val="right"/>
              <w:textAlignment w:val="center"/>
            </w:pPr>
            <w:r>
              <w:rPr>
                <w:rFonts w:ascii="Times New Roman" w:eastAsia="宋体" w:hAnsi="Times New Roman"/>
                <w:color w:val="000000"/>
                <w:sz w:val="16"/>
                <w:szCs w:val="16"/>
              </w:rPr>
              <w:t>88 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B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BC"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4BD" w14:textId="77777777" w:rsidR="002A3970" w:rsidRDefault="00C35E63">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4BE" w14:textId="77777777" w:rsidR="002A3970" w:rsidRDefault="002A3970">
            <w:pPr>
              <w:jc w:val="right"/>
              <w:rPr>
                <w:rFonts w:ascii="宋体"/>
              </w:rPr>
            </w:pPr>
          </w:p>
        </w:tc>
        <w:tc>
          <w:tcPr>
            <w:tcW w:w="0" w:type="auto"/>
            <w:shd w:val="clear" w:color="auto" w:fill="auto"/>
            <w:vAlign w:val="bottom"/>
          </w:tcPr>
          <w:p w14:paraId="4B9A34BF" w14:textId="77777777" w:rsidR="002A3970" w:rsidRDefault="002A3970">
            <w:pPr>
              <w:rPr>
                <w:rFonts w:ascii="宋体"/>
                <w:vanish/>
              </w:rPr>
            </w:pPr>
          </w:p>
        </w:tc>
        <w:tc>
          <w:tcPr>
            <w:tcW w:w="0" w:type="auto"/>
            <w:shd w:val="clear" w:color="auto" w:fill="auto"/>
            <w:vAlign w:val="bottom"/>
          </w:tcPr>
          <w:p w14:paraId="4B9A34C0" w14:textId="77777777" w:rsidR="002A3970" w:rsidRDefault="002A3970">
            <w:pPr>
              <w:rPr>
                <w:rFonts w:ascii="宋体"/>
                <w:vanish/>
              </w:rPr>
            </w:pPr>
          </w:p>
        </w:tc>
        <w:tc>
          <w:tcPr>
            <w:tcW w:w="0" w:type="auto"/>
            <w:shd w:val="clear" w:color="auto" w:fill="auto"/>
            <w:vAlign w:val="bottom"/>
          </w:tcPr>
          <w:p w14:paraId="4B9A34C1" w14:textId="77777777" w:rsidR="002A3970" w:rsidRDefault="002A3970">
            <w:pPr>
              <w:rPr>
                <w:rFonts w:ascii="宋体"/>
                <w:vanish/>
              </w:rPr>
            </w:pPr>
          </w:p>
        </w:tc>
      </w:tr>
      <w:tr w:rsidR="002A3970" w14:paraId="4B9A34DE" w14:textId="77777777">
        <w:trPr>
          <w:jc w:val="center"/>
        </w:trPr>
        <w:tc>
          <w:tcPr>
            <w:tcW w:w="0" w:type="auto"/>
            <w:gridSpan w:val="3"/>
            <w:shd w:val="clear" w:color="auto" w:fill="CCEEFF"/>
            <w:tcMar>
              <w:top w:w="40" w:type="dxa"/>
              <w:left w:w="20" w:type="dxa"/>
              <w:bottom w:w="40" w:type="dxa"/>
              <w:right w:w="20" w:type="dxa"/>
            </w:tcMar>
            <w:vAlign w:val="center"/>
          </w:tcPr>
          <w:p w14:paraId="4B9A34C3" w14:textId="77777777" w:rsidR="002A3970" w:rsidRDefault="00C35E63">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4B9A34C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C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C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C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C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C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C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C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C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C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4C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C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D0" w14:textId="77777777" w:rsidR="002A3970" w:rsidRDefault="00C35E63">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4B9A34D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D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D3" w14:textId="77777777" w:rsidR="002A3970" w:rsidRDefault="00C35E63">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4B9A34D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D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D6" w14:textId="77777777" w:rsidR="002A3970" w:rsidRDefault="00C35E63">
            <w:pPr>
              <w:jc w:val="right"/>
              <w:textAlignment w:val="center"/>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center"/>
          </w:tcPr>
          <w:p w14:paraId="4B9A34D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4D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4D9" w14:textId="77777777" w:rsidR="002A3970" w:rsidRDefault="00C35E63">
            <w:pPr>
              <w:jc w:val="right"/>
              <w:textAlignment w:val="center"/>
            </w:pPr>
            <w:r>
              <w:rPr>
                <w:rFonts w:ascii="Times New Roman" w:eastAsia="宋体" w:hAnsi="Times New Roman"/>
                <w:color w:val="000000"/>
                <w:sz w:val="16"/>
                <w:szCs w:val="16"/>
              </w:rPr>
              <w:t>48 </w:t>
            </w:r>
          </w:p>
        </w:tc>
        <w:tc>
          <w:tcPr>
            <w:tcW w:w="0" w:type="auto"/>
            <w:shd w:val="clear" w:color="auto" w:fill="CCEEFF"/>
            <w:tcMar>
              <w:top w:w="40" w:type="dxa"/>
              <w:left w:w="0" w:type="dxa"/>
              <w:bottom w:w="40" w:type="dxa"/>
              <w:right w:w="20" w:type="dxa"/>
            </w:tcMar>
            <w:vAlign w:val="center"/>
          </w:tcPr>
          <w:p w14:paraId="4B9A34DA" w14:textId="77777777" w:rsidR="002A3970" w:rsidRDefault="002A3970">
            <w:pPr>
              <w:jc w:val="right"/>
              <w:rPr>
                <w:rFonts w:ascii="宋体"/>
              </w:rPr>
            </w:pPr>
          </w:p>
        </w:tc>
        <w:tc>
          <w:tcPr>
            <w:tcW w:w="0" w:type="auto"/>
            <w:shd w:val="clear" w:color="auto" w:fill="auto"/>
            <w:vAlign w:val="bottom"/>
          </w:tcPr>
          <w:p w14:paraId="4B9A34DB" w14:textId="77777777" w:rsidR="002A3970" w:rsidRDefault="002A3970">
            <w:pPr>
              <w:rPr>
                <w:rFonts w:ascii="宋体"/>
                <w:vanish/>
              </w:rPr>
            </w:pPr>
          </w:p>
        </w:tc>
        <w:tc>
          <w:tcPr>
            <w:tcW w:w="0" w:type="auto"/>
            <w:shd w:val="clear" w:color="auto" w:fill="auto"/>
            <w:vAlign w:val="bottom"/>
          </w:tcPr>
          <w:p w14:paraId="4B9A34DC" w14:textId="77777777" w:rsidR="002A3970" w:rsidRDefault="002A3970">
            <w:pPr>
              <w:rPr>
                <w:rFonts w:ascii="宋体"/>
                <w:vanish/>
              </w:rPr>
            </w:pPr>
          </w:p>
        </w:tc>
        <w:tc>
          <w:tcPr>
            <w:tcW w:w="0" w:type="auto"/>
            <w:shd w:val="clear" w:color="auto" w:fill="auto"/>
            <w:vAlign w:val="bottom"/>
          </w:tcPr>
          <w:p w14:paraId="4B9A34DD" w14:textId="77777777" w:rsidR="002A3970" w:rsidRDefault="002A3970">
            <w:pPr>
              <w:rPr>
                <w:rFonts w:ascii="宋体"/>
                <w:vanish/>
              </w:rPr>
            </w:pPr>
          </w:p>
        </w:tc>
      </w:tr>
      <w:tr w:rsidR="002A3970" w14:paraId="4B9A34F2" w14:textId="77777777">
        <w:trPr>
          <w:jc w:val="center"/>
          <w:hidden/>
        </w:trPr>
        <w:tc>
          <w:tcPr>
            <w:tcW w:w="0" w:type="auto"/>
            <w:gridSpan w:val="3"/>
            <w:shd w:val="clear" w:color="auto" w:fill="auto"/>
            <w:vAlign w:val="bottom"/>
          </w:tcPr>
          <w:p w14:paraId="4B9A34DF" w14:textId="77777777" w:rsidR="002A3970" w:rsidRDefault="002A3970">
            <w:pPr>
              <w:rPr>
                <w:rFonts w:ascii="宋体"/>
                <w:vanish/>
              </w:rPr>
            </w:pPr>
          </w:p>
        </w:tc>
        <w:tc>
          <w:tcPr>
            <w:tcW w:w="0" w:type="auto"/>
            <w:gridSpan w:val="3"/>
            <w:shd w:val="clear" w:color="auto" w:fill="auto"/>
            <w:vAlign w:val="bottom"/>
          </w:tcPr>
          <w:p w14:paraId="4B9A34E0" w14:textId="77777777" w:rsidR="002A3970" w:rsidRDefault="002A3970">
            <w:pPr>
              <w:rPr>
                <w:rFonts w:ascii="宋体"/>
                <w:vanish/>
              </w:rPr>
            </w:pPr>
          </w:p>
        </w:tc>
        <w:tc>
          <w:tcPr>
            <w:tcW w:w="0" w:type="auto"/>
            <w:gridSpan w:val="3"/>
            <w:shd w:val="clear" w:color="auto" w:fill="auto"/>
            <w:vAlign w:val="bottom"/>
          </w:tcPr>
          <w:p w14:paraId="4B9A34E1" w14:textId="77777777" w:rsidR="002A3970" w:rsidRDefault="002A3970">
            <w:pPr>
              <w:rPr>
                <w:rFonts w:ascii="宋体"/>
                <w:vanish/>
              </w:rPr>
            </w:pPr>
          </w:p>
        </w:tc>
        <w:tc>
          <w:tcPr>
            <w:tcW w:w="0" w:type="auto"/>
            <w:gridSpan w:val="3"/>
            <w:shd w:val="clear" w:color="auto" w:fill="auto"/>
            <w:vAlign w:val="bottom"/>
          </w:tcPr>
          <w:p w14:paraId="4B9A34E2" w14:textId="77777777" w:rsidR="002A3970" w:rsidRDefault="002A3970">
            <w:pPr>
              <w:rPr>
                <w:rFonts w:ascii="宋体"/>
                <w:vanish/>
              </w:rPr>
            </w:pPr>
          </w:p>
        </w:tc>
        <w:tc>
          <w:tcPr>
            <w:tcW w:w="0" w:type="auto"/>
            <w:gridSpan w:val="3"/>
            <w:shd w:val="clear" w:color="auto" w:fill="auto"/>
            <w:vAlign w:val="bottom"/>
          </w:tcPr>
          <w:p w14:paraId="4B9A34E3" w14:textId="77777777" w:rsidR="002A3970" w:rsidRDefault="002A3970">
            <w:pPr>
              <w:rPr>
                <w:rFonts w:ascii="宋体"/>
                <w:vanish/>
              </w:rPr>
            </w:pPr>
          </w:p>
        </w:tc>
        <w:tc>
          <w:tcPr>
            <w:tcW w:w="0" w:type="auto"/>
            <w:gridSpan w:val="3"/>
            <w:shd w:val="clear" w:color="auto" w:fill="auto"/>
            <w:vAlign w:val="bottom"/>
          </w:tcPr>
          <w:p w14:paraId="4B9A34E4" w14:textId="77777777" w:rsidR="002A3970" w:rsidRDefault="002A3970">
            <w:pPr>
              <w:rPr>
                <w:rFonts w:ascii="宋体"/>
                <w:vanish/>
              </w:rPr>
            </w:pPr>
          </w:p>
        </w:tc>
        <w:tc>
          <w:tcPr>
            <w:tcW w:w="0" w:type="auto"/>
            <w:gridSpan w:val="3"/>
            <w:shd w:val="clear" w:color="auto" w:fill="auto"/>
            <w:vAlign w:val="bottom"/>
          </w:tcPr>
          <w:p w14:paraId="4B9A34E5" w14:textId="77777777" w:rsidR="002A3970" w:rsidRDefault="002A3970">
            <w:pPr>
              <w:rPr>
                <w:rFonts w:ascii="宋体"/>
                <w:vanish/>
              </w:rPr>
            </w:pPr>
          </w:p>
        </w:tc>
        <w:tc>
          <w:tcPr>
            <w:tcW w:w="0" w:type="auto"/>
            <w:gridSpan w:val="3"/>
            <w:shd w:val="clear" w:color="auto" w:fill="auto"/>
            <w:vAlign w:val="bottom"/>
          </w:tcPr>
          <w:p w14:paraId="4B9A34E6" w14:textId="77777777" w:rsidR="002A3970" w:rsidRDefault="002A3970">
            <w:pPr>
              <w:rPr>
                <w:rFonts w:ascii="宋体"/>
                <w:vanish/>
              </w:rPr>
            </w:pPr>
          </w:p>
        </w:tc>
        <w:tc>
          <w:tcPr>
            <w:tcW w:w="0" w:type="auto"/>
            <w:gridSpan w:val="3"/>
            <w:shd w:val="clear" w:color="auto" w:fill="auto"/>
            <w:vAlign w:val="bottom"/>
          </w:tcPr>
          <w:p w14:paraId="4B9A34E7" w14:textId="77777777" w:rsidR="002A3970" w:rsidRDefault="002A3970">
            <w:pPr>
              <w:rPr>
                <w:rFonts w:ascii="宋体"/>
                <w:vanish/>
              </w:rPr>
            </w:pPr>
          </w:p>
        </w:tc>
        <w:tc>
          <w:tcPr>
            <w:tcW w:w="0" w:type="auto"/>
            <w:gridSpan w:val="3"/>
            <w:shd w:val="clear" w:color="auto" w:fill="auto"/>
            <w:vAlign w:val="bottom"/>
          </w:tcPr>
          <w:p w14:paraId="4B9A34E8" w14:textId="77777777" w:rsidR="002A3970" w:rsidRDefault="002A3970">
            <w:pPr>
              <w:rPr>
                <w:rFonts w:ascii="宋体"/>
                <w:vanish/>
              </w:rPr>
            </w:pPr>
          </w:p>
        </w:tc>
        <w:tc>
          <w:tcPr>
            <w:tcW w:w="0" w:type="auto"/>
            <w:gridSpan w:val="3"/>
            <w:shd w:val="clear" w:color="auto" w:fill="auto"/>
            <w:vAlign w:val="bottom"/>
          </w:tcPr>
          <w:p w14:paraId="4B9A34E9" w14:textId="77777777" w:rsidR="002A3970" w:rsidRDefault="002A3970">
            <w:pPr>
              <w:rPr>
                <w:rFonts w:ascii="宋体"/>
                <w:vanish/>
              </w:rPr>
            </w:pPr>
          </w:p>
        </w:tc>
        <w:tc>
          <w:tcPr>
            <w:tcW w:w="0" w:type="auto"/>
            <w:gridSpan w:val="3"/>
            <w:shd w:val="clear" w:color="auto" w:fill="auto"/>
            <w:vAlign w:val="bottom"/>
          </w:tcPr>
          <w:p w14:paraId="4B9A34EA" w14:textId="77777777" w:rsidR="002A3970" w:rsidRDefault="002A3970">
            <w:pPr>
              <w:rPr>
                <w:rFonts w:ascii="宋体"/>
                <w:vanish/>
              </w:rPr>
            </w:pPr>
          </w:p>
        </w:tc>
        <w:tc>
          <w:tcPr>
            <w:tcW w:w="0" w:type="auto"/>
            <w:gridSpan w:val="3"/>
            <w:shd w:val="clear" w:color="auto" w:fill="auto"/>
            <w:vAlign w:val="bottom"/>
          </w:tcPr>
          <w:p w14:paraId="4B9A34EB" w14:textId="77777777" w:rsidR="002A3970" w:rsidRDefault="002A3970">
            <w:pPr>
              <w:rPr>
                <w:rFonts w:ascii="宋体"/>
                <w:vanish/>
              </w:rPr>
            </w:pPr>
          </w:p>
        </w:tc>
        <w:tc>
          <w:tcPr>
            <w:tcW w:w="0" w:type="auto"/>
            <w:gridSpan w:val="3"/>
            <w:shd w:val="clear" w:color="auto" w:fill="auto"/>
            <w:vAlign w:val="bottom"/>
          </w:tcPr>
          <w:p w14:paraId="4B9A34EC" w14:textId="77777777" w:rsidR="002A3970" w:rsidRDefault="002A3970">
            <w:pPr>
              <w:rPr>
                <w:rFonts w:ascii="宋体"/>
                <w:vanish/>
              </w:rPr>
            </w:pPr>
          </w:p>
        </w:tc>
        <w:tc>
          <w:tcPr>
            <w:tcW w:w="0" w:type="auto"/>
            <w:gridSpan w:val="3"/>
            <w:shd w:val="clear" w:color="auto" w:fill="auto"/>
            <w:vAlign w:val="bottom"/>
          </w:tcPr>
          <w:p w14:paraId="4B9A34ED" w14:textId="77777777" w:rsidR="002A3970" w:rsidRDefault="002A3970">
            <w:pPr>
              <w:rPr>
                <w:rFonts w:ascii="宋体"/>
                <w:vanish/>
              </w:rPr>
            </w:pPr>
          </w:p>
        </w:tc>
        <w:tc>
          <w:tcPr>
            <w:tcW w:w="0" w:type="auto"/>
            <w:gridSpan w:val="3"/>
            <w:shd w:val="clear" w:color="auto" w:fill="auto"/>
            <w:vAlign w:val="bottom"/>
          </w:tcPr>
          <w:p w14:paraId="4B9A34EE" w14:textId="77777777" w:rsidR="002A3970" w:rsidRDefault="002A3970">
            <w:pPr>
              <w:rPr>
                <w:rFonts w:ascii="宋体"/>
                <w:vanish/>
              </w:rPr>
            </w:pPr>
          </w:p>
        </w:tc>
        <w:tc>
          <w:tcPr>
            <w:tcW w:w="0" w:type="auto"/>
            <w:shd w:val="clear" w:color="auto" w:fill="auto"/>
            <w:vAlign w:val="bottom"/>
          </w:tcPr>
          <w:p w14:paraId="4B9A34EF" w14:textId="77777777" w:rsidR="002A3970" w:rsidRDefault="002A3970">
            <w:pPr>
              <w:rPr>
                <w:rFonts w:ascii="宋体"/>
                <w:vanish/>
              </w:rPr>
            </w:pPr>
          </w:p>
        </w:tc>
        <w:tc>
          <w:tcPr>
            <w:tcW w:w="0" w:type="auto"/>
            <w:shd w:val="clear" w:color="auto" w:fill="auto"/>
            <w:vAlign w:val="bottom"/>
          </w:tcPr>
          <w:p w14:paraId="4B9A34F0" w14:textId="77777777" w:rsidR="002A3970" w:rsidRDefault="002A3970">
            <w:pPr>
              <w:rPr>
                <w:rFonts w:ascii="宋体"/>
                <w:vanish/>
              </w:rPr>
            </w:pPr>
          </w:p>
        </w:tc>
        <w:tc>
          <w:tcPr>
            <w:tcW w:w="0" w:type="auto"/>
            <w:shd w:val="clear" w:color="auto" w:fill="auto"/>
            <w:vAlign w:val="bottom"/>
          </w:tcPr>
          <w:p w14:paraId="4B9A34F1" w14:textId="77777777" w:rsidR="002A3970" w:rsidRDefault="002A3970">
            <w:pPr>
              <w:rPr>
                <w:rFonts w:ascii="宋体"/>
                <w:vanish/>
              </w:rPr>
            </w:pPr>
          </w:p>
        </w:tc>
      </w:tr>
      <w:tr w:rsidR="002A3970" w14:paraId="4B9A350E" w14:textId="77777777">
        <w:trPr>
          <w:jc w:val="center"/>
        </w:trPr>
        <w:tc>
          <w:tcPr>
            <w:tcW w:w="0" w:type="auto"/>
            <w:gridSpan w:val="3"/>
            <w:shd w:val="clear" w:color="auto" w:fill="FFFFFF"/>
            <w:tcMar>
              <w:top w:w="40" w:type="dxa"/>
              <w:left w:w="20" w:type="dxa"/>
              <w:bottom w:w="40" w:type="dxa"/>
              <w:right w:w="20" w:type="dxa"/>
            </w:tcMar>
            <w:vAlign w:val="center"/>
          </w:tcPr>
          <w:p w14:paraId="4B9A34F3" w14:textId="77777777" w:rsidR="002A3970" w:rsidRDefault="00C35E63">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4B9A34F4" w14:textId="77777777" w:rsidR="002A3970" w:rsidRDefault="00C35E63">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4B9A34F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F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F7" w14:textId="77777777" w:rsidR="002A3970" w:rsidRDefault="00C35E63">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4B9A34F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F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FA" w14:textId="77777777" w:rsidR="002A3970" w:rsidRDefault="00C35E63">
            <w:pPr>
              <w:jc w:val="right"/>
              <w:textAlignment w:val="center"/>
            </w:pPr>
            <w:r>
              <w:rPr>
                <w:rFonts w:ascii="Times New Roman" w:eastAsia="宋体" w:hAnsi="Times New Roman"/>
                <w:color w:val="000000"/>
                <w:sz w:val="16"/>
                <w:szCs w:val="16"/>
              </w:rPr>
              <w:t>(94)</w:t>
            </w:r>
          </w:p>
        </w:tc>
        <w:tc>
          <w:tcPr>
            <w:tcW w:w="0" w:type="auto"/>
            <w:shd w:val="clear" w:color="auto" w:fill="FFFFFF"/>
            <w:tcMar>
              <w:top w:w="40" w:type="dxa"/>
              <w:left w:w="0" w:type="dxa"/>
              <w:bottom w:w="40" w:type="dxa"/>
              <w:right w:w="20" w:type="dxa"/>
            </w:tcMar>
            <w:vAlign w:val="center"/>
          </w:tcPr>
          <w:p w14:paraId="4B9A34F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F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4FD" w14:textId="77777777" w:rsidR="002A3970" w:rsidRDefault="00C35E63">
            <w:pPr>
              <w:jc w:val="right"/>
              <w:textAlignment w:val="center"/>
            </w:pPr>
            <w:r>
              <w:rPr>
                <w:rFonts w:ascii="Times New Roman" w:eastAsia="宋体" w:hAnsi="Times New Roman"/>
                <w:color w:val="000000"/>
                <w:sz w:val="16"/>
                <w:szCs w:val="16"/>
              </w:rPr>
              <w:t>(2,273)</w:t>
            </w:r>
          </w:p>
        </w:tc>
        <w:tc>
          <w:tcPr>
            <w:tcW w:w="0" w:type="auto"/>
            <w:shd w:val="clear" w:color="auto" w:fill="FFFFFF"/>
            <w:tcMar>
              <w:top w:w="40" w:type="dxa"/>
              <w:left w:w="0" w:type="dxa"/>
              <w:bottom w:w="40" w:type="dxa"/>
              <w:right w:w="20" w:type="dxa"/>
            </w:tcMar>
            <w:vAlign w:val="center"/>
          </w:tcPr>
          <w:p w14:paraId="4B9A34F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4F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0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0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0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03" w14:textId="77777777" w:rsidR="002A3970" w:rsidRDefault="00C35E63">
            <w:pPr>
              <w:jc w:val="right"/>
              <w:textAlignment w:val="center"/>
            </w:pPr>
            <w:r>
              <w:rPr>
                <w:rFonts w:ascii="Times New Roman" w:eastAsia="宋体" w:hAnsi="Times New Roman"/>
                <w:color w:val="000000"/>
                <w:sz w:val="16"/>
                <w:szCs w:val="16"/>
              </w:rPr>
              <w:t>(2,369)</w:t>
            </w:r>
          </w:p>
        </w:tc>
        <w:tc>
          <w:tcPr>
            <w:tcW w:w="0" w:type="auto"/>
            <w:shd w:val="clear" w:color="auto" w:fill="FFFFFF"/>
            <w:tcMar>
              <w:top w:w="40" w:type="dxa"/>
              <w:left w:w="0" w:type="dxa"/>
              <w:bottom w:w="40" w:type="dxa"/>
              <w:right w:w="20" w:type="dxa"/>
            </w:tcMar>
            <w:vAlign w:val="center"/>
          </w:tcPr>
          <w:p w14:paraId="4B9A350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0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0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0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0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09" w14:textId="77777777" w:rsidR="002A3970" w:rsidRDefault="00C35E63">
            <w:pPr>
              <w:jc w:val="right"/>
              <w:textAlignment w:val="center"/>
            </w:pPr>
            <w:r>
              <w:rPr>
                <w:rFonts w:ascii="Times New Roman" w:eastAsia="宋体" w:hAnsi="Times New Roman"/>
                <w:color w:val="000000"/>
                <w:sz w:val="16"/>
                <w:szCs w:val="16"/>
              </w:rPr>
              <w:t>(2,369)</w:t>
            </w:r>
          </w:p>
        </w:tc>
        <w:tc>
          <w:tcPr>
            <w:tcW w:w="0" w:type="auto"/>
            <w:shd w:val="clear" w:color="auto" w:fill="FFFFFF"/>
            <w:tcMar>
              <w:top w:w="40" w:type="dxa"/>
              <w:left w:w="0" w:type="dxa"/>
              <w:bottom w:w="40" w:type="dxa"/>
              <w:right w:w="20" w:type="dxa"/>
            </w:tcMar>
            <w:vAlign w:val="center"/>
          </w:tcPr>
          <w:p w14:paraId="4B9A350A" w14:textId="77777777" w:rsidR="002A3970" w:rsidRDefault="002A3970">
            <w:pPr>
              <w:jc w:val="right"/>
              <w:rPr>
                <w:rFonts w:ascii="宋体"/>
              </w:rPr>
            </w:pPr>
          </w:p>
        </w:tc>
        <w:tc>
          <w:tcPr>
            <w:tcW w:w="0" w:type="auto"/>
            <w:shd w:val="clear" w:color="auto" w:fill="auto"/>
            <w:vAlign w:val="bottom"/>
          </w:tcPr>
          <w:p w14:paraId="4B9A350B" w14:textId="77777777" w:rsidR="002A3970" w:rsidRDefault="002A3970">
            <w:pPr>
              <w:rPr>
                <w:rFonts w:ascii="宋体"/>
                <w:vanish/>
              </w:rPr>
            </w:pPr>
          </w:p>
        </w:tc>
        <w:tc>
          <w:tcPr>
            <w:tcW w:w="0" w:type="auto"/>
            <w:shd w:val="clear" w:color="auto" w:fill="auto"/>
            <w:vAlign w:val="bottom"/>
          </w:tcPr>
          <w:p w14:paraId="4B9A350C" w14:textId="77777777" w:rsidR="002A3970" w:rsidRDefault="002A3970">
            <w:pPr>
              <w:rPr>
                <w:rFonts w:ascii="宋体"/>
                <w:vanish/>
              </w:rPr>
            </w:pPr>
          </w:p>
        </w:tc>
        <w:tc>
          <w:tcPr>
            <w:tcW w:w="0" w:type="auto"/>
            <w:shd w:val="clear" w:color="auto" w:fill="auto"/>
            <w:vAlign w:val="bottom"/>
          </w:tcPr>
          <w:p w14:paraId="4B9A350D" w14:textId="77777777" w:rsidR="002A3970" w:rsidRDefault="002A3970">
            <w:pPr>
              <w:rPr>
                <w:rFonts w:ascii="宋体"/>
                <w:vanish/>
              </w:rPr>
            </w:pPr>
          </w:p>
        </w:tc>
      </w:tr>
      <w:tr w:rsidR="002A3970" w14:paraId="4B9A352A" w14:textId="77777777">
        <w:trPr>
          <w:jc w:val="center"/>
        </w:trPr>
        <w:tc>
          <w:tcPr>
            <w:tcW w:w="0" w:type="auto"/>
            <w:gridSpan w:val="3"/>
            <w:shd w:val="clear" w:color="auto" w:fill="CCEEFF"/>
            <w:tcMar>
              <w:top w:w="40" w:type="dxa"/>
              <w:left w:w="20" w:type="dxa"/>
              <w:bottom w:w="40" w:type="dxa"/>
              <w:right w:w="20" w:type="dxa"/>
            </w:tcMar>
            <w:vAlign w:val="center"/>
          </w:tcPr>
          <w:p w14:paraId="4B9A350F" w14:textId="77777777" w:rsidR="002A3970" w:rsidRDefault="00C35E63">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4B9A351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1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1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1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1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1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1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1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1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1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1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1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1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1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1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1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2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2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22" w14:textId="77777777" w:rsidR="002A3970" w:rsidRDefault="00C35E63">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4B9A352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2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25" w14:textId="77777777" w:rsidR="002A3970" w:rsidRDefault="00C35E63">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4B9A3526" w14:textId="77777777" w:rsidR="002A3970" w:rsidRDefault="002A3970">
            <w:pPr>
              <w:jc w:val="right"/>
              <w:rPr>
                <w:rFonts w:ascii="宋体"/>
              </w:rPr>
            </w:pPr>
          </w:p>
        </w:tc>
        <w:tc>
          <w:tcPr>
            <w:tcW w:w="0" w:type="auto"/>
            <w:shd w:val="clear" w:color="auto" w:fill="auto"/>
            <w:vAlign w:val="bottom"/>
          </w:tcPr>
          <w:p w14:paraId="4B9A3527" w14:textId="77777777" w:rsidR="002A3970" w:rsidRDefault="002A3970">
            <w:pPr>
              <w:rPr>
                <w:rFonts w:ascii="宋体"/>
                <w:vanish/>
              </w:rPr>
            </w:pPr>
          </w:p>
        </w:tc>
        <w:tc>
          <w:tcPr>
            <w:tcW w:w="0" w:type="auto"/>
            <w:shd w:val="clear" w:color="auto" w:fill="auto"/>
            <w:vAlign w:val="bottom"/>
          </w:tcPr>
          <w:p w14:paraId="4B9A3528" w14:textId="77777777" w:rsidR="002A3970" w:rsidRDefault="002A3970">
            <w:pPr>
              <w:rPr>
                <w:rFonts w:ascii="宋体"/>
                <w:vanish/>
              </w:rPr>
            </w:pPr>
          </w:p>
        </w:tc>
        <w:tc>
          <w:tcPr>
            <w:tcW w:w="0" w:type="auto"/>
            <w:shd w:val="clear" w:color="auto" w:fill="auto"/>
            <w:vAlign w:val="bottom"/>
          </w:tcPr>
          <w:p w14:paraId="4B9A3529" w14:textId="77777777" w:rsidR="002A3970" w:rsidRDefault="002A3970">
            <w:pPr>
              <w:rPr>
                <w:rFonts w:ascii="宋体"/>
                <w:vanish/>
              </w:rPr>
            </w:pPr>
          </w:p>
        </w:tc>
      </w:tr>
      <w:tr w:rsidR="002A3970" w14:paraId="4B9A3546" w14:textId="77777777">
        <w:trPr>
          <w:jc w:val="center"/>
        </w:trPr>
        <w:tc>
          <w:tcPr>
            <w:tcW w:w="0" w:type="auto"/>
            <w:gridSpan w:val="3"/>
            <w:shd w:val="clear" w:color="auto" w:fill="FFFFFF"/>
            <w:tcMar>
              <w:top w:w="40" w:type="dxa"/>
              <w:left w:w="20" w:type="dxa"/>
              <w:bottom w:w="40" w:type="dxa"/>
              <w:right w:w="20" w:type="dxa"/>
            </w:tcMar>
            <w:vAlign w:val="center"/>
          </w:tcPr>
          <w:p w14:paraId="4B9A352B"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4B9A352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2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2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2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3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3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32" w14:textId="77777777" w:rsidR="002A3970" w:rsidRDefault="00C35E63">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4B9A353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3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3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3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3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38"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3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3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3B" w14:textId="77777777" w:rsidR="002A3970" w:rsidRDefault="00C35E63">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4B9A353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3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3E" w14:textId="77777777" w:rsidR="002A3970" w:rsidRDefault="00C35E63">
            <w:pPr>
              <w:jc w:val="right"/>
              <w:textAlignment w:val="center"/>
            </w:pPr>
            <w:r>
              <w:rPr>
                <w:rFonts w:ascii="Times New Roman" w:eastAsia="宋体" w:hAnsi="Times New Roman"/>
                <w:color w:val="000000"/>
                <w:sz w:val="16"/>
                <w:szCs w:val="16"/>
              </w:rPr>
              <w:t>171 </w:t>
            </w:r>
          </w:p>
        </w:tc>
        <w:tc>
          <w:tcPr>
            <w:tcW w:w="0" w:type="auto"/>
            <w:shd w:val="clear" w:color="auto" w:fill="FFFFFF"/>
            <w:tcMar>
              <w:top w:w="40" w:type="dxa"/>
              <w:left w:w="0" w:type="dxa"/>
              <w:bottom w:w="40" w:type="dxa"/>
              <w:right w:w="20" w:type="dxa"/>
            </w:tcMar>
            <w:vAlign w:val="center"/>
          </w:tcPr>
          <w:p w14:paraId="4B9A353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4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41" w14:textId="77777777" w:rsidR="002A3970" w:rsidRDefault="00C35E63">
            <w:pPr>
              <w:jc w:val="right"/>
              <w:textAlignment w:val="center"/>
            </w:pPr>
            <w:r>
              <w:rPr>
                <w:rFonts w:ascii="Times New Roman" w:eastAsia="宋体" w:hAnsi="Times New Roman"/>
                <w:color w:val="000000"/>
                <w:sz w:val="16"/>
                <w:szCs w:val="16"/>
              </w:rPr>
              <w:t>177 </w:t>
            </w:r>
          </w:p>
        </w:tc>
        <w:tc>
          <w:tcPr>
            <w:tcW w:w="0" w:type="auto"/>
            <w:shd w:val="clear" w:color="auto" w:fill="FFFFFF"/>
            <w:tcMar>
              <w:top w:w="40" w:type="dxa"/>
              <w:left w:w="0" w:type="dxa"/>
              <w:bottom w:w="40" w:type="dxa"/>
              <w:right w:w="20" w:type="dxa"/>
            </w:tcMar>
            <w:vAlign w:val="center"/>
          </w:tcPr>
          <w:p w14:paraId="4B9A3542" w14:textId="77777777" w:rsidR="002A3970" w:rsidRDefault="002A3970">
            <w:pPr>
              <w:jc w:val="right"/>
              <w:rPr>
                <w:rFonts w:ascii="宋体"/>
              </w:rPr>
            </w:pPr>
          </w:p>
        </w:tc>
        <w:tc>
          <w:tcPr>
            <w:tcW w:w="0" w:type="auto"/>
            <w:shd w:val="clear" w:color="auto" w:fill="auto"/>
            <w:vAlign w:val="bottom"/>
          </w:tcPr>
          <w:p w14:paraId="4B9A3543" w14:textId="77777777" w:rsidR="002A3970" w:rsidRDefault="002A3970">
            <w:pPr>
              <w:rPr>
                <w:rFonts w:ascii="宋体"/>
                <w:vanish/>
              </w:rPr>
            </w:pPr>
          </w:p>
        </w:tc>
        <w:tc>
          <w:tcPr>
            <w:tcW w:w="0" w:type="auto"/>
            <w:shd w:val="clear" w:color="auto" w:fill="auto"/>
            <w:vAlign w:val="bottom"/>
          </w:tcPr>
          <w:p w14:paraId="4B9A3544" w14:textId="77777777" w:rsidR="002A3970" w:rsidRDefault="002A3970">
            <w:pPr>
              <w:rPr>
                <w:rFonts w:ascii="宋体"/>
                <w:vanish/>
              </w:rPr>
            </w:pPr>
          </w:p>
        </w:tc>
        <w:tc>
          <w:tcPr>
            <w:tcW w:w="0" w:type="auto"/>
            <w:shd w:val="clear" w:color="auto" w:fill="auto"/>
            <w:vAlign w:val="bottom"/>
          </w:tcPr>
          <w:p w14:paraId="4B9A3545" w14:textId="77777777" w:rsidR="002A3970" w:rsidRDefault="002A3970">
            <w:pPr>
              <w:rPr>
                <w:rFonts w:ascii="宋体"/>
                <w:vanish/>
              </w:rPr>
            </w:pPr>
          </w:p>
        </w:tc>
      </w:tr>
      <w:tr w:rsidR="002A3970" w14:paraId="4B9A3562" w14:textId="77777777">
        <w:trPr>
          <w:jc w:val="center"/>
        </w:trPr>
        <w:tc>
          <w:tcPr>
            <w:tcW w:w="0" w:type="auto"/>
            <w:gridSpan w:val="3"/>
            <w:shd w:val="clear" w:color="auto" w:fill="CCEEFF"/>
            <w:tcMar>
              <w:top w:w="40" w:type="dxa"/>
              <w:left w:w="20" w:type="dxa"/>
              <w:bottom w:w="40" w:type="dxa"/>
              <w:right w:w="20" w:type="dxa"/>
            </w:tcMar>
            <w:vAlign w:val="center"/>
          </w:tcPr>
          <w:p w14:paraId="4B9A3547" w14:textId="77777777" w:rsidR="002A3970" w:rsidRDefault="00C35E63">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B9A3548" w14:textId="77777777" w:rsidR="002A3970" w:rsidRDefault="00C35E63">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B9A354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4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4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4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4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4E" w14:textId="77777777" w:rsidR="002A3970" w:rsidRDefault="00C35E63">
            <w:pPr>
              <w:jc w:val="right"/>
              <w:textAlignment w:val="center"/>
            </w:pPr>
            <w:r>
              <w:rPr>
                <w:rFonts w:ascii="Times New Roman" w:eastAsia="宋体" w:hAnsi="Times New Roman"/>
                <w:color w:val="000000"/>
                <w:sz w:val="16"/>
                <w:szCs w:val="16"/>
              </w:rPr>
              <w:t>319 </w:t>
            </w:r>
          </w:p>
        </w:tc>
        <w:tc>
          <w:tcPr>
            <w:tcW w:w="0" w:type="auto"/>
            <w:shd w:val="clear" w:color="auto" w:fill="CCEEFF"/>
            <w:tcMar>
              <w:top w:w="40" w:type="dxa"/>
              <w:left w:w="0" w:type="dxa"/>
              <w:bottom w:w="40" w:type="dxa"/>
              <w:right w:w="20" w:type="dxa"/>
            </w:tcMar>
            <w:vAlign w:val="center"/>
          </w:tcPr>
          <w:p w14:paraId="4B9A354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5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51" w14:textId="77777777" w:rsidR="002A3970" w:rsidRDefault="00C35E63">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4B9A355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5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5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5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5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57" w14:textId="77777777" w:rsidR="002A3970" w:rsidRDefault="00C35E63">
            <w:pPr>
              <w:jc w:val="right"/>
              <w:textAlignment w:val="center"/>
            </w:pPr>
            <w:r>
              <w:rPr>
                <w:rFonts w:ascii="Times New Roman" w:eastAsia="宋体" w:hAnsi="Times New Roman"/>
                <w:color w:val="000000"/>
                <w:sz w:val="16"/>
                <w:szCs w:val="16"/>
              </w:rPr>
              <w:t>311 </w:t>
            </w:r>
          </w:p>
        </w:tc>
        <w:tc>
          <w:tcPr>
            <w:tcW w:w="0" w:type="auto"/>
            <w:shd w:val="clear" w:color="auto" w:fill="CCEEFF"/>
            <w:tcMar>
              <w:top w:w="40" w:type="dxa"/>
              <w:left w:w="0" w:type="dxa"/>
              <w:bottom w:w="40" w:type="dxa"/>
              <w:right w:w="20" w:type="dxa"/>
            </w:tcMar>
            <w:vAlign w:val="center"/>
          </w:tcPr>
          <w:p w14:paraId="4B9A355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5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5A" w14:textId="77777777" w:rsidR="002A3970" w:rsidRDefault="00C35E63">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4B9A355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5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5D" w14:textId="77777777" w:rsidR="002A3970" w:rsidRDefault="00C35E63">
            <w:pPr>
              <w:jc w:val="right"/>
              <w:textAlignment w:val="center"/>
            </w:pPr>
            <w:r>
              <w:rPr>
                <w:rFonts w:ascii="Times New Roman" w:eastAsia="宋体" w:hAnsi="Times New Roman"/>
                <w:color w:val="000000"/>
                <w:sz w:val="16"/>
                <w:szCs w:val="16"/>
              </w:rPr>
              <w:t>325 </w:t>
            </w:r>
          </w:p>
        </w:tc>
        <w:tc>
          <w:tcPr>
            <w:tcW w:w="0" w:type="auto"/>
            <w:shd w:val="clear" w:color="auto" w:fill="CCEEFF"/>
            <w:tcMar>
              <w:top w:w="40" w:type="dxa"/>
              <w:left w:w="0" w:type="dxa"/>
              <w:bottom w:w="40" w:type="dxa"/>
              <w:right w:w="20" w:type="dxa"/>
            </w:tcMar>
            <w:vAlign w:val="center"/>
          </w:tcPr>
          <w:p w14:paraId="4B9A355E" w14:textId="77777777" w:rsidR="002A3970" w:rsidRDefault="002A3970">
            <w:pPr>
              <w:jc w:val="right"/>
              <w:rPr>
                <w:rFonts w:ascii="宋体"/>
              </w:rPr>
            </w:pPr>
          </w:p>
        </w:tc>
        <w:tc>
          <w:tcPr>
            <w:tcW w:w="0" w:type="auto"/>
            <w:shd w:val="clear" w:color="auto" w:fill="auto"/>
            <w:vAlign w:val="bottom"/>
          </w:tcPr>
          <w:p w14:paraId="4B9A355F" w14:textId="77777777" w:rsidR="002A3970" w:rsidRDefault="002A3970">
            <w:pPr>
              <w:rPr>
                <w:rFonts w:ascii="宋体"/>
                <w:vanish/>
              </w:rPr>
            </w:pPr>
          </w:p>
        </w:tc>
        <w:tc>
          <w:tcPr>
            <w:tcW w:w="0" w:type="auto"/>
            <w:shd w:val="clear" w:color="auto" w:fill="auto"/>
            <w:vAlign w:val="bottom"/>
          </w:tcPr>
          <w:p w14:paraId="4B9A3560" w14:textId="77777777" w:rsidR="002A3970" w:rsidRDefault="002A3970">
            <w:pPr>
              <w:rPr>
                <w:rFonts w:ascii="宋体"/>
                <w:vanish/>
              </w:rPr>
            </w:pPr>
          </w:p>
        </w:tc>
        <w:tc>
          <w:tcPr>
            <w:tcW w:w="0" w:type="auto"/>
            <w:shd w:val="clear" w:color="auto" w:fill="auto"/>
            <w:vAlign w:val="bottom"/>
          </w:tcPr>
          <w:p w14:paraId="4B9A3561" w14:textId="77777777" w:rsidR="002A3970" w:rsidRDefault="002A3970">
            <w:pPr>
              <w:rPr>
                <w:rFonts w:ascii="宋体"/>
                <w:vanish/>
              </w:rPr>
            </w:pPr>
          </w:p>
        </w:tc>
      </w:tr>
      <w:tr w:rsidR="002A3970" w14:paraId="4B9A3585" w14:textId="77777777">
        <w:trPr>
          <w:jc w:val="center"/>
        </w:trPr>
        <w:tc>
          <w:tcPr>
            <w:tcW w:w="0" w:type="auto"/>
            <w:gridSpan w:val="3"/>
            <w:shd w:val="clear" w:color="auto" w:fill="FFFFFF"/>
            <w:tcMar>
              <w:top w:w="40" w:type="dxa"/>
              <w:left w:w="20" w:type="dxa"/>
              <w:bottom w:w="40" w:type="dxa"/>
              <w:right w:w="20" w:type="dxa"/>
            </w:tcMar>
            <w:vAlign w:val="center"/>
          </w:tcPr>
          <w:p w14:paraId="4B9A3563" w14:textId="77777777" w:rsidR="002A3970" w:rsidRDefault="00C35E63">
            <w:pPr>
              <w:textAlignment w:val="center"/>
            </w:pPr>
            <w:r>
              <w:rPr>
                <w:rFonts w:ascii="Times New Roman" w:eastAsia="宋体" w:hAnsi="Times New Roman"/>
                <w:b/>
                <w:bCs/>
                <w:color w:val="000000"/>
                <w:sz w:val="16"/>
                <w:szCs w:val="16"/>
              </w:rPr>
              <w:t>Balances as of July 31, 2021</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564" w14:textId="77777777" w:rsidR="002A3970" w:rsidRDefault="00C35E63">
            <w:pPr>
              <w:jc w:val="right"/>
              <w:textAlignment w:val="center"/>
            </w:pPr>
            <w:r>
              <w:rPr>
                <w:rFonts w:ascii="Times New Roman" w:eastAsia="宋体" w:hAnsi="Times New Roman"/>
                <w:color w:val="000000"/>
                <w:sz w:val="16"/>
                <w:szCs w:val="16"/>
              </w:rPr>
              <w:t>2,791 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6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66"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67"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68" w14:textId="77777777" w:rsidR="002A3970" w:rsidRDefault="00C35E63">
            <w:pPr>
              <w:jc w:val="right"/>
              <w:textAlignment w:val="center"/>
            </w:pPr>
            <w:r>
              <w:rPr>
                <w:rFonts w:ascii="Times New Roman" w:eastAsia="宋体" w:hAnsi="Times New Roman"/>
                <w:color w:val="000000"/>
                <w:sz w:val="16"/>
                <w:szCs w:val="16"/>
              </w:rPr>
              <w:t>278 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6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6A"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6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6C" w14:textId="77777777" w:rsidR="002A3970" w:rsidRDefault="00C35E63">
            <w:pPr>
              <w:jc w:val="right"/>
              <w:textAlignment w:val="center"/>
            </w:pPr>
            <w:r>
              <w:rPr>
                <w:rFonts w:ascii="Times New Roman" w:eastAsia="宋体" w:hAnsi="Times New Roman"/>
                <w:color w:val="000000"/>
                <w:sz w:val="16"/>
                <w:szCs w:val="16"/>
              </w:rPr>
              <w:t>3,655 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6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6E"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6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70" w14:textId="77777777" w:rsidR="002A3970" w:rsidRDefault="00C35E63">
            <w:pPr>
              <w:jc w:val="right"/>
              <w:textAlignment w:val="center"/>
            </w:pPr>
            <w:r>
              <w:rPr>
                <w:rFonts w:ascii="Times New Roman" w:eastAsia="宋体" w:hAnsi="Times New Roman"/>
                <w:color w:val="000000"/>
                <w:sz w:val="16"/>
                <w:szCs w:val="16"/>
              </w:rPr>
              <w:t>84,572 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7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72"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73"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74" w14:textId="77777777" w:rsidR="002A3970" w:rsidRDefault="00C35E63">
            <w:pPr>
              <w:jc w:val="right"/>
              <w:textAlignment w:val="center"/>
            </w:pPr>
            <w:r>
              <w:rPr>
                <w:rFonts w:ascii="Times New Roman" w:eastAsia="宋体" w:hAnsi="Times New Roman"/>
                <w:color w:val="000000"/>
                <w:sz w:val="16"/>
                <w:szCs w:val="16"/>
              </w:rPr>
              <w:t>(7,976)</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7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76"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77"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78" w14:textId="77777777" w:rsidR="002A3970" w:rsidRDefault="00C35E63">
            <w:pPr>
              <w:jc w:val="right"/>
              <w:textAlignment w:val="center"/>
            </w:pPr>
            <w:r>
              <w:rPr>
                <w:rFonts w:ascii="Times New Roman" w:eastAsia="宋体" w:hAnsi="Times New Roman"/>
                <w:color w:val="000000"/>
                <w:sz w:val="16"/>
                <w:szCs w:val="16"/>
              </w:rPr>
              <w:t>80,529 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7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7A"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7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7C" w14:textId="77777777" w:rsidR="002A3970" w:rsidRDefault="00C35E63">
            <w:pPr>
              <w:jc w:val="right"/>
              <w:textAlignment w:val="center"/>
            </w:pPr>
            <w:r>
              <w:rPr>
                <w:rFonts w:ascii="Times New Roman" w:eastAsia="宋体" w:hAnsi="Times New Roman"/>
                <w:color w:val="000000"/>
                <w:sz w:val="16"/>
                <w:szCs w:val="16"/>
              </w:rPr>
              <w:t>6,598 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7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7E"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57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580" w14:textId="77777777" w:rsidR="002A3970" w:rsidRDefault="00C35E63">
            <w:pPr>
              <w:jc w:val="right"/>
              <w:textAlignment w:val="center"/>
            </w:pPr>
            <w:r>
              <w:rPr>
                <w:rFonts w:ascii="Times New Roman" w:eastAsia="宋体" w:hAnsi="Times New Roman"/>
                <w:color w:val="000000"/>
                <w:sz w:val="16"/>
                <w:szCs w:val="16"/>
              </w:rPr>
              <w:t>87,127 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581" w14:textId="77777777" w:rsidR="002A3970" w:rsidRDefault="002A3970">
            <w:pPr>
              <w:jc w:val="right"/>
              <w:rPr>
                <w:rFonts w:ascii="宋体"/>
              </w:rPr>
            </w:pPr>
          </w:p>
        </w:tc>
        <w:tc>
          <w:tcPr>
            <w:tcW w:w="0" w:type="auto"/>
            <w:shd w:val="clear" w:color="auto" w:fill="auto"/>
            <w:vAlign w:val="bottom"/>
          </w:tcPr>
          <w:p w14:paraId="4B9A3582" w14:textId="77777777" w:rsidR="002A3970" w:rsidRDefault="002A3970">
            <w:pPr>
              <w:rPr>
                <w:rFonts w:ascii="宋体"/>
                <w:vanish/>
              </w:rPr>
            </w:pPr>
          </w:p>
        </w:tc>
        <w:tc>
          <w:tcPr>
            <w:tcW w:w="0" w:type="auto"/>
            <w:shd w:val="clear" w:color="auto" w:fill="auto"/>
            <w:vAlign w:val="bottom"/>
          </w:tcPr>
          <w:p w14:paraId="4B9A3583" w14:textId="77777777" w:rsidR="002A3970" w:rsidRDefault="002A3970">
            <w:pPr>
              <w:rPr>
                <w:rFonts w:ascii="宋体"/>
                <w:vanish/>
              </w:rPr>
            </w:pPr>
          </w:p>
        </w:tc>
        <w:tc>
          <w:tcPr>
            <w:tcW w:w="0" w:type="auto"/>
            <w:shd w:val="clear" w:color="auto" w:fill="auto"/>
            <w:vAlign w:val="bottom"/>
          </w:tcPr>
          <w:p w14:paraId="4B9A3584" w14:textId="77777777" w:rsidR="002A3970" w:rsidRDefault="002A3970">
            <w:pPr>
              <w:rPr>
                <w:rFonts w:ascii="宋体"/>
                <w:vanish/>
              </w:rPr>
            </w:pPr>
          </w:p>
        </w:tc>
      </w:tr>
      <w:tr w:rsidR="002A3970" w14:paraId="4B9A35A1" w14:textId="77777777">
        <w:trPr>
          <w:jc w:val="center"/>
        </w:trPr>
        <w:tc>
          <w:tcPr>
            <w:tcW w:w="0" w:type="auto"/>
            <w:gridSpan w:val="3"/>
            <w:shd w:val="clear" w:color="auto" w:fill="CCEEFF"/>
            <w:tcMar>
              <w:top w:w="40" w:type="dxa"/>
              <w:left w:w="20" w:type="dxa"/>
              <w:bottom w:w="40" w:type="dxa"/>
              <w:right w:w="20" w:type="dxa"/>
            </w:tcMar>
            <w:vAlign w:val="center"/>
          </w:tcPr>
          <w:p w14:paraId="4B9A3586" w14:textId="77777777" w:rsidR="002A3970" w:rsidRDefault="00C35E63">
            <w:pPr>
              <w:textAlignment w:val="center"/>
            </w:pPr>
            <w:r>
              <w:rPr>
                <w:rFonts w:ascii="Times New Roman" w:eastAsia="宋体" w:hAnsi="Times New Roman"/>
                <w:color w:val="000000"/>
                <w:sz w:val="16"/>
                <w:szCs w:val="16"/>
              </w:rPr>
              <w:t>Consolidated</w:t>
            </w:r>
            <w:r>
              <w:rPr>
                <w:rFonts w:ascii="Times New Roman" w:eastAsia="宋体" w:hAnsi="Times New Roman"/>
                <w:color w:val="000000"/>
                <w:sz w:val="16"/>
                <w:szCs w:val="16"/>
              </w:rPr>
              <w:t xml:space="preserve"> net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87"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8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89"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8A"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8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8C"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8D"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8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8F"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90" w14:textId="77777777" w:rsidR="002A3970" w:rsidRDefault="00C35E63">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9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92"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93" w14:textId="77777777" w:rsidR="002A3970" w:rsidRDefault="00C35E63">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9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9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96" w14:textId="77777777" w:rsidR="002A3970" w:rsidRDefault="00C35E63">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9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9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99" w14:textId="77777777" w:rsidR="002A3970" w:rsidRDefault="00C35E63">
            <w:pPr>
              <w:jc w:val="right"/>
              <w:textAlignment w:val="center"/>
            </w:pPr>
            <w:r>
              <w:rPr>
                <w:rFonts w:ascii="Times New Roman" w:eastAsia="宋体" w:hAnsi="Times New Roman"/>
                <w:color w:val="000000"/>
                <w:sz w:val="16"/>
                <w:szCs w:val="16"/>
              </w:rPr>
              <w:t>27 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9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9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59C" w14:textId="77777777" w:rsidR="002A3970" w:rsidRDefault="00C35E63">
            <w:pPr>
              <w:jc w:val="right"/>
              <w:textAlignment w:val="center"/>
            </w:pPr>
            <w:r>
              <w:rPr>
                <w:rFonts w:ascii="Times New Roman" w:eastAsia="宋体" w:hAnsi="Times New Roman"/>
                <w:color w:val="000000"/>
                <w:sz w:val="16"/>
                <w:szCs w:val="16"/>
              </w:rPr>
              <w:t>3,132 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59D" w14:textId="77777777" w:rsidR="002A3970" w:rsidRDefault="002A3970">
            <w:pPr>
              <w:jc w:val="right"/>
              <w:rPr>
                <w:rFonts w:ascii="宋体"/>
              </w:rPr>
            </w:pPr>
          </w:p>
        </w:tc>
        <w:tc>
          <w:tcPr>
            <w:tcW w:w="0" w:type="auto"/>
            <w:shd w:val="clear" w:color="auto" w:fill="auto"/>
            <w:vAlign w:val="bottom"/>
          </w:tcPr>
          <w:p w14:paraId="4B9A359E" w14:textId="77777777" w:rsidR="002A3970" w:rsidRDefault="002A3970">
            <w:pPr>
              <w:rPr>
                <w:rFonts w:ascii="宋体"/>
                <w:vanish/>
              </w:rPr>
            </w:pPr>
          </w:p>
        </w:tc>
        <w:tc>
          <w:tcPr>
            <w:tcW w:w="0" w:type="auto"/>
            <w:shd w:val="clear" w:color="auto" w:fill="auto"/>
            <w:vAlign w:val="bottom"/>
          </w:tcPr>
          <w:p w14:paraId="4B9A359F" w14:textId="77777777" w:rsidR="002A3970" w:rsidRDefault="002A3970">
            <w:pPr>
              <w:rPr>
                <w:rFonts w:ascii="宋体"/>
                <w:vanish/>
              </w:rPr>
            </w:pPr>
          </w:p>
        </w:tc>
        <w:tc>
          <w:tcPr>
            <w:tcW w:w="0" w:type="auto"/>
            <w:shd w:val="clear" w:color="auto" w:fill="auto"/>
            <w:vAlign w:val="bottom"/>
          </w:tcPr>
          <w:p w14:paraId="4B9A35A0" w14:textId="77777777" w:rsidR="002A3970" w:rsidRDefault="002A3970">
            <w:pPr>
              <w:rPr>
                <w:rFonts w:ascii="宋体"/>
                <w:vanish/>
              </w:rPr>
            </w:pPr>
          </w:p>
        </w:tc>
      </w:tr>
      <w:tr w:rsidR="002A3970" w14:paraId="4B9A35BD" w14:textId="77777777">
        <w:trPr>
          <w:jc w:val="center"/>
        </w:trPr>
        <w:tc>
          <w:tcPr>
            <w:tcW w:w="0" w:type="auto"/>
            <w:gridSpan w:val="3"/>
            <w:shd w:val="clear" w:color="auto" w:fill="FFFFFF"/>
            <w:tcMar>
              <w:top w:w="40" w:type="dxa"/>
              <w:left w:w="20" w:type="dxa"/>
              <w:bottom w:w="40" w:type="dxa"/>
              <w:right w:w="20" w:type="dxa"/>
            </w:tcMar>
            <w:vAlign w:val="center"/>
          </w:tcPr>
          <w:p w14:paraId="4B9A35A2" w14:textId="77777777" w:rsidR="002A3970" w:rsidRDefault="00C35E63">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FFFFFF"/>
            <w:tcMar>
              <w:top w:w="40" w:type="dxa"/>
              <w:left w:w="20" w:type="dxa"/>
              <w:bottom w:w="40" w:type="dxa"/>
              <w:right w:w="0" w:type="dxa"/>
            </w:tcMar>
            <w:vAlign w:val="center"/>
          </w:tcPr>
          <w:p w14:paraId="4B9A35A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A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A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A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A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A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A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A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A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A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A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A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AF" w14:textId="77777777" w:rsidR="002A3970" w:rsidRDefault="00C35E63">
            <w:pPr>
              <w:jc w:val="right"/>
              <w:textAlignment w:val="center"/>
            </w:pPr>
            <w:r>
              <w:rPr>
                <w:rFonts w:ascii="Times New Roman" w:eastAsia="宋体" w:hAnsi="Times New Roman"/>
                <w:color w:val="000000"/>
                <w:sz w:val="16"/>
                <w:szCs w:val="16"/>
              </w:rPr>
              <w:t>(512)</w:t>
            </w:r>
          </w:p>
        </w:tc>
        <w:tc>
          <w:tcPr>
            <w:tcW w:w="0" w:type="auto"/>
            <w:shd w:val="clear" w:color="auto" w:fill="FFFFFF"/>
            <w:tcMar>
              <w:top w:w="40" w:type="dxa"/>
              <w:left w:w="0" w:type="dxa"/>
              <w:bottom w:w="40" w:type="dxa"/>
              <w:right w:w="20" w:type="dxa"/>
            </w:tcMar>
            <w:vAlign w:val="center"/>
          </w:tcPr>
          <w:p w14:paraId="4B9A35B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B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B2" w14:textId="77777777" w:rsidR="002A3970" w:rsidRDefault="00C35E63">
            <w:pPr>
              <w:jc w:val="right"/>
              <w:textAlignment w:val="center"/>
            </w:pPr>
            <w:r>
              <w:rPr>
                <w:rFonts w:ascii="Times New Roman" w:eastAsia="宋体" w:hAnsi="Times New Roman"/>
                <w:color w:val="000000"/>
                <w:sz w:val="16"/>
                <w:szCs w:val="16"/>
              </w:rPr>
              <w:t>(512)</w:t>
            </w:r>
          </w:p>
        </w:tc>
        <w:tc>
          <w:tcPr>
            <w:tcW w:w="0" w:type="auto"/>
            <w:shd w:val="clear" w:color="auto" w:fill="FFFFFF"/>
            <w:tcMar>
              <w:top w:w="40" w:type="dxa"/>
              <w:left w:w="0" w:type="dxa"/>
              <w:bottom w:w="40" w:type="dxa"/>
              <w:right w:w="20" w:type="dxa"/>
            </w:tcMar>
            <w:vAlign w:val="center"/>
          </w:tcPr>
          <w:p w14:paraId="4B9A35B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B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B5" w14:textId="77777777" w:rsidR="002A3970" w:rsidRDefault="00C35E63">
            <w:pPr>
              <w:jc w:val="right"/>
              <w:textAlignment w:val="center"/>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center"/>
          </w:tcPr>
          <w:p w14:paraId="4B9A35B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B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B8" w14:textId="77777777" w:rsidR="002A3970" w:rsidRDefault="00C35E63">
            <w:pPr>
              <w:jc w:val="right"/>
              <w:textAlignment w:val="center"/>
            </w:pPr>
            <w:r>
              <w:rPr>
                <w:rFonts w:ascii="Times New Roman" w:eastAsia="宋体" w:hAnsi="Times New Roman"/>
                <w:color w:val="000000"/>
                <w:sz w:val="16"/>
                <w:szCs w:val="16"/>
              </w:rPr>
              <w:t>(705)</w:t>
            </w:r>
          </w:p>
        </w:tc>
        <w:tc>
          <w:tcPr>
            <w:tcW w:w="0" w:type="auto"/>
            <w:shd w:val="clear" w:color="auto" w:fill="FFFFFF"/>
            <w:tcMar>
              <w:top w:w="40" w:type="dxa"/>
              <w:left w:w="0" w:type="dxa"/>
              <w:bottom w:w="40" w:type="dxa"/>
              <w:right w:w="20" w:type="dxa"/>
            </w:tcMar>
            <w:vAlign w:val="center"/>
          </w:tcPr>
          <w:p w14:paraId="4B9A35B9" w14:textId="77777777" w:rsidR="002A3970" w:rsidRDefault="002A3970">
            <w:pPr>
              <w:jc w:val="right"/>
              <w:rPr>
                <w:rFonts w:ascii="宋体"/>
              </w:rPr>
            </w:pPr>
          </w:p>
        </w:tc>
        <w:tc>
          <w:tcPr>
            <w:tcW w:w="0" w:type="auto"/>
            <w:shd w:val="clear" w:color="auto" w:fill="auto"/>
            <w:vAlign w:val="bottom"/>
          </w:tcPr>
          <w:p w14:paraId="4B9A35BA" w14:textId="77777777" w:rsidR="002A3970" w:rsidRDefault="002A3970">
            <w:pPr>
              <w:rPr>
                <w:rFonts w:ascii="宋体"/>
                <w:vanish/>
              </w:rPr>
            </w:pPr>
          </w:p>
        </w:tc>
        <w:tc>
          <w:tcPr>
            <w:tcW w:w="0" w:type="auto"/>
            <w:shd w:val="clear" w:color="auto" w:fill="auto"/>
            <w:vAlign w:val="bottom"/>
          </w:tcPr>
          <w:p w14:paraId="4B9A35BB" w14:textId="77777777" w:rsidR="002A3970" w:rsidRDefault="002A3970">
            <w:pPr>
              <w:rPr>
                <w:rFonts w:ascii="宋体"/>
                <w:vanish/>
              </w:rPr>
            </w:pPr>
          </w:p>
        </w:tc>
        <w:tc>
          <w:tcPr>
            <w:tcW w:w="0" w:type="auto"/>
            <w:shd w:val="clear" w:color="auto" w:fill="auto"/>
            <w:vAlign w:val="bottom"/>
          </w:tcPr>
          <w:p w14:paraId="4B9A35BC" w14:textId="77777777" w:rsidR="002A3970" w:rsidRDefault="002A3970">
            <w:pPr>
              <w:rPr>
                <w:rFonts w:ascii="宋体"/>
                <w:vanish/>
              </w:rPr>
            </w:pPr>
          </w:p>
        </w:tc>
      </w:tr>
      <w:tr w:rsidR="002A3970" w14:paraId="4B9A35D9" w14:textId="77777777">
        <w:trPr>
          <w:jc w:val="center"/>
        </w:trPr>
        <w:tc>
          <w:tcPr>
            <w:tcW w:w="0" w:type="auto"/>
            <w:gridSpan w:val="3"/>
            <w:shd w:val="clear" w:color="auto" w:fill="CCEEFF"/>
            <w:tcMar>
              <w:top w:w="40" w:type="dxa"/>
              <w:left w:w="20" w:type="dxa"/>
              <w:bottom w:w="40" w:type="dxa"/>
              <w:right w:w="20" w:type="dxa"/>
            </w:tcMar>
            <w:vAlign w:val="center"/>
          </w:tcPr>
          <w:p w14:paraId="4B9A35BE" w14:textId="77777777" w:rsidR="002A3970" w:rsidRDefault="00C35E63">
            <w:pPr>
              <w:textAlignment w:val="center"/>
            </w:pPr>
            <w:r>
              <w:rPr>
                <w:rFonts w:ascii="Times New Roman" w:eastAsia="宋体" w:hAnsi="Times New Roman"/>
                <w:color w:val="000000"/>
                <w:sz w:val="16"/>
                <w:szCs w:val="16"/>
              </w:rPr>
              <w:t>Dividends</w:t>
            </w:r>
          </w:p>
        </w:tc>
        <w:tc>
          <w:tcPr>
            <w:tcW w:w="0" w:type="auto"/>
            <w:gridSpan w:val="2"/>
            <w:shd w:val="clear" w:color="auto" w:fill="CCEEFF"/>
            <w:tcMar>
              <w:top w:w="40" w:type="dxa"/>
              <w:left w:w="20" w:type="dxa"/>
              <w:bottom w:w="40" w:type="dxa"/>
              <w:right w:w="0" w:type="dxa"/>
            </w:tcMar>
            <w:vAlign w:val="center"/>
          </w:tcPr>
          <w:p w14:paraId="4B9A35B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C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C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C2"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C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C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C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C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C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C8" w14:textId="77777777" w:rsidR="002A3970" w:rsidRDefault="00C35E63">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4B9A35C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C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C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C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C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CE" w14:textId="77777777" w:rsidR="002A3970" w:rsidRDefault="00C35E63">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4B9A35C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D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D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D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D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D4" w14:textId="77777777" w:rsidR="002A3970" w:rsidRDefault="00C35E63">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4B9A35D5" w14:textId="77777777" w:rsidR="002A3970" w:rsidRDefault="002A3970">
            <w:pPr>
              <w:jc w:val="right"/>
              <w:rPr>
                <w:rFonts w:ascii="宋体"/>
              </w:rPr>
            </w:pPr>
          </w:p>
        </w:tc>
        <w:tc>
          <w:tcPr>
            <w:tcW w:w="0" w:type="auto"/>
            <w:shd w:val="clear" w:color="auto" w:fill="auto"/>
            <w:vAlign w:val="bottom"/>
          </w:tcPr>
          <w:p w14:paraId="4B9A35D6" w14:textId="77777777" w:rsidR="002A3970" w:rsidRDefault="002A3970">
            <w:pPr>
              <w:rPr>
                <w:rFonts w:ascii="宋体"/>
                <w:vanish/>
              </w:rPr>
            </w:pPr>
          </w:p>
        </w:tc>
        <w:tc>
          <w:tcPr>
            <w:tcW w:w="0" w:type="auto"/>
            <w:shd w:val="clear" w:color="auto" w:fill="auto"/>
            <w:vAlign w:val="bottom"/>
          </w:tcPr>
          <w:p w14:paraId="4B9A35D7" w14:textId="77777777" w:rsidR="002A3970" w:rsidRDefault="002A3970">
            <w:pPr>
              <w:rPr>
                <w:rFonts w:ascii="宋体"/>
                <w:vanish/>
              </w:rPr>
            </w:pPr>
          </w:p>
        </w:tc>
        <w:tc>
          <w:tcPr>
            <w:tcW w:w="0" w:type="auto"/>
            <w:shd w:val="clear" w:color="auto" w:fill="auto"/>
            <w:vAlign w:val="bottom"/>
          </w:tcPr>
          <w:p w14:paraId="4B9A35D8" w14:textId="77777777" w:rsidR="002A3970" w:rsidRDefault="002A3970">
            <w:pPr>
              <w:rPr>
                <w:rFonts w:ascii="宋体"/>
                <w:vanish/>
              </w:rPr>
            </w:pPr>
          </w:p>
        </w:tc>
      </w:tr>
      <w:tr w:rsidR="002A3970" w14:paraId="4B9A35F5" w14:textId="77777777">
        <w:trPr>
          <w:jc w:val="center"/>
        </w:trPr>
        <w:tc>
          <w:tcPr>
            <w:tcW w:w="0" w:type="auto"/>
            <w:gridSpan w:val="3"/>
            <w:shd w:val="clear" w:color="auto" w:fill="FFFFFF"/>
            <w:tcMar>
              <w:top w:w="40" w:type="dxa"/>
              <w:left w:w="20" w:type="dxa"/>
              <w:bottom w:w="40" w:type="dxa"/>
              <w:right w:w="20" w:type="dxa"/>
            </w:tcMar>
            <w:vAlign w:val="center"/>
          </w:tcPr>
          <w:p w14:paraId="4B9A35DA" w14:textId="77777777" w:rsidR="002A3970" w:rsidRDefault="00C35E63">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4B9A35DB" w14:textId="77777777" w:rsidR="002A3970" w:rsidRDefault="00C35E63">
            <w:pPr>
              <w:jc w:val="right"/>
              <w:textAlignment w:val="center"/>
            </w:pPr>
            <w:r>
              <w:rPr>
                <w:rFonts w:ascii="Times New Roman" w:eastAsia="宋体" w:hAnsi="Times New Roman"/>
                <w:color w:val="000000"/>
                <w:sz w:val="16"/>
                <w:szCs w:val="16"/>
              </w:rPr>
              <w:t>(14)</w:t>
            </w:r>
          </w:p>
        </w:tc>
        <w:tc>
          <w:tcPr>
            <w:tcW w:w="0" w:type="auto"/>
            <w:shd w:val="clear" w:color="auto" w:fill="FFFFFF"/>
            <w:tcMar>
              <w:top w:w="40" w:type="dxa"/>
              <w:left w:w="0" w:type="dxa"/>
              <w:bottom w:w="40" w:type="dxa"/>
              <w:right w:w="20" w:type="dxa"/>
            </w:tcMar>
            <w:vAlign w:val="center"/>
          </w:tcPr>
          <w:p w14:paraId="4B9A35D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D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DE" w14:textId="77777777" w:rsidR="002A3970" w:rsidRDefault="00C35E63">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4B9A35D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E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E1" w14:textId="77777777" w:rsidR="002A3970" w:rsidRDefault="00C35E63">
            <w:pPr>
              <w:jc w:val="right"/>
              <w:textAlignment w:val="center"/>
            </w:pPr>
            <w:r>
              <w:rPr>
                <w:rFonts w:ascii="Times New Roman" w:eastAsia="宋体" w:hAnsi="Times New Roman"/>
                <w:color w:val="000000"/>
                <w:sz w:val="16"/>
                <w:szCs w:val="16"/>
              </w:rPr>
              <w:t>(87)</w:t>
            </w:r>
          </w:p>
        </w:tc>
        <w:tc>
          <w:tcPr>
            <w:tcW w:w="0" w:type="auto"/>
            <w:shd w:val="clear" w:color="auto" w:fill="FFFFFF"/>
            <w:tcMar>
              <w:top w:w="40" w:type="dxa"/>
              <w:left w:w="0" w:type="dxa"/>
              <w:bottom w:w="40" w:type="dxa"/>
              <w:right w:w="20" w:type="dxa"/>
            </w:tcMar>
            <w:vAlign w:val="center"/>
          </w:tcPr>
          <w:p w14:paraId="4B9A35E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E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E4" w14:textId="77777777" w:rsidR="002A3970" w:rsidRDefault="00C35E63">
            <w:pPr>
              <w:jc w:val="right"/>
              <w:textAlignment w:val="center"/>
            </w:pPr>
            <w:r>
              <w:rPr>
                <w:rFonts w:ascii="Times New Roman" w:eastAsia="宋体" w:hAnsi="Times New Roman"/>
                <w:color w:val="000000"/>
                <w:sz w:val="16"/>
                <w:szCs w:val="16"/>
              </w:rPr>
              <w:t>(2,044)</w:t>
            </w:r>
          </w:p>
        </w:tc>
        <w:tc>
          <w:tcPr>
            <w:tcW w:w="0" w:type="auto"/>
            <w:shd w:val="clear" w:color="auto" w:fill="FFFFFF"/>
            <w:tcMar>
              <w:top w:w="40" w:type="dxa"/>
              <w:left w:w="0" w:type="dxa"/>
              <w:bottom w:w="40" w:type="dxa"/>
              <w:right w:w="20" w:type="dxa"/>
            </w:tcMar>
            <w:vAlign w:val="center"/>
          </w:tcPr>
          <w:p w14:paraId="4B9A35E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E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E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E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E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EA" w14:textId="77777777" w:rsidR="002A3970" w:rsidRDefault="00C35E63">
            <w:pPr>
              <w:jc w:val="right"/>
              <w:textAlignment w:val="center"/>
            </w:pPr>
            <w:r>
              <w:rPr>
                <w:rFonts w:ascii="Times New Roman" w:eastAsia="宋体" w:hAnsi="Times New Roman"/>
                <w:color w:val="000000"/>
                <w:sz w:val="16"/>
                <w:szCs w:val="16"/>
              </w:rPr>
              <w:t>(2,132)</w:t>
            </w:r>
          </w:p>
        </w:tc>
        <w:tc>
          <w:tcPr>
            <w:tcW w:w="0" w:type="auto"/>
            <w:shd w:val="clear" w:color="auto" w:fill="FFFFFF"/>
            <w:tcMar>
              <w:top w:w="40" w:type="dxa"/>
              <w:left w:w="0" w:type="dxa"/>
              <w:bottom w:w="40" w:type="dxa"/>
              <w:right w:w="20" w:type="dxa"/>
            </w:tcMar>
            <w:vAlign w:val="center"/>
          </w:tcPr>
          <w:p w14:paraId="4B9A35E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E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E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5E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5E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5F0" w14:textId="77777777" w:rsidR="002A3970" w:rsidRDefault="00C35E63">
            <w:pPr>
              <w:jc w:val="right"/>
              <w:textAlignment w:val="center"/>
            </w:pPr>
            <w:r>
              <w:rPr>
                <w:rFonts w:ascii="Times New Roman" w:eastAsia="宋体" w:hAnsi="Times New Roman"/>
                <w:color w:val="000000"/>
                <w:sz w:val="16"/>
                <w:szCs w:val="16"/>
              </w:rPr>
              <w:t>(2,132)</w:t>
            </w:r>
          </w:p>
        </w:tc>
        <w:tc>
          <w:tcPr>
            <w:tcW w:w="0" w:type="auto"/>
            <w:shd w:val="clear" w:color="auto" w:fill="FFFFFF"/>
            <w:tcMar>
              <w:top w:w="40" w:type="dxa"/>
              <w:left w:w="0" w:type="dxa"/>
              <w:bottom w:w="40" w:type="dxa"/>
              <w:right w:w="20" w:type="dxa"/>
            </w:tcMar>
            <w:vAlign w:val="center"/>
          </w:tcPr>
          <w:p w14:paraId="4B9A35F1" w14:textId="77777777" w:rsidR="002A3970" w:rsidRDefault="002A3970">
            <w:pPr>
              <w:jc w:val="right"/>
              <w:rPr>
                <w:rFonts w:ascii="宋体"/>
              </w:rPr>
            </w:pPr>
          </w:p>
        </w:tc>
        <w:tc>
          <w:tcPr>
            <w:tcW w:w="0" w:type="auto"/>
            <w:shd w:val="clear" w:color="auto" w:fill="auto"/>
            <w:vAlign w:val="bottom"/>
          </w:tcPr>
          <w:p w14:paraId="4B9A35F2" w14:textId="77777777" w:rsidR="002A3970" w:rsidRDefault="002A3970">
            <w:pPr>
              <w:rPr>
                <w:rFonts w:ascii="宋体"/>
                <w:vanish/>
              </w:rPr>
            </w:pPr>
          </w:p>
        </w:tc>
        <w:tc>
          <w:tcPr>
            <w:tcW w:w="0" w:type="auto"/>
            <w:shd w:val="clear" w:color="auto" w:fill="auto"/>
            <w:vAlign w:val="bottom"/>
          </w:tcPr>
          <w:p w14:paraId="4B9A35F3" w14:textId="77777777" w:rsidR="002A3970" w:rsidRDefault="002A3970">
            <w:pPr>
              <w:rPr>
                <w:rFonts w:ascii="宋体"/>
                <w:vanish/>
              </w:rPr>
            </w:pPr>
          </w:p>
        </w:tc>
        <w:tc>
          <w:tcPr>
            <w:tcW w:w="0" w:type="auto"/>
            <w:shd w:val="clear" w:color="auto" w:fill="auto"/>
            <w:vAlign w:val="bottom"/>
          </w:tcPr>
          <w:p w14:paraId="4B9A35F4" w14:textId="77777777" w:rsidR="002A3970" w:rsidRDefault="002A3970">
            <w:pPr>
              <w:rPr>
                <w:rFonts w:ascii="宋体"/>
                <w:vanish/>
              </w:rPr>
            </w:pPr>
          </w:p>
        </w:tc>
      </w:tr>
      <w:tr w:rsidR="002A3970" w14:paraId="4B9A3611" w14:textId="77777777">
        <w:trPr>
          <w:jc w:val="center"/>
        </w:trPr>
        <w:tc>
          <w:tcPr>
            <w:tcW w:w="0" w:type="auto"/>
            <w:gridSpan w:val="3"/>
            <w:shd w:val="clear" w:color="auto" w:fill="CCEEFF"/>
            <w:tcMar>
              <w:top w:w="40" w:type="dxa"/>
              <w:left w:w="20" w:type="dxa"/>
              <w:bottom w:w="40" w:type="dxa"/>
              <w:right w:w="20" w:type="dxa"/>
            </w:tcMar>
            <w:vAlign w:val="center"/>
          </w:tcPr>
          <w:p w14:paraId="4B9A35F6" w14:textId="77777777" w:rsidR="002A3970" w:rsidRDefault="00C35E63">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4B9A35F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F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F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F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F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F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5F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5F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5F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0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60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0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0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60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0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0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60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0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09" w14:textId="77777777" w:rsidR="002A3970" w:rsidRDefault="00C35E63">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4B9A360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0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0C" w14:textId="77777777" w:rsidR="002A3970" w:rsidRDefault="00C35E63">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4B9A360D" w14:textId="77777777" w:rsidR="002A3970" w:rsidRDefault="002A3970">
            <w:pPr>
              <w:jc w:val="right"/>
              <w:rPr>
                <w:rFonts w:ascii="宋体"/>
              </w:rPr>
            </w:pPr>
          </w:p>
        </w:tc>
        <w:tc>
          <w:tcPr>
            <w:tcW w:w="0" w:type="auto"/>
            <w:shd w:val="clear" w:color="auto" w:fill="auto"/>
            <w:vAlign w:val="bottom"/>
          </w:tcPr>
          <w:p w14:paraId="4B9A360E" w14:textId="77777777" w:rsidR="002A3970" w:rsidRDefault="002A3970">
            <w:pPr>
              <w:rPr>
                <w:rFonts w:ascii="宋体"/>
                <w:vanish/>
              </w:rPr>
            </w:pPr>
          </w:p>
        </w:tc>
        <w:tc>
          <w:tcPr>
            <w:tcW w:w="0" w:type="auto"/>
            <w:shd w:val="clear" w:color="auto" w:fill="auto"/>
            <w:vAlign w:val="bottom"/>
          </w:tcPr>
          <w:p w14:paraId="4B9A360F" w14:textId="77777777" w:rsidR="002A3970" w:rsidRDefault="002A3970">
            <w:pPr>
              <w:rPr>
                <w:rFonts w:ascii="宋体"/>
                <w:vanish/>
              </w:rPr>
            </w:pPr>
          </w:p>
        </w:tc>
        <w:tc>
          <w:tcPr>
            <w:tcW w:w="0" w:type="auto"/>
            <w:shd w:val="clear" w:color="auto" w:fill="auto"/>
            <w:vAlign w:val="bottom"/>
          </w:tcPr>
          <w:p w14:paraId="4B9A3610" w14:textId="77777777" w:rsidR="002A3970" w:rsidRDefault="002A3970">
            <w:pPr>
              <w:rPr>
                <w:rFonts w:ascii="宋体"/>
                <w:vanish/>
              </w:rPr>
            </w:pPr>
          </w:p>
        </w:tc>
      </w:tr>
      <w:tr w:rsidR="002A3970" w14:paraId="4B9A362D" w14:textId="77777777">
        <w:trPr>
          <w:jc w:val="center"/>
        </w:trPr>
        <w:tc>
          <w:tcPr>
            <w:tcW w:w="0" w:type="auto"/>
            <w:gridSpan w:val="3"/>
            <w:shd w:val="clear" w:color="auto" w:fill="FFFFFF"/>
            <w:tcMar>
              <w:top w:w="40" w:type="dxa"/>
              <w:left w:w="20" w:type="dxa"/>
              <w:bottom w:w="40" w:type="dxa"/>
              <w:right w:w="20" w:type="dxa"/>
            </w:tcMar>
            <w:vAlign w:val="center"/>
          </w:tcPr>
          <w:p w14:paraId="4B9A3612"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4B9A361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61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1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16"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61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1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19" w14:textId="77777777" w:rsidR="002A3970" w:rsidRDefault="00C35E63">
            <w:pPr>
              <w:jc w:val="right"/>
              <w:textAlignment w:val="center"/>
            </w:pPr>
            <w:r>
              <w:rPr>
                <w:rFonts w:ascii="Times New Roman" w:eastAsia="宋体" w:hAnsi="Times New Roman"/>
                <w:color w:val="000000"/>
                <w:sz w:val="16"/>
                <w:szCs w:val="16"/>
              </w:rPr>
              <w:t>922 </w:t>
            </w:r>
          </w:p>
        </w:tc>
        <w:tc>
          <w:tcPr>
            <w:tcW w:w="0" w:type="auto"/>
            <w:shd w:val="clear" w:color="auto" w:fill="FFFFFF"/>
            <w:tcMar>
              <w:top w:w="40" w:type="dxa"/>
              <w:left w:w="0" w:type="dxa"/>
              <w:bottom w:w="40" w:type="dxa"/>
              <w:right w:w="20" w:type="dxa"/>
            </w:tcMar>
            <w:vAlign w:val="center"/>
          </w:tcPr>
          <w:p w14:paraId="4B9A361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1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1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61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1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1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62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2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22" w14:textId="77777777" w:rsidR="002A3970" w:rsidRDefault="00C35E63">
            <w:pPr>
              <w:jc w:val="right"/>
              <w:textAlignment w:val="center"/>
            </w:pPr>
            <w:r>
              <w:rPr>
                <w:rFonts w:ascii="Times New Roman" w:eastAsia="宋体" w:hAnsi="Times New Roman"/>
                <w:color w:val="000000"/>
                <w:sz w:val="16"/>
                <w:szCs w:val="16"/>
              </w:rPr>
              <w:t>922 </w:t>
            </w:r>
          </w:p>
        </w:tc>
        <w:tc>
          <w:tcPr>
            <w:tcW w:w="0" w:type="auto"/>
            <w:shd w:val="clear" w:color="auto" w:fill="FFFFFF"/>
            <w:tcMar>
              <w:top w:w="40" w:type="dxa"/>
              <w:left w:w="0" w:type="dxa"/>
              <w:bottom w:w="40" w:type="dxa"/>
              <w:right w:w="20" w:type="dxa"/>
            </w:tcMar>
            <w:vAlign w:val="center"/>
          </w:tcPr>
          <w:p w14:paraId="4B9A362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2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25" w14:textId="77777777" w:rsidR="002A3970" w:rsidRDefault="00C35E63">
            <w:pPr>
              <w:jc w:val="right"/>
              <w:textAlignment w:val="center"/>
            </w:pPr>
            <w:r>
              <w:rPr>
                <w:rFonts w:ascii="Times New Roman" w:eastAsia="宋体" w:hAnsi="Times New Roman"/>
                <w:color w:val="000000"/>
                <w:sz w:val="16"/>
                <w:szCs w:val="16"/>
              </w:rPr>
              <w:t>2,057 </w:t>
            </w:r>
          </w:p>
        </w:tc>
        <w:tc>
          <w:tcPr>
            <w:tcW w:w="0" w:type="auto"/>
            <w:shd w:val="clear" w:color="auto" w:fill="FFFFFF"/>
            <w:tcMar>
              <w:top w:w="40" w:type="dxa"/>
              <w:left w:w="0" w:type="dxa"/>
              <w:bottom w:w="40" w:type="dxa"/>
              <w:right w:w="20" w:type="dxa"/>
            </w:tcMar>
            <w:vAlign w:val="center"/>
          </w:tcPr>
          <w:p w14:paraId="4B9A362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2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628" w14:textId="77777777" w:rsidR="002A3970" w:rsidRDefault="00C35E63">
            <w:pPr>
              <w:jc w:val="right"/>
              <w:textAlignment w:val="center"/>
            </w:pPr>
            <w:r>
              <w:rPr>
                <w:rFonts w:ascii="Times New Roman" w:eastAsia="宋体" w:hAnsi="Times New Roman"/>
                <w:color w:val="000000"/>
                <w:sz w:val="16"/>
                <w:szCs w:val="16"/>
              </w:rPr>
              <w:t>2,979 </w:t>
            </w:r>
          </w:p>
        </w:tc>
        <w:tc>
          <w:tcPr>
            <w:tcW w:w="0" w:type="auto"/>
            <w:shd w:val="clear" w:color="auto" w:fill="FFFFFF"/>
            <w:tcMar>
              <w:top w:w="40" w:type="dxa"/>
              <w:left w:w="0" w:type="dxa"/>
              <w:bottom w:w="40" w:type="dxa"/>
              <w:right w:w="20" w:type="dxa"/>
            </w:tcMar>
            <w:vAlign w:val="center"/>
          </w:tcPr>
          <w:p w14:paraId="4B9A3629" w14:textId="77777777" w:rsidR="002A3970" w:rsidRDefault="002A3970">
            <w:pPr>
              <w:jc w:val="right"/>
              <w:rPr>
                <w:rFonts w:ascii="宋体"/>
              </w:rPr>
            </w:pPr>
          </w:p>
        </w:tc>
        <w:tc>
          <w:tcPr>
            <w:tcW w:w="0" w:type="auto"/>
            <w:shd w:val="clear" w:color="auto" w:fill="auto"/>
            <w:vAlign w:val="bottom"/>
          </w:tcPr>
          <w:p w14:paraId="4B9A362A" w14:textId="77777777" w:rsidR="002A3970" w:rsidRDefault="002A3970">
            <w:pPr>
              <w:rPr>
                <w:rFonts w:ascii="宋体"/>
                <w:vanish/>
              </w:rPr>
            </w:pPr>
          </w:p>
        </w:tc>
        <w:tc>
          <w:tcPr>
            <w:tcW w:w="0" w:type="auto"/>
            <w:shd w:val="clear" w:color="auto" w:fill="auto"/>
            <w:vAlign w:val="bottom"/>
          </w:tcPr>
          <w:p w14:paraId="4B9A362B" w14:textId="77777777" w:rsidR="002A3970" w:rsidRDefault="002A3970">
            <w:pPr>
              <w:rPr>
                <w:rFonts w:ascii="宋体"/>
                <w:vanish/>
              </w:rPr>
            </w:pPr>
          </w:p>
        </w:tc>
        <w:tc>
          <w:tcPr>
            <w:tcW w:w="0" w:type="auto"/>
            <w:shd w:val="clear" w:color="auto" w:fill="auto"/>
            <w:vAlign w:val="bottom"/>
          </w:tcPr>
          <w:p w14:paraId="4B9A362C" w14:textId="77777777" w:rsidR="002A3970" w:rsidRDefault="002A3970">
            <w:pPr>
              <w:rPr>
                <w:rFonts w:ascii="宋体"/>
                <w:vanish/>
              </w:rPr>
            </w:pPr>
          </w:p>
        </w:tc>
      </w:tr>
      <w:tr w:rsidR="002A3970" w14:paraId="4B9A3649" w14:textId="77777777">
        <w:trPr>
          <w:jc w:val="center"/>
        </w:trPr>
        <w:tc>
          <w:tcPr>
            <w:tcW w:w="0" w:type="auto"/>
            <w:gridSpan w:val="3"/>
            <w:shd w:val="clear" w:color="auto" w:fill="CCEEFF"/>
            <w:tcMar>
              <w:top w:w="40" w:type="dxa"/>
              <w:left w:w="20" w:type="dxa"/>
              <w:bottom w:w="40" w:type="dxa"/>
              <w:right w:w="20" w:type="dxa"/>
            </w:tcMar>
            <w:vAlign w:val="center"/>
          </w:tcPr>
          <w:p w14:paraId="4B9A362E" w14:textId="77777777" w:rsidR="002A3970" w:rsidRDefault="00C35E63">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B9A362F" w14:textId="77777777" w:rsidR="002A3970" w:rsidRDefault="00C35E63">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B9A363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3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32"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63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3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35" w14:textId="77777777" w:rsidR="002A3970" w:rsidRDefault="00C35E63">
            <w:pPr>
              <w:jc w:val="right"/>
              <w:textAlignment w:val="center"/>
            </w:pPr>
            <w:r>
              <w:rPr>
                <w:rFonts w:ascii="Times New Roman" w:eastAsia="宋体" w:hAnsi="Times New Roman"/>
                <w:color w:val="000000"/>
                <w:sz w:val="16"/>
                <w:szCs w:val="16"/>
              </w:rPr>
              <w:t>321 </w:t>
            </w:r>
          </w:p>
        </w:tc>
        <w:tc>
          <w:tcPr>
            <w:tcW w:w="0" w:type="auto"/>
            <w:shd w:val="clear" w:color="auto" w:fill="CCEEFF"/>
            <w:tcMar>
              <w:top w:w="40" w:type="dxa"/>
              <w:left w:w="0" w:type="dxa"/>
              <w:bottom w:w="40" w:type="dxa"/>
              <w:right w:w="20" w:type="dxa"/>
            </w:tcMar>
            <w:vAlign w:val="center"/>
          </w:tcPr>
          <w:p w14:paraId="4B9A363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3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38" w14:textId="77777777" w:rsidR="002A3970" w:rsidRDefault="00C35E63">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4B9A363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3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3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63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3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3E" w14:textId="77777777" w:rsidR="002A3970" w:rsidRDefault="00C35E63">
            <w:pPr>
              <w:jc w:val="right"/>
              <w:textAlignment w:val="center"/>
            </w:pPr>
            <w:r>
              <w:rPr>
                <w:rFonts w:ascii="Times New Roman" w:eastAsia="宋体" w:hAnsi="Times New Roman"/>
                <w:color w:val="000000"/>
                <w:sz w:val="16"/>
                <w:szCs w:val="16"/>
              </w:rPr>
              <w:t>317 </w:t>
            </w:r>
          </w:p>
        </w:tc>
        <w:tc>
          <w:tcPr>
            <w:tcW w:w="0" w:type="auto"/>
            <w:shd w:val="clear" w:color="auto" w:fill="CCEEFF"/>
            <w:tcMar>
              <w:top w:w="40" w:type="dxa"/>
              <w:left w:w="0" w:type="dxa"/>
              <w:bottom w:w="40" w:type="dxa"/>
              <w:right w:w="20" w:type="dxa"/>
            </w:tcMar>
            <w:vAlign w:val="center"/>
          </w:tcPr>
          <w:p w14:paraId="4B9A363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4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4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64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64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644" w14:textId="77777777" w:rsidR="002A3970" w:rsidRDefault="00C35E63">
            <w:pPr>
              <w:jc w:val="right"/>
              <w:textAlignment w:val="center"/>
            </w:pPr>
            <w:r>
              <w:rPr>
                <w:rFonts w:ascii="Times New Roman" w:eastAsia="宋体" w:hAnsi="Times New Roman"/>
                <w:color w:val="000000"/>
                <w:sz w:val="16"/>
                <w:szCs w:val="16"/>
              </w:rPr>
              <w:t>317 </w:t>
            </w:r>
          </w:p>
        </w:tc>
        <w:tc>
          <w:tcPr>
            <w:tcW w:w="0" w:type="auto"/>
            <w:shd w:val="clear" w:color="auto" w:fill="CCEEFF"/>
            <w:tcMar>
              <w:top w:w="40" w:type="dxa"/>
              <w:left w:w="0" w:type="dxa"/>
              <w:bottom w:w="40" w:type="dxa"/>
              <w:right w:w="20" w:type="dxa"/>
            </w:tcMar>
            <w:vAlign w:val="center"/>
          </w:tcPr>
          <w:p w14:paraId="4B9A3645" w14:textId="77777777" w:rsidR="002A3970" w:rsidRDefault="002A3970">
            <w:pPr>
              <w:jc w:val="right"/>
              <w:rPr>
                <w:rFonts w:ascii="宋体"/>
              </w:rPr>
            </w:pPr>
          </w:p>
        </w:tc>
        <w:tc>
          <w:tcPr>
            <w:tcW w:w="0" w:type="auto"/>
            <w:shd w:val="clear" w:color="auto" w:fill="auto"/>
            <w:vAlign w:val="bottom"/>
          </w:tcPr>
          <w:p w14:paraId="4B9A3646" w14:textId="77777777" w:rsidR="002A3970" w:rsidRDefault="002A3970">
            <w:pPr>
              <w:rPr>
                <w:rFonts w:ascii="宋体"/>
                <w:vanish/>
              </w:rPr>
            </w:pPr>
          </w:p>
        </w:tc>
        <w:tc>
          <w:tcPr>
            <w:tcW w:w="0" w:type="auto"/>
            <w:shd w:val="clear" w:color="auto" w:fill="auto"/>
            <w:vAlign w:val="bottom"/>
          </w:tcPr>
          <w:p w14:paraId="4B9A3647" w14:textId="77777777" w:rsidR="002A3970" w:rsidRDefault="002A3970">
            <w:pPr>
              <w:rPr>
                <w:rFonts w:ascii="宋体"/>
                <w:vanish/>
              </w:rPr>
            </w:pPr>
          </w:p>
        </w:tc>
        <w:tc>
          <w:tcPr>
            <w:tcW w:w="0" w:type="auto"/>
            <w:shd w:val="clear" w:color="auto" w:fill="auto"/>
            <w:vAlign w:val="bottom"/>
          </w:tcPr>
          <w:p w14:paraId="4B9A3648" w14:textId="77777777" w:rsidR="002A3970" w:rsidRDefault="002A3970">
            <w:pPr>
              <w:rPr>
                <w:rFonts w:ascii="宋体"/>
                <w:vanish/>
              </w:rPr>
            </w:pPr>
          </w:p>
        </w:tc>
      </w:tr>
      <w:tr w:rsidR="002A3970" w14:paraId="4B9A366C" w14:textId="77777777">
        <w:trPr>
          <w:jc w:val="center"/>
        </w:trPr>
        <w:tc>
          <w:tcPr>
            <w:tcW w:w="0" w:type="auto"/>
            <w:gridSpan w:val="3"/>
            <w:shd w:val="clear" w:color="auto" w:fill="FFFFFF"/>
            <w:tcMar>
              <w:top w:w="40" w:type="dxa"/>
              <w:left w:w="20" w:type="dxa"/>
              <w:bottom w:w="40" w:type="dxa"/>
              <w:right w:w="20" w:type="dxa"/>
            </w:tcMar>
            <w:vAlign w:val="center"/>
          </w:tcPr>
          <w:p w14:paraId="4B9A364A" w14:textId="77777777" w:rsidR="002A3970" w:rsidRDefault="00C35E63">
            <w:pPr>
              <w:textAlignment w:val="center"/>
            </w:pPr>
            <w:r>
              <w:rPr>
                <w:rFonts w:ascii="Times New Roman" w:eastAsia="宋体" w:hAnsi="Times New Roman"/>
                <w:b/>
                <w:bCs/>
                <w:color w:val="000000"/>
                <w:sz w:val="16"/>
                <w:szCs w:val="16"/>
              </w:rPr>
              <w:t>Balances as of October 31,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4B" w14:textId="77777777" w:rsidR="002A3970" w:rsidRDefault="00C35E63">
            <w:pPr>
              <w:jc w:val="right"/>
              <w:textAlignment w:val="center"/>
            </w:pPr>
            <w:r>
              <w:rPr>
                <w:rFonts w:ascii="Times New Roman" w:eastAsia="宋体" w:hAnsi="Times New Roman"/>
                <w:color w:val="000000"/>
                <w:sz w:val="16"/>
                <w:szCs w:val="16"/>
              </w:rPr>
              <w:t>2,778 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4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4D"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4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4F" w14:textId="77777777" w:rsidR="002A3970" w:rsidRDefault="00C35E63">
            <w:pPr>
              <w:jc w:val="right"/>
              <w:textAlignment w:val="center"/>
            </w:pPr>
            <w:r>
              <w:rPr>
                <w:rFonts w:ascii="Times New Roman" w:eastAsia="宋体" w:hAnsi="Times New Roman"/>
                <w:color w:val="000000"/>
                <w:sz w:val="16"/>
                <w:szCs w:val="16"/>
              </w:rPr>
              <w:t>277 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5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51"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5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53" w14:textId="77777777" w:rsidR="002A3970" w:rsidRDefault="00C35E63">
            <w:pPr>
              <w:jc w:val="right"/>
              <w:textAlignment w:val="center"/>
            </w:pPr>
            <w:r>
              <w:rPr>
                <w:rFonts w:ascii="Times New Roman" w:eastAsia="宋体" w:hAnsi="Times New Roman"/>
                <w:color w:val="000000"/>
                <w:sz w:val="16"/>
                <w:szCs w:val="16"/>
              </w:rPr>
              <w:t>4,811 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5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55"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5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57" w14:textId="77777777" w:rsidR="002A3970" w:rsidRDefault="00C35E63">
            <w:pPr>
              <w:jc w:val="right"/>
              <w:textAlignment w:val="center"/>
            </w:pPr>
            <w:r>
              <w:rPr>
                <w:rFonts w:ascii="Times New Roman" w:eastAsia="宋体" w:hAnsi="Times New Roman"/>
                <w:color w:val="000000"/>
                <w:sz w:val="16"/>
                <w:szCs w:val="16"/>
              </w:rPr>
              <w:t>85,674 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5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59"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5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5B" w14:textId="77777777" w:rsidR="002A3970" w:rsidRDefault="00C35E63">
            <w:pPr>
              <w:jc w:val="right"/>
              <w:textAlignment w:val="center"/>
            </w:pPr>
            <w:r>
              <w:rPr>
                <w:rFonts w:ascii="Times New Roman" w:eastAsia="宋体" w:hAnsi="Times New Roman"/>
                <w:color w:val="000000"/>
                <w:sz w:val="16"/>
                <w:szCs w:val="16"/>
              </w:rPr>
              <w:t>(8,488)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5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5D"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5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5F" w14:textId="77777777" w:rsidR="002A3970" w:rsidRDefault="00C35E63">
            <w:pPr>
              <w:jc w:val="right"/>
              <w:textAlignment w:val="center"/>
            </w:pPr>
            <w:r>
              <w:rPr>
                <w:rFonts w:ascii="Times New Roman" w:eastAsia="宋体" w:hAnsi="Times New Roman"/>
                <w:color w:val="000000"/>
                <w:sz w:val="16"/>
                <w:szCs w:val="16"/>
              </w:rPr>
              <w:t>82,274 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6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61"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6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63" w14:textId="77777777" w:rsidR="002A3970" w:rsidRDefault="00C35E63">
            <w:pPr>
              <w:jc w:val="right"/>
              <w:textAlignment w:val="center"/>
            </w:pPr>
            <w:r>
              <w:rPr>
                <w:rFonts w:ascii="Times New Roman" w:eastAsia="宋体" w:hAnsi="Times New Roman"/>
                <w:color w:val="000000"/>
                <w:sz w:val="16"/>
                <w:szCs w:val="16"/>
              </w:rPr>
              <w:t>8,483 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6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665"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66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667" w14:textId="77777777" w:rsidR="002A3970" w:rsidRDefault="00C35E63">
            <w:pPr>
              <w:jc w:val="right"/>
              <w:textAlignment w:val="center"/>
            </w:pPr>
            <w:r>
              <w:rPr>
                <w:rFonts w:ascii="Times New Roman" w:eastAsia="宋体" w:hAnsi="Times New Roman"/>
                <w:color w:val="000000"/>
                <w:sz w:val="16"/>
                <w:szCs w:val="16"/>
              </w:rPr>
              <w:t>90,757 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668" w14:textId="77777777" w:rsidR="002A3970" w:rsidRDefault="002A3970">
            <w:pPr>
              <w:jc w:val="right"/>
              <w:rPr>
                <w:rFonts w:ascii="宋体"/>
              </w:rPr>
            </w:pPr>
          </w:p>
        </w:tc>
        <w:tc>
          <w:tcPr>
            <w:tcW w:w="0" w:type="auto"/>
            <w:shd w:val="clear" w:color="auto" w:fill="auto"/>
            <w:vAlign w:val="bottom"/>
          </w:tcPr>
          <w:p w14:paraId="4B9A3669" w14:textId="77777777" w:rsidR="002A3970" w:rsidRDefault="002A3970">
            <w:pPr>
              <w:rPr>
                <w:rFonts w:ascii="宋体"/>
                <w:vanish/>
              </w:rPr>
            </w:pPr>
          </w:p>
        </w:tc>
        <w:tc>
          <w:tcPr>
            <w:tcW w:w="0" w:type="auto"/>
            <w:shd w:val="clear" w:color="auto" w:fill="auto"/>
            <w:vAlign w:val="bottom"/>
          </w:tcPr>
          <w:p w14:paraId="4B9A366A" w14:textId="77777777" w:rsidR="002A3970" w:rsidRDefault="002A3970">
            <w:pPr>
              <w:rPr>
                <w:rFonts w:ascii="宋体"/>
                <w:vanish/>
              </w:rPr>
            </w:pPr>
          </w:p>
        </w:tc>
        <w:tc>
          <w:tcPr>
            <w:tcW w:w="0" w:type="auto"/>
            <w:shd w:val="clear" w:color="auto" w:fill="auto"/>
            <w:vAlign w:val="bottom"/>
          </w:tcPr>
          <w:p w14:paraId="4B9A366B" w14:textId="77777777" w:rsidR="002A3970" w:rsidRDefault="002A3970">
            <w:pPr>
              <w:rPr>
                <w:rFonts w:ascii="宋体"/>
                <w:vanish/>
              </w:rPr>
            </w:pPr>
          </w:p>
        </w:tc>
      </w:tr>
      <w:tr w:rsidR="002A3970" w14:paraId="4B9A3680" w14:textId="77777777">
        <w:trPr>
          <w:jc w:val="center"/>
          <w:hidden/>
        </w:trPr>
        <w:tc>
          <w:tcPr>
            <w:tcW w:w="0" w:type="auto"/>
            <w:gridSpan w:val="3"/>
            <w:shd w:val="clear" w:color="auto" w:fill="auto"/>
            <w:vAlign w:val="bottom"/>
          </w:tcPr>
          <w:p w14:paraId="4B9A366D" w14:textId="77777777" w:rsidR="002A3970" w:rsidRDefault="002A3970">
            <w:pPr>
              <w:rPr>
                <w:rFonts w:ascii="宋体"/>
                <w:vanish/>
              </w:rPr>
            </w:pPr>
          </w:p>
        </w:tc>
        <w:tc>
          <w:tcPr>
            <w:tcW w:w="0" w:type="auto"/>
            <w:gridSpan w:val="3"/>
            <w:shd w:val="clear" w:color="auto" w:fill="auto"/>
            <w:vAlign w:val="bottom"/>
          </w:tcPr>
          <w:p w14:paraId="4B9A366E" w14:textId="77777777" w:rsidR="002A3970" w:rsidRDefault="002A3970">
            <w:pPr>
              <w:rPr>
                <w:rFonts w:ascii="宋体"/>
                <w:vanish/>
              </w:rPr>
            </w:pPr>
          </w:p>
        </w:tc>
        <w:tc>
          <w:tcPr>
            <w:tcW w:w="0" w:type="auto"/>
            <w:gridSpan w:val="3"/>
            <w:shd w:val="clear" w:color="auto" w:fill="auto"/>
            <w:vAlign w:val="bottom"/>
          </w:tcPr>
          <w:p w14:paraId="4B9A366F" w14:textId="77777777" w:rsidR="002A3970" w:rsidRDefault="002A3970">
            <w:pPr>
              <w:rPr>
                <w:rFonts w:ascii="宋体"/>
                <w:vanish/>
              </w:rPr>
            </w:pPr>
          </w:p>
        </w:tc>
        <w:tc>
          <w:tcPr>
            <w:tcW w:w="0" w:type="auto"/>
            <w:gridSpan w:val="3"/>
            <w:shd w:val="clear" w:color="auto" w:fill="auto"/>
            <w:vAlign w:val="bottom"/>
          </w:tcPr>
          <w:p w14:paraId="4B9A3670" w14:textId="77777777" w:rsidR="002A3970" w:rsidRDefault="002A3970">
            <w:pPr>
              <w:rPr>
                <w:rFonts w:ascii="宋体"/>
                <w:vanish/>
              </w:rPr>
            </w:pPr>
          </w:p>
        </w:tc>
        <w:tc>
          <w:tcPr>
            <w:tcW w:w="0" w:type="auto"/>
            <w:gridSpan w:val="3"/>
            <w:shd w:val="clear" w:color="auto" w:fill="auto"/>
            <w:vAlign w:val="bottom"/>
          </w:tcPr>
          <w:p w14:paraId="4B9A3671" w14:textId="77777777" w:rsidR="002A3970" w:rsidRDefault="002A3970">
            <w:pPr>
              <w:rPr>
                <w:rFonts w:ascii="宋体"/>
                <w:vanish/>
              </w:rPr>
            </w:pPr>
          </w:p>
        </w:tc>
        <w:tc>
          <w:tcPr>
            <w:tcW w:w="0" w:type="auto"/>
            <w:gridSpan w:val="3"/>
            <w:shd w:val="clear" w:color="auto" w:fill="auto"/>
            <w:vAlign w:val="bottom"/>
          </w:tcPr>
          <w:p w14:paraId="4B9A3672" w14:textId="77777777" w:rsidR="002A3970" w:rsidRDefault="002A3970">
            <w:pPr>
              <w:rPr>
                <w:rFonts w:ascii="宋体"/>
                <w:vanish/>
              </w:rPr>
            </w:pPr>
          </w:p>
        </w:tc>
        <w:tc>
          <w:tcPr>
            <w:tcW w:w="0" w:type="auto"/>
            <w:gridSpan w:val="3"/>
            <w:shd w:val="clear" w:color="auto" w:fill="auto"/>
            <w:vAlign w:val="bottom"/>
          </w:tcPr>
          <w:p w14:paraId="4B9A3673" w14:textId="77777777" w:rsidR="002A3970" w:rsidRDefault="002A3970">
            <w:pPr>
              <w:rPr>
                <w:rFonts w:ascii="宋体"/>
                <w:vanish/>
              </w:rPr>
            </w:pPr>
          </w:p>
        </w:tc>
        <w:tc>
          <w:tcPr>
            <w:tcW w:w="0" w:type="auto"/>
            <w:gridSpan w:val="3"/>
            <w:shd w:val="clear" w:color="auto" w:fill="auto"/>
            <w:vAlign w:val="bottom"/>
          </w:tcPr>
          <w:p w14:paraId="4B9A3674" w14:textId="77777777" w:rsidR="002A3970" w:rsidRDefault="002A3970">
            <w:pPr>
              <w:rPr>
                <w:rFonts w:ascii="宋体"/>
                <w:vanish/>
              </w:rPr>
            </w:pPr>
          </w:p>
        </w:tc>
        <w:tc>
          <w:tcPr>
            <w:tcW w:w="0" w:type="auto"/>
            <w:gridSpan w:val="3"/>
            <w:shd w:val="clear" w:color="auto" w:fill="auto"/>
            <w:vAlign w:val="bottom"/>
          </w:tcPr>
          <w:p w14:paraId="4B9A3675" w14:textId="77777777" w:rsidR="002A3970" w:rsidRDefault="002A3970">
            <w:pPr>
              <w:rPr>
                <w:rFonts w:ascii="宋体"/>
                <w:vanish/>
              </w:rPr>
            </w:pPr>
          </w:p>
        </w:tc>
        <w:tc>
          <w:tcPr>
            <w:tcW w:w="0" w:type="auto"/>
            <w:gridSpan w:val="3"/>
            <w:shd w:val="clear" w:color="auto" w:fill="auto"/>
            <w:vAlign w:val="bottom"/>
          </w:tcPr>
          <w:p w14:paraId="4B9A3676" w14:textId="77777777" w:rsidR="002A3970" w:rsidRDefault="002A3970">
            <w:pPr>
              <w:rPr>
                <w:rFonts w:ascii="宋体"/>
                <w:vanish/>
              </w:rPr>
            </w:pPr>
          </w:p>
        </w:tc>
        <w:tc>
          <w:tcPr>
            <w:tcW w:w="0" w:type="auto"/>
            <w:gridSpan w:val="3"/>
            <w:shd w:val="clear" w:color="auto" w:fill="auto"/>
            <w:vAlign w:val="bottom"/>
          </w:tcPr>
          <w:p w14:paraId="4B9A3677" w14:textId="77777777" w:rsidR="002A3970" w:rsidRDefault="002A3970">
            <w:pPr>
              <w:rPr>
                <w:rFonts w:ascii="宋体"/>
                <w:vanish/>
              </w:rPr>
            </w:pPr>
          </w:p>
        </w:tc>
        <w:tc>
          <w:tcPr>
            <w:tcW w:w="0" w:type="auto"/>
            <w:gridSpan w:val="3"/>
            <w:shd w:val="clear" w:color="auto" w:fill="auto"/>
            <w:vAlign w:val="bottom"/>
          </w:tcPr>
          <w:p w14:paraId="4B9A3678" w14:textId="77777777" w:rsidR="002A3970" w:rsidRDefault="002A3970">
            <w:pPr>
              <w:rPr>
                <w:rFonts w:ascii="宋体"/>
                <w:vanish/>
              </w:rPr>
            </w:pPr>
          </w:p>
        </w:tc>
        <w:tc>
          <w:tcPr>
            <w:tcW w:w="0" w:type="auto"/>
            <w:gridSpan w:val="3"/>
            <w:shd w:val="clear" w:color="auto" w:fill="auto"/>
            <w:vAlign w:val="bottom"/>
          </w:tcPr>
          <w:p w14:paraId="4B9A3679" w14:textId="77777777" w:rsidR="002A3970" w:rsidRDefault="002A3970">
            <w:pPr>
              <w:rPr>
                <w:rFonts w:ascii="宋体"/>
                <w:vanish/>
              </w:rPr>
            </w:pPr>
          </w:p>
        </w:tc>
        <w:tc>
          <w:tcPr>
            <w:tcW w:w="0" w:type="auto"/>
            <w:gridSpan w:val="3"/>
            <w:shd w:val="clear" w:color="auto" w:fill="auto"/>
            <w:vAlign w:val="bottom"/>
          </w:tcPr>
          <w:p w14:paraId="4B9A367A" w14:textId="77777777" w:rsidR="002A3970" w:rsidRDefault="002A3970">
            <w:pPr>
              <w:rPr>
                <w:rFonts w:ascii="宋体"/>
                <w:vanish/>
              </w:rPr>
            </w:pPr>
          </w:p>
        </w:tc>
        <w:tc>
          <w:tcPr>
            <w:tcW w:w="0" w:type="auto"/>
            <w:gridSpan w:val="3"/>
            <w:shd w:val="clear" w:color="auto" w:fill="auto"/>
            <w:vAlign w:val="bottom"/>
          </w:tcPr>
          <w:p w14:paraId="4B9A367B" w14:textId="77777777" w:rsidR="002A3970" w:rsidRDefault="002A3970">
            <w:pPr>
              <w:rPr>
                <w:rFonts w:ascii="宋体"/>
                <w:vanish/>
              </w:rPr>
            </w:pPr>
          </w:p>
        </w:tc>
        <w:tc>
          <w:tcPr>
            <w:tcW w:w="0" w:type="auto"/>
            <w:gridSpan w:val="3"/>
            <w:shd w:val="clear" w:color="auto" w:fill="auto"/>
            <w:vAlign w:val="bottom"/>
          </w:tcPr>
          <w:p w14:paraId="4B9A367C" w14:textId="77777777" w:rsidR="002A3970" w:rsidRDefault="002A3970">
            <w:pPr>
              <w:rPr>
                <w:rFonts w:ascii="宋体"/>
                <w:vanish/>
              </w:rPr>
            </w:pPr>
          </w:p>
        </w:tc>
        <w:tc>
          <w:tcPr>
            <w:tcW w:w="0" w:type="auto"/>
            <w:shd w:val="clear" w:color="auto" w:fill="auto"/>
            <w:vAlign w:val="bottom"/>
          </w:tcPr>
          <w:p w14:paraId="4B9A367D" w14:textId="77777777" w:rsidR="002A3970" w:rsidRDefault="002A3970">
            <w:pPr>
              <w:rPr>
                <w:rFonts w:ascii="宋体"/>
                <w:vanish/>
              </w:rPr>
            </w:pPr>
          </w:p>
        </w:tc>
        <w:tc>
          <w:tcPr>
            <w:tcW w:w="0" w:type="auto"/>
            <w:shd w:val="clear" w:color="auto" w:fill="auto"/>
            <w:vAlign w:val="bottom"/>
          </w:tcPr>
          <w:p w14:paraId="4B9A367E" w14:textId="77777777" w:rsidR="002A3970" w:rsidRDefault="002A3970">
            <w:pPr>
              <w:rPr>
                <w:rFonts w:ascii="宋体"/>
                <w:vanish/>
              </w:rPr>
            </w:pPr>
          </w:p>
        </w:tc>
        <w:tc>
          <w:tcPr>
            <w:tcW w:w="0" w:type="auto"/>
            <w:shd w:val="clear" w:color="auto" w:fill="auto"/>
            <w:vAlign w:val="bottom"/>
          </w:tcPr>
          <w:p w14:paraId="4B9A367F" w14:textId="77777777" w:rsidR="002A3970" w:rsidRDefault="002A3970">
            <w:pPr>
              <w:rPr>
                <w:rFonts w:ascii="宋体"/>
                <w:vanish/>
              </w:rPr>
            </w:pPr>
          </w:p>
        </w:tc>
      </w:tr>
      <w:tr w:rsidR="002A3970" w14:paraId="4B9A3694" w14:textId="77777777">
        <w:trPr>
          <w:jc w:val="center"/>
          <w:hidden/>
        </w:trPr>
        <w:tc>
          <w:tcPr>
            <w:tcW w:w="0" w:type="auto"/>
            <w:gridSpan w:val="3"/>
            <w:shd w:val="clear" w:color="auto" w:fill="auto"/>
            <w:vAlign w:val="bottom"/>
          </w:tcPr>
          <w:p w14:paraId="4B9A3681" w14:textId="77777777" w:rsidR="002A3970" w:rsidRDefault="002A3970">
            <w:pPr>
              <w:rPr>
                <w:rFonts w:ascii="宋体"/>
                <w:vanish/>
              </w:rPr>
            </w:pPr>
          </w:p>
        </w:tc>
        <w:tc>
          <w:tcPr>
            <w:tcW w:w="0" w:type="auto"/>
            <w:gridSpan w:val="3"/>
            <w:shd w:val="clear" w:color="auto" w:fill="auto"/>
            <w:vAlign w:val="bottom"/>
          </w:tcPr>
          <w:p w14:paraId="4B9A3682" w14:textId="77777777" w:rsidR="002A3970" w:rsidRDefault="002A3970">
            <w:pPr>
              <w:rPr>
                <w:rFonts w:ascii="宋体"/>
                <w:vanish/>
              </w:rPr>
            </w:pPr>
          </w:p>
        </w:tc>
        <w:tc>
          <w:tcPr>
            <w:tcW w:w="0" w:type="auto"/>
            <w:gridSpan w:val="3"/>
            <w:shd w:val="clear" w:color="auto" w:fill="auto"/>
            <w:vAlign w:val="bottom"/>
          </w:tcPr>
          <w:p w14:paraId="4B9A3683" w14:textId="77777777" w:rsidR="002A3970" w:rsidRDefault="002A3970">
            <w:pPr>
              <w:rPr>
                <w:rFonts w:ascii="宋体"/>
                <w:vanish/>
              </w:rPr>
            </w:pPr>
          </w:p>
        </w:tc>
        <w:tc>
          <w:tcPr>
            <w:tcW w:w="0" w:type="auto"/>
            <w:gridSpan w:val="3"/>
            <w:shd w:val="clear" w:color="auto" w:fill="auto"/>
            <w:vAlign w:val="bottom"/>
          </w:tcPr>
          <w:p w14:paraId="4B9A3684" w14:textId="77777777" w:rsidR="002A3970" w:rsidRDefault="002A3970">
            <w:pPr>
              <w:rPr>
                <w:rFonts w:ascii="宋体"/>
                <w:vanish/>
              </w:rPr>
            </w:pPr>
          </w:p>
        </w:tc>
        <w:tc>
          <w:tcPr>
            <w:tcW w:w="0" w:type="auto"/>
            <w:gridSpan w:val="3"/>
            <w:shd w:val="clear" w:color="auto" w:fill="auto"/>
            <w:vAlign w:val="bottom"/>
          </w:tcPr>
          <w:p w14:paraId="4B9A3685" w14:textId="77777777" w:rsidR="002A3970" w:rsidRDefault="002A3970">
            <w:pPr>
              <w:rPr>
                <w:rFonts w:ascii="宋体"/>
                <w:vanish/>
              </w:rPr>
            </w:pPr>
          </w:p>
        </w:tc>
        <w:tc>
          <w:tcPr>
            <w:tcW w:w="0" w:type="auto"/>
            <w:gridSpan w:val="3"/>
            <w:shd w:val="clear" w:color="auto" w:fill="auto"/>
            <w:vAlign w:val="bottom"/>
          </w:tcPr>
          <w:p w14:paraId="4B9A3686" w14:textId="77777777" w:rsidR="002A3970" w:rsidRDefault="002A3970">
            <w:pPr>
              <w:rPr>
                <w:rFonts w:ascii="宋体"/>
                <w:vanish/>
              </w:rPr>
            </w:pPr>
          </w:p>
        </w:tc>
        <w:tc>
          <w:tcPr>
            <w:tcW w:w="0" w:type="auto"/>
            <w:gridSpan w:val="3"/>
            <w:shd w:val="clear" w:color="auto" w:fill="auto"/>
            <w:vAlign w:val="bottom"/>
          </w:tcPr>
          <w:p w14:paraId="4B9A3687" w14:textId="77777777" w:rsidR="002A3970" w:rsidRDefault="002A3970">
            <w:pPr>
              <w:rPr>
                <w:rFonts w:ascii="宋体"/>
                <w:vanish/>
              </w:rPr>
            </w:pPr>
          </w:p>
        </w:tc>
        <w:tc>
          <w:tcPr>
            <w:tcW w:w="0" w:type="auto"/>
            <w:gridSpan w:val="3"/>
            <w:shd w:val="clear" w:color="auto" w:fill="auto"/>
            <w:vAlign w:val="bottom"/>
          </w:tcPr>
          <w:p w14:paraId="4B9A3688" w14:textId="77777777" w:rsidR="002A3970" w:rsidRDefault="002A3970">
            <w:pPr>
              <w:rPr>
                <w:rFonts w:ascii="宋体"/>
                <w:vanish/>
              </w:rPr>
            </w:pPr>
          </w:p>
        </w:tc>
        <w:tc>
          <w:tcPr>
            <w:tcW w:w="0" w:type="auto"/>
            <w:gridSpan w:val="3"/>
            <w:shd w:val="clear" w:color="auto" w:fill="auto"/>
            <w:vAlign w:val="bottom"/>
          </w:tcPr>
          <w:p w14:paraId="4B9A3689" w14:textId="77777777" w:rsidR="002A3970" w:rsidRDefault="002A3970">
            <w:pPr>
              <w:rPr>
                <w:rFonts w:ascii="宋体"/>
                <w:vanish/>
              </w:rPr>
            </w:pPr>
          </w:p>
        </w:tc>
        <w:tc>
          <w:tcPr>
            <w:tcW w:w="0" w:type="auto"/>
            <w:gridSpan w:val="3"/>
            <w:shd w:val="clear" w:color="auto" w:fill="auto"/>
            <w:vAlign w:val="bottom"/>
          </w:tcPr>
          <w:p w14:paraId="4B9A368A" w14:textId="77777777" w:rsidR="002A3970" w:rsidRDefault="002A3970">
            <w:pPr>
              <w:rPr>
                <w:rFonts w:ascii="宋体"/>
                <w:vanish/>
              </w:rPr>
            </w:pPr>
          </w:p>
        </w:tc>
        <w:tc>
          <w:tcPr>
            <w:tcW w:w="0" w:type="auto"/>
            <w:gridSpan w:val="3"/>
            <w:shd w:val="clear" w:color="auto" w:fill="auto"/>
            <w:vAlign w:val="bottom"/>
          </w:tcPr>
          <w:p w14:paraId="4B9A368B" w14:textId="77777777" w:rsidR="002A3970" w:rsidRDefault="002A3970">
            <w:pPr>
              <w:rPr>
                <w:rFonts w:ascii="宋体"/>
                <w:vanish/>
              </w:rPr>
            </w:pPr>
          </w:p>
        </w:tc>
        <w:tc>
          <w:tcPr>
            <w:tcW w:w="0" w:type="auto"/>
            <w:gridSpan w:val="3"/>
            <w:shd w:val="clear" w:color="auto" w:fill="auto"/>
            <w:vAlign w:val="bottom"/>
          </w:tcPr>
          <w:p w14:paraId="4B9A368C" w14:textId="77777777" w:rsidR="002A3970" w:rsidRDefault="002A3970">
            <w:pPr>
              <w:rPr>
                <w:rFonts w:ascii="宋体"/>
                <w:vanish/>
              </w:rPr>
            </w:pPr>
          </w:p>
        </w:tc>
        <w:tc>
          <w:tcPr>
            <w:tcW w:w="0" w:type="auto"/>
            <w:gridSpan w:val="3"/>
            <w:shd w:val="clear" w:color="auto" w:fill="auto"/>
            <w:vAlign w:val="bottom"/>
          </w:tcPr>
          <w:p w14:paraId="4B9A368D" w14:textId="77777777" w:rsidR="002A3970" w:rsidRDefault="002A3970">
            <w:pPr>
              <w:rPr>
                <w:rFonts w:ascii="宋体"/>
                <w:vanish/>
              </w:rPr>
            </w:pPr>
          </w:p>
        </w:tc>
        <w:tc>
          <w:tcPr>
            <w:tcW w:w="0" w:type="auto"/>
            <w:gridSpan w:val="3"/>
            <w:shd w:val="clear" w:color="auto" w:fill="auto"/>
            <w:vAlign w:val="bottom"/>
          </w:tcPr>
          <w:p w14:paraId="4B9A368E" w14:textId="77777777" w:rsidR="002A3970" w:rsidRDefault="002A3970">
            <w:pPr>
              <w:rPr>
                <w:rFonts w:ascii="宋体"/>
                <w:vanish/>
              </w:rPr>
            </w:pPr>
          </w:p>
        </w:tc>
        <w:tc>
          <w:tcPr>
            <w:tcW w:w="0" w:type="auto"/>
            <w:gridSpan w:val="3"/>
            <w:shd w:val="clear" w:color="auto" w:fill="auto"/>
            <w:vAlign w:val="bottom"/>
          </w:tcPr>
          <w:p w14:paraId="4B9A368F" w14:textId="77777777" w:rsidR="002A3970" w:rsidRDefault="002A3970">
            <w:pPr>
              <w:rPr>
                <w:rFonts w:ascii="宋体"/>
                <w:vanish/>
              </w:rPr>
            </w:pPr>
          </w:p>
        </w:tc>
        <w:tc>
          <w:tcPr>
            <w:tcW w:w="0" w:type="auto"/>
            <w:gridSpan w:val="3"/>
            <w:shd w:val="clear" w:color="auto" w:fill="auto"/>
            <w:vAlign w:val="bottom"/>
          </w:tcPr>
          <w:p w14:paraId="4B9A3690" w14:textId="77777777" w:rsidR="002A3970" w:rsidRDefault="002A3970">
            <w:pPr>
              <w:rPr>
                <w:rFonts w:ascii="宋体"/>
                <w:vanish/>
              </w:rPr>
            </w:pPr>
          </w:p>
        </w:tc>
        <w:tc>
          <w:tcPr>
            <w:tcW w:w="0" w:type="auto"/>
            <w:shd w:val="clear" w:color="auto" w:fill="auto"/>
            <w:vAlign w:val="bottom"/>
          </w:tcPr>
          <w:p w14:paraId="4B9A3691" w14:textId="77777777" w:rsidR="002A3970" w:rsidRDefault="002A3970">
            <w:pPr>
              <w:rPr>
                <w:rFonts w:ascii="宋体"/>
                <w:vanish/>
              </w:rPr>
            </w:pPr>
          </w:p>
        </w:tc>
        <w:tc>
          <w:tcPr>
            <w:tcW w:w="0" w:type="auto"/>
            <w:shd w:val="clear" w:color="auto" w:fill="auto"/>
            <w:vAlign w:val="bottom"/>
          </w:tcPr>
          <w:p w14:paraId="4B9A3692" w14:textId="77777777" w:rsidR="002A3970" w:rsidRDefault="002A3970">
            <w:pPr>
              <w:rPr>
                <w:rFonts w:ascii="宋体"/>
                <w:vanish/>
              </w:rPr>
            </w:pPr>
          </w:p>
        </w:tc>
        <w:tc>
          <w:tcPr>
            <w:tcW w:w="0" w:type="auto"/>
            <w:shd w:val="clear" w:color="auto" w:fill="auto"/>
            <w:vAlign w:val="bottom"/>
          </w:tcPr>
          <w:p w14:paraId="4B9A3693" w14:textId="77777777" w:rsidR="002A3970" w:rsidRDefault="002A3970">
            <w:pPr>
              <w:rPr>
                <w:rFonts w:ascii="宋体"/>
                <w:vanish/>
              </w:rPr>
            </w:pPr>
          </w:p>
        </w:tc>
      </w:tr>
      <w:tr w:rsidR="002A3970" w14:paraId="4B9A36A8" w14:textId="77777777">
        <w:trPr>
          <w:jc w:val="center"/>
          <w:hidden/>
        </w:trPr>
        <w:tc>
          <w:tcPr>
            <w:tcW w:w="0" w:type="auto"/>
            <w:gridSpan w:val="3"/>
            <w:shd w:val="clear" w:color="auto" w:fill="auto"/>
            <w:vAlign w:val="bottom"/>
          </w:tcPr>
          <w:p w14:paraId="4B9A3695" w14:textId="77777777" w:rsidR="002A3970" w:rsidRDefault="002A3970">
            <w:pPr>
              <w:rPr>
                <w:rFonts w:ascii="宋体"/>
                <w:vanish/>
              </w:rPr>
            </w:pPr>
          </w:p>
        </w:tc>
        <w:tc>
          <w:tcPr>
            <w:tcW w:w="0" w:type="auto"/>
            <w:gridSpan w:val="3"/>
            <w:shd w:val="clear" w:color="auto" w:fill="auto"/>
            <w:vAlign w:val="bottom"/>
          </w:tcPr>
          <w:p w14:paraId="4B9A3696" w14:textId="77777777" w:rsidR="002A3970" w:rsidRDefault="002A3970">
            <w:pPr>
              <w:rPr>
                <w:rFonts w:ascii="宋体"/>
                <w:vanish/>
              </w:rPr>
            </w:pPr>
          </w:p>
        </w:tc>
        <w:tc>
          <w:tcPr>
            <w:tcW w:w="0" w:type="auto"/>
            <w:gridSpan w:val="3"/>
            <w:shd w:val="clear" w:color="auto" w:fill="auto"/>
            <w:vAlign w:val="bottom"/>
          </w:tcPr>
          <w:p w14:paraId="4B9A3697" w14:textId="77777777" w:rsidR="002A3970" w:rsidRDefault="002A3970">
            <w:pPr>
              <w:rPr>
                <w:rFonts w:ascii="宋体"/>
                <w:vanish/>
              </w:rPr>
            </w:pPr>
          </w:p>
        </w:tc>
        <w:tc>
          <w:tcPr>
            <w:tcW w:w="0" w:type="auto"/>
            <w:gridSpan w:val="3"/>
            <w:shd w:val="clear" w:color="auto" w:fill="auto"/>
            <w:vAlign w:val="bottom"/>
          </w:tcPr>
          <w:p w14:paraId="4B9A3698" w14:textId="77777777" w:rsidR="002A3970" w:rsidRDefault="002A3970">
            <w:pPr>
              <w:rPr>
                <w:rFonts w:ascii="宋体"/>
                <w:vanish/>
              </w:rPr>
            </w:pPr>
          </w:p>
        </w:tc>
        <w:tc>
          <w:tcPr>
            <w:tcW w:w="0" w:type="auto"/>
            <w:gridSpan w:val="3"/>
            <w:shd w:val="clear" w:color="auto" w:fill="auto"/>
            <w:vAlign w:val="bottom"/>
          </w:tcPr>
          <w:p w14:paraId="4B9A3699" w14:textId="77777777" w:rsidR="002A3970" w:rsidRDefault="002A3970">
            <w:pPr>
              <w:rPr>
                <w:rFonts w:ascii="宋体"/>
                <w:vanish/>
              </w:rPr>
            </w:pPr>
          </w:p>
        </w:tc>
        <w:tc>
          <w:tcPr>
            <w:tcW w:w="0" w:type="auto"/>
            <w:gridSpan w:val="3"/>
            <w:shd w:val="clear" w:color="auto" w:fill="auto"/>
            <w:vAlign w:val="bottom"/>
          </w:tcPr>
          <w:p w14:paraId="4B9A369A" w14:textId="77777777" w:rsidR="002A3970" w:rsidRDefault="002A3970">
            <w:pPr>
              <w:rPr>
                <w:rFonts w:ascii="宋体"/>
                <w:vanish/>
              </w:rPr>
            </w:pPr>
          </w:p>
        </w:tc>
        <w:tc>
          <w:tcPr>
            <w:tcW w:w="0" w:type="auto"/>
            <w:gridSpan w:val="3"/>
            <w:shd w:val="clear" w:color="auto" w:fill="auto"/>
            <w:vAlign w:val="bottom"/>
          </w:tcPr>
          <w:p w14:paraId="4B9A369B" w14:textId="77777777" w:rsidR="002A3970" w:rsidRDefault="002A3970">
            <w:pPr>
              <w:rPr>
                <w:rFonts w:ascii="宋体"/>
                <w:vanish/>
              </w:rPr>
            </w:pPr>
          </w:p>
        </w:tc>
        <w:tc>
          <w:tcPr>
            <w:tcW w:w="0" w:type="auto"/>
            <w:gridSpan w:val="3"/>
            <w:shd w:val="clear" w:color="auto" w:fill="auto"/>
            <w:vAlign w:val="bottom"/>
          </w:tcPr>
          <w:p w14:paraId="4B9A369C" w14:textId="77777777" w:rsidR="002A3970" w:rsidRDefault="002A3970">
            <w:pPr>
              <w:rPr>
                <w:rFonts w:ascii="宋体"/>
                <w:vanish/>
              </w:rPr>
            </w:pPr>
          </w:p>
        </w:tc>
        <w:tc>
          <w:tcPr>
            <w:tcW w:w="0" w:type="auto"/>
            <w:gridSpan w:val="3"/>
            <w:shd w:val="clear" w:color="auto" w:fill="auto"/>
            <w:vAlign w:val="bottom"/>
          </w:tcPr>
          <w:p w14:paraId="4B9A369D" w14:textId="77777777" w:rsidR="002A3970" w:rsidRDefault="002A3970">
            <w:pPr>
              <w:rPr>
                <w:rFonts w:ascii="宋体"/>
                <w:vanish/>
              </w:rPr>
            </w:pPr>
          </w:p>
        </w:tc>
        <w:tc>
          <w:tcPr>
            <w:tcW w:w="0" w:type="auto"/>
            <w:gridSpan w:val="3"/>
            <w:shd w:val="clear" w:color="auto" w:fill="auto"/>
            <w:vAlign w:val="bottom"/>
          </w:tcPr>
          <w:p w14:paraId="4B9A369E" w14:textId="77777777" w:rsidR="002A3970" w:rsidRDefault="002A3970">
            <w:pPr>
              <w:rPr>
                <w:rFonts w:ascii="宋体"/>
                <w:vanish/>
              </w:rPr>
            </w:pPr>
          </w:p>
        </w:tc>
        <w:tc>
          <w:tcPr>
            <w:tcW w:w="0" w:type="auto"/>
            <w:gridSpan w:val="3"/>
            <w:shd w:val="clear" w:color="auto" w:fill="auto"/>
            <w:vAlign w:val="bottom"/>
          </w:tcPr>
          <w:p w14:paraId="4B9A369F" w14:textId="77777777" w:rsidR="002A3970" w:rsidRDefault="002A3970">
            <w:pPr>
              <w:rPr>
                <w:rFonts w:ascii="宋体"/>
                <w:vanish/>
              </w:rPr>
            </w:pPr>
          </w:p>
        </w:tc>
        <w:tc>
          <w:tcPr>
            <w:tcW w:w="0" w:type="auto"/>
            <w:gridSpan w:val="3"/>
            <w:shd w:val="clear" w:color="auto" w:fill="auto"/>
            <w:vAlign w:val="bottom"/>
          </w:tcPr>
          <w:p w14:paraId="4B9A36A0" w14:textId="77777777" w:rsidR="002A3970" w:rsidRDefault="002A3970">
            <w:pPr>
              <w:rPr>
                <w:rFonts w:ascii="宋体"/>
                <w:vanish/>
              </w:rPr>
            </w:pPr>
          </w:p>
        </w:tc>
        <w:tc>
          <w:tcPr>
            <w:tcW w:w="0" w:type="auto"/>
            <w:gridSpan w:val="3"/>
            <w:shd w:val="clear" w:color="auto" w:fill="auto"/>
            <w:vAlign w:val="bottom"/>
          </w:tcPr>
          <w:p w14:paraId="4B9A36A1" w14:textId="77777777" w:rsidR="002A3970" w:rsidRDefault="002A3970">
            <w:pPr>
              <w:rPr>
                <w:rFonts w:ascii="宋体"/>
                <w:vanish/>
              </w:rPr>
            </w:pPr>
          </w:p>
        </w:tc>
        <w:tc>
          <w:tcPr>
            <w:tcW w:w="0" w:type="auto"/>
            <w:gridSpan w:val="3"/>
            <w:shd w:val="clear" w:color="auto" w:fill="auto"/>
            <w:vAlign w:val="bottom"/>
          </w:tcPr>
          <w:p w14:paraId="4B9A36A2" w14:textId="77777777" w:rsidR="002A3970" w:rsidRDefault="002A3970">
            <w:pPr>
              <w:rPr>
                <w:rFonts w:ascii="宋体"/>
                <w:vanish/>
              </w:rPr>
            </w:pPr>
          </w:p>
        </w:tc>
        <w:tc>
          <w:tcPr>
            <w:tcW w:w="0" w:type="auto"/>
            <w:gridSpan w:val="3"/>
            <w:shd w:val="clear" w:color="auto" w:fill="auto"/>
            <w:vAlign w:val="bottom"/>
          </w:tcPr>
          <w:p w14:paraId="4B9A36A3" w14:textId="77777777" w:rsidR="002A3970" w:rsidRDefault="002A3970">
            <w:pPr>
              <w:rPr>
                <w:rFonts w:ascii="宋体"/>
                <w:vanish/>
              </w:rPr>
            </w:pPr>
          </w:p>
        </w:tc>
        <w:tc>
          <w:tcPr>
            <w:tcW w:w="0" w:type="auto"/>
            <w:gridSpan w:val="3"/>
            <w:shd w:val="clear" w:color="auto" w:fill="auto"/>
            <w:vAlign w:val="bottom"/>
          </w:tcPr>
          <w:p w14:paraId="4B9A36A4" w14:textId="77777777" w:rsidR="002A3970" w:rsidRDefault="002A3970">
            <w:pPr>
              <w:rPr>
                <w:rFonts w:ascii="宋体"/>
                <w:vanish/>
              </w:rPr>
            </w:pPr>
          </w:p>
        </w:tc>
        <w:tc>
          <w:tcPr>
            <w:tcW w:w="0" w:type="auto"/>
            <w:shd w:val="clear" w:color="auto" w:fill="auto"/>
            <w:vAlign w:val="bottom"/>
          </w:tcPr>
          <w:p w14:paraId="4B9A36A5" w14:textId="77777777" w:rsidR="002A3970" w:rsidRDefault="002A3970">
            <w:pPr>
              <w:rPr>
                <w:rFonts w:ascii="宋体"/>
                <w:vanish/>
              </w:rPr>
            </w:pPr>
          </w:p>
        </w:tc>
        <w:tc>
          <w:tcPr>
            <w:tcW w:w="0" w:type="auto"/>
            <w:shd w:val="clear" w:color="auto" w:fill="auto"/>
            <w:vAlign w:val="bottom"/>
          </w:tcPr>
          <w:p w14:paraId="4B9A36A6" w14:textId="77777777" w:rsidR="002A3970" w:rsidRDefault="002A3970">
            <w:pPr>
              <w:rPr>
                <w:rFonts w:ascii="宋体"/>
                <w:vanish/>
              </w:rPr>
            </w:pPr>
          </w:p>
        </w:tc>
        <w:tc>
          <w:tcPr>
            <w:tcW w:w="0" w:type="auto"/>
            <w:shd w:val="clear" w:color="auto" w:fill="auto"/>
            <w:vAlign w:val="bottom"/>
          </w:tcPr>
          <w:p w14:paraId="4B9A36A7" w14:textId="77777777" w:rsidR="002A3970" w:rsidRDefault="002A3970">
            <w:pPr>
              <w:rPr>
                <w:rFonts w:ascii="宋体"/>
                <w:vanish/>
              </w:rPr>
            </w:pPr>
          </w:p>
        </w:tc>
      </w:tr>
      <w:tr w:rsidR="002A3970" w14:paraId="4B9A36BC" w14:textId="77777777">
        <w:trPr>
          <w:jc w:val="center"/>
          <w:hidden/>
        </w:trPr>
        <w:tc>
          <w:tcPr>
            <w:tcW w:w="0" w:type="auto"/>
            <w:gridSpan w:val="3"/>
            <w:shd w:val="clear" w:color="auto" w:fill="auto"/>
            <w:vAlign w:val="bottom"/>
          </w:tcPr>
          <w:p w14:paraId="4B9A36A9" w14:textId="77777777" w:rsidR="002A3970" w:rsidRDefault="002A3970">
            <w:pPr>
              <w:rPr>
                <w:rFonts w:ascii="宋体"/>
                <w:vanish/>
              </w:rPr>
            </w:pPr>
          </w:p>
        </w:tc>
        <w:tc>
          <w:tcPr>
            <w:tcW w:w="0" w:type="auto"/>
            <w:gridSpan w:val="3"/>
            <w:shd w:val="clear" w:color="auto" w:fill="auto"/>
            <w:vAlign w:val="bottom"/>
          </w:tcPr>
          <w:p w14:paraId="4B9A36AA" w14:textId="77777777" w:rsidR="002A3970" w:rsidRDefault="002A3970">
            <w:pPr>
              <w:rPr>
                <w:rFonts w:ascii="宋体"/>
                <w:vanish/>
              </w:rPr>
            </w:pPr>
          </w:p>
        </w:tc>
        <w:tc>
          <w:tcPr>
            <w:tcW w:w="0" w:type="auto"/>
            <w:gridSpan w:val="3"/>
            <w:shd w:val="clear" w:color="auto" w:fill="auto"/>
            <w:vAlign w:val="bottom"/>
          </w:tcPr>
          <w:p w14:paraId="4B9A36AB" w14:textId="77777777" w:rsidR="002A3970" w:rsidRDefault="002A3970">
            <w:pPr>
              <w:rPr>
                <w:rFonts w:ascii="宋体"/>
                <w:vanish/>
              </w:rPr>
            </w:pPr>
          </w:p>
        </w:tc>
        <w:tc>
          <w:tcPr>
            <w:tcW w:w="0" w:type="auto"/>
            <w:gridSpan w:val="3"/>
            <w:shd w:val="clear" w:color="auto" w:fill="auto"/>
            <w:vAlign w:val="bottom"/>
          </w:tcPr>
          <w:p w14:paraId="4B9A36AC" w14:textId="77777777" w:rsidR="002A3970" w:rsidRDefault="002A3970">
            <w:pPr>
              <w:rPr>
                <w:rFonts w:ascii="宋体"/>
                <w:vanish/>
              </w:rPr>
            </w:pPr>
          </w:p>
        </w:tc>
        <w:tc>
          <w:tcPr>
            <w:tcW w:w="0" w:type="auto"/>
            <w:gridSpan w:val="3"/>
            <w:shd w:val="clear" w:color="auto" w:fill="auto"/>
            <w:vAlign w:val="bottom"/>
          </w:tcPr>
          <w:p w14:paraId="4B9A36AD" w14:textId="77777777" w:rsidR="002A3970" w:rsidRDefault="002A3970">
            <w:pPr>
              <w:rPr>
                <w:rFonts w:ascii="宋体"/>
                <w:vanish/>
              </w:rPr>
            </w:pPr>
          </w:p>
        </w:tc>
        <w:tc>
          <w:tcPr>
            <w:tcW w:w="0" w:type="auto"/>
            <w:gridSpan w:val="3"/>
            <w:shd w:val="clear" w:color="auto" w:fill="auto"/>
            <w:vAlign w:val="bottom"/>
          </w:tcPr>
          <w:p w14:paraId="4B9A36AE" w14:textId="77777777" w:rsidR="002A3970" w:rsidRDefault="002A3970">
            <w:pPr>
              <w:rPr>
                <w:rFonts w:ascii="宋体"/>
                <w:vanish/>
              </w:rPr>
            </w:pPr>
          </w:p>
        </w:tc>
        <w:tc>
          <w:tcPr>
            <w:tcW w:w="0" w:type="auto"/>
            <w:gridSpan w:val="3"/>
            <w:shd w:val="clear" w:color="auto" w:fill="auto"/>
            <w:vAlign w:val="bottom"/>
          </w:tcPr>
          <w:p w14:paraId="4B9A36AF" w14:textId="77777777" w:rsidR="002A3970" w:rsidRDefault="002A3970">
            <w:pPr>
              <w:rPr>
                <w:rFonts w:ascii="宋体"/>
                <w:vanish/>
              </w:rPr>
            </w:pPr>
          </w:p>
        </w:tc>
        <w:tc>
          <w:tcPr>
            <w:tcW w:w="0" w:type="auto"/>
            <w:gridSpan w:val="3"/>
            <w:shd w:val="clear" w:color="auto" w:fill="auto"/>
            <w:vAlign w:val="bottom"/>
          </w:tcPr>
          <w:p w14:paraId="4B9A36B0" w14:textId="77777777" w:rsidR="002A3970" w:rsidRDefault="002A3970">
            <w:pPr>
              <w:rPr>
                <w:rFonts w:ascii="宋体"/>
                <w:vanish/>
              </w:rPr>
            </w:pPr>
          </w:p>
        </w:tc>
        <w:tc>
          <w:tcPr>
            <w:tcW w:w="0" w:type="auto"/>
            <w:gridSpan w:val="3"/>
            <w:shd w:val="clear" w:color="auto" w:fill="auto"/>
            <w:vAlign w:val="bottom"/>
          </w:tcPr>
          <w:p w14:paraId="4B9A36B1" w14:textId="77777777" w:rsidR="002A3970" w:rsidRDefault="002A3970">
            <w:pPr>
              <w:rPr>
                <w:rFonts w:ascii="宋体"/>
                <w:vanish/>
              </w:rPr>
            </w:pPr>
          </w:p>
        </w:tc>
        <w:tc>
          <w:tcPr>
            <w:tcW w:w="0" w:type="auto"/>
            <w:gridSpan w:val="3"/>
            <w:shd w:val="clear" w:color="auto" w:fill="auto"/>
            <w:vAlign w:val="bottom"/>
          </w:tcPr>
          <w:p w14:paraId="4B9A36B2" w14:textId="77777777" w:rsidR="002A3970" w:rsidRDefault="002A3970">
            <w:pPr>
              <w:rPr>
                <w:rFonts w:ascii="宋体"/>
                <w:vanish/>
              </w:rPr>
            </w:pPr>
          </w:p>
        </w:tc>
        <w:tc>
          <w:tcPr>
            <w:tcW w:w="0" w:type="auto"/>
            <w:gridSpan w:val="3"/>
            <w:shd w:val="clear" w:color="auto" w:fill="auto"/>
            <w:vAlign w:val="bottom"/>
          </w:tcPr>
          <w:p w14:paraId="4B9A36B3" w14:textId="77777777" w:rsidR="002A3970" w:rsidRDefault="002A3970">
            <w:pPr>
              <w:rPr>
                <w:rFonts w:ascii="宋体"/>
                <w:vanish/>
              </w:rPr>
            </w:pPr>
          </w:p>
        </w:tc>
        <w:tc>
          <w:tcPr>
            <w:tcW w:w="0" w:type="auto"/>
            <w:gridSpan w:val="3"/>
            <w:shd w:val="clear" w:color="auto" w:fill="auto"/>
            <w:vAlign w:val="bottom"/>
          </w:tcPr>
          <w:p w14:paraId="4B9A36B4" w14:textId="77777777" w:rsidR="002A3970" w:rsidRDefault="002A3970">
            <w:pPr>
              <w:rPr>
                <w:rFonts w:ascii="宋体"/>
                <w:vanish/>
              </w:rPr>
            </w:pPr>
          </w:p>
        </w:tc>
        <w:tc>
          <w:tcPr>
            <w:tcW w:w="0" w:type="auto"/>
            <w:gridSpan w:val="3"/>
            <w:shd w:val="clear" w:color="auto" w:fill="auto"/>
            <w:vAlign w:val="bottom"/>
          </w:tcPr>
          <w:p w14:paraId="4B9A36B5" w14:textId="77777777" w:rsidR="002A3970" w:rsidRDefault="002A3970">
            <w:pPr>
              <w:rPr>
                <w:rFonts w:ascii="宋体"/>
                <w:vanish/>
              </w:rPr>
            </w:pPr>
          </w:p>
        </w:tc>
        <w:tc>
          <w:tcPr>
            <w:tcW w:w="0" w:type="auto"/>
            <w:gridSpan w:val="3"/>
            <w:shd w:val="clear" w:color="auto" w:fill="auto"/>
            <w:vAlign w:val="bottom"/>
          </w:tcPr>
          <w:p w14:paraId="4B9A36B6" w14:textId="77777777" w:rsidR="002A3970" w:rsidRDefault="002A3970">
            <w:pPr>
              <w:rPr>
                <w:rFonts w:ascii="宋体"/>
                <w:vanish/>
              </w:rPr>
            </w:pPr>
          </w:p>
        </w:tc>
        <w:tc>
          <w:tcPr>
            <w:tcW w:w="0" w:type="auto"/>
            <w:gridSpan w:val="3"/>
            <w:shd w:val="clear" w:color="auto" w:fill="auto"/>
            <w:vAlign w:val="bottom"/>
          </w:tcPr>
          <w:p w14:paraId="4B9A36B7" w14:textId="77777777" w:rsidR="002A3970" w:rsidRDefault="002A3970">
            <w:pPr>
              <w:rPr>
                <w:rFonts w:ascii="宋体"/>
                <w:vanish/>
              </w:rPr>
            </w:pPr>
          </w:p>
        </w:tc>
        <w:tc>
          <w:tcPr>
            <w:tcW w:w="0" w:type="auto"/>
            <w:gridSpan w:val="3"/>
            <w:shd w:val="clear" w:color="auto" w:fill="auto"/>
            <w:vAlign w:val="bottom"/>
          </w:tcPr>
          <w:p w14:paraId="4B9A36B8" w14:textId="77777777" w:rsidR="002A3970" w:rsidRDefault="002A3970">
            <w:pPr>
              <w:rPr>
                <w:rFonts w:ascii="宋体"/>
                <w:vanish/>
              </w:rPr>
            </w:pPr>
          </w:p>
        </w:tc>
        <w:tc>
          <w:tcPr>
            <w:tcW w:w="0" w:type="auto"/>
            <w:shd w:val="clear" w:color="auto" w:fill="auto"/>
            <w:vAlign w:val="bottom"/>
          </w:tcPr>
          <w:p w14:paraId="4B9A36B9" w14:textId="77777777" w:rsidR="002A3970" w:rsidRDefault="002A3970">
            <w:pPr>
              <w:rPr>
                <w:rFonts w:ascii="宋体"/>
                <w:vanish/>
              </w:rPr>
            </w:pPr>
          </w:p>
        </w:tc>
        <w:tc>
          <w:tcPr>
            <w:tcW w:w="0" w:type="auto"/>
            <w:shd w:val="clear" w:color="auto" w:fill="auto"/>
            <w:vAlign w:val="bottom"/>
          </w:tcPr>
          <w:p w14:paraId="4B9A36BA" w14:textId="77777777" w:rsidR="002A3970" w:rsidRDefault="002A3970">
            <w:pPr>
              <w:rPr>
                <w:rFonts w:ascii="宋体"/>
                <w:vanish/>
              </w:rPr>
            </w:pPr>
          </w:p>
        </w:tc>
        <w:tc>
          <w:tcPr>
            <w:tcW w:w="0" w:type="auto"/>
            <w:shd w:val="clear" w:color="auto" w:fill="auto"/>
            <w:vAlign w:val="bottom"/>
          </w:tcPr>
          <w:p w14:paraId="4B9A36BB" w14:textId="77777777" w:rsidR="002A3970" w:rsidRDefault="002A3970">
            <w:pPr>
              <w:rPr>
                <w:rFonts w:ascii="宋体"/>
                <w:vanish/>
              </w:rPr>
            </w:pPr>
          </w:p>
        </w:tc>
      </w:tr>
      <w:tr w:rsidR="002A3970" w14:paraId="4B9A36D0" w14:textId="77777777">
        <w:trPr>
          <w:jc w:val="center"/>
          <w:hidden/>
        </w:trPr>
        <w:tc>
          <w:tcPr>
            <w:tcW w:w="0" w:type="auto"/>
            <w:gridSpan w:val="3"/>
            <w:shd w:val="clear" w:color="auto" w:fill="auto"/>
            <w:vAlign w:val="bottom"/>
          </w:tcPr>
          <w:p w14:paraId="4B9A36BD" w14:textId="77777777" w:rsidR="002A3970" w:rsidRDefault="002A3970">
            <w:pPr>
              <w:rPr>
                <w:rFonts w:ascii="宋体"/>
                <w:vanish/>
              </w:rPr>
            </w:pPr>
          </w:p>
        </w:tc>
        <w:tc>
          <w:tcPr>
            <w:tcW w:w="0" w:type="auto"/>
            <w:gridSpan w:val="3"/>
            <w:shd w:val="clear" w:color="auto" w:fill="auto"/>
            <w:vAlign w:val="bottom"/>
          </w:tcPr>
          <w:p w14:paraId="4B9A36BE" w14:textId="77777777" w:rsidR="002A3970" w:rsidRDefault="002A3970">
            <w:pPr>
              <w:rPr>
                <w:rFonts w:ascii="宋体"/>
                <w:vanish/>
              </w:rPr>
            </w:pPr>
          </w:p>
        </w:tc>
        <w:tc>
          <w:tcPr>
            <w:tcW w:w="0" w:type="auto"/>
            <w:gridSpan w:val="3"/>
            <w:shd w:val="clear" w:color="auto" w:fill="auto"/>
            <w:vAlign w:val="bottom"/>
          </w:tcPr>
          <w:p w14:paraId="4B9A36BF" w14:textId="77777777" w:rsidR="002A3970" w:rsidRDefault="002A3970">
            <w:pPr>
              <w:rPr>
                <w:rFonts w:ascii="宋体"/>
                <w:vanish/>
              </w:rPr>
            </w:pPr>
          </w:p>
        </w:tc>
        <w:tc>
          <w:tcPr>
            <w:tcW w:w="0" w:type="auto"/>
            <w:gridSpan w:val="3"/>
            <w:shd w:val="clear" w:color="auto" w:fill="auto"/>
            <w:vAlign w:val="bottom"/>
          </w:tcPr>
          <w:p w14:paraId="4B9A36C0" w14:textId="77777777" w:rsidR="002A3970" w:rsidRDefault="002A3970">
            <w:pPr>
              <w:rPr>
                <w:rFonts w:ascii="宋体"/>
                <w:vanish/>
              </w:rPr>
            </w:pPr>
          </w:p>
        </w:tc>
        <w:tc>
          <w:tcPr>
            <w:tcW w:w="0" w:type="auto"/>
            <w:gridSpan w:val="3"/>
            <w:shd w:val="clear" w:color="auto" w:fill="auto"/>
            <w:vAlign w:val="bottom"/>
          </w:tcPr>
          <w:p w14:paraId="4B9A36C1" w14:textId="77777777" w:rsidR="002A3970" w:rsidRDefault="002A3970">
            <w:pPr>
              <w:rPr>
                <w:rFonts w:ascii="宋体"/>
                <w:vanish/>
              </w:rPr>
            </w:pPr>
          </w:p>
        </w:tc>
        <w:tc>
          <w:tcPr>
            <w:tcW w:w="0" w:type="auto"/>
            <w:gridSpan w:val="3"/>
            <w:shd w:val="clear" w:color="auto" w:fill="auto"/>
            <w:vAlign w:val="bottom"/>
          </w:tcPr>
          <w:p w14:paraId="4B9A36C2" w14:textId="77777777" w:rsidR="002A3970" w:rsidRDefault="002A3970">
            <w:pPr>
              <w:rPr>
                <w:rFonts w:ascii="宋体"/>
                <w:vanish/>
              </w:rPr>
            </w:pPr>
          </w:p>
        </w:tc>
        <w:tc>
          <w:tcPr>
            <w:tcW w:w="0" w:type="auto"/>
            <w:gridSpan w:val="3"/>
            <w:shd w:val="clear" w:color="auto" w:fill="auto"/>
            <w:vAlign w:val="bottom"/>
          </w:tcPr>
          <w:p w14:paraId="4B9A36C3" w14:textId="77777777" w:rsidR="002A3970" w:rsidRDefault="002A3970">
            <w:pPr>
              <w:rPr>
                <w:rFonts w:ascii="宋体"/>
                <w:vanish/>
              </w:rPr>
            </w:pPr>
          </w:p>
        </w:tc>
        <w:tc>
          <w:tcPr>
            <w:tcW w:w="0" w:type="auto"/>
            <w:gridSpan w:val="3"/>
            <w:shd w:val="clear" w:color="auto" w:fill="auto"/>
            <w:vAlign w:val="bottom"/>
          </w:tcPr>
          <w:p w14:paraId="4B9A36C4" w14:textId="77777777" w:rsidR="002A3970" w:rsidRDefault="002A3970">
            <w:pPr>
              <w:rPr>
                <w:rFonts w:ascii="宋体"/>
                <w:vanish/>
              </w:rPr>
            </w:pPr>
          </w:p>
        </w:tc>
        <w:tc>
          <w:tcPr>
            <w:tcW w:w="0" w:type="auto"/>
            <w:gridSpan w:val="3"/>
            <w:shd w:val="clear" w:color="auto" w:fill="auto"/>
            <w:vAlign w:val="bottom"/>
          </w:tcPr>
          <w:p w14:paraId="4B9A36C5" w14:textId="77777777" w:rsidR="002A3970" w:rsidRDefault="002A3970">
            <w:pPr>
              <w:rPr>
                <w:rFonts w:ascii="宋体"/>
                <w:vanish/>
              </w:rPr>
            </w:pPr>
          </w:p>
        </w:tc>
        <w:tc>
          <w:tcPr>
            <w:tcW w:w="0" w:type="auto"/>
            <w:gridSpan w:val="3"/>
            <w:shd w:val="clear" w:color="auto" w:fill="auto"/>
            <w:vAlign w:val="bottom"/>
          </w:tcPr>
          <w:p w14:paraId="4B9A36C6" w14:textId="77777777" w:rsidR="002A3970" w:rsidRDefault="002A3970">
            <w:pPr>
              <w:rPr>
                <w:rFonts w:ascii="宋体"/>
                <w:vanish/>
              </w:rPr>
            </w:pPr>
          </w:p>
        </w:tc>
        <w:tc>
          <w:tcPr>
            <w:tcW w:w="0" w:type="auto"/>
            <w:gridSpan w:val="3"/>
            <w:shd w:val="clear" w:color="auto" w:fill="auto"/>
            <w:vAlign w:val="bottom"/>
          </w:tcPr>
          <w:p w14:paraId="4B9A36C7" w14:textId="77777777" w:rsidR="002A3970" w:rsidRDefault="002A3970">
            <w:pPr>
              <w:rPr>
                <w:rFonts w:ascii="宋体"/>
                <w:vanish/>
              </w:rPr>
            </w:pPr>
          </w:p>
        </w:tc>
        <w:tc>
          <w:tcPr>
            <w:tcW w:w="0" w:type="auto"/>
            <w:gridSpan w:val="3"/>
            <w:shd w:val="clear" w:color="auto" w:fill="auto"/>
            <w:vAlign w:val="bottom"/>
          </w:tcPr>
          <w:p w14:paraId="4B9A36C8" w14:textId="77777777" w:rsidR="002A3970" w:rsidRDefault="002A3970">
            <w:pPr>
              <w:rPr>
                <w:rFonts w:ascii="宋体"/>
                <w:vanish/>
              </w:rPr>
            </w:pPr>
          </w:p>
        </w:tc>
        <w:tc>
          <w:tcPr>
            <w:tcW w:w="0" w:type="auto"/>
            <w:gridSpan w:val="3"/>
            <w:shd w:val="clear" w:color="auto" w:fill="auto"/>
            <w:vAlign w:val="bottom"/>
          </w:tcPr>
          <w:p w14:paraId="4B9A36C9" w14:textId="77777777" w:rsidR="002A3970" w:rsidRDefault="002A3970">
            <w:pPr>
              <w:rPr>
                <w:rFonts w:ascii="宋体"/>
                <w:vanish/>
              </w:rPr>
            </w:pPr>
          </w:p>
        </w:tc>
        <w:tc>
          <w:tcPr>
            <w:tcW w:w="0" w:type="auto"/>
            <w:gridSpan w:val="3"/>
            <w:shd w:val="clear" w:color="auto" w:fill="auto"/>
            <w:vAlign w:val="bottom"/>
          </w:tcPr>
          <w:p w14:paraId="4B9A36CA" w14:textId="77777777" w:rsidR="002A3970" w:rsidRDefault="002A3970">
            <w:pPr>
              <w:rPr>
                <w:rFonts w:ascii="宋体"/>
                <w:vanish/>
              </w:rPr>
            </w:pPr>
          </w:p>
        </w:tc>
        <w:tc>
          <w:tcPr>
            <w:tcW w:w="0" w:type="auto"/>
            <w:gridSpan w:val="3"/>
            <w:shd w:val="clear" w:color="auto" w:fill="auto"/>
            <w:vAlign w:val="bottom"/>
          </w:tcPr>
          <w:p w14:paraId="4B9A36CB" w14:textId="77777777" w:rsidR="002A3970" w:rsidRDefault="002A3970">
            <w:pPr>
              <w:rPr>
                <w:rFonts w:ascii="宋体"/>
                <w:vanish/>
              </w:rPr>
            </w:pPr>
          </w:p>
        </w:tc>
        <w:tc>
          <w:tcPr>
            <w:tcW w:w="0" w:type="auto"/>
            <w:gridSpan w:val="3"/>
            <w:shd w:val="clear" w:color="auto" w:fill="auto"/>
            <w:vAlign w:val="bottom"/>
          </w:tcPr>
          <w:p w14:paraId="4B9A36CC" w14:textId="77777777" w:rsidR="002A3970" w:rsidRDefault="002A3970">
            <w:pPr>
              <w:rPr>
                <w:rFonts w:ascii="宋体"/>
                <w:vanish/>
              </w:rPr>
            </w:pPr>
          </w:p>
        </w:tc>
        <w:tc>
          <w:tcPr>
            <w:tcW w:w="0" w:type="auto"/>
            <w:shd w:val="clear" w:color="auto" w:fill="auto"/>
            <w:vAlign w:val="bottom"/>
          </w:tcPr>
          <w:p w14:paraId="4B9A36CD" w14:textId="77777777" w:rsidR="002A3970" w:rsidRDefault="002A3970">
            <w:pPr>
              <w:rPr>
                <w:rFonts w:ascii="宋体"/>
                <w:vanish/>
              </w:rPr>
            </w:pPr>
          </w:p>
        </w:tc>
        <w:tc>
          <w:tcPr>
            <w:tcW w:w="0" w:type="auto"/>
            <w:shd w:val="clear" w:color="auto" w:fill="auto"/>
            <w:vAlign w:val="bottom"/>
          </w:tcPr>
          <w:p w14:paraId="4B9A36CE" w14:textId="77777777" w:rsidR="002A3970" w:rsidRDefault="002A3970">
            <w:pPr>
              <w:rPr>
                <w:rFonts w:ascii="宋体"/>
                <w:vanish/>
              </w:rPr>
            </w:pPr>
          </w:p>
        </w:tc>
        <w:tc>
          <w:tcPr>
            <w:tcW w:w="0" w:type="auto"/>
            <w:shd w:val="clear" w:color="auto" w:fill="auto"/>
            <w:vAlign w:val="bottom"/>
          </w:tcPr>
          <w:p w14:paraId="4B9A36CF" w14:textId="77777777" w:rsidR="002A3970" w:rsidRDefault="002A3970">
            <w:pPr>
              <w:rPr>
                <w:rFonts w:ascii="宋体"/>
                <w:vanish/>
              </w:rPr>
            </w:pPr>
          </w:p>
        </w:tc>
      </w:tr>
      <w:tr w:rsidR="002A3970" w14:paraId="4B9A36E4" w14:textId="77777777">
        <w:trPr>
          <w:jc w:val="center"/>
          <w:hidden/>
        </w:trPr>
        <w:tc>
          <w:tcPr>
            <w:tcW w:w="0" w:type="auto"/>
            <w:gridSpan w:val="3"/>
            <w:shd w:val="clear" w:color="auto" w:fill="auto"/>
            <w:vAlign w:val="bottom"/>
          </w:tcPr>
          <w:p w14:paraId="4B9A36D1" w14:textId="77777777" w:rsidR="002A3970" w:rsidRDefault="002A3970">
            <w:pPr>
              <w:rPr>
                <w:rFonts w:ascii="宋体"/>
                <w:vanish/>
              </w:rPr>
            </w:pPr>
          </w:p>
        </w:tc>
        <w:tc>
          <w:tcPr>
            <w:tcW w:w="0" w:type="auto"/>
            <w:gridSpan w:val="3"/>
            <w:shd w:val="clear" w:color="auto" w:fill="auto"/>
            <w:vAlign w:val="bottom"/>
          </w:tcPr>
          <w:p w14:paraId="4B9A36D2" w14:textId="77777777" w:rsidR="002A3970" w:rsidRDefault="002A3970">
            <w:pPr>
              <w:rPr>
                <w:rFonts w:ascii="宋体"/>
                <w:vanish/>
              </w:rPr>
            </w:pPr>
          </w:p>
        </w:tc>
        <w:tc>
          <w:tcPr>
            <w:tcW w:w="0" w:type="auto"/>
            <w:gridSpan w:val="3"/>
            <w:shd w:val="clear" w:color="auto" w:fill="auto"/>
            <w:vAlign w:val="bottom"/>
          </w:tcPr>
          <w:p w14:paraId="4B9A36D3" w14:textId="77777777" w:rsidR="002A3970" w:rsidRDefault="002A3970">
            <w:pPr>
              <w:rPr>
                <w:rFonts w:ascii="宋体"/>
                <w:vanish/>
              </w:rPr>
            </w:pPr>
          </w:p>
        </w:tc>
        <w:tc>
          <w:tcPr>
            <w:tcW w:w="0" w:type="auto"/>
            <w:gridSpan w:val="3"/>
            <w:shd w:val="clear" w:color="auto" w:fill="auto"/>
            <w:vAlign w:val="bottom"/>
          </w:tcPr>
          <w:p w14:paraId="4B9A36D4" w14:textId="77777777" w:rsidR="002A3970" w:rsidRDefault="002A3970">
            <w:pPr>
              <w:rPr>
                <w:rFonts w:ascii="宋体"/>
                <w:vanish/>
              </w:rPr>
            </w:pPr>
          </w:p>
        </w:tc>
        <w:tc>
          <w:tcPr>
            <w:tcW w:w="0" w:type="auto"/>
            <w:gridSpan w:val="3"/>
            <w:shd w:val="clear" w:color="auto" w:fill="auto"/>
            <w:vAlign w:val="bottom"/>
          </w:tcPr>
          <w:p w14:paraId="4B9A36D5" w14:textId="77777777" w:rsidR="002A3970" w:rsidRDefault="002A3970">
            <w:pPr>
              <w:rPr>
                <w:rFonts w:ascii="宋体"/>
                <w:vanish/>
              </w:rPr>
            </w:pPr>
          </w:p>
        </w:tc>
        <w:tc>
          <w:tcPr>
            <w:tcW w:w="0" w:type="auto"/>
            <w:gridSpan w:val="3"/>
            <w:shd w:val="clear" w:color="auto" w:fill="auto"/>
            <w:vAlign w:val="bottom"/>
          </w:tcPr>
          <w:p w14:paraId="4B9A36D6" w14:textId="77777777" w:rsidR="002A3970" w:rsidRDefault="002A3970">
            <w:pPr>
              <w:rPr>
                <w:rFonts w:ascii="宋体"/>
                <w:vanish/>
              </w:rPr>
            </w:pPr>
          </w:p>
        </w:tc>
        <w:tc>
          <w:tcPr>
            <w:tcW w:w="0" w:type="auto"/>
            <w:gridSpan w:val="3"/>
            <w:shd w:val="clear" w:color="auto" w:fill="auto"/>
            <w:vAlign w:val="bottom"/>
          </w:tcPr>
          <w:p w14:paraId="4B9A36D7" w14:textId="77777777" w:rsidR="002A3970" w:rsidRDefault="002A3970">
            <w:pPr>
              <w:rPr>
                <w:rFonts w:ascii="宋体"/>
                <w:vanish/>
              </w:rPr>
            </w:pPr>
          </w:p>
        </w:tc>
        <w:tc>
          <w:tcPr>
            <w:tcW w:w="0" w:type="auto"/>
            <w:gridSpan w:val="3"/>
            <w:shd w:val="clear" w:color="auto" w:fill="auto"/>
            <w:vAlign w:val="bottom"/>
          </w:tcPr>
          <w:p w14:paraId="4B9A36D8" w14:textId="77777777" w:rsidR="002A3970" w:rsidRDefault="002A3970">
            <w:pPr>
              <w:rPr>
                <w:rFonts w:ascii="宋体"/>
                <w:vanish/>
              </w:rPr>
            </w:pPr>
          </w:p>
        </w:tc>
        <w:tc>
          <w:tcPr>
            <w:tcW w:w="0" w:type="auto"/>
            <w:gridSpan w:val="3"/>
            <w:shd w:val="clear" w:color="auto" w:fill="auto"/>
            <w:vAlign w:val="bottom"/>
          </w:tcPr>
          <w:p w14:paraId="4B9A36D9" w14:textId="77777777" w:rsidR="002A3970" w:rsidRDefault="002A3970">
            <w:pPr>
              <w:rPr>
                <w:rFonts w:ascii="宋体"/>
                <w:vanish/>
              </w:rPr>
            </w:pPr>
          </w:p>
        </w:tc>
        <w:tc>
          <w:tcPr>
            <w:tcW w:w="0" w:type="auto"/>
            <w:gridSpan w:val="3"/>
            <w:shd w:val="clear" w:color="auto" w:fill="auto"/>
            <w:vAlign w:val="bottom"/>
          </w:tcPr>
          <w:p w14:paraId="4B9A36DA" w14:textId="77777777" w:rsidR="002A3970" w:rsidRDefault="002A3970">
            <w:pPr>
              <w:rPr>
                <w:rFonts w:ascii="宋体"/>
                <w:vanish/>
              </w:rPr>
            </w:pPr>
          </w:p>
        </w:tc>
        <w:tc>
          <w:tcPr>
            <w:tcW w:w="0" w:type="auto"/>
            <w:gridSpan w:val="3"/>
            <w:shd w:val="clear" w:color="auto" w:fill="auto"/>
            <w:vAlign w:val="bottom"/>
          </w:tcPr>
          <w:p w14:paraId="4B9A36DB" w14:textId="77777777" w:rsidR="002A3970" w:rsidRDefault="002A3970">
            <w:pPr>
              <w:rPr>
                <w:rFonts w:ascii="宋体"/>
                <w:vanish/>
              </w:rPr>
            </w:pPr>
          </w:p>
        </w:tc>
        <w:tc>
          <w:tcPr>
            <w:tcW w:w="0" w:type="auto"/>
            <w:gridSpan w:val="3"/>
            <w:shd w:val="clear" w:color="auto" w:fill="auto"/>
            <w:vAlign w:val="bottom"/>
          </w:tcPr>
          <w:p w14:paraId="4B9A36DC" w14:textId="77777777" w:rsidR="002A3970" w:rsidRDefault="002A3970">
            <w:pPr>
              <w:rPr>
                <w:rFonts w:ascii="宋体"/>
                <w:vanish/>
              </w:rPr>
            </w:pPr>
          </w:p>
        </w:tc>
        <w:tc>
          <w:tcPr>
            <w:tcW w:w="0" w:type="auto"/>
            <w:gridSpan w:val="3"/>
            <w:shd w:val="clear" w:color="auto" w:fill="auto"/>
            <w:vAlign w:val="bottom"/>
          </w:tcPr>
          <w:p w14:paraId="4B9A36DD" w14:textId="77777777" w:rsidR="002A3970" w:rsidRDefault="002A3970">
            <w:pPr>
              <w:rPr>
                <w:rFonts w:ascii="宋体"/>
                <w:vanish/>
              </w:rPr>
            </w:pPr>
          </w:p>
        </w:tc>
        <w:tc>
          <w:tcPr>
            <w:tcW w:w="0" w:type="auto"/>
            <w:gridSpan w:val="3"/>
            <w:shd w:val="clear" w:color="auto" w:fill="auto"/>
            <w:vAlign w:val="bottom"/>
          </w:tcPr>
          <w:p w14:paraId="4B9A36DE" w14:textId="77777777" w:rsidR="002A3970" w:rsidRDefault="002A3970">
            <w:pPr>
              <w:rPr>
                <w:rFonts w:ascii="宋体"/>
                <w:vanish/>
              </w:rPr>
            </w:pPr>
          </w:p>
        </w:tc>
        <w:tc>
          <w:tcPr>
            <w:tcW w:w="0" w:type="auto"/>
            <w:gridSpan w:val="3"/>
            <w:shd w:val="clear" w:color="auto" w:fill="auto"/>
            <w:vAlign w:val="bottom"/>
          </w:tcPr>
          <w:p w14:paraId="4B9A36DF" w14:textId="77777777" w:rsidR="002A3970" w:rsidRDefault="002A3970">
            <w:pPr>
              <w:rPr>
                <w:rFonts w:ascii="宋体"/>
                <w:vanish/>
              </w:rPr>
            </w:pPr>
          </w:p>
        </w:tc>
        <w:tc>
          <w:tcPr>
            <w:tcW w:w="0" w:type="auto"/>
            <w:gridSpan w:val="3"/>
            <w:shd w:val="clear" w:color="auto" w:fill="auto"/>
            <w:vAlign w:val="bottom"/>
          </w:tcPr>
          <w:p w14:paraId="4B9A36E0" w14:textId="77777777" w:rsidR="002A3970" w:rsidRDefault="002A3970">
            <w:pPr>
              <w:rPr>
                <w:rFonts w:ascii="宋体"/>
                <w:vanish/>
              </w:rPr>
            </w:pPr>
          </w:p>
        </w:tc>
        <w:tc>
          <w:tcPr>
            <w:tcW w:w="0" w:type="auto"/>
            <w:shd w:val="clear" w:color="auto" w:fill="auto"/>
            <w:vAlign w:val="bottom"/>
          </w:tcPr>
          <w:p w14:paraId="4B9A36E1" w14:textId="77777777" w:rsidR="002A3970" w:rsidRDefault="002A3970">
            <w:pPr>
              <w:rPr>
                <w:rFonts w:ascii="宋体"/>
                <w:vanish/>
              </w:rPr>
            </w:pPr>
          </w:p>
        </w:tc>
        <w:tc>
          <w:tcPr>
            <w:tcW w:w="0" w:type="auto"/>
            <w:shd w:val="clear" w:color="auto" w:fill="auto"/>
            <w:vAlign w:val="bottom"/>
          </w:tcPr>
          <w:p w14:paraId="4B9A36E2" w14:textId="77777777" w:rsidR="002A3970" w:rsidRDefault="002A3970">
            <w:pPr>
              <w:rPr>
                <w:rFonts w:ascii="宋体"/>
                <w:vanish/>
              </w:rPr>
            </w:pPr>
          </w:p>
        </w:tc>
        <w:tc>
          <w:tcPr>
            <w:tcW w:w="0" w:type="auto"/>
            <w:shd w:val="clear" w:color="auto" w:fill="auto"/>
            <w:vAlign w:val="bottom"/>
          </w:tcPr>
          <w:p w14:paraId="4B9A36E3" w14:textId="77777777" w:rsidR="002A3970" w:rsidRDefault="002A3970">
            <w:pPr>
              <w:rPr>
                <w:rFonts w:ascii="宋体"/>
                <w:vanish/>
              </w:rPr>
            </w:pPr>
          </w:p>
        </w:tc>
      </w:tr>
      <w:tr w:rsidR="002A3970" w14:paraId="4B9A36F8" w14:textId="77777777">
        <w:trPr>
          <w:jc w:val="center"/>
          <w:hidden/>
        </w:trPr>
        <w:tc>
          <w:tcPr>
            <w:tcW w:w="0" w:type="auto"/>
            <w:gridSpan w:val="3"/>
            <w:shd w:val="clear" w:color="auto" w:fill="auto"/>
            <w:vAlign w:val="bottom"/>
          </w:tcPr>
          <w:p w14:paraId="4B9A36E5" w14:textId="77777777" w:rsidR="002A3970" w:rsidRDefault="002A3970">
            <w:pPr>
              <w:rPr>
                <w:rFonts w:ascii="宋体"/>
                <w:vanish/>
              </w:rPr>
            </w:pPr>
          </w:p>
        </w:tc>
        <w:tc>
          <w:tcPr>
            <w:tcW w:w="0" w:type="auto"/>
            <w:gridSpan w:val="3"/>
            <w:shd w:val="clear" w:color="auto" w:fill="auto"/>
            <w:vAlign w:val="bottom"/>
          </w:tcPr>
          <w:p w14:paraId="4B9A36E6" w14:textId="77777777" w:rsidR="002A3970" w:rsidRDefault="002A3970">
            <w:pPr>
              <w:rPr>
                <w:rFonts w:ascii="宋体"/>
                <w:vanish/>
              </w:rPr>
            </w:pPr>
          </w:p>
        </w:tc>
        <w:tc>
          <w:tcPr>
            <w:tcW w:w="0" w:type="auto"/>
            <w:gridSpan w:val="3"/>
            <w:shd w:val="clear" w:color="auto" w:fill="auto"/>
            <w:vAlign w:val="bottom"/>
          </w:tcPr>
          <w:p w14:paraId="4B9A36E7" w14:textId="77777777" w:rsidR="002A3970" w:rsidRDefault="002A3970">
            <w:pPr>
              <w:rPr>
                <w:rFonts w:ascii="宋体"/>
                <w:vanish/>
              </w:rPr>
            </w:pPr>
          </w:p>
        </w:tc>
        <w:tc>
          <w:tcPr>
            <w:tcW w:w="0" w:type="auto"/>
            <w:gridSpan w:val="3"/>
            <w:shd w:val="clear" w:color="auto" w:fill="auto"/>
            <w:vAlign w:val="bottom"/>
          </w:tcPr>
          <w:p w14:paraId="4B9A36E8" w14:textId="77777777" w:rsidR="002A3970" w:rsidRDefault="002A3970">
            <w:pPr>
              <w:rPr>
                <w:rFonts w:ascii="宋体"/>
                <w:vanish/>
              </w:rPr>
            </w:pPr>
          </w:p>
        </w:tc>
        <w:tc>
          <w:tcPr>
            <w:tcW w:w="0" w:type="auto"/>
            <w:gridSpan w:val="3"/>
            <w:shd w:val="clear" w:color="auto" w:fill="auto"/>
            <w:vAlign w:val="bottom"/>
          </w:tcPr>
          <w:p w14:paraId="4B9A36E9" w14:textId="77777777" w:rsidR="002A3970" w:rsidRDefault="002A3970">
            <w:pPr>
              <w:rPr>
                <w:rFonts w:ascii="宋体"/>
                <w:vanish/>
              </w:rPr>
            </w:pPr>
          </w:p>
        </w:tc>
        <w:tc>
          <w:tcPr>
            <w:tcW w:w="0" w:type="auto"/>
            <w:gridSpan w:val="3"/>
            <w:shd w:val="clear" w:color="auto" w:fill="auto"/>
            <w:vAlign w:val="bottom"/>
          </w:tcPr>
          <w:p w14:paraId="4B9A36EA" w14:textId="77777777" w:rsidR="002A3970" w:rsidRDefault="002A3970">
            <w:pPr>
              <w:rPr>
                <w:rFonts w:ascii="宋体"/>
                <w:vanish/>
              </w:rPr>
            </w:pPr>
          </w:p>
        </w:tc>
        <w:tc>
          <w:tcPr>
            <w:tcW w:w="0" w:type="auto"/>
            <w:gridSpan w:val="3"/>
            <w:shd w:val="clear" w:color="auto" w:fill="auto"/>
            <w:vAlign w:val="bottom"/>
          </w:tcPr>
          <w:p w14:paraId="4B9A36EB" w14:textId="77777777" w:rsidR="002A3970" w:rsidRDefault="002A3970">
            <w:pPr>
              <w:rPr>
                <w:rFonts w:ascii="宋体"/>
                <w:vanish/>
              </w:rPr>
            </w:pPr>
          </w:p>
        </w:tc>
        <w:tc>
          <w:tcPr>
            <w:tcW w:w="0" w:type="auto"/>
            <w:gridSpan w:val="3"/>
            <w:shd w:val="clear" w:color="auto" w:fill="auto"/>
            <w:vAlign w:val="bottom"/>
          </w:tcPr>
          <w:p w14:paraId="4B9A36EC" w14:textId="77777777" w:rsidR="002A3970" w:rsidRDefault="002A3970">
            <w:pPr>
              <w:rPr>
                <w:rFonts w:ascii="宋体"/>
                <w:vanish/>
              </w:rPr>
            </w:pPr>
          </w:p>
        </w:tc>
        <w:tc>
          <w:tcPr>
            <w:tcW w:w="0" w:type="auto"/>
            <w:gridSpan w:val="3"/>
            <w:shd w:val="clear" w:color="auto" w:fill="auto"/>
            <w:vAlign w:val="bottom"/>
          </w:tcPr>
          <w:p w14:paraId="4B9A36ED" w14:textId="77777777" w:rsidR="002A3970" w:rsidRDefault="002A3970">
            <w:pPr>
              <w:rPr>
                <w:rFonts w:ascii="宋体"/>
                <w:vanish/>
              </w:rPr>
            </w:pPr>
          </w:p>
        </w:tc>
        <w:tc>
          <w:tcPr>
            <w:tcW w:w="0" w:type="auto"/>
            <w:gridSpan w:val="3"/>
            <w:shd w:val="clear" w:color="auto" w:fill="auto"/>
            <w:vAlign w:val="bottom"/>
          </w:tcPr>
          <w:p w14:paraId="4B9A36EE" w14:textId="77777777" w:rsidR="002A3970" w:rsidRDefault="002A3970">
            <w:pPr>
              <w:rPr>
                <w:rFonts w:ascii="宋体"/>
                <w:vanish/>
              </w:rPr>
            </w:pPr>
          </w:p>
        </w:tc>
        <w:tc>
          <w:tcPr>
            <w:tcW w:w="0" w:type="auto"/>
            <w:gridSpan w:val="3"/>
            <w:shd w:val="clear" w:color="auto" w:fill="auto"/>
            <w:vAlign w:val="bottom"/>
          </w:tcPr>
          <w:p w14:paraId="4B9A36EF" w14:textId="77777777" w:rsidR="002A3970" w:rsidRDefault="002A3970">
            <w:pPr>
              <w:rPr>
                <w:rFonts w:ascii="宋体"/>
                <w:vanish/>
              </w:rPr>
            </w:pPr>
          </w:p>
        </w:tc>
        <w:tc>
          <w:tcPr>
            <w:tcW w:w="0" w:type="auto"/>
            <w:gridSpan w:val="3"/>
            <w:shd w:val="clear" w:color="auto" w:fill="auto"/>
            <w:vAlign w:val="bottom"/>
          </w:tcPr>
          <w:p w14:paraId="4B9A36F0" w14:textId="77777777" w:rsidR="002A3970" w:rsidRDefault="002A3970">
            <w:pPr>
              <w:rPr>
                <w:rFonts w:ascii="宋体"/>
                <w:vanish/>
              </w:rPr>
            </w:pPr>
          </w:p>
        </w:tc>
        <w:tc>
          <w:tcPr>
            <w:tcW w:w="0" w:type="auto"/>
            <w:gridSpan w:val="3"/>
            <w:shd w:val="clear" w:color="auto" w:fill="auto"/>
            <w:vAlign w:val="bottom"/>
          </w:tcPr>
          <w:p w14:paraId="4B9A36F1" w14:textId="77777777" w:rsidR="002A3970" w:rsidRDefault="002A3970">
            <w:pPr>
              <w:rPr>
                <w:rFonts w:ascii="宋体"/>
                <w:vanish/>
              </w:rPr>
            </w:pPr>
          </w:p>
        </w:tc>
        <w:tc>
          <w:tcPr>
            <w:tcW w:w="0" w:type="auto"/>
            <w:gridSpan w:val="3"/>
            <w:shd w:val="clear" w:color="auto" w:fill="auto"/>
            <w:vAlign w:val="bottom"/>
          </w:tcPr>
          <w:p w14:paraId="4B9A36F2" w14:textId="77777777" w:rsidR="002A3970" w:rsidRDefault="002A3970">
            <w:pPr>
              <w:rPr>
                <w:rFonts w:ascii="宋体"/>
                <w:vanish/>
              </w:rPr>
            </w:pPr>
          </w:p>
        </w:tc>
        <w:tc>
          <w:tcPr>
            <w:tcW w:w="0" w:type="auto"/>
            <w:gridSpan w:val="3"/>
            <w:shd w:val="clear" w:color="auto" w:fill="auto"/>
            <w:vAlign w:val="bottom"/>
          </w:tcPr>
          <w:p w14:paraId="4B9A36F3" w14:textId="77777777" w:rsidR="002A3970" w:rsidRDefault="002A3970">
            <w:pPr>
              <w:rPr>
                <w:rFonts w:ascii="宋体"/>
                <w:vanish/>
              </w:rPr>
            </w:pPr>
          </w:p>
        </w:tc>
        <w:tc>
          <w:tcPr>
            <w:tcW w:w="0" w:type="auto"/>
            <w:gridSpan w:val="3"/>
            <w:shd w:val="clear" w:color="auto" w:fill="auto"/>
            <w:vAlign w:val="bottom"/>
          </w:tcPr>
          <w:p w14:paraId="4B9A36F4" w14:textId="77777777" w:rsidR="002A3970" w:rsidRDefault="002A3970">
            <w:pPr>
              <w:rPr>
                <w:rFonts w:ascii="宋体"/>
                <w:vanish/>
              </w:rPr>
            </w:pPr>
          </w:p>
        </w:tc>
        <w:tc>
          <w:tcPr>
            <w:tcW w:w="0" w:type="auto"/>
            <w:shd w:val="clear" w:color="auto" w:fill="auto"/>
            <w:vAlign w:val="bottom"/>
          </w:tcPr>
          <w:p w14:paraId="4B9A36F5" w14:textId="77777777" w:rsidR="002A3970" w:rsidRDefault="002A3970">
            <w:pPr>
              <w:rPr>
                <w:rFonts w:ascii="宋体"/>
                <w:vanish/>
              </w:rPr>
            </w:pPr>
          </w:p>
        </w:tc>
        <w:tc>
          <w:tcPr>
            <w:tcW w:w="0" w:type="auto"/>
            <w:shd w:val="clear" w:color="auto" w:fill="auto"/>
            <w:vAlign w:val="bottom"/>
          </w:tcPr>
          <w:p w14:paraId="4B9A36F6" w14:textId="77777777" w:rsidR="002A3970" w:rsidRDefault="002A3970">
            <w:pPr>
              <w:rPr>
                <w:rFonts w:ascii="宋体"/>
                <w:vanish/>
              </w:rPr>
            </w:pPr>
          </w:p>
        </w:tc>
        <w:tc>
          <w:tcPr>
            <w:tcW w:w="0" w:type="auto"/>
            <w:shd w:val="clear" w:color="auto" w:fill="auto"/>
            <w:vAlign w:val="bottom"/>
          </w:tcPr>
          <w:p w14:paraId="4B9A36F7" w14:textId="77777777" w:rsidR="002A3970" w:rsidRDefault="002A3970">
            <w:pPr>
              <w:rPr>
                <w:rFonts w:ascii="宋体"/>
                <w:vanish/>
              </w:rPr>
            </w:pPr>
          </w:p>
        </w:tc>
      </w:tr>
      <w:tr w:rsidR="002A3970" w14:paraId="4B9A370C" w14:textId="77777777">
        <w:trPr>
          <w:jc w:val="center"/>
          <w:hidden/>
        </w:trPr>
        <w:tc>
          <w:tcPr>
            <w:tcW w:w="0" w:type="auto"/>
            <w:gridSpan w:val="3"/>
            <w:shd w:val="clear" w:color="auto" w:fill="auto"/>
            <w:vAlign w:val="bottom"/>
          </w:tcPr>
          <w:p w14:paraId="4B9A36F9" w14:textId="77777777" w:rsidR="002A3970" w:rsidRDefault="002A3970">
            <w:pPr>
              <w:rPr>
                <w:rFonts w:ascii="宋体"/>
                <w:vanish/>
              </w:rPr>
            </w:pPr>
          </w:p>
        </w:tc>
        <w:tc>
          <w:tcPr>
            <w:tcW w:w="0" w:type="auto"/>
            <w:gridSpan w:val="3"/>
            <w:shd w:val="clear" w:color="auto" w:fill="auto"/>
            <w:vAlign w:val="bottom"/>
          </w:tcPr>
          <w:p w14:paraId="4B9A36FA" w14:textId="77777777" w:rsidR="002A3970" w:rsidRDefault="002A3970">
            <w:pPr>
              <w:rPr>
                <w:rFonts w:ascii="宋体"/>
                <w:vanish/>
              </w:rPr>
            </w:pPr>
          </w:p>
        </w:tc>
        <w:tc>
          <w:tcPr>
            <w:tcW w:w="0" w:type="auto"/>
            <w:gridSpan w:val="3"/>
            <w:shd w:val="clear" w:color="auto" w:fill="auto"/>
            <w:vAlign w:val="bottom"/>
          </w:tcPr>
          <w:p w14:paraId="4B9A36FB" w14:textId="77777777" w:rsidR="002A3970" w:rsidRDefault="002A3970">
            <w:pPr>
              <w:rPr>
                <w:rFonts w:ascii="宋体"/>
                <w:vanish/>
              </w:rPr>
            </w:pPr>
          </w:p>
        </w:tc>
        <w:tc>
          <w:tcPr>
            <w:tcW w:w="0" w:type="auto"/>
            <w:gridSpan w:val="3"/>
            <w:shd w:val="clear" w:color="auto" w:fill="auto"/>
            <w:vAlign w:val="bottom"/>
          </w:tcPr>
          <w:p w14:paraId="4B9A36FC" w14:textId="77777777" w:rsidR="002A3970" w:rsidRDefault="002A3970">
            <w:pPr>
              <w:rPr>
                <w:rFonts w:ascii="宋体"/>
                <w:vanish/>
              </w:rPr>
            </w:pPr>
          </w:p>
        </w:tc>
        <w:tc>
          <w:tcPr>
            <w:tcW w:w="0" w:type="auto"/>
            <w:gridSpan w:val="3"/>
            <w:shd w:val="clear" w:color="auto" w:fill="auto"/>
            <w:vAlign w:val="bottom"/>
          </w:tcPr>
          <w:p w14:paraId="4B9A36FD" w14:textId="77777777" w:rsidR="002A3970" w:rsidRDefault="002A3970">
            <w:pPr>
              <w:rPr>
                <w:rFonts w:ascii="宋体"/>
                <w:vanish/>
              </w:rPr>
            </w:pPr>
          </w:p>
        </w:tc>
        <w:tc>
          <w:tcPr>
            <w:tcW w:w="0" w:type="auto"/>
            <w:gridSpan w:val="3"/>
            <w:shd w:val="clear" w:color="auto" w:fill="auto"/>
            <w:vAlign w:val="bottom"/>
          </w:tcPr>
          <w:p w14:paraId="4B9A36FE" w14:textId="77777777" w:rsidR="002A3970" w:rsidRDefault="002A3970">
            <w:pPr>
              <w:rPr>
                <w:rFonts w:ascii="宋体"/>
                <w:vanish/>
              </w:rPr>
            </w:pPr>
          </w:p>
        </w:tc>
        <w:tc>
          <w:tcPr>
            <w:tcW w:w="0" w:type="auto"/>
            <w:gridSpan w:val="3"/>
            <w:shd w:val="clear" w:color="auto" w:fill="auto"/>
            <w:vAlign w:val="bottom"/>
          </w:tcPr>
          <w:p w14:paraId="4B9A36FF" w14:textId="77777777" w:rsidR="002A3970" w:rsidRDefault="002A3970">
            <w:pPr>
              <w:rPr>
                <w:rFonts w:ascii="宋体"/>
                <w:vanish/>
              </w:rPr>
            </w:pPr>
          </w:p>
        </w:tc>
        <w:tc>
          <w:tcPr>
            <w:tcW w:w="0" w:type="auto"/>
            <w:gridSpan w:val="3"/>
            <w:shd w:val="clear" w:color="auto" w:fill="auto"/>
            <w:vAlign w:val="bottom"/>
          </w:tcPr>
          <w:p w14:paraId="4B9A3700" w14:textId="77777777" w:rsidR="002A3970" w:rsidRDefault="002A3970">
            <w:pPr>
              <w:rPr>
                <w:rFonts w:ascii="宋体"/>
                <w:vanish/>
              </w:rPr>
            </w:pPr>
          </w:p>
        </w:tc>
        <w:tc>
          <w:tcPr>
            <w:tcW w:w="0" w:type="auto"/>
            <w:gridSpan w:val="3"/>
            <w:shd w:val="clear" w:color="auto" w:fill="auto"/>
            <w:vAlign w:val="bottom"/>
          </w:tcPr>
          <w:p w14:paraId="4B9A3701" w14:textId="77777777" w:rsidR="002A3970" w:rsidRDefault="002A3970">
            <w:pPr>
              <w:rPr>
                <w:rFonts w:ascii="宋体"/>
                <w:vanish/>
              </w:rPr>
            </w:pPr>
          </w:p>
        </w:tc>
        <w:tc>
          <w:tcPr>
            <w:tcW w:w="0" w:type="auto"/>
            <w:gridSpan w:val="3"/>
            <w:shd w:val="clear" w:color="auto" w:fill="auto"/>
            <w:vAlign w:val="bottom"/>
          </w:tcPr>
          <w:p w14:paraId="4B9A3702" w14:textId="77777777" w:rsidR="002A3970" w:rsidRDefault="002A3970">
            <w:pPr>
              <w:rPr>
                <w:rFonts w:ascii="宋体"/>
                <w:vanish/>
              </w:rPr>
            </w:pPr>
          </w:p>
        </w:tc>
        <w:tc>
          <w:tcPr>
            <w:tcW w:w="0" w:type="auto"/>
            <w:gridSpan w:val="3"/>
            <w:shd w:val="clear" w:color="auto" w:fill="auto"/>
            <w:vAlign w:val="bottom"/>
          </w:tcPr>
          <w:p w14:paraId="4B9A3703" w14:textId="77777777" w:rsidR="002A3970" w:rsidRDefault="002A3970">
            <w:pPr>
              <w:rPr>
                <w:rFonts w:ascii="宋体"/>
                <w:vanish/>
              </w:rPr>
            </w:pPr>
          </w:p>
        </w:tc>
        <w:tc>
          <w:tcPr>
            <w:tcW w:w="0" w:type="auto"/>
            <w:gridSpan w:val="3"/>
            <w:shd w:val="clear" w:color="auto" w:fill="auto"/>
            <w:vAlign w:val="bottom"/>
          </w:tcPr>
          <w:p w14:paraId="4B9A3704" w14:textId="77777777" w:rsidR="002A3970" w:rsidRDefault="002A3970">
            <w:pPr>
              <w:rPr>
                <w:rFonts w:ascii="宋体"/>
                <w:vanish/>
              </w:rPr>
            </w:pPr>
          </w:p>
        </w:tc>
        <w:tc>
          <w:tcPr>
            <w:tcW w:w="0" w:type="auto"/>
            <w:gridSpan w:val="3"/>
            <w:shd w:val="clear" w:color="auto" w:fill="auto"/>
            <w:vAlign w:val="bottom"/>
          </w:tcPr>
          <w:p w14:paraId="4B9A3705" w14:textId="77777777" w:rsidR="002A3970" w:rsidRDefault="002A3970">
            <w:pPr>
              <w:rPr>
                <w:rFonts w:ascii="宋体"/>
                <w:vanish/>
              </w:rPr>
            </w:pPr>
          </w:p>
        </w:tc>
        <w:tc>
          <w:tcPr>
            <w:tcW w:w="0" w:type="auto"/>
            <w:gridSpan w:val="3"/>
            <w:shd w:val="clear" w:color="auto" w:fill="auto"/>
            <w:vAlign w:val="bottom"/>
          </w:tcPr>
          <w:p w14:paraId="4B9A3706" w14:textId="77777777" w:rsidR="002A3970" w:rsidRDefault="002A3970">
            <w:pPr>
              <w:rPr>
                <w:rFonts w:ascii="宋体"/>
                <w:vanish/>
              </w:rPr>
            </w:pPr>
          </w:p>
        </w:tc>
        <w:tc>
          <w:tcPr>
            <w:tcW w:w="0" w:type="auto"/>
            <w:gridSpan w:val="3"/>
            <w:shd w:val="clear" w:color="auto" w:fill="auto"/>
            <w:vAlign w:val="bottom"/>
          </w:tcPr>
          <w:p w14:paraId="4B9A3707" w14:textId="77777777" w:rsidR="002A3970" w:rsidRDefault="002A3970">
            <w:pPr>
              <w:rPr>
                <w:rFonts w:ascii="宋体"/>
                <w:vanish/>
              </w:rPr>
            </w:pPr>
          </w:p>
        </w:tc>
        <w:tc>
          <w:tcPr>
            <w:tcW w:w="0" w:type="auto"/>
            <w:gridSpan w:val="3"/>
            <w:shd w:val="clear" w:color="auto" w:fill="auto"/>
            <w:vAlign w:val="bottom"/>
          </w:tcPr>
          <w:p w14:paraId="4B9A3708" w14:textId="77777777" w:rsidR="002A3970" w:rsidRDefault="002A3970">
            <w:pPr>
              <w:rPr>
                <w:rFonts w:ascii="宋体"/>
                <w:vanish/>
              </w:rPr>
            </w:pPr>
          </w:p>
        </w:tc>
        <w:tc>
          <w:tcPr>
            <w:tcW w:w="0" w:type="auto"/>
            <w:shd w:val="clear" w:color="auto" w:fill="auto"/>
            <w:vAlign w:val="bottom"/>
          </w:tcPr>
          <w:p w14:paraId="4B9A3709" w14:textId="77777777" w:rsidR="002A3970" w:rsidRDefault="002A3970">
            <w:pPr>
              <w:rPr>
                <w:rFonts w:ascii="宋体"/>
                <w:vanish/>
              </w:rPr>
            </w:pPr>
          </w:p>
        </w:tc>
        <w:tc>
          <w:tcPr>
            <w:tcW w:w="0" w:type="auto"/>
            <w:shd w:val="clear" w:color="auto" w:fill="auto"/>
            <w:vAlign w:val="bottom"/>
          </w:tcPr>
          <w:p w14:paraId="4B9A370A" w14:textId="77777777" w:rsidR="002A3970" w:rsidRDefault="002A3970">
            <w:pPr>
              <w:rPr>
                <w:rFonts w:ascii="宋体"/>
                <w:vanish/>
              </w:rPr>
            </w:pPr>
          </w:p>
        </w:tc>
        <w:tc>
          <w:tcPr>
            <w:tcW w:w="0" w:type="auto"/>
            <w:shd w:val="clear" w:color="auto" w:fill="auto"/>
            <w:vAlign w:val="bottom"/>
          </w:tcPr>
          <w:p w14:paraId="4B9A370B" w14:textId="77777777" w:rsidR="002A3970" w:rsidRDefault="002A3970">
            <w:pPr>
              <w:rPr>
                <w:rFonts w:ascii="宋体"/>
                <w:vanish/>
              </w:rPr>
            </w:pPr>
          </w:p>
        </w:tc>
      </w:tr>
      <w:tr w:rsidR="002A3970" w14:paraId="4B9A3720" w14:textId="77777777">
        <w:trPr>
          <w:jc w:val="center"/>
          <w:hidden/>
        </w:trPr>
        <w:tc>
          <w:tcPr>
            <w:tcW w:w="0" w:type="auto"/>
            <w:gridSpan w:val="3"/>
            <w:shd w:val="clear" w:color="auto" w:fill="auto"/>
            <w:vAlign w:val="bottom"/>
          </w:tcPr>
          <w:p w14:paraId="4B9A370D" w14:textId="77777777" w:rsidR="002A3970" w:rsidRDefault="002A3970">
            <w:pPr>
              <w:rPr>
                <w:rFonts w:ascii="宋体"/>
                <w:vanish/>
              </w:rPr>
            </w:pPr>
          </w:p>
        </w:tc>
        <w:tc>
          <w:tcPr>
            <w:tcW w:w="0" w:type="auto"/>
            <w:gridSpan w:val="3"/>
            <w:shd w:val="clear" w:color="auto" w:fill="auto"/>
            <w:vAlign w:val="bottom"/>
          </w:tcPr>
          <w:p w14:paraId="4B9A370E" w14:textId="77777777" w:rsidR="002A3970" w:rsidRDefault="002A3970">
            <w:pPr>
              <w:rPr>
                <w:rFonts w:ascii="宋体"/>
                <w:vanish/>
              </w:rPr>
            </w:pPr>
          </w:p>
        </w:tc>
        <w:tc>
          <w:tcPr>
            <w:tcW w:w="0" w:type="auto"/>
            <w:gridSpan w:val="3"/>
            <w:shd w:val="clear" w:color="auto" w:fill="auto"/>
            <w:vAlign w:val="bottom"/>
          </w:tcPr>
          <w:p w14:paraId="4B9A370F" w14:textId="77777777" w:rsidR="002A3970" w:rsidRDefault="002A3970">
            <w:pPr>
              <w:rPr>
                <w:rFonts w:ascii="宋体"/>
                <w:vanish/>
              </w:rPr>
            </w:pPr>
          </w:p>
        </w:tc>
        <w:tc>
          <w:tcPr>
            <w:tcW w:w="0" w:type="auto"/>
            <w:gridSpan w:val="3"/>
            <w:shd w:val="clear" w:color="auto" w:fill="auto"/>
            <w:vAlign w:val="bottom"/>
          </w:tcPr>
          <w:p w14:paraId="4B9A3710" w14:textId="77777777" w:rsidR="002A3970" w:rsidRDefault="002A3970">
            <w:pPr>
              <w:rPr>
                <w:rFonts w:ascii="宋体"/>
                <w:vanish/>
              </w:rPr>
            </w:pPr>
          </w:p>
        </w:tc>
        <w:tc>
          <w:tcPr>
            <w:tcW w:w="0" w:type="auto"/>
            <w:gridSpan w:val="3"/>
            <w:shd w:val="clear" w:color="auto" w:fill="auto"/>
            <w:vAlign w:val="bottom"/>
          </w:tcPr>
          <w:p w14:paraId="4B9A3711" w14:textId="77777777" w:rsidR="002A3970" w:rsidRDefault="002A3970">
            <w:pPr>
              <w:rPr>
                <w:rFonts w:ascii="宋体"/>
                <w:vanish/>
              </w:rPr>
            </w:pPr>
          </w:p>
        </w:tc>
        <w:tc>
          <w:tcPr>
            <w:tcW w:w="0" w:type="auto"/>
            <w:gridSpan w:val="3"/>
            <w:shd w:val="clear" w:color="auto" w:fill="auto"/>
            <w:vAlign w:val="bottom"/>
          </w:tcPr>
          <w:p w14:paraId="4B9A3712" w14:textId="77777777" w:rsidR="002A3970" w:rsidRDefault="002A3970">
            <w:pPr>
              <w:rPr>
                <w:rFonts w:ascii="宋体"/>
                <w:vanish/>
              </w:rPr>
            </w:pPr>
          </w:p>
        </w:tc>
        <w:tc>
          <w:tcPr>
            <w:tcW w:w="0" w:type="auto"/>
            <w:gridSpan w:val="3"/>
            <w:shd w:val="clear" w:color="auto" w:fill="auto"/>
            <w:vAlign w:val="bottom"/>
          </w:tcPr>
          <w:p w14:paraId="4B9A3713" w14:textId="77777777" w:rsidR="002A3970" w:rsidRDefault="002A3970">
            <w:pPr>
              <w:rPr>
                <w:rFonts w:ascii="宋体"/>
                <w:vanish/>
              </w:rPr>
            </w:pPr>
          </w:p>
        </w:tc>
        <w:tc>
          <w:tcPr>
            <w:tcW w:w="0" w:type="auto"/>
            <w:gridSpan w:val="3"/>
            <w:shd w:val="clear" w:color="auto" w:fill="auto"/>
            <w:vAlign w:val="bottom"/>
          </w:tcPr>
          <w:p w14:paraId="4B9A3714" w14:textId="77777777" w:rsidR="002A3970" w:rsidRDefault="002A3970">
            <w:pPr>
              <w:rPr>
                <w:rFonts w:ascii="宋体"/>
                <w:vanish/>
              </w:rPr>
            </w:pPr>
          </w:p>
        </w:tc>
        <w:tc>
          <w:tcPr>
            <w:tcW w:w="0" w:type="auto"/>
            <w:gridSpan w:val="3"/>
            <w:shd w:val="clear" w:color="auto" w:fill="auto"/>
            <w:vAlign w:val="bottom"/>
          </w:tcPr>
          <w:p w14:paraId="4B9A3715" w14:textId="77777777" w:rsidR="002A3970" w:rsidRDefault="002A3970">
            <w:pPr>
              <w:rPr>
                <w:rFonts w:ascii="宋体"/>
                <w:vanish/>
              </w:rPr>
            </w:pPr>
          </w:p>
        </w:tc>
        <w:tc>
          <w:tcPr>
            <w:tcW w:w="0" w:type="auto"/>
            <w:gridSpan w:val="3"/>
            <w:shd w:val="clear" w:color="auto" w:fill="auto"/>
            <w:vAlign w:val="bottom"/>
          </w:tcPr>
          <w:p w14:paraId="4B9A3716" w14:textId="77777777" w:rsidR="002A3970" w:rsidRDefault="002A3970">
            <w:pPr>
              <w:rPr>
                <w:rFonts w:ascii="宋体"/>
                <w:vanish/>
              </w:rPr>
            </w:pPr>
          </w:p>
        </w:tc>
        <w:tc>
          <w:tcPr>
            <w:tcW w:w="0" w:type="auto"/>
            <w:gridSpan w:val="3"/>
            <w:shd w:val="clear" w:color="auto" w:fill="auto"/>
            <w:vAlign w:val="bottom"/>
          </w:tcPr>
          <w:p w14:paraId="4B9A3717" w14:textId="77777777" w:rsidR="002A3970" w:rsidRDefault="002A3970">
            <w:pPr>
              <w:rPr>
                <w:rFonts w:ascii="宋体"/>
                <w:vanish/>
              </w:rPr>
            </w:pPr>
          </w:p>
        </w:tc>
        <w:tc>
          <w:tcPr>
            <w:tcW w:w="0" w:type="auto"/>
            <w:gridSpan w:val="3"/>
            <w:shd w:val="clear" w:color="auto" w:fill="auto"/>
            <w:vAlign w:val="bottom"/>
          </w:tcPr>
          <w:p w14:paraId="4B9A3718" w14:textId="77777777" w:rsidR="002A3970" w:rsidRDefault="002A3970">
            <w:pPr>
              <w:rPr>
                <w:rFonts w:ascii="宋体"/>
                <w:vanish/>
              </w:rPr>
            </w:pPr>
          </w:p>
        </w:tc>
        <w:tc>
          <w:tcPr>
            <w:tcW w:w="0" w:type="auto"/>
            <w:gridSpan w:val="3"/>
            <w:shd w:val="clear" w:color="auto" w:fill="auto"/>
            <w:vAlign w:val="bottom"/>
          </w:tcPr>
          <w:p w14:paraId="4B9A3719" w14:textId="77777777" w:rsidR="002A3970" w:rsidRDefault="002A3970">
            <w:pPr>
              <w:rPr>
                <w:rFonts w:ascii="宋体"/>
                <w:vanish/>
              </w:rPr>
            </w:pPr>
          </w:p>
        </w:tc>
        <w:tc>
          <w:tcPr>
            <w:tcW w:w="0" w:type="auto"/>
            <w:gridSpan w:val="3"/>
            <w:shd w:val="clear" w:color="auto" w:fill="auto"/>
            <w:vAlign w:val="bottom"/>
          </w:tcPr>
          <w:p w14:paraId="4B9A371A" w14:textId="77777777" w:rsidR="002A3970" w:rsidRDefault="002A3970">
            <w:pPr>
              <w:rPr>
                <w:rFonts w:ascii="宋体"/>
                <w:vanish/>
              </w:rPr>
            </w:pPr>
          </w:p>
        </w:tc>
        <w:tc>
          <w:tcPr>
            <w:tcW w:w="0" w:type="auto"/>
            <w:gridSpan w:val="3"/>
            <w:shd w:val="clear" w:color="auto" w:fill="auto"/>
            <w:vAlign w:val="bottom"/>
          </w:tcPr>
          <w:p w14:paraId="4B9A371B" w14:textId="77777777" w:rsidR="002A3970" w:rsidRDefault="002A3970">
            <w:pPr>
              <w:rPr>
                <w:rFonts w:ascii="宋体"/>
                <w:vanish/>
              </w:rPr>
            </w:pPr>
          </w:p>
        </w:tc>
        <w:tc>
          <w:tcPr>
            <w:tcW w:w="0" w:type="auto"/>
            <w:gridSpan w:val="3"/>
            <w:shd w:val="clear" w:color="auto" w:fill="auto"/>
            <w:vAlign w:val="bottom"/>
          </w:tcPr>
          <w:p w14:paraId="4B9A371C" w14:textId="77777777" w:rsidR="002A3970" w:rsidRDefault="002A3970">
            <w:pPr>
              <w:rPr>
                <w:rFonts w:ascii="宋体"/>
                <w:vanish/>
              </w:rPr>
            </w:pPr>
          </w:p>
        </w:tc>
        <w:tc>
          <w:tcPr>
            <w:tcW w:w="0" w:type="auto"/>
            <w:shd w:val="clear" w:color="auto" w:fill="auto"/>
            <w:vAlign w:val="bottom"/>
          </w:tcPr>
          <w:p w14:paraId="4B9A371D" w14:textId="77777777" w:rsidR="002A3970" w:rsidRDefault="002A3970">
            <w:pPr>
              <w:rPr>
                <w:rFonts w:ascii="宋体"/>
                <w:vanish/>
              </w:rPr>
            </w:pPr>
          </w:p>
        </w:tc>
        <w:tc>
          <w:tcPr>
            <w:tcW w:w="0" w:type="auto"/>
            <w:shd w:val="clear" w:color="auto" w:fill="auto"/>
            <w:vAlign w:val="bottom"/>
          </w:tcPr>
          <w:p w14:paraId="4B9A371E" w14:textId="77777777" w:rsidR="002A3970" w:rsidRDefault="002A3970">
            <w:pPr>
              <w:rPr>
                <w:rFonts w:ascii="宋体"/>
                <w:vanish/>
              </w:rPr>
            </w:pPr>
          </w:p>
        </w:tc>
        <w:tc>
          <w:tcPr>
            <w:tcW w:w="0" w:type="auto"/>
            <w:shd w:val="clear" w:color="auto" w:fill="auto"/>
            <w:vAlign w:val="bottom"/>
          </w:tcPr>
          <w:p w14:paraId="4B9A371F" w14:textId="77777777" w:rsidR="002A3970" w:rsidRDefault="002A3970">
            <w:pPr>
              <w:rPr>
                <w:rFonts w:ascii="宋体"/>
                <w:vanish/>
              </w:rPr>
            </w:pPr>
          </w:p>
        </w:tc>
      </w:tr>
      <w:tr w:rsidR="002A3970" w14:paraId="4B9A3734" w14:textId="77777777">
        <w:trPr>
          <w:jc w:val="center"/>
          <w:hidden/>
        </w:trPr>
        <w:tc>
          <w:tcPr>
            <w:tcW w:w="0" w:type="auto"/>
            <w:gridSpan w:val="3"/>
            <w:shd w:val="clear" w:color="auto" w:fill="auto"/>
            <w:vAlign w:val="bottom"/>
          </w:tcPr>
          <w:p w14:paraId="4B9A3721" w14:textId="77777777" w:rsidR="002A3970" w:rsidRDefault="002A3970">
            <w:pPr>
              <w:rPr>
                <w:rFonts w:ascii="宋体"/>
                <w:vanish/>
              </w:rPr>
            </w:pPr>
          </w:p>
        </w:tc>
        <w:tc>
          <w:tcPr>
            <w:tcW w:w="0" w:type="auto"/>
            <w:gridSpan w:val="3"/>
            <w:shd w:val="clear" w:color="auto" w:fill="auto"/>
            <w:vAlign w:val="bottom"/>
          </w:tcPr>
          <w:p w14:paraId="4B9A3722" w14:textId="77777777" w:rsidR="002A3970" w:rsidRDefault="002A3970">
            <w:pPr>
              <w:rPr>
                <w:rFonts w:ascii="宋体"/>
                <w:vanish/>
              </w:rPr>
            </w:pPr>
          </w:p>
        </w:tc>
        <w:tc>
          <w:tcPr>
            <w:tcW w:w="0" w:type="auto"/>
            <w:gridSpan w:val="3"/>
            <w:shd w:val="clear" w:color="auto" w:fill="auto"/>
            <w:vAlign w:val="bottom"/>
          </w:tcPr>
          <w:p w14:paraId="4B9A3723" w14:textId="77777777" w:rsidR="002A3970" w:rsidRDefault="002A3970">
            <w:pPr>
              <w:rPr>
                <w:rFonts w:ascii="宋体"/>
                <w:vanish/>
              </w:rPr>
            </w:pPr>
          </w:p>
        </w:tc>
        <w:tc>
          <w:tcPr>
            <w:tcW w:w="0" w:type="auto"/>
            <w:gridSpan w:val="3"/>
            <w:shd w:val="clear" w:color="auto" w:fill="auto"/>
            <w:vAlign w:val="bottom"/>
          </w:tcPr>
          <w:p w14:paraId="4B9A3724" w14:textId="77777777" w:rsidR="002A3970" w:rsidRDefault="002A3970">
            <w:pPr>
              <w:rPr>
                <w:rFonts w:ascii="宋体"/>
                <w:vanish/>
              </w:rPr>
            </w:pPr>
          </w:p>
        </w:tc>
        <w:tc>
          <w:tcPr>
            <w:tcW w:w="0" w:type="auto"/>
            <w:gridSpan w:val="3"/>
            <w:shd w:val="clear" w:color="auto" w:fill="auto"/>
            <w:vAlign w:val="bottom"/>
          </w:tcPr>
          <w:p w14:paraId="4B9A3725" w14:textId="77777777" w:rsidR="002A3970" w:rsidRDefault="002A3970">
            <w:pPr>
              <w:rPr>
                <w:rFonts w:ascii="宋体"/>
                <w:vanish/>
              </w:rPr>
            </w:pPr>
          </w:p>
        </w:tc>
        <w:tc>
          <w:tcPr>
            <w:tcW w:w="0" w:type="auto"/>
            <w:gridSpan w:val="3"/>
            <w:shd w:val="clear" w:color="auto" w:fill="auto"/>
            <w:vAlign w:val="bottom"/>
          </w:tcPr>
          <w:p w14:paraId="4B9A3726" w14:textId="77777777" w:rsidR="002A3970" w:rsidRDefault="002A3970">
            <w:pPr>
              <w:rPr>
                <w:rFonts w:ascii="宋体"/>
                <w:vanish/>
              </w:rPr>
            </w:pPr>
          </w:p>
        </w:tc>
        <w:tc>
          <w:tcPr>
            <w:tcW w:w="0" w:type="auto"/>
            <w:gridSpan w:val="3"/>
            <w:shd w:val="clear" w:color="auto" w:fill="auto"/>
            <w:vAlign w:val="bottom"/>
          </w:tcPr>
          <w:p w14:paraId="4B9A3727" w14:textId="77777777" w:rsidR="002A3970" w:rsidRDefault="002A3970">
            <w:pPr>
              <w:rPr>
                <w:rFonts w:ascii="宋体"/>
                <w:vanish/>
              </w:rPr>
            </w:pPr>
          </w:p>
        </w:tc>
        <w:tc>
          <w:tcPr>
            <w:tcW w:w="0" w:type="auto"/>
            <w:gridSpan w:val="3"/>
            <w:shd w:val="clear" w:color="auto" w:fill="auto"/>
            <w:vAlign w:val="bottom"/>
          </w:tcPr>
          <w:p w14:paraId="4B9A3728" w14:textId="77777777" w:rsidR="002A3970" w:rsidRDefault="002A3970">
            <w:pPr>
              <w:rPr>
                <w:rFonts w:ascii="宋体"/>
                <w:vanish/>
              </w:rPr>
            </w:pPr>
          </w:p>
        </w:tc>
        <w:tc>
          <w:tcPr>
            <w:tcW w:w="0" w:type="auto"/>
            <w:gridSpan w:val="3"/>
            <w:shd w:val="clear" w:color="auto" w:fill="auto"/>
            <w:vAlign w:val="bottom"/>
          </w:tcPr>
          <w:p w14:paraId="4B9A3729" w14:textId="77777777" w:rsidR="002A3970" w:rsidRDefault="002A3970">
            <w:pPr>
              <w:rPr>
                <w:rFonts w:ascii="宋体"/>
                <w:vanish/>
              </w:rPr>
            </w:pPr>
          </w:p>
        </w:tc>
        <w:tc>
          <w:tcPr>
            <w:tcW w:w="0" w:type="auto"/>
            <w:gridSpan w:val="3"/>
            <w:shd w:val="clear" w:color="auto" w:fill="auto"/>
            <w:vAlign w:val="bottom"/>
          </w:tcPr>
          <w:p w14:paraId="4B9A372A" w14:textId="77777777" w:rsidR="002A3970" w:rsidRDefault="002A3970">
            <w:pPr>
              <w:rPr>
                <w:rFonts w:ascii="宋体"/>
                <w:vanish/>
              </w:rPr>
            </w:pPr>
          </w:p>
        </w:tc>
        <w:tc>
          <w:tcPr>
            <w:tcW w:w="0" w:type="auto"/>
            <w:gridSpan w:val="3"/>
            <w:shd w:val="clear" w:color="auto" w:fill="auto"/>
            <w:vAlign w:val="bottom"/>
          </w:tcPr>
          <w:p w14:paraId="4B9A372B" w14:textId="77777777" w:rsidR="002A3970" w:rsidRDefault="002A3970">
            <w:pPr>
              <w:rPr>
                <w:rFonts w:ascii="宋体"/>
                <w:vanish/>
              </w:rPr>
            </w:pPr>
          </w:p>
        </w:tc>
        <w:tc>
          <w:tcPr>
            <w:tcW w:w="0" w:type="auto"/>
            <w:gridSpan w:val="3"/>
            <w:shd w:val="clear" w:color="auto" w:fill="auto"/>
            <w:vAlign w:val="bottom"/>
          </w:tcPr>
          <w:p w14:paraId="4B9A372C" w14:textId="77777777" w:rsidR="002A3970" w:rsidRDefault="002A3970">
            <w:pPr>
              <w:rPr>
                <w:rFonts w:ascii="宋体"/>
                <w:vanish/>
              </w:rPr>
            </w:pPr>
          </w:p>
        </w:tc>
        <w:tc>
          <w:tcPr>
            <w:tcW w:w="0" w:type="auto"/>
            <w:gridSpan w:val="3"/>
            <w:shd w:val="clear" w:color="auto" w:fill="auto"/>
            <w:vAlign w:val="bottom"/>
          </w:tcPr>
          <w:p w14:paraId="4B9A372D" w14:textId="77777777" w:rsidR="002A3970" w:rsidRDefault="002A3970">
            <w:pPr>
              <w:rPr>
                <w:rFonts w:ascii="宋体"/>
                <w:vanish/>
              </w:rPr>
            </w:pPr>
          </w:p>
        </w:tc>
        <w:tc>
          <w:tcPr>
            <w:tcW w:w="0" w:type="auto"/>
            <w:gridSpan w:val="3"/>
            <w:shd w:val="clear" w:color="auto" w:fill="auto"/>
            <w:vAlign w:val="bottom"/>
          </w:tcPr>
          <w:p w14:paraId="4B9A372E" w14:textId="77777777" w:rsidR="002A3970" w:rsidRDefault="002A3970">
            <w:pPr>
              <w:rPr>
                <w:rFonts w:ascii="宋体"/>
                <w:vanish/>
              </w:rPr>
            </w:pPr>
          </w:p>
        </w:tc>
        <w:tc>
          <w:tcPr>
            <w:tcW w:w="0" w:type="auto"/>
            <w:gridSpan w:val="3"/>
            <w:shd w:val="clear" w:color="auto" w:fill="auto"/>
            <w:vAlign w:val="bottom"/>
          </w:tcPr>
          <w:p w14:paraId="4B9A372F" w14:textId="77777777" w:rsidR="002A3970" w:rsidRDefault="002A3970">
            <w:pPr>
              <w:rPr>
                <w:rFonts w:ascii="宋体"/>
                <w:vanish/>
              </w:rPr>
            </w:pPr>
          </w:p>
        </w:tc>
        <w:tc>
          <w:tcPr>
            <w:tcW w:w="0" w:type="auto"/>
            <w:gridSpan w:val="3"/>
            <w:shd w:val="clear" w:color="auto" w:fill="auto"/>
            <w:vAlign w:val="bottom"/>
          </w:tcPr>
          <w:p w14:paraId="4B9A3730" w14:textId="77777777" w:rsidR="002A3970" w:rsidRDefault="002A3970">
            <w:pPr>
              <w:rPr>
                <w:rFonts w:ascii="宋体"/>
                <w:vanish/>
              </w:rPr>
            </w:pPr>
          </w:p>
        </w:tc>
        <w:tc>
          <w:tcPr>
            <w:tcW w:w="0" w:type="auto"/>
            <w:shd w:val="clear" w:color="auto" w:fill="auto"/>
            <w:vAlign w:val="bottom"/>
          </w:tcPr>
          <w:p w14:paraId="4B9A3731" w14:textId="77777777" w:rsidR="002A3970" w:rsidRDefault="002A3970">
            <w:pPr>
              <w:rPr>
                <w:rFonts w:ascii="宋体"/>
                <w:vanish/>
              </w:rPr>
            </w:pPr>
          </w:p>
        </w:tc>
        <w:tc>
          <w:tcPr>
            <w:tcW w:w="0" w:type="auto"/>
            <w:shd w:val="clear" w:color="auto" w:fill="auto"/>
            <w:vAlign w:val="bottom"/>
          </w:tcPr>
          <w:p w14:paraId="4B9A3732" w14:textId="77777777" w:rsidR="002A3970" w:rsidRDefault="002A3970">
            <w:pPr>
              <w:rPr>
                <w:rFonts w:ascii="宋体"/>
                <w:vanish/>
              </w:rPr>
            </w:pPr>
          </w:p>
        </w:tc>
        <w:tc>
          <w:tcPr>
            <w:tcW w:w="0" w:type="auto"/>
            <w:shd w:val="clear" w:color="auto" w:fill="auto"/>
            <w:vAlign w:val="bottom"/>
          </w:tcPr>
          <w:p w14:paraId="4B9A3733" w14:textId="77777777" w:rsidR="002A3970" w:rsidRDefault="002A3970">
            <w:pPr>
              <w:rPr>
                <w:rFonts w:ascii="宋体"/>
                <w:vanish/>
              </w:rPr>
            </w:pPr>
          </w:p>
        </w:tc>
      </w:tr>
    </w:tbl>
    <w:p w14:paraId="4B9A3735" w14:textId="77777777" w:rsidR="002A3970" w:rsidRDefault="00C35E63">
      <w:pPr>
        <w:jc w:val="center"/>
      </w:pPr>
      <w:r>
        <w:rPr>
          <w:rFonts w:ascii="Times New Roman" w:eastAsia="宋体" w:hAnsi="Times New Roman"/>
          <w:color w:val="000000"/>
          <w:sz w:val="20"/>
          <w:szCs w:val="20"/>
        </w:rPr>
        <w:t>        </w:t>
      </w:r>
    </w:p>
    <w:p w14:paraId="4B9A3736" w14:textId="77777777" w:rsidR="002A3970" w:rsidRDefault="00C35E63">
      <w:pPr>
        <w:spacing w:before="80"/>
      </w:pPr>
      <w:r>
        <w:rPr>
          <w:rFonts w:ascii="Times New Roman" w:eastAsia="宋体" w:hAnsi="Times New Roman"/>
          <w:i/>
          <w:iCs/>
          <w:color w:val="000000"/>
          <w:sz w:val="16"/>
          <w:szCs w:val="16"/>
        </w:rPr>
        <w:t xml:space="preserve">See accompanying notes. </w:t>
      </w:r>
    </w:p>
    <w:p w14:paraId="4B9A3737" w14:textId="77777777" w:rsidR="002A3970" w:rsidRDefault="00C35E63">
      <w:pPr>
        <w:jc w:val="center"/>
      </w:pPr>
      <w:r>
        <w:rPr>
          <w:rFonts w:ascii="Times New Roman" w:eastAsia="宋体" w:hAnsi="Times New Roman"/>
          <w:color w:val="000000"/>
          <w:sz w:val="20"/>
          <w:szCs w:val="20"/>
        </w:rPr>
        <w:t>7</w:t>
      </w:r>
    </w:p>
    <w:p w14:paraId="4B9A3738" w14:textId="77777777" w:rsidR="002A3970" w:rsidRDefault="00C35E63">
      <w:r>
        <w:pict w14:anchorId="4B9A4C1C">
          <v:rect id="_x0000_i1031" style="width:415.3pt;height:1.5pt" o:hralign="center" o:hrstd="t" o:hr="t" fillcolor="#a0a0a0" stroked="f"/>
        </w:pict>
      </w:r>
    </w:p>
    <w:p w14:paraId="4B9A3739" w14:textId="77777777" w:rsidR="002A3970" w:rsidRDefault="00C35E63">
      <w:hyperlink r:id="rId46" w:anchor="i0522a2f6333e456295d59e779af751cb_7" w:history="1">
        <w:r>
          <w:rPr>
            <w:rStyle w:val="a5"/>
            <w:rFonts w:ascii="Times New Roman" w:eastAsia="宋体" w:hAnsi="Times New Roman"/>
            <w:sz w:val="20"/>
            <w:szCs w:val="20"/>
          </w:rPr>
          <w:t>Table of Contents</w:t>
        </w:r>
      </w:hyperlink>
    </w:p>
    <w:p w14:paraId="4B9A373A" w14:textId="77777777" w:rsidR="002A3970" w:rsidRDefault="00C35E63">
      <w:pPr>
        <w:jc w:val="center"/>
      </w:pPr>
      <w:r>
        <w:rPr>
          <w:rFonts w:ascii="Times New Roman" w:eastAsia="宋体" w:hAnsi="Times New Roman"/>
          <w:b/>
          <w:bCs/>
          <w:color w:val="000000"/>
          <w:sz w:val="20"/>
          <w:szCs w:val="20"/>
        </w:rPr>
        <w:t>Walmart Inc.</w:t>
      </w:r>
    </w:p>
    <w:p w14:paraId="4B9A373B" w14:textId="77777777" w:rsidR="002A3970" w:rsidRDefault="00C35E63">
      <w:pPr>
        <w:spacing w:before="60"/>
        <w:jc w:val="center"/>
      </w:pPr>
      <w:r>
        <w:rPr>
          <w:rFonts w:ascii="Times New Roman" w:eastAsia="宋体" w:hAnsi="Times New Roman"/>
          <w:b/>
          <w:bCs/>
          <w:color w:val="000000"/>
          <w:sz w:val="20"/>
          <w:szCs w:val="20"/>
        </w:rPr>
        <w:t>Condensed Consolidated Statements of Cash Flows</w:t>
      </w:r>
    </w:p>
    <w:p w14:paraId="4B9A373C" w14:textId="77777777" w:rsidR="002A3970" w:rsidRDefault="00C35E63">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40"/>
        <w:gridCol w:w="36"/>
        <w:gridCol w:w="36"/>
        <w:gridCol w:w="36"/>
        <w:gridCol w:w="100"/>
        <w:gridCol w:w="756"/>
        <w:gridCol w:w="36"/>
        <w:gridCol w:w="36"/>
        <w:gridCol w:w="36"/>
        <w:gridCol w:w="36"/>
        <w:gridCol w:w="100"/>
        <w:gridCol w:w="781"/>
        <w:gridCol w:w="36"/>
        <w:gridCol w:w="36"/>
        <w:gridCol w:w="36"/>
      </w:tblGrid>
      <w:tr w:rsidR="002A3970" w14:paraId="4B9A374E" w14:textId="77777777">
        <w:tc>
          <w:tcPr>
            <w:tcW w:w="50" w:type="pct"/>
            <w:shd w:val="clear" w:color="auto" w:fill="auto"/>
            <w:vAlign w:val="bottom"/>
          </w:tcPr>
          <w:p w14:paraId="4B9A373D" w14:textId="77777777" w:rsidR="002A3970" w:rsidRDefault="002A3970">
            <w:pPr>
              <w:rPr>
                <w:rFonts w:ascii="宋体"/>
              </w:rPr>
            </w:pPr>
          </w:p>
        </w:tc>
        <w:tc>
          <w:tcPr>
            <w:tcW w:w="3746" w:type="pct"/>
            <w:shd w:val="clear" w:color="auto" w:fill="auto"/>
            <w:vAlign w:val="bottom"/>
          </w:tcPr>
          <w:p w14:paraId="4B9A373E" w14:textId="77777777" w:rsidR="002A3970" w:rsidRDefault="002A3970">
            <w:pPr>
              <w:rPr>
                <w:rFonts w:ascii="宋体"/>
              </w:rPr>
            </w:pPr>
          </w:p>
        </w:tc>
        <w:tc>
          <w:tcPr>
            <w:tcW w:w="5" w:type="pct"/>
            <w:shd w:val="clear" w:color="auto" w:fill="auto"/>
            <w:vAlign w:val="bottom"/>
          </w:tcPr>
          <w:p w14:paraId="4B9A373F" w14:textId="77777777" w:rsidR="002A3970" w:rsidRDefault="002A3970">
            <w:pPr>
              <w:rPr>
                <w:rFonts w:ascii="宋体"/>
              </w:rPr>
            </w:pPr>
          </w:p>
        </w:tc>
        <w:tc>
          <w:tcPr>
            <w:tcW w:w="5" w:type="pct"/>
            <w:shd w:val="clear" w:color="auto" w:fill="auto"/>
            <w:vAlign w:val="bottom"/>
          </w:tcPr>
          <w:p w14:paraId="4B9A3740" w14:textId="77777777" w:rsidR="002A3970" w:rsidRDefault="002A3970">
            <w:pPr>
              <w:rPr>
                <w:rFonts w:ascii="宋体"/>
              </w:rPr>
            </w:pPr>
          </w:p>
        </w:tc>
        <w:tc>
          <w:tcPr>
            <w:tcW w:w="26" w:type="pct"/>
            <w:shd w:val="clear" w:color="auto" w:fill="auto"/>
            <w:vAlign w:val="bottom"/>
          </w:tcPr>
          <w:p w14:paraId="4B9A3741" w14:textId="77777777" w:rsidR="002A3970" w:rsidRDefault="002A3970">
            <w:pPr>
              <w:rPr>
                <w:rFonts w:ascii="宋体"/>
              </w:rPr>
            </w:pPr>
          </w:p>
        </w:tc>
        <w:tc>
          <w:tcPr>
            <w:tcW w:w="5" w:type="pct"/>
            <w:shd w:val="clear" w:color="auto" w:fill="auto"/>
            <w:vAlign w:val="bottom"/>
          </w:tcPr>
          <w:p w14:paraId="4B9A3742" w14:textId="77777777" w:rsidR="002A3970" w:rsidRDefault="002A3970">
            <w:pPr>
              <w:rPr>
                <w:rFonts w:ascii="宋体"/>
              </w:rPr>
            </w:pPr>
          </w:p>
        </w:tc>
        <w:tc>
          <w:tcPr>
            <w:tcW w:w="50" w:type="pct"/>
            <w:shd w:val="clear" w:color="auto" w:fill="auto"/>
            <w:vAlign w:val="bottom"/>
          </w:tcPr>
          <w:p w14:paraId="4B9A3743" w14:textId="77777777" w:rsidR="002A3970" w:rsidRDefault="002A3970">
            <w:pPr>
              <w:rPr>
                <w:rFonts w:ascii="宋体"/>
              </w:rPr>
            </w:pPr>
          </w:p>
        </w:tc>
        <w:tc>
          <w:tcPr>
            <w:tcW w:w="500" w:type="pct"/>
            <w:shd w:val="clear" w:color="auto" w:fill="auto"/>
            <w:vAlign w:val="bottom"/>
          </w:tcPr>
          <w:p w14:paraId="4B9A3744" w14:textId="77777777" w:rsidR="002A3970" w:rsidRDefault="002A3970">
            <w:pPr>
              <w:rPr>
                <w:rFonts w:ascii="宋体"/>
              </w:rPr>
            </w:pPr>
          </w:p>
        </w:tc>
        <w:tc>
          <w:tcPr>
            <w:tcW w:w="5" w:type="pct"/>
            <w:shd w:val="clear" w:color="auto" w:fill="auto"/>
            <w:vAlign w:val="bottom"/>
          </w:tcPr>
          <w:p w14:paraId="4B9A3745" w14:textId="77777777" w:rsidR="002A3970" w:rsidRDefault="002A3970">
            <w:pPr>
              <w:rPr>
                <w:rFonts w:ascii="宋体"/>
              </w:rPr>
            </w:pPr>
          </w:p>
        </w:tc>
        <w:tc>
          <w:tcPr>
            <w:tcW w:w="5" w:type="pct"/>
            <w:shd w:val="clear" w:color="auto" w:fill="auto"/>
            <w:vAlign w:val="bottom"/>
          </w:tcPr>
          <w:p w14:paraId="4B9A3746" w14:textId="77777777" w:rsidR="002A3970" w:rsidRDefault="002A3970">
            <w:pPr>
              <w:rPr>
                <w:rFonts w:ascii="宋体"/>
              </w:rPr>
            </w:pPr>
          </w:p>
        </w:tc>
        <w:tc>
          <w:tcPr>
            <w:tcW w:w="41" w:type="pct"/>
            <w:shd w:val="clear" w:color="auto" w:fill="auto"/>
            <w:vAlign w:val="bottom"/>
          </w:tcPr>
          <w:p w14:paraId="4B9A3747" w14:textId="77777777" w:rsidR="002A3970" w:rsidRDefault="002A3970">
            <w:pPr>
              <w:rPr>
                <w:rFonts w:ascii="宋体"/>
              </w:rPr>
            </w:pPr>
          </w:p>
        </w:tc>
        <w:tc>
          <w:tcPr>
            <w:tcW w:w="5" w:type="pct"/>
            <w:shd w:val="clear" w:color="auto" w:fill="auto"/>
            <w:vAlign w:val="bottom"/>
          </w:tcPr>
          <w:p w14:paraId="4B9A3748" w14:textId="77777777" w:rsidR="002A3970" w:rsidRDefault="002A3970">
            <w:pPr>
              <w:rPr>
                <w:rFonts w:ascii="宋体"/>
              </w:rPr>
            </w:pPr>
          </w:p>
        </w:tc>
        <w:tc>
          <w:tcPr>
            <w:tcW w:w="50" w:type="pct"/>
            <w:shd w:val="clear" w:color="auto" w:fill="auto"/>
            <w:vAlign w:val="bottom"/>
          </w:tcPr>
          <w:p w14:paraId="4B9A3749" w14:textId="77777777" w:rsidR="002A3970" w:rsidRDefault="002A3970">
            <w:pPr>
              <w:rPr>
                <w:rFonts w:ascii="宋体"/>
              </w:rPr>
            </w:pPr>
          </w:p>
        </w:tc>
        <w:tc>
          <w:tcPr>
            <w:tcW w:w="500" w:type="pct"/>
            <w:shd w:val="clear" w:color="auto" w:fill="auto"/>
            <w:vAlign w:val="bottom"/>
          </w:tcPr>
          <w:p w14:paraId="4B9A374A" w14:textId="77777777" w:rsidR="002A3970" w:rsidRDefault="002A3970">
            <w:pPr>
              <w:rPr>
                <w:rFonts w:ascii="宋体"/>
              </w:rPr>
            </w:pPr>
          </w:p>
        </w:tc>
        <w:tc>
          <w:tcPr>
            <w:tcW w:w="5" w:type="pct"/>
            <w:shd w:val="clear" w:color="auto" w:fill="auto"/>
            <w:vAlign w:val="bottom"/>
          </w:tcPr>
          <w:p w14:paraId="4B9A374B" w14:textId="77777777" w:rsidR="002A3970" w:rsidRDefault="002A3970">
            <w:pPr>
              <w:rPr>
                <w:rFonts w:ascii="宋体"/>
              </w:rPr>
            </w:pPr>
          </w:p>
        </w:tc>
        <w:tc>
          <w:tcPr>
            <w:tcW w:w="0" w:type="auto"/>
            <w:shd w:val="clear" w:color="auto" w:fill="auto"/>
            <w:vAlign w:val="bottom"/>
          </w:tcPr>
          <w:p w14:paraId="4B9A374C" w14:textId="77777777" w:rsidR="002A3970" w:rsidRDefault="002A3970">
            <w:pPr>
              <w:rPr>
                <w:rFonts w:ascii="宋体"/>
                <w:vanish/>
              </w:rPr>
            </w:pPr>
          </w:p>
        </w:tc>
        <w:tc>
          <w:tcPr>
            <w:tcW w:w="0" w:type="auto"/>
            <w:shd w:val="clear" w:color="auto" w:fill="auto"/>
            <w:vAlign w:val="bottom"/>
          </w:tcPr>
          <w:p w14:paraId="4B9A374D" w14:textId="77777777" w:rsidR="002A3970" w:rsidRDefault="002A3970">
            <w:pPr>
              <w:rPr>
                <w:rFonts w:ascii="宋体"/>
                <w:vanish/>
              </w:rPr>
            </w:pPr>
          </w:p>
        </w:tc>
      </w:tr>
      <w:tr w:rsidR="002A3970" w14:paraId="4B9A3754" w14:textId="77777777">
        <w:tc>
          <w:tcPr>
            <w:tcW w:w="0" w:type="auto"/>
            <w:gridSpan w:val="3"/>
            <w:shd w:val="clear" w:color="auto" w:fill="auto"/>
            <w:tcMar>
              <w:top w:w="0" w:type="dxa"/>
              <w:left w:w="20" w:type="dxa"/>
              <w:bottom w:w="0" w:type="dxa"/>
              <w:right w:w="20" w:type="dxa"/>
            </w:tcMar>
            <w:vAlign w:val="bottom"/>
          </w:tcPr>
          <w:p w14:paraId="4B9A374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750"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751"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4B9A3752" w14:textId="77777777" w:rsidR="002A3970" w:rsidRDefault="002A3970">
            <w:pPr>
              <w:rPr>
                <w:rFonts w:ascii="宋体"/>
                <w:vanish/>
              </w:rPr>
            </w:pPr>
          </w:p>
        </w:tc>
        <w:tc>
          <w:tcPr>
            <w:tcW w:w="0" w:type="auto"/>
            <w:shd w:val="clear" w:color="auto" w:fill="auto"/>
            <w:vAlign w:val="bottom"/>
          </w:tcPr>
          <w:p w14:paraId="4B9A3753" w14:textId="77777777" w:rsidR="002A3970" w:rsidRDefault="002A3970">
            <w:pPr>
              <w:rPr>
                <w:rFonts w:ascii="宋体"/>
                <w:vanish/>
              </w:rPr>
            </w:pPr>
          </w:p>
        </w:tc>
      </w:tr>
      <w:tr w:rsidR="002A3970" w14:paraId="4B9A375C" w14:textId="77777777">
        <w:tc>
          <w:tcPr>
            <w:tcW w:w="0" w:type="auto"/>
            <w:gridSpan w:val="3"/>
            <w:shd w:val="clear" w:color="auto" w:fill="auto"/>
            <w:tcMar>
              <w:top w:w="40" w:type="dxa"/>
              <w:left w:w="20" w:type="dxa"/>
              <w:bottom w:w="40" w:type="dxa"/>
              <w:right w:w="20" w:type="dxa"/>
            </w:tcMar>
            <w:vAlign w:val="bottom"/>
          </w:tcPr>
          <w:p w14:paraId="4B9A3755"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3756"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757"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758"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759"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4B9A375A" w14:textId="77777777" w:rsidR="002A3970" w:rsidRDefault="002A3970">
            <w:pPr>
              <w:rPr>
                <w:rFonts w:ascii="宋体"/>
                <w:vanish/>
              </w:rPr>
            </w:pPr>
          </w:p>
        </w:tc>
        <w:tc>
          <w:tcPr>
            <w:tcW w:w="0" w:type="auto"/>
            <w:shd w:val="clear" w:color="auto" w:fill="auto"/>
            <w:vAlign w:val="bottom"/>
          </w:tcPr>
          <w:p w14:paraId="4B9A375B" w14:textId="77777777" w:rsidR="002A3970" w:rsidRDefault="002A3970">
            <w:pPr>
              <w:rPr>
                <w:rFonts w:ascii="宋体"/>
                <w:vanish/>
              </w:rPr>
            </w:pPr>
          </w:p>
        </w:tc>
      </w:tr>
      <w:tr w:rsidR="002A3970" w14:paraId="4B9A3764" w14:textId="77777777">
        <w:tc>
          <w:tcPr>
            <w:tcW w:w="0" w:type="auto"/>
            <w:gridSpan w:val="3"/>
            <w:shd w:val="clear" w:color="auto" w:fill="auto"/>
            <w:tcMar>
              <w:top w:w="40" w:type="dxa"/>
              <w:left w:w="20" w:type="dxa"/>
              <w:bottom w:w="40" w:type="dxa"/>
              <w:right w:w="20" w:type="dxa"/>
            </w:tcMar>
            <w:vAlign w:val="center"/>
          </w:tcPr>
          <w:p w14:paraId="4B9A375D" w14:textId="77777777" w:rsidR="002A3970" w:rsidRDefault="00C35E63">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vAlign w:val="bottom"/>
          </w:tcPr>
          <w:p w14:paraId="4B9A375E"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75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760"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761" w14:textId="77777777" w:rsidR="002A3970" w:rsidRDefault="002A3970">
            <w:pPr>
              <w:rPr>
                <w:rFonts w:ascii="宋体"/>
              </w:rPr>
            </w:pPr>
          </w:p>
        </w:tc>
        <w:tc>
          <w:tcPr>
            <w:tcW w:w="0" w:type="auto"/>
            <w:shd w:val="clear" w:color="auto" w:fill="auto"/>
            <w:vAlign w:val="bottom"/>
          </w:tcPr>
          <w:p w14:paraId="4B9A3762" w14:textId="77777777" w:rsidR="002A3970" w:rsidRDefault="002A3970">
            <w:pPr>
              <w:rPr>
                <w:rFonts w:ascii="宋体"/>
                <w:vanish/>
              </w:rPr>
            </w:pPr>
          </w:p>
        </w:tc>
        <w:tc>
          <w:tcPr>
            <w:tcW w:w="0" w:type="auto"/>
            <w:shd w:val="clear" w:color="auto" w:fill="auto"/>
            <w:vAlign w:val="bottom"/>
          </w:tcPr>
          <w:p w14:paraId="4B9A3763" w14:textId="77777777" w:rsidR="002A3970" w:rsidRDefault="002A3970">
            <w:pPr>
              <w:rPr>
                <w:rFonts w:ascii="宋体"/>
                <w:vanish/>
              </w:rPr>
            </w:pPr>
          </w:p>
        </w:tc>
      </w:tr>
      <w:tr w:rsidR="002A3970" w14:paraId="4B9A3770" w14:textId="77777777">
        <w:tc>
          <w:tcPr>
            <w:tcW w:w="0" w:type="auto"/>
            <w:gridSpan w:val="3"/>
            <w:shd w:val="clear" w:color="auto" w:fill="CCEEFF"/>
            <w:tcMar>
              <w:top w:w="40" w:type="dxa"/>
              <w:left w:w="380" w:type="dxa"/>
              <w:bottom w:w="40" w:type="dxa"/>
              <w:right w:w="20" w:type="dxa"/>
            </w:tcMar>
            <w:vAlign w:val="center"/>
          </w:tcPr>
          <w:p w14:paraId="4B9A3765" w14:textId="77777777" w:rsidR="002A3970" w:rsidRDefault="00C35E63">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4B9A3766"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767"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768" w14:textId="77777777" w:rsidR="002A3970" w:rsidRDefault="00C35E63">
            <w:pPr>
              <w:jc w:val="right"/>
              <w:textAlignment w:val="center"/>
            </w:pPr>
            <w:r>
              <w:rPr>
                <w:rFonts w:ascii="Times New Roman" w:eastAsia="宋体" w:hAnsi="Times New Roman"/>
                <w:color w:val="000000"/>
                <w:sz w:val="16"/>
                <w:szCs w:val="16"/>
              </w:rPr>
              <w:t>5,483 </w:t>
            </w:r>
          </w:p>
        </w:tc>
        <w:tc>
          <w:tcPr>
            <w:tcW w:w="0" w:type="auto"/>
            <w:shd w:val="clear" w:color="auto" w:fill="CCEEFF"/>
            <w:tcMar>
              <w:top w:w="40" w:type="dxa"/>
              <w:left w:w="0" w:type="dxa"/>
              <w:bottom w:w="40" w:type="dxa"/>
              <w:right w:w="20" w:type="dxa"/>
            </w:tcMar>
            <w:vAlign w:val="center"/>
          </w:tcPr>
          <w:p w14:paraId="4B9A376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76A"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76B"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76C" w14:textId="77777777" w:rsidR="002A3970" w:rsidRDefault="00C35E63">
            <w:pPr>
              <w:jc w:val="right"/>
              <w:textAlignment w:val="center"/>
            </w:pPr>
            <w:r>
              <w:rPr>
                <w:rFonts w:ascii="Times New Roman" w:eastAsia="宋体" w:hAnsi="Times New Roman"/>
                <w:color w:val="000000"/>
                <w:sz w:val="16"/>
                <w:szCs w:val="16"/>
              </w:rPr>
              <w:t>10,307 </w:t>
            </w:r>
          </w:p>
        </w:tc>
        <w:tc>
          <w:tcPr>
            <w:tcW w:w="0" w:type="auto"/>
            <w:shd w:val="clear" w:color="auto" w:fill="CCEEFF"/>
            <w:tcMar>
              <w:top w:w="40" w:type="dxa"/>
              <w:left w:w="0" w:type="dxa"/>
              <w:bottom w:w="40" w:type="dxa"/>
              <w:right w:w="20" w:type="dxa"/>
            </w:tcMar>
            <w:vAlign w:val="center"/>
          </w:tcPr>
          <w:p w14:paraId="4B9A376D" w14:textId="77777777" w:rsidR="002A3970" w:rsidRDefault="002A3970">
            <w:pPr>
              <w:jc w:val="right"/>
              <w:rPr>
                <w:rFonts w:ascii="宋体"/>
              </w:rPr>
            </w:pPr>
          </w:p>
        </w:tc>
        <w:tc>
          <w:tcPr>
            <w:tcW w:w="0" w:type="auto"/>
            <w:shd w:val="clear" w:color="auto" w:fill="auto"/>
            <w:vAlign w:val="bottom"/>
          </w:tcPr>
          <w:p w14:paraId="4B9A376E" w14:textId="77777777" w:rsidR="002A3970" w:rsidRDefault="002A3970">
            <w:pPr>
              <w:rPr>
                <w:rFonts w:ascii="宋体"/>
                <w:vanish/>
              </w:rPr>
            </w:pPr>
          </w:p>
        </w:tc>
        <w:tc>
          <w:tcPr>
            <w:tcW w:w="0" w:type="auto"/>
            <w:shd w:val="clear" w:color="auto" w:fill="auto"/>
            <w:vAlign w:val="bottom"/>
          </w:tcPr>
          <w:p w14:paraId="4B9A376F" w14:textId="77777777" w:rsidR="002A3970" w:rsidRDefault="002A3970">
            <w:pPr>
              <w:rPr>
                <w:rFonts w:ascii="宋体"/>
                <w:vanish/>
              </w:rPr>
            </w:pPr>
          </w:p>
        </w:tc>
      </w:tr>
      <w:tr w:rsidR="002A3970" w14:paraId="4B9A3778" w14:textId="77777777">
        <w:trPr>
          <w:hidden/>
        </w:trPr>
        <w:tc>
          <w:tcPr>
            <w:tcW w:w="0" w:type="auto"/>
            <w:gridSpan w:val="3"/>
            <w:shd w:val="clear" w:color="auto" w:fill="auto"/>
            <w:vAlign w:val="bottom"/>
          </w:tcPr>
          <w:p w14:paraId="4B9A3771" w14:textId="77777777" w:rsidR="002A3970" w:rsidRDefault="002A3970">
            <w:pPr>
              <w:rPr>
                <w:rFonts w:ascii="宋体"/>
                <w:vanish/>
              </w:rPr>
            </w:pPr>
          </w:p>
        </w:tc>
        <w:tc>
          <w:tcPr>
            <w:tcW w:w="0" w:type="auto"/>
            <w:gridSpan w:val="3"/>
            <w:shd w:val="clear" w:color="auto" w:fill="auto"/>
            <w:vAlign w:val="bottom"/>
          </w:tcPr>
          <w:p w14:paraId="4B9A3772" w14:textId="77777777" w:rsidR="002A3970" w:rsidRDefault="002A3970">
            <w:pPr>
              <w:rPr>
                <w:rFonts w:ascii="宋体"/>
                <w:vanish/>
              </w:rPr>
            </w:pPr>
          </w:p>
        </w:tc>
        <w:tc>
          <w:tcPr>
            <w:tcW w:w="0" w:type="auto"/>
            <w:gridSpan w:val="3"/>
            <w:shd w:val="clear" w:color="auto" w:fill="auto"/>
            <w:vAlign w:val="bottom"/>
          </w:tcPr>
          <w:p w14:paraId="4B9A3773" w14:textId="77777777" w:rsidR="002A3970" w:rsidRDefault="002A3970">
            <w:pPr>
              <w:rPr>
                <w:rFonts w:ascii="宋体"/>
                <w:vanish/>
              </w:rPr>
            </w:pPr>
          </w:p>
        </w:tc>
        <w:tc>
          <w:tcPr>
            <w:tcW w:w="0" w:type="auto"/>
            <w:gridSpan w:val="3"/>
            <w:shd w:val="clear" w:color="auto" w:fill="auto"/>
            <w:vAlign w:val="bottom"/>
          </w:tcPr>
          <w:p w14:paraId="4B9A3774" w14:textId="77777777" w:rsidR="002A3970" w:rsidRDefault="002A3970">
            <w:pPr>
              <w:rPr>
                <w:rFonts w:ascii="宋体"/>
                <w:vanish/>
              </w:rPr>
            </w:pPr>
          </w:p>
        </w:tc>
        <w:tc>
          <w:tcPr>
            <w:tcW w:w="0" w:type="auto"/>
            <w:gridSpan w:val="3"/>
            <w:shd w:val="clear" w:color="auto" w:fill="auto"/>
            <w:vAlign w:val="bottom"/>
          </w:tcPr>
          <w:p w14:paraId="4B9A3775" w14:textId="77777777" w:rsidR="002A3970" w:rsidRDefault="002A3970">
            <w:pPr>
              <w:rPr>
                <w:rFonts w:ascii="宋体"/>
                <w:vanish/>
              </w:rPr>
            </w:pPr>
          </w:p>
        </w:tc>
        <w:tc>
          <w:tcPr>
            <w:tcW w:w="0" w:type="auto"/>
            <w:shd w:val="clear" w:color="auto" w:fill="auto"/>
            <w:vAlign w:val="bottom"/>
          </w:tcPr>
          <w:p w14:paraId="4B9A3776" w14:textId="77777777" w:rsidR="002A3970" w:rsidRDefault="002A3970">
            <w:pPr>
              <w:rPr>
                <w:rFonts w:ascii="宋体"/>
                <w:vanish/>
              </w:rPr>
            </w:pPr>
          </w:p>
        </w:tc>
        <w:tc>
          <w:tcPr>
            <w:tcW w:w="0" w:type="auto"/>
            <w:shd w:val="clear" w:color="auto" w:fill="auto"/>
            <w:vAlign w:val="bottom"/>
          </w:tcPr>
          <w:p w14:paraId="4B9A3777" w14:textId="77777777" w:rsidR="002A3970" w:rsidRDefault="002A3970">
            <w:pPr>
              <w:rPr>
                <w:rFonts w:ascii="宋体"/>
                <w:vanish/>
              </w:rPr>
            </w:pPr>
          </w:p>
        </w:tc>
      </w:tr>
      <w:tr w:rsidR="002A3970" w14:paraId="4B9A3780" w14:textId="77777777">
        <w:trPr>
          <w:hidden/>
        </w:trPr>
        <w:tc>
          <w:tcPr>
            <w:tcW w:w="0" w:type="auto"/>
            <w:gridSpan w:val="3"/>
            <w:shd w:val="clear" w:color="auto" w:fill="auto"/>
            <w:vAlign w:val="bottom"/>
          </w:tcPr>
          <w:p w14:paraId="4B9A3779" w14:textId="77777777" w:rsidR="002A3970" w:rsidRDefault="002A3970">
            <w:pPr>
              <w:rPr>
                <w:rFonts w:ascii="宋体"/>
                <w:vanish/>
              </w:rPr>
            </w:pPr>
          </w:p>
        </w:tc>
        <w:tc>
          <w:tcPr>
            <w:tcW w:w="0" w:type="auto"/>
            <w:gridSpan w:val="3"/>
            <w:shd w:val="clear" w:color="auto" w:fill="auto"/>
            <w:vAlign w:val="bottom"/>
          </w:tcPr>
          <w:p w14:paraId="4B9A377A" w14:textId="77777777" w:rsidR="002A3970" w:rsidRDefault="002A3970">
            <w:pPr>
              <w:rPr>
                <w:rFonts w:ascii="宋体"/>
                <w:vanish/>
              </w:rPr>
            </w:pPr>
          </w:p>
        </w:tc>
        <w:tc>
          <w:tcPr>
            <w:tcW w:w="0" w:type="auto"/>
            <w:gridSpan w:val="3"/>
            <w:shd w:val="clear" w:color="auto" w:fill="auto"/>
            <w:vAlign w:val="bottom"/>
          </w:tcPr>
          <w:p w14:paraId="4B9A377B" w14:textId="77777777" w:rsidR="002A3970" w:rsidRDefault="002A3970">
            <w:pPr>
              <w:rPr>
                <w:rFonts w:ascii="宋体"/>
                <w:vanish/>
              </w:rPr>
            </w:pPr>
          </w:p>
        </w:tc>
        <w:tc>
          <w:tcPr>
            <w:tcW w:w="0" w:type="auto"/>
            <w:gridSpan w:val="3"/>
            <w:shd w:val="clear" w:color="auto" w:fill="auto"/>
            <w:vAlign w:val="bottom"/>
          </w:tcPr>
          <w:p w14:paraId="4B9A377C" w14:textId="77777777" w:rsidR="002A3970" w:rsidRDefault="002A3970">
            <w:pPr>
              <w:rPr>
                <w:rFonts w:ascii="宋体"/>
                <w:vanish/>
              </w:rPr>
            </w:pPr>
          </w:p>
        </w:tc>
        <w:tc>
          <w:tcPr>
            <w:tcW w:w="0" w:type="auto"/>
            <w:gridSpan w:val="3"/>
            <w:shd w:val="clear" w:color="auto" w:fill="auto"/>
            <w:vAlign w:val="bottom"/>
          </w:tcPr>
          <w:p w14:paraId="4B9A377D" w14:textId="77777777" w:rsidR="002A3970" w:rsidRDefault="002A3970">
            <w:pPr>
              <w:rPr>
                <w:rFonts w:ascii="宋体"/>
                <w:vanish/>
              </w:rPr>
            </w:pPr>
          </w:p>
        </w:tc>
        <w:tc>
          <w:tcPr>
            <w:tcW w:w="0" w:type="auto"/>
            <w:shd w:val="clear" w:color="auto" w:fill="auto"/>
            <w:vAlign w:val="bottom"/>
          </w:tcPr>
          <w:p w14:paraId="4B9A377E" w14:textId="77777777" w:rsidR="002A3970" w:rsidRDefault="002A3970">
            <w:pPr>
              <w:rPr>
                <w:rFonts w:ascii="宋体"/>
                <w:vanish/>
              </w:rPr>
            </w:pPr>
          </w:p>
        </w:tc>
        <w:tc>
          <w:tcPr>
            <w:tcW w:w="0" w:type="auto"/>
            <w:shd w:val="clear" w:color="auto" w:fill="auto"/>
            <w:vAlign w:val="bottom"/>
          </w:tcPr>
          <w:p w14:paraId="4B9A377F" w14:textId="77777777" w:rsidR="002A3970" w:rsidRDefault="002A3970">
            <w:pPr>
              <w:rPr>
                <w:rFonts w:ascii="宋体"/>
                <w:vanish/>
              </w:rPr>
            </w:pPr>
          </w:p>
        </w:tc>
      </w:tr>
      <w:tr w:rsidR="002A3970" w14:paraId="4B9A3788" w14:textId="77777777">
        <w:tc>
          <w:tcPr>
            <w:tcW w:w="0" w:type="auto"/>
            <w:gridSpan w:val="3"/>
            <w:shd w:val="clear" w:color="auto" w:fill="FFFFFF"/>
            <w:tcMar>
              <w:top w:w="40" w:type="dxa"/>
              <w:left w:w="380" w:type="dxa"/>
              <w:bottom w:w="40" w:type="dxa"/>
              <w:right w:w="20" w:type="dxa"/>
            </w:tcMar>
            <w:vAlign w:val="center"/>
          </w:tcPr>
          <w:p w14:paraId="4B9A3781" w14:textId="77777777" w:rsidR="002A3970" w:rsidRDefault="00C35E63">
            <w:pPr>
              <w:textAlignment w:val="center"/>
            </w:pPr>
            <w:r>
              <w:rPr>
                <w:rFonts w:ascii="Times New Roman" w:eastAsia="宋体" w:hAnsi="Times New Roman"/>
                <w:color w:val="000000"/>
                <w:sz w:val="16"/>
                <w:szCs w:val="16"/>
              </w:rPr>
              <w:t xml:space="preserve">Adjustments to reconcile consolidated net income to net cash </w:t>
            </w:r>
            <w:r>
              <w:rPr>
                <w:rFonts w:ascii="Times New Roman" w:eastAsia="宋体" w:hAnsi="Times New Roman"/>
                <w:color w:val="000000"/>
                <w:sz w:val="16"/>
                <w:szCs w:val="16"/>
              </w:rPr>
              <w:t>provided by operating activities:</w:t>
            </w:r>
          </w:p>
        </w:tc>
        <w:tc>
          <w:tcPr>
            <w:tcW w:w="0" w:type="auto"/>
            <w:gridSpan w:val="3"/>
            <w:shd w:val="clear" w:color="auto" w:fill="FFFFFF"/>
            <w:tcMar>
              <w:top w:w="0" w:type="dxa"/>
              <w:left w:w="20" w:type="dxa"/>
              <w:bottom w:w="0" w:type="dxa"/>
              <w:right w:w="20" w:type="dxa"/>
            </w:tcMar>
            <w:vAlign w:val="bottom"/>
          </w:tcPr>
          <w:p w14:paraId="4B9A378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78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78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785" w14:textId="77777777" w:rsidR="002A3970" w:rsidRDefault="002A3970">
            <w:pPr>
              <w:rPr>
                <w:rFonts w:ascii="宋体"/>
              </w:rPr>
            </w:pPr>
          </w:p>
        </w:tc>
        <w:tc>
          <w:tcPr>
            <w:tcW w:w="0" w:type="auto"/>
            <w:shd w:val="clear" w:color="auto" w:fill="auto"/>
            <w:vAlign w:val="bottom"/>
          </w:tcPr>
          <w:p w14:paraId="4B9A3786" w14:textId="77777777" w:rsidR="002A3970" w:rsidRDefault="002A3970">
            <w:pPr>
              <w:rPr>
                <w:rFonts w:ascii="宋体"/>
                <w:vanish/>
              </w:rPr>
            </w:pPr>
          </w:p>
        </w:tc>
        <w:tc>
          <w:tcPr>
            <w:tcW w:w="0" w:type="auto"/>
            <w:shd w:val="clear" w:color="auto" w:fill="auto"/>
            <w:vAlign w:val="bottom"/>
          </w:tcPr>
          <w:p w14:paraId="4B9A3787" w14:textId="77777777" w:rsidR="002A3970" w:rsidRDefault="002A3970">
            <w:pPr>
              <w:rPr>
                <w:rFonts w:ascii="宋体"/>
                <w:vanish/>
              </w:rPr>
            </w:pPr>
          </w:p>
        </w:tc>
      </w:tr>
      <w:tr w:rsidR="002A3970" w14:paraId="4B9A3792" w14:textId="77777777">
        <w:tc>
          <w:tcPr>
            <w:tcW w:w="0" w:type="auto"/>
            <w:gridSpan w:val="3"/>
            <w:shd w:val="clear" w:color="auto" w:fill="CCEEFF"/>
            <w:tcMar>
              <w:top w:w="40" w:type="dxa"/>
              <w:left w:w="740" w:type="dxa"/>
              <w:bottom w:w="40" w:type="dxa"/>
              <w:right w:w="20" w:type="dxa"/>
            </w:tcMar>
            <w:vAlign w:val="center"/>
          </w:tcPr>
          <w:p w14:paraId="4B9A3789" w14:textId="77777777" w:rsidR="002A3970" w:rsidRDefault="00C35E63">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4B9A378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8B" w14:textId="77777777" w:rsidR="002A3970" w:rsidRDefault="00C35E63">
            <w:pPr>
              <w:jc w:val="right"/>
              <w:textAlignment w:val="center"/>
            </w:pPr>
            <w:r>
              <w:rPr>
                <w:rFonts w:ascii="Times New Roman" w:eastAsia="宋体" w:hAnsi="Times New Roman"/>
                <w:color w:val="000000"/>
                <w:sz w:val="16"/>
                <w:szCs w:val="16"/>
              </w:rPr>
              <w:t>8,134 </w:t>
            </w:r>
          </w:p>
        </w:tc>
        <w:tc>
          <w:tcPr>
            <w:tcW w:w="0" w:type="auto"/>
            <w:shd w:val="clear" w:color="auto" w:fill="CCEEFF"/>
            <w:tcMar>
              <w:top w:w="40" w:type="dxa"/>
              <w:left w:w="0" w:type="dxa"/>
              <w:bottom w:w="40" w:type="dxa"/>
              <w:right w:w="20" w:type="dxa"/>
            </w:tcMar>
            <w:vAlign w:val="center"/>
          </w:tcPr>
          <w:p w14:paraId="4B9A378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78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8E" w14:textId="77777777" w:rsidR="002A3970" w:rsidRDefault="00C35E63">
            <w:pPr>
              <w:jc w:val="right"/>
              <w:textAlignment w:val="center"/>
            </w:pPr>
            <w:r>
              <w:rPr>
                <w:rFonts w:ascii="Times New Roman" w:eastAsia="宋体" w:hAnsi="Times New Roman"/>
                <w:color w:val="000000"/>
                <w:sz w:val="16"/>
                <w:szCs w:val="16"/>
              </w:rPr>
              <w:t>7,952 </w:t>
            </w:r>
          </w:p>
        </w:tc>
        <w:tc>
          <w:tcPr>
            <w:tcW w:w="0" w:type="auto"/>
            <w:shd w:val="clear" w:color="auto" w:fill="CCEEFF"/>
            <w:tcMar>
              <w:top w:w="40" w:type="dxa"/>
              <w:left w:w="0" w:type="dxa"/>
              <w:bottom w:w="40" w:type="dxa"/>
              <w:right w:w="20" w:type="dxa"/>
            </w:tcMar>
            <w:vAlign w:val="center"/>
          </w:tcPr>
          <w:p w14:paraId="4B9A378F" w14:textId="77777777" w:rsidR="002A3970" w:rsidRDefault="002A3970">
            <w:pPr>
              <w:jc w:val="right"/>
              <w:rPr>
                <w:rFonts w:ascii="宋体"/>
              </w:rPr>
            </w:pPr>
          </w:p>
        </w:tc>
        <w:tc>
          <w:tcPr>
            <w:tcW w:w="0" w:type="auto"/>
            <w:shd w:val="clear" w:color="auto" w:fill="auto"/>
            <w:vAlign w:val="bottom"/>
          </w:tcPr>
          <w:p w14:paraId="4B9A3790" w14:textId="77777777" w:rsidR="002A3970" w:rsidRDefault="002A3970">
            <w:pPr>
              <w:rPr>
                <w:rFonts w:ascii="宋体"/>
                <w:vanish/>
              </w:rPr>
            </w:pPr>
          </w:p>
        </w:tc>
        <w:tc>
          <w:tcPr>
            <w:tcW w:w="0" w:type="auto"/>
            <w:shd w:val="clear" w:color="auto" w:fill="auto"/>
            <w:vAlign w:val="bottom"/>
          </w:tcPr>
          <w:p w14:paraId="4B9A3791" w14:textId="77777777" w:rsidR="002A3970" w:rsidRDefault="002A3970">
            <w:pPr>
              <w:rPr>
                <w:rFonts w:ascii="宋体"/>
                <w:vanish/>
              </w:rPr>
            </w:pPr>
          </w:p>
        </w:tc>
      </w:tr>
      <w:tr w:rsidR="002A3970" w14:paraId="4B9A379C" w14:textId="77777777">
        <w:tc>
          <w:tcPr>
            <w:tcW w:w="0" w:type="auto"/>
            <w:gridSpan w:val="3"/>
            <w:shd w:val="clear" w:color="auto" w:fill="FFFFFF"/>
            <w:tcMar>
              <w:top w:w="40" w:type="dxa"/>
              <w:left w:w="740" w:type="dxa"/>
              <w:bottom w:w="40" w:type="dxa"/>
              <w:right w:w="20" w:type="dxa"/>
            </w:tcMar>
            <w:vAlign w:val="center"/>
          </w:tcPr>
          <w:p w14:paraId="4B9A3793" w14:textId="77777777" w:rsidR="002A3970" w:rsidRDefault="00C35E63">
            <w:pPr>
              <w:textAlignment w:val="center"/>
            </w:pPr>
            <w:r>
              <w:rPr>
                <w:rFonts w:ascii="Times New Roman" w:eastAsia="宋体" w:hAnsi="Times New Roman"/>
                <w:color w:val="000000"/>
                <w:sz w:val="16"/>
                <w:szCs w:val="16"/>
              </w:rPr>
              <w:t>Net unrealized and realized losses</w:t>
            </w:r>
          </w:p>
        </w:tc>
        <w:tc>
          <w:tcPr>
            <w:tcW w:w="0" w:type="auto"/>
            <w:gridSpan w:val="3"/>
            <w:shd w:val="clear" w:color="auto" w:fill="FFFFFF"/>
            <w:tcMar>
              <w:top w:w="0" w:type="dxa"/>
              <w:left w:w="20" w:type="dxa"/>
              <w:bottom w:w="0" w:type="dxa"/>
              <w:right w:w="20" w:type="dxa"/>
            </w:tcMar>
            <w:vAlign w:val="bottom"/>
          </w:tcPr>
          <w:p w14:paraId="4B9A379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95" w14:textId="77777777" w:rsidR="002A3970" w:rsidRDefault="00C35E63">
            <w:pPr>
              <w:jc w:val="right"/>
              <w:textAlignment w:val="center"/>
            </w:pPr>
            <w:r>
              <w:rPr>
                <w:rFonts w:ascii="Times New Roman" w:eastAsia="宋体" w:hAnsi="Times New Roman"/>
                <w:color w:val="000000"/>
                <w:sz w:val="16"/>
                <w:szCs w:val="16"/>
              </w:rPr>
              <w:t>5,611 </w:t>
            </w:r>
          </w:p>
        </w:tc>
        <w:tc>
          <w:tcPr>
            <w:tcW w:w="0" w:type="auto"/>
            <w:shd w:val="clear" w:color="auto" w:fill="FFFFFF"/>
            <w:tcMar>
              <w:top w:w="40" w:type="dxa"/>
              <w:left w:w="0" w:type="dxa"/>
              <w:bottom w:w="40" w:type="dxa"/>
              <w:right w:w="20" w:type="dxa"/>
            </w:tcMar>
            <w:vAlign w:val="center"/>
          </w:tcPr>
          <w:p w14:paraId="4B9A379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79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98" w14:textId="77777777" w:rsidR="002A3970" w:rsidRDefault="00C35E63">
            <w:pPr>
              <w:jc w:val="right"/>
              <w:textAlignment w:val="center"/>
            </w:pPr>
            <w:r>
              <w:rPr>
                <w:rFonts w:ascii="Times New Roman" w:eastAsia="宋体" w:hAnsi="Times New Roman"/>
                <w:color w:val="000000"/>
                <w:sz w:val="16"/>
                <w:szCs w:val="16"/>
              </w:rPr>
              <w:t>1,831 </w:t>
            </w:r>
          </w:p>
        </w:tc>
        <w:tc>
          <w:tcPr>
            <w:tcW w:w="0" w:type="auto"/>
            <w:shd w:val="clear" w:color="auto" w:fill="FFFFFF"/>
            <w:tcMar>
              <w:top w:w="40" w:type="dxa"/>
              <w:left w:w="0" w:type="dxa"/>
              <w:bottom w:w="40" w:type="dxa"/>
              <w:right w:w="20" w:type="dxa"/>
            </w:tcMar>
            <w:vAlign w:val="center"/>
          </w:tcPr>
          <w:p w14:paraId="4B9A3799" w14:textId="77777777" w:rsidR="002A3970" w:rsidRDefault="002A3970">
            <w:pPr>
              <w:jc w:val="right"/>
              <w:rPr>
                <w:rFonts w:ascii="宋体"/>
              </w:rPr>
            </w:pPr>
          </w:p>
        </w:tc>
        <w:tc>
          <w:tcPr>
            <w:tcW w:w="0" w:type="auto"/>
            <w:shd w:val="clear" w:color="auto" w:fill="auto"/>
            <w:vAlign w:val="bottom"/>
          </w:tcPr>
          <w:p w14:paraId="4B9A379A" w14:textId="77777777" w:rsidR="002A3970" w:rsidRDefault="002A3970">
            <w:pPr>
              <w:rPr>
                <w:rFonts w:ascii="宋体"/>
                <w:vanish/>
              </w:rPr>
            </w:pPr>
          </w:p>
        </w:tc>
        <w:tc>
          <w:tcPr>
            <w:tcW w:w="0" w:type="auto"/>
            <w:shd w:val="clear" w:color="auto" w:fill="auto"/>
            <w:vAlign w:val="bottom"/>
          </w:tcPr>
          <w:p w14:paraId="4B9A379B" w14:textId="77777777" w:rsidR="002A3970" w:rsidRDefault="002A3970">
            <w:pPr>
              <w:rPr>
                <w:rFonts w:ascii="宋体"/>
                <w:vanish/>
              </w:rPr>
            </w:pPr>
          </w:p>
        </w:tc>
      </w:tr>
      <w:tr w:rsidR="002A3970" w14:paraId="4B9A37A6" w14:textId="77777777">
        <w:tc>
          <w:tcPr>
            <w:tcW w:w="0" w:type="auto"/>
            <w:gridSpan w:val="3"/>
            <w:shd w:val="clear" w:color="auto" w:fill="CCEEFF"/>
            <w:tcMar>
              <w:top w:w="40" w:type="dxa"/>
              <w:left w:w="740" w:type="dxa"/>
              <w:bottom w:w="40" w:type="dxa"/>
              <w:right w:w="20" w:type="dxa"/>
            </w:tcMar>
            <w:vAlign w:val="center"/>
          </w:tcPr>
          <w:p w14:paraId="4B9A379D" w14:textId="77777777" w:rsidR="002A3970" w:rsidRDefault="00C35E63">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vAlign w:val="bottom"/>
          </w:tcPr>
          <w:p w14:paraId="4B9A379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9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7A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7A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A2" w14:textId="77777777" w:rsidR="002A3970" w:rsidRDefault="00C35E63">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4B9A37A3" w14:textId="77777777" w:rsidR="002A3970" w:rsidRDefault="002A3970">
            <w:pPr>
              <w:jc w:val="right"/>
              <w:rPr>
                <w:rFonts w:ascii="宋体"/>
              </w:rPr>
            </w:pPr>
          </w:p>
        </w:tc>
        <w:tc>
          <w:tcPr>
            <w:tcW w:w="0" w:type="auto"/>
            <w:shd w:val="clear" w:color="auto" w:fill="auto"/>
            <w:vAlign w:val="bottom"/>
          </w:tcPr>
          <w:p w14:paraId="4B9A37A4" w14:textId="77777777" w:rsidR="002A3970" w:rsidRDefault="002A3970">
            <w:pPr>
              <w:rPr>
                <w:rFonts w:ascii="宋体"/>
                <w:vanish/>
              </w:rPr>
            </w:pPr>
          </w:p>
        </w:tc>
        <w:tc>
          <w:tcPr>
            <w:tcW w:w="0" w:type="auto"/>
            <w:shd w:val="clear" w:color="auto" w:fill="auto"/>
            <w:vAlign w:val="bottom"/>
          </w:tcPr>
          <w:p w14:paraId="4B9A37A5" w14:textId="77777777" w:rsidR="002A3970" w:rsidRDefault="002A3970">
            <w:pPr>
              <w:rPr>
                <w:rFonts w:ascii="宋体"/>
                <w:vanish/>
              </w:rPr>
            </w:pPr>
          </w:p>
        </w:tc>
      </w:tr>
      <w:tr w:rsidR="002A3970" w14:paraId="4B9A37B0" w14:textId="77777777">
        <w:tc>
          <w:tcPr>
            <w:tcW w:w="0" w:type="auto"/>
            <w:gridSpan w:val="3"/>
            <w:shd w:val="clear" w:color="auto" w:fill="FFFFFF"/>
            <w:tcMar>
              <w:top w:w="40" w:type="dxa"/>
              <w:left w:w="740" w:type="dxa"/>
              <w:bottom w:w="40" w:type="dxa"/>
              <w:right w:w="20" w:type="dxa"/>
            </w:tcMar>
            <w:vAlign w:val="center"/>
          </w:tcPr>
          <w:p w14:paraId="4B9A37A7" w14:textId="77777777" w:rsidR="002A3970" w:rsidRDefault="00C35E63">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vAlign w:val="bottom"/>
          </w:tcPr>
          <w:p w14:paraId="4B9A37A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A9" w14:textId="77777777" w:rsidR="002A3970" w:rsidRDefault="00C35E63">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B9A37A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7A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AC" w14:textId="77777777" w:rsidR="002A3970" w:rsidRDefault="00C35E63">
            <w:pPr>
              <w:jc w:val="right"/>
              <w:textAlignment w:val="center"/>
            </w:pPr>
            <w:r>
              <w:rPr>
                <w:rFonts w:ascii="Times New Roman" w:eastAsia="宋体" w:hAnsi="Times New Roman"/>
                <w:color w:val="000000"/>
                <w:sz w:val="16"/>
                <w:szCs w:val="16"/>
              </w:rPr>
              <w:t>(1,402)</w:t>
            </w:r>
          </w:p>
        </w:tc>
        <w:tc>
          <w:tcPr>
            <w:tcW w:w="0" w:type="auto"/>
            <w:shd w:val="clear" w:color="auto" w:fill="FFFFFF"/>
            <w:tcMar>
              <w:top w:w="40" w:type="dxa"/>
              <w:left w:w="0" w:type="dxa"/>
              <w:bottom w:w="40" w:type="dxa"/>
              <w:right w:w="20" w:type="dxa"/>
            </w:tcMar>
            <w:vAlign w:val="center"/>
          </w:tcPr>
          <w:p w14:paraId="4B9A37AD" w14:textId="77777777" w:rsidR="002A3970" w:rsidRDefault="002A3970">
            <w:pPr>
              <w:jc w:val="right"/>
              <w:rPr>
                <w:rFonts w:ascii="宋体"/>
              </w:rPr>
            </w:pPr>
          </w:p>
        </w:tc>
        <w:tc>
          <w:tcPr>
            <w:tcW w:w="0" w:type="auto"/>
            <w:shd w:val="clear" w:color="auto" w:fill="auto"/>
            <w:vAlign w:val="bottom"/>
          </w:tcPr>
          <w:p w14:paraId="4B9A37AE" w14:textId="77777777" w:rsidR="002A3970" w:rsidRDefault="002A3970">
            <w:pPr>
              <w:rPr>
                <w:rFonts w:ascii="宋体"/>
                <w:vanish/>
              </w:rPr>
            </w:pPr>
          </w:p>
        </w:tc>
        <w:tc>
          <w:tcPr>
            <w:tcW w:w="0" w:type="auto"/>
            <w:shd w:val="clear" w:color="auto" w:fill="auto"/>
            <w:vAlign w:val="bottom"/>
          </w:tcPr>
          <w:p w14:paraId="4B9A37AF" w14:textId="77777777" w:rsidR="002A3970" w:rsidRDefault="002A3970">
            <w:pPr>
              <w:rPr>
                <w:rFonts w:ascii="宋体"/>
                <w:vanish/>
              </w:rPr>
            </w:pPr>
          </w:p>
        </w:tc>
      </w:tr>
      <w:tr w:rsidR="002A3970" w14:paraId="4B9A37BA" w14:textId="77777777">
        <w:tc>
          <w:tcPr>
            <w:tcW w:w="0" w:type="auto"/>
            <w:gridSpan w:val="3"/>
            <w:shd w:val="clear" w:color="auto" w:fill="CCEEFF"/>
            <w:tcMar>
              <w:top w:w="40" w:type="dxa"/>
              <w:left w:w="740" w:type="dxa"/>
              <w:bottom w:w="40" w:type="dxa"/>
              <w:right w:w="20" w:type="dxa"/>
            </w:tcMar>
            <w:vAlign w:val="center"/>
          </w:tcPr>
          <w:p w14:paraId="4B9A37B1" w14:textId="77777777" w:rsidR="002A3970" w:rsidRDefault="00C35E63">
            <w:pPr>
              <w:textAlignment w:val="center"/>
            </w:pPr>
            <w:r>
              <w:rPr>
                <w:rFonts w:ascii="Times New Roman" w:eastAsia="宋体" w:hAnsi="Times New Roman"/>
                <w:color w:val="000000"/>
                <w:sz w:val="16"/>
                <w:szCs w:val="16"/>
              </w:rPr>
              <w:t xml:space="preserve">Loss on </w:t>
            </w:r>
            <w:r>
              <w:rPr>
                <w:rFonts w:ascii="Times New Roman" w:eastAsia="宋体" w:hAnsi="Times New Roman"/>
                <w:color w:val="000000"/>
                <w:sz w:val="16"/>
                <w:szCs w:val="16"/>
              </w:rPr>
              <w:t>extinguishment of debt</w:t>
            </w:r>
          </w:p>
        </w:tc>
        <w:tc>
          <w:tcPr>
            <w:tcW w:w="0" w:type="auto"/>
            <w:gridSpan w:val="3"/>
            <w:shd w:val="clear" w:color="auto" w:fill="CCEEFF"/>
            <w:tcMar>
              <w:top w:w="0" w:type="dxa"/>
              <w:left w:w="20" w:type="dxa"/>
              <w:bottom w:w="0" w:type="dxa"/>
              <w:right w:w="20" w:type="dxa"/>
            </w:tcMar>
            <w:vAlign w:val="bottom"/>
          </w:tcPr>
          <w:p w14:paraId="4B9A37B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B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7B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7B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B6" w14:textId="77777777" w:rsidR="002A3970" w:rsidRDefault="00C35E63">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4B9A37B7" w14:textId="77777777" w:rsidR="002A3970" w:rsidRDefault="002A3970">
            <w:pPr>
              <w:jc w:val="right"/>
              <w:rPr>
                <w:rFonts w:ascii="宋体"/>
              </w:rPr>
            </w:pPr>
          </w:p>
        </w:tc>
        <w:tc>
          <w:tcPr>
            <w:tcW w:w="0" w:type="auto"/>
            <w:shd w:val="clear" w:color="auto" w:fill="auto"/>
            <w:vAlign w:val="bottom"/>
          </w:tcPr>
          <w:p w14:paraId="4B9A37B8" w14:textId="77777777" w:rsidR="002A3970" w:rsidRDefault="002A3970">
            <w:pPr>
              <w:rPr>
                <w:rFonts w:ascii="宋体"/>
                <w:vanish/>
              </w:rPr>
            </w:pPr>
          </w:p>
        </w:tc>
        <w:tc>
          <w:tcPr>
            <w:tcW w:w="0" w:type="auto"/>
            <w:shd w:val="clear" w:color="auto" w:fill="auto"/>
            <w:vAlign w:val="bottom"/>
          </w:tcPr>
          <w:p w14:paraId="4B9A37B9" w14:textId="77777777" w:rsidR="002A3970" w:rsidRDefault="002A3970">
            <w:pPr>
              <w:rPr>
                <w:rFonts w:ascii="宋体"/>
                <w:vanish/>
              </w:rPr>
            </w:pPr>
          </w:p>
        </w:tc>
      </w:tr>
      <w:tr w:rsidR="002A3970" w14:paraId="4B9A37C4" w14:textId="77777777">
        <w:tc>
          <w:tcPr>
            <w:tcW w:w="0" w:type="auto"/>
            <w:gridSpan w:val="3"/>
            <w:shd w:val="clear" w:color="auto" w:fill="FFFFFF"/>
            <w:tcMar>
              <w:top w:w="40" w:type="dxa"/>
              <w:left w:w="740" w:type="dxa"/>
              <w:bottom w:w="40" w:type="dxa"/>
              <w:right w:w="20" w:type="dxa"/>
            </w:tcMar>
            <w:vAlign w:val="center"/>
          </w:tcPr>
          <w:p w14:paraId="4B9A37BB" w14:textId="77777777" w:rsidR="002A3970" w:rsidRDefault="00C35E63">
            <w:pPr>
              <w:textAlignment w:val="center"/>
            </w:pPr>
            <w:r>
              <w:rPr>
                <w:rFonts w:ascii="Times New Roman" w:eastAsia="宋体" w:hAnsi="Times New Roman"/>
                <w:color w:val="000000"/>
                <w:sz w:val="16"/>
                <w:szCs w:val="16"/>
              </w:rPr>
              <w:t>Other operating activities</w:t>
            </w:r>
          </w:p>
        </w:tc>
        <w:tc>
          <w:tcPr>
            <w:tcW w:w="0" w:type="auto"/>
            <w:gridSpan w:val="3"/>
            <w:shd w:val="clear" w:color="auto" w:fill="FFFFFF"/>
            <w:tcMar>
              <w:top w:w="0" w:type="dxa"/>
              <w:left w:w="20" w:type="dxa"/>
              <w:bottom w:w="0" w:type="dxa"/>
              <w:right w:w="20" w:type="dxa"/>
            </w:tcMar>
            <w:vAlign w:val="bottom"/>
          </w:tcPr>
          <w:p w14:paraId="4B9A37B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BD" w14:textId="77777777" w:rsidR="002A3970" w:rsidRDefault="00C35E63">
            <w:pPr>
              <w:jc w:val="right"/>
              <w:textAlignment w:val="center"/>
            </w:pPr>
            <w:r>
              <w:rPr>
                <w:rFonts w:ascii="Times New Roman" w:eastAsia="宋体" w:hAnsi="Times New Roman"/>
                <w:color w:val="000000"/>
                <w:sz w:val="16"/>
                <w:szCs w:val="16"/>
              </w:rPr>
              <w:t>921 </w:t>
            </w:r>
          </w:p>
        </w:tc>
        <w:tc>
          <w:tcPr>
            <w:tcW w:w="0" w:type="auto"/>
            <w:shd w:val="clear" w:color="auto" w:fill="FFFFFF"/>
            <w:tcMar>
              <w:top w:w="40" w:type="dxa"/>
              <w:left w:w="0" w:type="dxa"/>
              <w:bottom w:w="40" w:type="dxa"/>
              <w:right w:w="20" w:type="dxa"/>
            </w:tcMar>
            <w:vAlign w:val="center"/>
          </w:tcPr>
          <w:p w14:paraId="4B9A37B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7B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C0" w14:textId="77777777" w:rsidR="002A3970" w:rsidRDefault="00C35E63">
            <w:pPr>
              <w:jc w:val="right"/>
              <w:textAlignment w:val="center"/>
            </w:pPr>
            <w:r>
              <w:rPr>
                <w:rFonts w:ascii="Times New Roman" w:eastAsia="宋体" w:hAnsi="Times New Roman"/>
                <w:color w:val="000000"/>
                <w:sz w:val="16"/>
                <w:szCs w:val="16"/>
              </w:rPr>
              <w:t>1,057 </w:t>
            </w:r>
          </w:p>
        </w:tc>
        <w:tc>
          <w:tcPr>
            <w:tcW w:w="0" w:type="auto"/>
            <w:shd w:val="clear" w:color="auto" w:fill="FFFFFF"/>
            <w:tcMar>
              <w:top w:w="40" w:type="dxa"/>
              <w:left w:w="0" w:type="dxa"/>
              <w:bottom w:w="40" w:type="dxa"/>
              <w:right w:w="20" w:type="dxa"/>
            </w:tcMar>
            <w:vAlign w:val="center"/>
          </w:tcPr>
          <w:p w14:paraId="4B9A37C1" w14:textId="77777777" w:rsidR="002A3970" w:rsidRDefault="002A3970">
            <w:pPr>
              <w:jc w:val="right"/>
              <w:rPr>
                <w:rFonts w:ascii="宋体"/>
              </w:rPr>
            </w:pPr>
          </w:p>
        </w:tc>
        <w:tc>
          <w:tcPr>
            <w:tcW w:w="0" w:type="auto"/>
            <w:shd w:val="clear" w:color="auto" w:fill="auto"/>
            <w:vAlign w:val="bottom"/>
          </w:tcPr>
          <w:p w14:paraId="4B9A37C2" w14:textId="77777777" w:rsidR="002A3970" w:rsidRDefault="002A3970">
            <w:pPr>
              <w:rPr>
                <w:rFonts w:ascii="宋体"/>
                <w:vanish/>
              </w:rPr>
            </w:pPr>
          </w:p>
        </w:tc>
        <w:tc>
          <w:tcPr>
            <w:tcW w:w="0" w:type="auto"/>
            <w:shd w:val="clear" w:color="auto" w:fill="auto"/>
            <w:vAlign w:val="bottom"/>
          </w:tcPr>
          <w:p w14:paraId="4B9A37C3" w14:textId="77777777" w:rsidR="002A3970" w:rsidRDefault="002A3970">
            <w:pPr>
              <w:rPr>
                <w:rFonts w:ascii="宋体"/>
                <w:vanish/>
              </w:rPr>
            </w:pPr>
          </w:p>
        </w:tc>
      </w:tr>
      <w:tr w:rsidR="002A3970" w14:paraId="4B9A37CC" w14:textId="77777777">
        <w:tc>
          <w:tcPr>
            <w:tcW w:w="0" w:type="auto"/>
            <w:gridSpan w:val="3"/>
            <w:shd w:val="clear" w:color="auto" w:fill="CCEEFF"/>
            <w:tcMar>
              <w:top w:w="40" w:type="dxa"/>
              <w:left w:w="740" w:type="dxa"/>
              <w:bottom w:w="40" w:type="dxa"/>
              <w:right w:w="20" w:type="dxa"/>
            </w:tcMar>
            <w:vAlign w:val="center"/>
          </w:tcPr>
          <w:p w14:paraId="4B9A37C5" w14:textId="77777777" w:rsidR="002A3970" w:rsidRDefault="00C35E63">
            <w:pPr>
              <w:textAlignment w:val="center"/>
            </w:pPr>
            <w:r>
              <w:rPr>
                <w:rFonts w:ascii="Times New Roman" w:eastAsia="宋体" w:hAnsi="Times New Roman"/>
                <w:color w:val="000000"/>
                <w:sz w:val="16"/>
                <w:szCs w:val="16"/>
              </w:rPr>
              <w:t>Changes in certain assets and liabilities, net of effects of acquisitions and dispositions:</w:t>
            </w:r>
          </w:p>
        </w:tc>
        <w:tc>
          <w:tcPr>
            <w:tcW w:w="0" w:type="auto"/>
            <w:gridSpan w:val="3"/>
            <w:shd w:val="clear" w:color="auto" w:fill="CCEEFF"/>
            <w:tcMar>
              <w:top w:w="0" w:type="dxa"/>
              <w:left w:w="20" w:type="dxa"/>
              <w:bottom w:w="0" w:type="dxa"/>
              <w:right w:w="20" w:type="dxa"/>
            </w:tcMar>
            <w:vAlign w:val="bottom"/>
          </w:tcPr>
          <w:p w14:paraId="4B9A37C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7C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7C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7C9" w14:textId="77777777" w:rsidR="002A3970" w:rsidRDefault="002A3970">
            <w:pPr>
              <w:rPr>
                <w:rFonts w:ascii="宋体"/>
              </w:rPr>
            </w:pPr>
          </w:p>
        </w:tc>
        <w:tc>
          <w:tcPr>
            <w:tcW w:w="0" w:type="auto"/>
            <w:shd w:val="clear" w:color="auto" w:fill="auto"/>
            <w:vAlign w:val="bottom"/>
          </w:tcPr>
          <w:p w14:paraId="4B9A37CA" w14:textId="77777777" w:rsidR="002A3970" w:rsidRDefault="002A3970">
            <w:pPr>
              <w:rPr>
                <w:rFonts w:ascii="宋体"/>
                <w:vanish/>
              </w:rPr>
            </w:pPr>
          </w:p>
        </w:tc>
        <w:tc>
          <w:tcPr>
            <w:tcW w:w="0" w:type="auto"/>
            <w:shd w:val="clear" w:color="auto" w:fill="auto"/>
            <w:vAlign w:val="bottom"/>
          </w:tcPr>
          <w:p w14:paraId="4B9A37CB" w14:textId="77777777" w:rsidR="002A3970" w:rsidRDefault="002A3970">
            <w:pPr>
              <w:rPr>
                <w:rFonts w:ascii="宋体"/>
                <w:vanish/>
              </w:rPr>
            </w:pPr>
          </w:p>
        </w:tc>
      </w:tr>
      <w:tr w:rsidR="002A3970" w14:paraId="4B9A37D6" w14:textId="77777777">
        <w:tc>
          <w:tcPr>
            <w:tcW w:w="0" w:type="auto"/>
            <w:gridSpan w:val="3"/>
            <w:shd w:val="clear" w:color="auto" w:fill="FFFFFF"/>
            <w:tcMar>
              <w:top w:w="40" w:type="dxa"/>
              <w:left w:w="1235" w:type="dxa"/>
              <w:bottom w:w="40" w:type="dxa"/>
              <w:right w:w="20" w:type="dxa"/>
            </w:tcMar>
            <w:vAlign w:val="center"/>
          </w:tcPr>
          <w:p w14:paraId="4B9A37CD" w14:textId="77777777" w:rsidR="002A3970" w:rsidRDefault="00C35E63">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4B9A37C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CF" w14:textId="77777777" w:rsidR="002A3970" w:rsidRDefault="00C35E63">
            <w:pPr>
              <w:jc w:val="right"/>
              <w:textAlignment w:val="center"/>
            </w:pPr>
            <w:r>
              <w:rPr>
                <w:rFonts w:ascii="Times New Roman" w:eastAsia="宋体" w:hAnsi="Times New Roman"/>
                <w:color w:val="000000"/>
                <w:sz w:val="16"/>
                <w:szCs w:val="16"/>
              </w:rPr>
              <w:t>(59)</w:t>
            </w:r>
          </w:p>
        </w:tc>
        <w:tc>
          <w:tcPr>
            <w:tcW w:w="0" w:type="auto"/>
            <w:shd w:val="clear" w:color="auto" w:fill="FFFFFF"/>
            <w:tcMar>
              <w:top w:w="40" w:type="dxa"/>
              <w:left w:w="0" w:type="dxa"/>
              <w:bottom w:w="40" w:type="dxa"/>
              <w:right w:w="20" w:type="dxa"/>
            </w:tcMar>
            <w:vAlign w:val="center"/>
          </w:tcPr>
          <w:p w14:paraId="4B9A37D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7D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D2" w14:textId="77777777" w:rsidR="002A3970" w:rsidRDefault="00C35E63">
            <w:pPr>
              <w:jc w:val="right"/>
              <w:textAlignment w:val="center"/>
            </w:pPr>
            <w:r>
              <w:rPr>
                <w:rFonts w:ascii="Times New Roman" w:eastAsia="宋体" w:hAnsi="Times New Roman"/>
                <w:color w:val="000000"/>
                <w:sz w:val="16"/>
                <w:szCs w:val="16"/>
              </w:rPr>
              <w:t>(842)</w:t>
            </w:r>
          </w:p>
        </w:tc>
        <w:tc>
          <w:tcPr>
            <w:tcW w:w="0" w:type="auto"/>
            <w:shd w:val="clear" w:color="auto" w:fill="FFFFFF"/>
            <w:tcMar>
              <w:top w:w="40" w:type="dxa"/>
              <w:left w:w="0" w:type="dxa"/>
              <w:bottom w:w="40" w:type="dxa"/>
              <w:right w:w="20" w:type="dxa"/>
            </w:tcMar>
            <w:vAlign w:val="center"/>
          </w:tcPr>
          <w:p w14:paraId="4B9A37D3" w14:textId="77777777" w:rsidR="002A3970" w:rsidRDefault="002A3970">
            <w:pPr>
              <w:jc w:val="right"/>
              <w:rPr>
                <w:rFonts w:ascii="宋体"/>
              </w:rPr>
            </w:pPr>
          </w:p>
        </w:tc>
        <w:tc>
          <w:tcPr>
            <w:tcW w:w="0" w:type="auto"/>
            <w:shd w:val="clear" w:color="auto" w:fill="auto"/>
            <w:vAlign w:val="bottom"/>
          </w:tcPr>
          <w:p w14:paraId="4B9A37D4" w14:textId="77777777" w:rsidR="002A3970" w:rsidRDefault="002A3970">
            <w:pPr>
              <w:rPr>
                <w:rFonts w:ascii="宋体"/>
                <w:vanish/>
              </w:rPr>
            </w:pPr>
          </w:p>
        </w:tc>
        <w:tc>
          <w:tcPr>
            <w:tcW w:w="0" w:type="auto"/>
            <w:shd w:val="clear" w:color="auto" w:fill="auto"/>
            <w:vAlign w:val="bottom"/>
          </w:tcPr>
          <w:p w14:paraId="4B9A37D5" w14:textId="77777777" w:rsidR="002A3970" w:rsidRDefault="002A3970">
            <w:pPr>
              <w:rPr>
                <w:rFonts w:ascii="宋体"/>
                <w:vanish/>
              </w:rPr>
            </w:pPr>
          </w:p>
        </w:tc>
      </w:tr>
      <w:tr w:rsidR="002A3970" w14:paraId="4B9A37E0" w14:textId="77777777">
        <w:tc>
          <w:tcPr>
            <w:tcW w:w="0" w:type="auto"/>
            <w:gridSpan w:val="3"/>
            <w:shd w:val="clear" w:color="auto" w:fill="CCEEFF"/>
            <w:tcMar>
              <w:top w:w="40" w:type="dxa"/>
              <w:left w:w="1235" w:type="dxa"/>
              <w:bottom w:w="40" w:type="dxa"/>
              <w:right w:w="20" w:type="dxa"/>
            </w:tcMar>
            <w:vAlign w:val="center"/>
          </w:tcPr>
          <w:p w14:paraId="4B9A37D7" w14:textId="77777777" w:rsidR="002A3970" w:rsidRDefault="00C35E63">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4B9A37D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D9" w14:textId="77777777" w:rsidR="002A3970" w:rsidRDefault="00C35E63">
            <w:pPr>
              <w:jc w:val="right"/>
              <w:textAlignment w:val="center"/>
            </w:pPr>
            <w:r>
              <w:rPr>
                <w:rFonts w:ascii="Times New Roman" w:eastAsia="宋体" w:hAnsi="Times New Roman"/>
                <w:color w:val="000000"/>
                <w:sz w:val="16"/>
                <w:szCs w:val="16"/>
              </w:rPr>
              <w:t>(9,008)</w:t>
            </w:r>
          </w:p>
        </w:tc>
        <w:tc>
          <w:tcPr>
            <w:tcW w:w="0" w:type="auto"/>
            <w:shd w:val="clear" w:color="auto" w:fill="CCEEFF"/>
            <w:tcMar>
              <w:top w:w="40" w:type="dxa"/>
              <w:left w:w="0" w:type="dxa"/>
              <w:bottom w:w="40" w:type="dxa"/>
              <w:right w:w="20" w:type="dxa"/>
            </w:tcMar>
            <w:vAlign w:val="center"/>
          </w:tcPr>
          <w:p w14:paraId="4B9A37D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7D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DC" w14:textId="77777777" w:rsidR="002A3970" w:rsidRDefault="00C35E63">
            <w:pPr>
              <w:jc w:val="right"/>
              <w:textAlignment w:val="center"/>
            </w:pPr>
            <w:r>
              <w:rPr>
                <w:rFonts w:ascii="Times New Roman" w:eastAsia="宋体" w:hAnsi="Times New Roman"/>
                <w:color w:val="000000"/>
                <w:sz w:val="16"/>
                <w:szCs w:val="16"/>
              </w:rPr>
              <w:t>(12,663)</w:t>
            </w:r>
          </w:p>
        </w:tc>
        <w:tc>
          <w:tcPr>
            <w:tcW w:w="0" w:type="auto"/>
            <w:shd w:val="clear" w:color="auto" w:fill="CCEEFF"/>
            <w:tcMar>
              <w:top w:w="40" w:type="dxa"/>
              <w:left w:w="0" w:type="dxa"/>
              <w:bottom w:w="40" w:type="dxa"/>
              <w:right w:w="20" w:type="dxa"/>
            </w:tcMar>
            <w:vAlign w:val="center"/>
          </w:tcPr>
          <w:p w14:paraId="4B9A37DD" w14:textId="77777777" w:rsidR="002A3970" w:rsidRDefault="002A3970">
            <w:pPr>
              <w:jc w:val="right"/>
              <w:rPr>
                <w:rFonts w:ascii="宋体"/>
              </w:rPr>
            </w:pPr>
          </w:p>
        </w:tc>
        <w:tc>
          <w:tcPr>
            <w:tcW w:w="0" w:type="auto"/>
            <w:shd w:val="clear" w:color="auto" w:fill="auto"/>
            <w:vAlign w:val="bottom"/>
          </w:tcPr>
          <w:p w14:paraId="4B9A37DE" w14:textId="77777777" w:rsidR="002A3970" w:rsidRDefault="002A3970">
            <w:pPr>
              <w:rPr>
                <w:rFonts w:ascii="宋体"/>
                <w:vanish/>
              </w:rPr>
            </w:pPr>
          </w:p>
        </w:tc>
        <w:tc>
          <w:tcPr>
            <w:tcW w:w="0" w:type="auto"/>
            <w:shd w:val="clear" w:color="auto" w:fill="auto"/>
            <w:vAlign w:val="bottom"/>
          </w:tcPr>
          <w:p w14:paraId="4B9A37DF" w14:textId="77777777" w:rsidR="002A3970" w:rsidRDefault="002A3970">
            <w:pPr>
              <w:rPr>
                <w:rFonts w:ascii="宋体"/>
                <w:vanish/>
              </w:rPr>
            </w:pPr>
          </w:p>
        </w:tc>
      </w:tr>
      <w:tr w:rsidR="002A3970" w14:paraId="4B9A37EA" w14:textId="77777777">
        <w:tc>
          <w:tcPr>
            <w:tcW w:w="0" w:type="auto"/>
            <w:gridSpan w:val="3"/>
            <w:shd w:val="clear" w:color="auto" w:fill="FFFFFF"/>
            <w:tcMar>
              <w:top w:w="40" w:type="dxa"/>
              <w:left w:w="1235" w:type="dxa"/>
              <w:bottom w:w="40" w:type="dxa"/>
              <w:right w:w="20" w:type="dxa"/>
            </w:tcMar>
            <w:vAlign w:val="center"/>
          </w:tcPr>
          <w:p w14:paraId="4B9A37E1" w14:textId="77777777" w:rsidR="002A3970" w:rsidRDefault="00C35E63">
            <w:pPr>
              <w:textAlignment w:val="center"/>
            </w:pPr>
            <w:r>
              <w:rPr>
                <w:rFonts w:ascii="Times New Roman" w:eastAsia="宋体" w:hAnsi="Times New Roman"/>
                <w:color w:val="000000"/>
                <w:sz w:val="16"/>
                <w:szCs w:val="16"/>
              </w:rPr>
              <w:t>Accounts payable</w:t>
            </w:r>
          </w:p>
        </w:tc>
        <w:tc>
          <w:tcPr>
            <w:tcW w:w="0" w:type="auto"/>
            <w:gridSpan w:val="3"/>
            <w:shd w:val="clear" w:color="auto" w:fill="FFFFFF"/>
            <w:tcMar>
              <w:top w:w="0" w:type="dxa"/>
              <w:left w:w="20" w:type="dxa"/>
              <w:bottom w:w="0" w:type="dxa"/>
              <w:right w:w="20" w:type="dxa"/>
            </w:tcMar>
            <w:vAlign w:val="bottom"/>
          </w:tcPr>
          <w:p w14:paraId="4B9A37E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E3" w14:textId="77777777" w:rsidR="002A3970" w:rsidRDefault="00C35E63">
            <w:pPr>
              <w:jc w:val="right"/>
              <w:textAlignment w:val="center"/>
            </w:pPr>
            <w:r>
              <w:rPr>
                <w:rFonts w:ascii="Times New Roman" w:eastAsia="宋体" w:hAnsi="Times New Roman"/>
                <w:color w:val="000000"/>
                <w:sz w:val="16"/>
                <w:szCs w:val="16"/>
              </w:rPr>
              <w:t>3,183 </w:t>
            </w:r>
          </w:p>
        </w:tc>
        <w:tc>
          <w:tcPr>
            <w:tcW w:w="0" w:type="auto"/>
            <w:shd w:val="clear" w:color="auto" w:fill="FFFFFF"/>
            <w:tcMar>
              <w:top w:w="40" w:type="dxa"/>
              <w:left w:w="0" w:type="dxa"/>
              <w:bottom w:w="40" w:type="dxa"/>
              <w:right w:w="20" w:type="dxa"/>
            </w:tcMar>
            <w:vAlign w:val="center"/>
          </w:tcPr>
          <w:p w14:paraId="4B9A37E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7E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E6" w14:textId="77777777" w:rsidR="002A3970" w:rsidRDefault="00C35E63">
            <w:pPr>
              <w:jc w:val="right"/>
              <w:textAlignment w:val="center"/>
            </w:pPr>
            <w:r>
              <w:rPr>
                <w:rFonts w:ascii="Times New Roman" w:eastAsia="宋体" w:hAnsi="Times New Roman"/>
                <w:color w:val="000000"/>
                <w:sz w:val="16"/>
                <w:szCs w:val="16"/>
              </w:rPr>
              <w:t>7,906 </w:t>
            </w:r>
          </w:p>
        </w:tc>
        <w:tc>
          <w:tcPr>
            <w:tcW w:w="0" w:type="auto"/>
            <w:shd w:val="clear" w:color="auto" w:fill="FFFFFF"/>
            <w:tcMar>
              <w:top w:w="40" w:type="dxa"/>
              <w:left w:w="0" w:type="dxa"/>
              <w:bottom w:w="40" w:type="dxa"/>
              <w:right w:w="20" w:type="dxa"/>
            </w:tcMar>
            <w:vAlign w:val="center"/>
          </w:tcPr>
          <w:p w14:paraId="4B9A37E7" w14:textId="77777777" w:rsidR="002A3970" w:rsidRDefault="002A3970">
            <w:pPr>
              <w:jc w:val="right"/>
              <w:rPr>
                <w:rFonts w:ascii="宋体"/>
              </w:rPr>
            </w:pPr>
          </w:p>
        </w:tc>
        <w:tc>
          <w:tcPr>
            <w:tcW w:w="0" w:type="auto"/>
            <w:shd w:val="clear" w:color="auto" w:fill="auto"/>
            <w:vAlign w:val="bottom"/>
          </w:tcPr>
          <w:p w14:paraId="4B9A37E8" w14:textId="77777777" w:rsidR="002A3970" w:rsidRDefault="002A3970">
            <w:pPr>
              <w:rPr>
                <w:rFonts w:ascii="宋体"/>
                <w:vanish/>
              </w:rPr>
            </w:pPr>
          </w:p>
        </w:tc>
        <w:tc>
          <w:tcPr>
            <w:tcW w:w="0" w:type="auto"/>
            <w:shd w:val="clear" w:color="auto" w:fill="auto"/>
            <w:vAlign w:val="bottom"/>
          </w:tcPr>
          <w:p w14:paraId="4B9A37E9" w14:textId="77777777" w:rsidR="002A3970" w:rsidRDefault="002A3970">
            <w:pPr>
              <w:rPr>
                <w:rFonts w:ascii="宋体"/>
                <w:vanish/>
              </w:rPr>
            </w:pPr>
          </w:p>
        </w:tc>
      </w:tr>
      <w:tr w:rsidR="002A3970" w14:paraId="4B9A37F4" w14:textId="77777777">
        <w:tc>
          <w:tcPr>
            <w:tcW w:w="0" w:type="auto"/>
            <w:gridSpan w:val="3"/>
            <w:shd w:val="clear" w:color="auto" w:fill="CCEEFF"/>
            <w:tcMar>
              <w:top w:w="40" w:type="dxa"/>
              <w:left w:w="1235" w:type="dxa"/>
              <w:bottom w:w="40" w:type="dxa"/>
              <w:right w:w="20" w:type="dxa"/>
            </w:tcMar>
            <w:vAlign w:val="center"/>
          </w:tcPr>
          <w:p w14:paraId="4B9A37EB" w14:textId="77777777" w:rsidR="002A3970" w:rsidRDefault="00C35E63">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4B9A37E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ED" w14:textId="77777777" w:rsidR="002A3970" w:rsidRDefault="00C35E63">
            <w:pPr>
              <w:jc w:val="right"/>
              <w:textAlignment w:val="center"/>
            </w:pPr>
            <w:r>
              <w:rPr>
                <w:rFonts w:ascii="Times New Roman" w:eastAsia="宋体" w:hAnsi="Times New Roman"/>
                <w:color w:val="000000"/>
                <w:sz w:val="16"/>
                <w:szCs w:val="16"/>
              </w:rPr>
              <w:t>1,354 </w:t>
            </w:r>
          </w:p>
        </w:tc>
        <w:tc>
          <w:tcPr>
            <w:tcW w:w="0" w:type="auto"/>
            <w:shd w:val="clear" w:color="auto" w:fill="CCEEFF"/>
            <w:tcMar>
              <w:top w:w="40" w:type="dxa"/>
              <w:left w:w="0" w:type="dxa"/>
              <w:bottom w:w="40" w:type="dxa"/>
              <w:right w:w="20" w:type="dxa"/>
            </w:tcMar>
            <w:vAlign w:val="center"/>
          </w:tcPr>
          <w:p w14:paraId="4B9A37E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7E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7F0" w14:textId="77777777" w:rsidR="002A3970" w:rsidRDefault="00C35E63">
            <w:pPr>
              <w:jc w:val="right"/>
              <w:textAlignment w:val="center"/>
            </w:pPr>
            <w:r>
              <w:rPr>
                <w:rFonts w:ascii="Times New Roman" w:eastAsia="宋体" w:hAnsi="Times New Roman"/>
                <w:color w:val="000000"/>
                <w:sz w:val="16"/>
                <w:szCs w:val="16"/>
              </w:rPr>
              <w:t>(722)</w:t>
            </w:r>
          </w:p>
        </w:tc>
        <w:tc>
          <w:tcPr>
            <w:tcW w:w="0" w:type="auto"/>
            <w:shd w:val="clear" w:color="auto" w:fill="CCEEFF"/>
            <w:tcMar>
              <w:top w:w="40" w:type="dxa"/>
              <w:left w:w="0" w:type="dxa"/>
              <w:bottom w:w="40" w:type="dxa"/>
              <w:right w:w="20" w:type="dxa"/>
            </w:tcMar>
            <w:vAlign w:val="center"/>
          </w:tcPr>
          <w:p w14:paraId="4B9A37F1" w14:textId="77777777" w:rsidR="002A3970" w:rsidRDefault="002A3970">
            <w:pPr>
              <w:jc w:val="right"/>
              <w:rPr>
                <w:rFonts w:ascii="宋体"/>
              </w:rPr>
            </w:pPr>
          </w:p>
        </w:tc>
        <w:tc>
          <w:tcPr>
            <w:tcW w:w="0" w:type="auto"/>
            <w:shd w:val="clear" w:color="auto" w:fill="auto"/>
            <w:vAlign w:val="bottom"/>
          </w:tcPr>
          <w:p w14:paraId="4B9A37F2" w14:textId="77777777" w:rsidR="002A3970" w:rsidRDefault="002A3970">
            <w:pPr>
              <w:rPr>
                <w:rFonts w:ascii="宋体"/>
                <w:vanish/>
              </w:rPr>
            </w:pPr>
          </w:p>
        </w:tc>
        <w:tc>
          <w:tcPr>
            <w:tcW w:w="0" w:type="auto"/>
            <w:shd w:val="clear" w:color="auto" w:fill="auto"/>
            <w:vAlign w:val="bottom"/>
          </w:tcPr>
          <w:p w14:paraId="4B9A37F3" w14:textId="77777777" w:rsidR="002A3970" w:rsidRDefault="002A3970">
            <w:pPr>
              <w:rPr>
                <w:rFonts w:ascii="宋体"/>
                <w:vanish/>
              </w:rPr>
            </w:pPr>
          </w:p>
        </w:tc>
      </w:tr>
      <w:tr w:rsidR="002A3970" w14:paraId="4B9A37FE" w14:textId="77777777">
        <w:tc>
          <w:tcPr>
            <w:tcW w:w="0" w:type="auto"/>
            <w:gridSpan w:val="3"/>
            <w:shd w:val="clear" w:color="auto" w:fill="FFFFFF"/>
            <w:tcMar>
              <w:top w:w="40" w:type="dxa"/>
              <w:left w:w="1235" w:type="dxa"/>
              <w:bottom w:w="40" w:type="dxa"/>
              <w:right w:w="20" w:type="dxa"/>
            </w:tcMar>
            <w:vAlign w:val="center"/>
          </w:tcPr>
          <w:p w14:paraId="4B9A37F5" w14:textId="77777777" w:rsidR="002A3970" w:rsidRDefault="00C35E63">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4B9A37F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F7" w14:textId="77777777" w:rsidR="002A3970" w:rsidRDefault="00C35E63">
            <w:pPr>
              <w:jc w:val="right"/>
              <w:textAlignment w:val="center"/>
            </w:pPr>
            <w:r>
              <w:rPr>
                <w:rFonts w:ascii="Times New Roman" w:eastAsia="宋体" w:hAnsi="Times New Roman"/>
                <w:color w:val="000000"/>
                <w:sz w:val="16"/>
                <w:szCs w:val="16"/>
              </w:rPr>
              <w:t>51 </w:t>
            </w:r>
          </w:p>
        </w:tc>
        <w:tc>
          <w:tcPr>
            <w:tcW w:w="0" w:type="auto"/>
            <w:shd w:val="clear" w:color="auto" w:fill="FFFFFF"/>
            <w:tcMar>
              <w:top w:w="40" w:type="dxa"/>
              <w:left w:w="0" w:type="dxa"/>
              <w:bottom w:w="40" w:type="dxa"/>
              <w:right w:w="20" w:type="dxa"/>
            </w:tcMar>
            <w:vAlign w:val="center"/>
          </w:tcPr>
          <w:p w14:paraId="4B9A37F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7F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7FA" w14:textId="77777777" w:rsidR="002A3970" w:rsidRDefault="00C35E63">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B9A37FB" w14:textId="77777777" w:rsidR="002A3970" w:rsidRDefault="002A3970">
            <w:pPr>
              <w:jc w:val="right"/>
              <w:rPr>
                <w:rFonts w:ascii="宋体"/>
              </w:rPr>
            </w:pPr>
          </w:p>
        </w:tc>
        <w:tc>
          <w:tcPr>
            <w:tcW w:w="0" w:type="auto"/>
            <w:shd w:val="clear" w:color="auto" w:fill="auto"/>
            <w:vAlign w:val="bottom"/>
          </w:tcPr>
          <w:p w14:paraId="4B9A37FC" w14:textId="77777777" w:rsidR="002A3970" w:rsidRDefault="002A3970">
            <w:pPr>
              <w:rPr>
                <w:rFonts w:ascii="宋体"/>
                <w:vanish/>
              </w:rPr>
            </w:pPr>
          </w:p>
        </w:tc>
        <w:tc>
          <w:tcPr>
            <w:tcW w:w="0" w:type="auto"/>
            <w:shd w:val="clear" w:color="auto" w:fill="auto"/>
            <w:vAlign w:val="bottom"/>
          </w:tcPr>
          <w:p w14:paraId="4B9A37FD" w14:textId="77777777" w:rsidR="002A3970" w:rsidRDefault="002A3970">
            <w:pPr>
              <w:rPr>
                <w:rFonts w:ascii="宋体"/>
                <w:vanish/>
              </w:rPr>
            </w:pPr>
          </w:p>
        </w:tc>
      </w:tr>
      <w:tr w:rsidR="002A3970" w14:paraId="4B9A3808" w14:textId="77777777">
        <w:tc>
          <w:tcPr>
            <w:tcW w:w="0" w:type="auto"/>
            <w:gridSpan w:val="3"/>
            <w:shd w:val="clear" w:color="auto" w:fill="CCEEFF"/>
            <w:tcMar>
              <w:top w:w="40" w:type="dxa"/>
              <w:left w:w="20" w:type="dxa"/>
              <w:bottom w:w="40" w:type="dxa"/>
              <w:right w:w="20" w:type="dxa"/>
            </w:tcMar>
            <w:vAlign w:val="center"/>
          </w:tcPr>
          <w:p w14:paraId="4B9A37FF" w14:textId="77777777" w:rsidR="002A3970" w:rsidRDefault="00C35E63">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4B9A3800"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801" w14:textId="77777777" w:rsidR="002A3970" w:rsidRDefault="00C35E63">
            <w:pPr>
              <w:jc w:val="right"/>
              <w:textAlignment w:val="center"/>
            </w:pPr>
            <w:r>
              <w:rPr>
                <w:rFonts w:ascii="Times New Roman" w:eastAsia="宋体" w:hAnsi="Times New Roman"/>
                <w:color w:val="000000"/>
                <w:sz w:val="16"/>
                <w:szCs w:val="16"/>
              </w:rPr>
              <w:t>15,698 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80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03"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804" w14:textId="77777777" w:rsidR="002A3970" w:rsidRDefault="00C35E63">
            <w:pPr>
              <w:jc w:val="right"/>
              <w:textAlignment w:val="center"/>
            </w:pPr>
            <w:r>
              <w:rPr>
                <w:rFonts w:ascii="Times New Roman" w:eastAsia="宋体" w:hAnsi="Times New Roman"/>
                <w:color w:val="000000"/>
                <w:sz w:val="16"/>
                <w:szCs w:val="16"/>
              </w:rPr>
              <w:t>16,291 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805" w14:textId="77777777" w:rsidR="002A3970" w:rsidRDefault="002A3970">
            <w:pPr>
              <w:jc w:val="right"/>
              <w:rPr>
                <w:rFonts w:ascii="宋体"/>
              </w:rPr>
            </w:pPr>
          </w:p>
        </w:tc>
        <w:tc>
          <w:tcPr>
            <w:tcW w:w="0" w:type="auto"/>
            <w:shd w:val="clear" w:color="auto" w:fill="auto"/>
            <w:vAlign w:val="bottom"/>
          </w:tcPr>
          <w:p w14:paraId="4B9A3806" w14:textId="77777777" w:rsidR="002A3970" w:rsidRDefault="002A3970">
            <w:pPr>
              <w:rPr>
                <w:rFonts w:ascii="宋体"/>
                <w:vanish/>
              </w:rPr>
            </w:pPr>
          </w:p>
        </w:tc>
        <w:tc>
          <w:tcPr>
            <w:tcW w:w="0" w:type="auto"/>
            <w:shd w:val="clear" w:color="auto" w:fill="auto"/>
            <w:vAlign w:val="bottom"/>
          </w:tcPr>
          <w:p w14:paraId="4B9A3807" w14:textId="77777777" w:rsidR="002A3970" w:rsidRDefault="002A3970">
            <w:pPr>
              <w:rPr>
                <w:rFonts w:ascii="宋体"/>
                <w:vanish/>
              </w:rPr>
            </w:pPr>
          </w:p>
        </w:tc>
      </w:tr>
      <w:tr w:rsidR="002A3970" w14:paraId="4B9A3810" w14:textId="77777777">
        <w:trPr>
          <w:trHeight w:val="220"/>
        </w:trPr>
        <w:tc>
          <w:tcPr>
            <w:tcW w:w="0" w:type="auto"/>
            <w:gridSpan w:val="3"/>
            <w:shd w:val="clear" w:color="auto" w:fill="FFFFFF"/>
            <w:tcMar>
              <w:top w:w="0" w:type="dxa"/>
              <w:left w:w="20" w:type="dxa"/>
              <w:bottom w:w="0" w:type="dxa"/>
              <w:right w:w="20" w:type="dxa"/>
            </w:tcMar>
            <w:vAlign w:val="bottom"/>
          </w:tcPr>
          <w:p w14:paraId="4B9A380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0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0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0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0D" w14:textId="77777777" w:rsidR="002A3970" w:rsidRDefault="002A3970">
            <w:pPr>
              <w:rPr>
                <w:rFonts w:ascii="宋体"/>
              </w:rPr>
            </w:pPr>
          </w:p>
        </w:tc>
        <w:tc>
          <w:tcPr>
            <w:tcW w:w="0" w:type="auto"/>
            <w:shd w:val="clear" w:color="auto" w:fill="auto"/>
            <w:vAlign w:val="bottom"/>
          </w:tcPr>
          <w:p w14:paraId="4B9A380E" w14:textId="77777777" w:rsidR="002A3970" w:rsidRDefault="002A3970">
            <w:pPr>
              <w:rPr>
                <w:rFonts w:ascii="宋体"/>
                <w:vanish/>
              </w:rPr>
            </w:pPr>
          </w:p>
        </w:tc>
        <w:tc>
          <w:tcPr>
            <w:tcW w:w="0" w:type="auto"/>
            <w:shd w:val="clear" w:color="auto" w:fill="auto"/>
            <w:vAlign w:val="bottom"/>
          </w:tcPr>
          <w:p w14:paraId="4B9A380F" w14:textId="77777777" w:rsidR="002A3970" w:rsidRDefault="002A3970">
            <w:pPr>
              <w:rPr>
                <w:rFonts w:ascii="宋体"/>
                <w:vanish/>
              </w:rPr>
            </w:pPr>
          </w:p>
        </w:tc>
      </w:tr>
      <w:tr w:rsidR="002A3970" w14:paraId="4B9A3818" w14:textId="77777777">
        <w:tc>
          <w:tcPr>
            <w:tcW w:w="0" w:type="auto"/>
            <w:gridSpan w:val="3"/>
            <w:shd w:val="clear" w:color="auto" w:fill="CCEEFF"/>
            <w:tcMar>
              <w:top w:w="40" w:type="dxa"/>
              <w:left w:w="20" w:type="dxa"/>
              <w:bottom w:w="40" w:type="dxa"/>
              <w:right w:w="20" w:type="dxa"/>
            </w:tcMar>
            <w:vAlign w:val="center"/>
          </w:tcPr>
          <w:p w14:paraId="4B9A3811" w14:textId="77777777" w:rsidR="002A3970" w:rsidRDefault="00C35E63">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CCEEFF"/>
            <w:tcMar>
              <w:top w:w="0" w:type="dxa"/>
              <w:left w:w="20" w:type="dxa"/>
              <w:bottom w:w="0" w:type="dxa"/>
              <w:right w:w="20" w:type="dxa"/>
            </w:tcMar>
            <w:vAlign w:val="bottom"/>
          </w:tcPr>
          <w:p w14:paraId="4B9A381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813"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81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815" w14:textId="77777777" w:rsidR="002A3970" w:rsidRDefault="002A3970">
            <w:pPr>
              <w:rPr>
                <w:rFonts w:ascii="宋体"/>
              </w:rPr>
            </w:pPr>
          </w:p>
        </w:tc>
        <w:tc>
          <w:tcPr>
            <w:tcW w:w="0" w:type="auto"/>
            <w:shd w:val="clear" w:color="auto" w:fill="auto"/>
            <w:vAlign w:val="bottom"/>
          </w:tcPr>
          <w:p w14:paraId="4B9A3816" w14:textId="77777777" w:rsidR="002A3970" w:rsidRDefault="002A3970">
            <w:pPr>
              <w:rPr>
                <w:rFonts w:ascii="宋体"/>
                <w:vanish/>
              </w:rPr>
            </w:pPr>
          </w:p>
        </w:tc>
        <w:tc>
          <w:tcPr>
            <w:tcW w:w="0" w:type="auto"/>
            <w:shd w:val="clear" w:color="auto" w:fill="auto"/>
            <w:vAlign w:val="bottom"/>
          </w:tcPr>
          <w:p w14:paraId="4B9A3817" w14:textId="77777777" w:rsidR="002A3970" w:rsidRDefault="002A3970">
            <w:pPr>
              <w:rPr>
                <w:rFonts w:ascii="宋体"/>
                <w:vanish/>
              </w:rPr>
            </w:pPr>
          </w:p>
        </w:tc>
      </w:tr>
      <w:tr w:rsidR="002A3970" w14:paraId="4B9A3822" w14:textId="77777777">
        <w:tc>
          <w:tcPr>
            <w:tcW w:w="0" w:type="auto"/>
            <w:gridSpan w:val="3"/>
            <w:shd w:val="clear" w:color="auto" w:fill="FFFFFF"/>
            <w:tcMar>
              <w:top w:w="40" w:type="dxa"/>
              <w:left w:w="380" w:type="dxa"/>
              <w:bottom w:w="40" w:type="dxa"/>
              <w:right w:w="20" w:type="dxa"/>
            </w:tcMar>
            <w:vAlign w:val="center"/>
          </w:tcPr>
          <w:p w14:paraId="4B9A3819" w14:textId="77777777" w:rsidR="002A3970" w:rsidRDefault="00C35E63">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4B9A381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1B" w14:textId="77777777" w:rsidR="002A3970" w:rsidRDefault="00C35E63">
            <w:pPr>
              <w:jc w:val="right"/>
              <w:textAlignment w:val="center"/>
            </w:pPr>
            <w:r>
              <w:rPr>
                <w:rFonts w:ascii="Times New Roman" w:eastAsia="宋体" w:hAnsi="Times New Roman"/>
                <w:color w:val="000000"/>
                <w:sz w:val="16"/>
                <w:szCs w:val="16"/>
              </w:rPr>
              <w:t>(12,061)</w:t>
            </w:r>
          </w:p>
        </w:tc>
        <w:tc>
          <w:tcPr>
            <w:tcW w:w="0" w:type="auto"/>
            <w:shd w:val="clear" w:color="auto" w:fill="FFFFFF"/>
            <w:tcMar>
              <w:top w:w="40" w:type="dxa"/>
              <w:left w:w="0" w:type="dxa"/>
              <w:bottom w:w="40" w:type="dxa"/>
              <w:right w:w="20" w:type="dxa"/>
            </w:tcMar>
            <w:vAlign w:val="center"/>
          </w:tcPr>
          <w:p w14:paraId="4B9A381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1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1E" w14:textId="77777777" w:rsidR="002A3970" w:rsidRDefault="00C35E63">
            <w:pPr>
              <w:jc w:val="right"/>
              <w:textAlignment w:val="center"/>
            </w:pPr>
            <w:r>
              <w:rPr>
                <w:rFonts w:ascii="Times New Roman" w:eastAsia="宋体" w:hAnsi="Times New Roman"/>
                <w:color w:val="000000"/>
                <w:sz w:val="16"/>
                <w:szCs w:val="16"/>
              </w:rPr>
              <w:t>(8,588)</w:t>
            </w:r>
          </w:p>
        </w:tc>
        <w:tc>
          <w:tcPr>
            <w:tcW w:w="0" w:type="auto"/>
            <w:shd w:val="clear" w:color="auto" w:fill="FFFFFF"/>
            <w:tcMar>
              <w:top w:w="40" w:type="dxa"/>
              <w:left w:w="0" w:type="dxa"/>
              <w:bottom w:w="40" w:type="dxa"/>
              <w:right w:w="20" w:type="dxa"/>
            </w:tcMar>
            <w:vAlign w:val="center"/>
          </w:tcPr>
          <w:p w14:paraId="4B9A381F" w14:textId="77777777" w:rsidR="002A3970" w:rsidRDefault="002A3970">
            <w:pPr>
              <w:jc w:val="right"/>
              <w:rPr>
                <w:rFonts w:ascii="宋体"/>
              </w:rPr>
            </w:pPr>
          </w:p>
        </w:tc>
        <w:tc>
          <w:tcPr>
            <w:tcW w:w="0" w:type="auto"/>
            <w:shd w:val="clear" w:color="auto" w:fill="auto"/>
            <w:vAlign w:val="bottom"/>
          </w:tcPr>
          <w:p w14:paraId="4B9A3820" w14:textId="77777777" w:rsidR="002A3970" w:rsidRDefault="002A3970">
            <w:pPr>
              <w:rPr>
                <w:rFonts w:ascii="宋体"/>
                <w:vanish/>
              </w:rPr>
            </w:pPr>
          </w:p>
        </w:tc>
        <w:tc>
          <w:tcPr>
            <w:tcW w:w="0" w:type="auto"/>
            <w:shd w:val="clear" w:color="auto" w:fill="auto"/>
            <w:vAlign w:val="bottom"/>
          </w:tcPr>
          <w:p w14:paraId="4B9A3821" w14:textId="77777777" w:rsidR="002A3970" w:rsidRDefault="002A3970">
            <w:pPr>
              <w:rPr>
                <w:rFonts w:ascii="宋体"/>
                <w:vanish/>
              </w:rPr>
            </w:pPr>
          </w:p>
        </w:tc>
      </w:tr>
      <w:tr w:rsidR="002A3970" w14:paraId="4B9A382C" w14:textId="77777777">
        <w:tc>
          <w:tcPr>
            <w:tcW w:w="0" w:type="auto"/>
            <w:gridSpan w:val="3"/>
            <w:shd w:val="clear" w:color="auto" w:fill="CCEEFF"/>
            <w:tcMar>
              <w:top w:w="40" w:type="dxa"/>
              <w:left w:w="380" w:type="dxa"/>
              <w:bottom w:w="40" w:type="dxa"/>
              <w:right w:w="20" w:type="dxa"/>
            </w:tcMar>
            <w:vAlign w:val="center"/>
          </w:tcPr>
          <w:p w14:paraId="4B9A3823" w14:textId="77777777" w:rsidR="002A3970" w:rsidRDefault="00C35E63">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CCEEFF"/>
            <w:tcMar>
              <w:top w:w="0" w:type="dxa"/>
              <w:left w:w="20" w:type="dxa"/>
              <w:bottom w:w="0" w:type="dxa"/>
              <w:right w:w="20" w:type="dxa"/>
            </w:tcMar>
            <w:vAlign w:val="bottom"/>
          </w:tcPr>
          <w:p w14:paraId="4B9A382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25" w14:textId="77777777" w:rsidR="002A3970" w:rsidRDefault="00C35E63">
            <w:pPr>
              <w:jc w:val="right"/>
              <w:textAlignment w:val="center"/>
            </w:pPr>
            <w:r>
              <w:rPr>
                <w:rFonts w:ascii="Times New Roman" w:eastAsia="宋体" w:hAnsi="Times New Roman"/>
                <w:color w:val="000000"/>
                <w:sz w:val="16"/>
                <w:szCs w:val="16"/>
              </w:rPr>
              <w:t>126 </w:t>
            </w:r>
          </w:p>
        </w:tc>
        <w:tc>
          <w:tcPr>
            <w:tcW w:w="0" w:type="auto"/>
            <w:shd w:val="clear" w:color="auto" w:fill="CCEEFF"/>
            <w:tcMar>
              <w:top w:w="40" w:type="dxa"/>
              <w:left w:w="0" w:type="dxa"/>
              <w:bottom w:w="40" w:type="dxa"/>
              <w:right w:w="20" w:type="dxa"/>
            </w:tcMar>
            <w:vAlign w:val="center"/>
          </w:tcPr>
          <w:p w14:paraId="4B9A382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2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28" w14:textId="77777777" w:rsidR="002A3970" w:rsidRDefault="00C35E63">
            <w:pPr>
              <w:jc w:val="right"/>
              <w:textAlignment w:val="center"/>
            </w:pPr>
            <w:r>
              <w:rPr>
                <w:rFonts w:ascii="Times New Roman" w:eastAsia="宋体" w:hAnsi="Times New Roman"/>
                <w:color w:val="000000"/>
                <w:sz w:val="16"/>
                <w:szCs w:val="16"/>
              </w:rPr>
              <w:t>290 </w:t>
            </w:r>
          </w:p>
        </w:tc>
        <w:tc>
          <w:tcPr>
            <w:tcW w:w="0" w:type="auto"/>
            <w:shd w:val="clear" w:color="auto" w:fill="CCEEFF"/>
            <w:tcMar>
              <w:top w:w="40" w:type="dxa"/>
              <w:left w:w="0" w:type="dxa"/>
              <w:bottom w:w="40" w:type="dxa"/>
              <w:right w:w="20" w:type="dxa"/>
            </w:tcMar>
            <w:vAlign w:val="center"/>
          </w:tcPr>
          <w:p w14:paraId="4B9A3829" w14:textId="77777777" w:rsidR="002A3970" w:rsidRDefault="002A3970">
            <w:pPr>
              <w:jc w:val="right"/>
              <w:rPr>
                <w:rFonts w:ascii="宋体"/>
              </w:rPr>
            </w:pPr>
          </w:p>
        </w:tc>
        <w:tc>
          <w:tcPr>
            <w:tcW w:w="0" w:type="auto"/>
            <w:shd w:val="clear" w:color="auto" w:fill="auto"/>
            <w:vAlign w:val="bottom"/>
          </w:tcPr>
          <w:p w14:paraId="4B9A382A" w14:textId="77777777" w:rsidR="002A3970" w:rsidRDefault="002A3970">
            <w:pPr>
              <w:rPr>
                <w:rFonts w:ascii="宋体"/>
                <w:vanish/>
              </w:rPr>
            </w:pPr>
          </w:p>
        </w:tc>
        <w:tc>
          <w:tcPr>
            <w:tcW w:w="0" w:type="auto"/>
            <w:shd w:val="clear" w:color="auto" w:fill="auto"/>
            <w:vAlign w:val="bottom"/>
          </w:tcPr>
          <w:p w14:paraId="4B9A382B" w14:textId="77777777" w:rsidR="002A3970" w:rsidRDefault="002A3970">
            <w:pPr>
              <w:rPr>
                <w:rFonts w:ascii="宋体"/>
                <w:vanish/>
              </w:rPr>
            </w:pPr>
          </w:p>
        </w:tc>
      </w:tr>
      <w:tr w:rsidR="002A3970" w14:paraId="4B9A3836" w14:textId="77777777">
        <w:tc>
          <w:tcPr>
            <w:tcW w:w="0" w:type="auto"/>
            <w:gridSpan w:val="3"/>
            <w:shd w:val="clear" w:color="auto" w:fill="FFFFFF"/>
            <w:tcMar>
              <w:top w:w="40" w:type="dxa"/>
              <w:left w:w="380" w:type="dxa"/>
              <w:bottom w:w="40" w:type="dxa"/>
              <w:right w:w="20" w:type="dxa"/>
            </w:tcMar>
            <w:vAlign w:val="center"/>
          </w:tcPr>
          <w:p w14:paraId="4B9A382D" w14:textId="77777777" w:rsidR="002A3970" w:rsidRDefault="00C35E63">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FFFFFF"/>
            <w:tcMar>
              <w:top w:w="0" w:type="dxa"/>
              <w:left w:w="20" w:type="dxa"/>
              <w:bottom w:w="0" w:type="dxa"/>
              <w:right w:w="20" w:type="dxa"/>
            </w:tcMar>
            <w:vAlign w:val="bottom"/>
          </w:tcPr>
          <w:p w14:paraId="4B9A382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2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83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3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32" w14:textId="77777777" w:rsidR="002A3970" w:rsidRDefault="00C35E63">
            <w:pPr>
              <w:jc w:val="right"/>
              <w:textAlignment w:val="center"/>
            </w:pPr>
            <w:r>
              <w:rPr>
                <w:rFonts w:ascii="Times New Roman" w:eastAsia="宋体" w:hAnsi="Times New Roman"/>
                <w:color w:val="000000"/>
                <w:sz w:val="16"/>
                <w:szCs w:val="16"/>
              </w:rPr>
              <w:t>7,935 </w:t>
            </w:r>
          </w:p>
        </w:tc>
        <w:tc>
          <w:tcPr>
            <w:tcW w:w="0" w:type="auto"/>
            <w:shd w:val="clear" w:color="auto" w:fill="FFFFFF"/>
            <w:tcMar>
              <w:top w:w="40" w:type="dxa"/>
              <w:left w:w="0" w:type="dxa"/>
              <w:bottom w:w="40" w:type="dxa"/>
              <w:right w:w="20" w:type="dxa"/>
            </w:tcMar>
            <w:vAlign w:val="center"/>
          </w:tcPr>
          <w:p w14:paraId="4B9A3833" w14:textId="77777777" w:rsidR="002A3970" w:rsidRDefault="002A3970">
            <w:pPr>
              <w:jc w:val="right"/>
              <w:rPr>
                <w:rFonts w:ascii="宋体"/>
              </w:rPr>
            </w:pPr>
          </w:p>
        </w:tc>
        <w:tc>
          <w:tcPr>
            <w:tcW w:w="0" w:type="auto"/>
            <w:shd w:val="clear" w:color="auto" w:fill="auto"/>
            <w:vAlign w:val="bottom"/>
          </w:tcPr>
          <w:p w14:paraId="4B9A3834" w14:textId="77777777" w:rsidR="002A3970" w:rsidRDefault="002A3970">
            <w:pPr>
              <w:rPr>
                <w:rFonts w:ascii="宋体"/>
                <w:vanish/>
              </w:rPr>
            </w:pPr>
          </w:p>
        </w:tc>
        <w:tc>
          <w:tcPr>
            <w:tcW w:w="0" w:type="auto"/>
            <w:shd w:val="clear" w:color="auto" w:fill="auto"/>
            <w:vAlign w:val="bottom"/>
          </w:tcPr>
          <w:p w14:paraId="4B9A3835" w14:textId="77777777" w:rsidR="002A3970" w:rsidRDefault="002A3970">
            <w:pPr>
              <w:rPr>
                <w:rFonts w:ascii="宋体"/>
                <w:vanish/>
              </w:rPr>
            </w:pPr>
          </w:p>
        </w:tc>
      </w:tr>
      <w:tr w:rsidR="002A3970" w14:paraId="4B9A383E" w14:textId="77777777">
        <w:trPr>
          <w:hidden/>
        </w:trPr>
        <w:tc>
          <w:tcPr>
            <w:tcW w:w="0" w:type="auto"/>
            <w:gridSpan w:val="3"/>
            <w:shd w:val="clear" w:color="auto" w:fill="auto"/>
            <w:vAlign w:val="bottom"/>
          </w:tcPr>
          <w:p w14:paraId="4B9A3837" w14:textId="77777777" w:rsidR="002A3970" w:rsidRDefault="002A3970">
            <w:pPr>
              <w:rPr>
                <w:rFonts w:ascii="宋体"/>
                <w:vanish/>
              </w:rPr>
            </w:pPr>
          </w:p>
        </w:tc>
        <w:tc>
          <w:tcPr>
            <w:tcW w:w="0" w:type="auto"/>
            <w:gridSpan w:val="3"/>
            <w:shd w:val="clear" w:color="auto" w:fill="auto"/>
            <w:vAlign w:val="bottom"/>
          </w:tcPr>
          <w:p w14:paraId="4B9A3838" w14:textId="77777777" w:rsidR="002A3970" w:rsidRDefault="002A3970">
            <w:pPr>
              <w:rPr>
                <w:rFonts w:ascii="宋体"/>
                <w:vanish/>
              </w:rPr>
            </w:pPr>
          </w:p>
        </w:tc>
        <w:tc>
          <w:tcPr>
            <w:tcW w:w="0" w:type="auto"/>
            <w:gridSpan w:val="3"/>
            <w:shd w:val="clear" w:color="auto" w:fill="auto"/>
            <w:vAlign w:val="bottom"/>
          </w:tcPr>
          <w:p w14:paraId="4B9A3839" w14:textId="77777777" w:rsidR="002A3970" w:rsidRDefault="002A3970">
            <w:pPr>
              <w:rPr>
                <w:rFonts w:ascii="宋体"/>
                <w:vanish/>
              </w:rPr>
            </w:pPr>
          </w:p>
        </w:tc>
        <w:tc>
          <w:tcPr>
            <w:tcW w:w="0" w:type="auto"/>
            <w:gridSpan w:val="3"/>
            <w:shd w:val="clear" w:color="auto" w:fill="auto"/>
            <w:vAlign w:val="bottom"/>
          </w:tcPr>
          <w:p w14:paraId="4B9A383A" w14:textId="77777777" w:rsidR="002A3970" w:rsidRDefault="002A3970">
            <w:pPr>
              <w:rPr>
                <w:rFonts w:ascii="宋体"/>
                <w:vanish/>
              </w:rPr>
            </w:pPr>
          </w:p>
        </w:tc>
        <w:tc>
          <w:tcPr>
            <w:tcW w:w="0" w:type="auto"/>
            <w:gridSpan w:val="3"/>
            <w:shd w:val="clear" w:color="auto" w:fill="auto"/>
            <w:vAlign w:val="bottom"/>
          </w:tcPr>
          <w:p w14:paraId="4B9A383B" w14:textId="77777777" w:rsidR="002A3970" w:rsidRDefault="002A3970">
            <w:pPr>
              <w:rPr>
                <w:rFonts w:ascii="宋体"/>
                <w:vanish/>
              </w:rPr>
            </w:pPr>
          </w:p>
        </w:tc>
        <w:tc>
          <w:tcPr>
            <w:tcW w:w="0" w:type="auto"/>
            <w:shd w:val="clear" w:color="auto" w:fill="auto"/>
            <w:vAlign w:val="bottom"/>
          </w:tcPr>
          <w:p w14:paraId="4B9A383C" w14:textId="77777777" w:rsidR="002A3970" w:rsidRDefault="002A3970">
            <w:pPr>
              <w:rPr>
                <w:rFonts w:ascii="宋体"/>
                <w:vanish/>
              </w:rPr>
            </w:pPr>
          </w:p>
        </w:tc>
        <w:tc>
          <w:tcPr>
            <w:tcW w:w="0" w:type="auto"/>
            <w:shd w:val="clear" w:color="auto" w:fill="auto"/>
            <w:vAlign w:val="bottom"/>
          </w:tcPr>
          <w:p w14:paraId="4B9A383D" w14:textId="77777777" w:rsidR="002A3970" w:rsidRDefault="002A3970">
            <w:pPr>
              <w:rPr>
                <w:rFonts w:ascii="宋体"/>
                <w:vanish/>
              </w:rPr>
            </w:pPr>
          </w:p>
        </w:tc>
      </w:tr>
      <w:tr w:rsidR="002A3970" w14:paraId="4B9A3848" w14:textId="77777777">
        <w:tc>
          <w:tcPr>
            <w:tcW w:w="0" w:type="auto"/>
            <w:gridSpan w:val="3"/>
            <w:shd w:val="clear" w:color="auto" w:fill="CCEEFF"/>
            <w:tcMar>
              <w:top w:w="40" w:type="dxa"/>
              <w:left w:w="380" w:type="dxa"/>
              <w:bottom w:w="40" w:type="dxa"/>
              <w:right w:w="20" w:type="dxa"/>
            </w:tcMar>
            <w:vAlign w:val="center"/>
          </w:tcPr>
          <w:p w14:paraId="4B9A383F" w14:textId="77777777" w:rsidR="002A3970" w:rsidRDefault="00C35E63">
            <w:pPr>
              <w:textAlignment w:val="center"/>
            </w:pPr>
            <w:r>
              <w:rPr>
                <w:rFonts w:ascii="Times New Roman" w:eastAsia="宋体" w:hAnsi="Times New Roman"/>
                <w:color w:val="000000"/>
                <w:sz w:val="16"/>
                <w:szCs w:val="16"/>
              </w:rPr>
              <w:t xml:space="preserve">Payments for business </w:t>
            </w:r>
            <w:r>
              <w:rPr>
                <w:rFonts w:ascii="Times New Roman" w:eastAsia="宋体" w:hAnsi="Times New Roman"/>
                <w:color w:val="000000"/>
                <w:sz w:val="16"/>
                <w:szCs w:val="16"/>
              </w:rPr>
              <w:t>acquisitions, net of cash acquired</w:t>
            </w:r>
          </w:p>
        </w:tc>
        <w:tc>
          <w:tcPr>
            <w:tcW w:w="0" w:type="auto"/>
            <w:gridSpan w:val="3"/>
            <w:shd w:val="clear" w:color="auto" w:fill="CCEEFF"/>
            <w:tcMar>
              <w:top w:w="0" w:type="dxa"/>
              <w:left w:w="20" w:type="dxa"/>
              <w:bottom w:w="0" w:type="dxa"/>
              <w:right w:w="20" w:type="dxa"/>
            </w:tcMar>
            <w:vAlign w:val="bottom"/>
          </w:tcPr>
          <w:p w14:paraId="4B9A384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841" w14:textId="77777777" w:rsidR="002A3970" w:rsidRDefault="00C35E63">
            <w:pPr>
              <w:jc w:val="right"/>
              <w:textAlignment w:val="bottom"/>
            </w:pPr>
            <w:r>
              <w:rPr>
                <w:rFonts w:ascii="Times New Roman" w:eastAsia="宋体" w:hAnsi="Times New Roman"/>
                <w:color w:val="000000"/>
                <w:sz w:val="16"/>
                <w:szCs w:val="16"/>
              </w:rPr>
              <w:t>(730)</w:t>
            </w:r>
          </w:p>
        </w:tc>
        <w:tc>
          <w:tcPr>
            <w:tcW w:w="0" w:type="auto"/>
            <w:shd w:val="clear" w:color="auto" w:fill="CCEEFF"/>
            <w:tcMar>
              <w:top w:w="40" w:type="dxa"/>
              <w:left w:w="0" w:type="dxa"/>
              <w:bottom w:w="40" w:type="dxa"/>
              <w:right w:w="20" w:type="dxa"/>
            </w:tcMar>
            <w:vAlign w:val="bottom"/>
          </w:tcPr>
          <w:p w14:paraId="4B9A384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4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844" w14:textId="77777777" w:rsidR="002A3970" w:rsidRDefault="00C35E63">
            <w:pPr>
              <w:jc w:val="right"/>
              <w:textAlignment w:val="bottom"/>
            </w:pPr>
            <w:r>
              <w:rPr>
                <w:rFonts w:ascii="Times New Roman" w:eastAsia="宋体" w:hAnsi="Times New Roman"/>
                <w:color w:val="000000"/>
                <w:sz w:val="16"/>
                <w:szCs w:val="16"/>
              </w:rPr>
              <w:t>(248)</w:t>
            </w:r>
          </w:p>
        </w:tc>
        <w:tc>
          <w:tcPr>
            <w:tcW w:w="0" w:type="auto"/>
            <w:shd w:val="clear" w:color="auto" w:fill="CCEEFF"/>
            <w:tcMar>
              <w:top w:w="40" w:type="dxa"/>
              <w:left w:w="0" w:type="dxa"/>
              <w:bottom w:w="40" w:type="dxa"/>
              <w:right w:w="20" w:type="dxa"/>
            </w:tcMar>
            <w:vAlign w:val="bottom"/>
          </w:tcPr>
          <w:p w14:paraId="4B9A3845" w14:textId="77777777" w:rsidR="002A3970" w:rsidRDefault="002A3970">
            <w:pPr>
              <w:jc w:val="right"/>
              <w:rPr>
                <w:rFonts w:ascii="宋体"/>
              </w:rPr>
            </w:pPr>
          </w:p>
        </w:tc>
        <w:tc>
          <w:tcPr>
            <w:tcW w:w="0" w:type="auto"/>
            <w:shd w:val="clear" w:color="auto" w:fill="auto"/>
            <w:vAlign w:val="bottom"/>
          </w:tcPr>
          <w:p w14:paraId="4B9A3846" w14:textId="77777777" w:rsidR="002A3970" w:rsidRDefault="002A3970">
            <w:pPr>
              <w:rPr>
                <w:rFonts w:ascii="宋体"/>
                <w:vanish/>
              </w:rPr>
            </w:pPr>
          </w:p>
        </w:tc>
        <w:tc>
          <w:tcPr>
            <w:tcW w:w="0" w:type="auto"/>
            <w:shd w:val="clear" w:color="auto" w:fill="auto"/>
            <w:vAlign w:val="bottom"/>
          </w:tcPr>
          <w:p w14:paraId="4B9A3847" w14:textId="77777777" w:rsidR="002A3970" w:rsidRDefault="002A3970">
            <w:pPr>
              <w:rPr>
                <w:rFonts w:ascii="宋体"/>
                <w:vanish/>
              </w:rPr>
            </w:pPr>
          </w:p>
        </w:tc>
      </w:tr>
      <w:tr w:rsidR="002A3970" w14:paraId="4B9A3852" w14:textId="77777777">
        <w:tc>
          <w:tcPr>
            <w:tcW w:w="0" w:type="auto"/>
            <w:gridSpan w:val="3"/>
            <w:shd w:val="clear" w:color="auto" w:fill="FFFFFF"/>
            <w:tcMar>
              <w:top w:w="40" w:type="dxa"/>
              <w:left w:w="380" w:type="dxa"/>
              <w:bottom w:w="40" w:type="dxa"/>
              <w:right w:w="20" w:type="dxa"/>
            </w:tcMar>
            <w:vAlign w:val="center"/>
          </w:tcPr>
          <w:p w14:paraId="4B9A3849" w14:textId="77777777" w:rsidR="002A3970" w:rsidRDefault="00C35E63">
            <w:pPr>
              <w:textAlignment w:val="center"/>
            </w:pPr>
            <w:r>
              <w:rPr>
                <w:rFonts w:ascii="Times New Roman" w:eastAsia="宋体" w:hAnsi="Times New Roman"/>
                <w:color w:val="000000"/>
                <w:sz w:val="16"/>
                <w:szCs w:val="16"/>
              </w:rPr>
              <w:t>Other investing activities</w:t>
            </w:r>
          </w:p>
        </w:tc>
        <w:tc>
          <w:tcPr>
            <w:tcW w:w="0" w:type="auto"/>
            <w:gridSpan w:val="3"/>
            <w:shd w:val="clear" w:color="auto" w:fill="FFFFFF"/>
            <w:tcMar>
              <w:top w:w="0" w:type="dxa"/>
              <w:left w:w="20" w:type="dxa"/>
              <w:bottom w:w="0" w:type="dxa"/>
              <w:right w:w="20" w:type="dxa"/>
            </w:tcMar>
            <w:vAlign w:val="bottom"/>
          </w:tcPr>
          <w:p w14:paraId="4B9A384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4B" w14:textId="77777777" w:rsidR="002A3970" w:rsidRDefault="00C35E63">
            <w:pPr>
              <w:jc w:val="right"/>
              <w:textAlignment w:val="center"/>
            </w:pPr>
            <w:r>
              <w:rPr>
                <w:rFonts w:ascii="Times New Roman" w:eastAsia="宋体" w:hAnsi="Times New Roman"/>
                <w:color w:val="000000"/>
                <w:sz w:val="16"/>
                <w:szCs w:val="16"/>
              </w:rPr>
              <w:t>(300)</w:t>
            </w:r>
          </w:p>
        </w:tc>
        <w:tc>
          <w:tcPr>
            <w:tcW w:w="0" w:type="auto"/>
            <w:shd w:val="clear" w:color="auto" w:fill="FFFFFF"/>
            <w:tcMar>
              <w:top w:w="40" w:type="dxa"/>
              <w:left w:w="0" w:type="dxa"/>
              <w:bottom w:w="40" w:type="dxa"/>
              <w:right w:w="20" w:type="dxa"/>
            </w:tcMar>
            <w:vAlign w:val="center"/>
          </w:tcPr>
          <w:p w14:paraId="4B9A384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4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4E" w14:textId="77777777" w:rsidR="002A3970" w:rsidRDefault="00C35E63">
            <w:pPr>
              <w:jc w:val="right"/>
              <w:textAlignment w:val="center"/>
            </w:pPr>
            <w:r>
              <w:rPr>
                <w:rFonts w:ascii="Times New Roman" w:eastAsia="宋体" w:hAnsi="Times New Roman"/>
                <w:color w:val="000000"/>
                <w:sz w:val="16"/>
                <w:szCs w:val="16"/>
              </w:rPr>
              <w:t>(919)</w:t>
            </w:r>
          </w:p>
        </w:tc>
        <w:tc>
          <w:tcPr>
            <w:tcW w:w="0" w:type="auto"/>
            <w:shd w:val="clear" w:color="auto" w:fill="FFFFFF"/>
            <w:tcMar>
              <w:top w:w="40" w:type="dxa"/>
              <w:left w:w="0" w:type="dxa"/>
              <w:bottom w:w="40" w:type="dxa"/>
              <w:right w:w="20" w:type="dxa"/>
            </w:tcMar>
            <w:vAlign w:val="center"/>
          </w:tcPr>
          <w:p w14:paraId="4B9A384F" w14:textId="77777777" w:rsidR="002A3970" w:rsidRDefault="002A3970">
            <w:pPr>
              <w:jc w:val="right"/>
              <w:rPr>
                <w:rFonts w:ascii="宋体"/>
              </w:rPr>
            </w:pPr>
          </w:p>
        </w:tc>
        <w:tc>
          <w:tcPr>
            <w:tcW w:w="0" w:type="auto"/>
            <w:shd w:val="clear" w:color="auto" w:fill="auto"/>
            <w:vAlign w:val="bottom"/>
          </w:tcPr>
          <w:p w14:paraId="4B9A3850" w14:textId="77777777" w:rsidR="002A3970" w:rsidRDefault="002A3970">
            <w:pPr>
              <w:rPr>
                <w:rFonts w:ascii="宋体"/>
                <w:vanish/>
              </w:rPr>
            </w:pPr>
          </w:p>
        </w:tc>
        <w:tc>
          <w:tcPr>
            <w:tcW w:w="0" w:type="auto"/>
            <w:shd w:val="clear" w:color="auto" w:fill="auto"/>
            <w:vAlign w:val="bottom"/>
          </w:tcPr>
          <w:p w14:paraId="4B9A3851" w14:textId="77777777" w:rsidR="002A3970" w:rsidRDefault="002A3970">
            <w:pPr>
              <w:rPr>
                <w:rFonts w:ascii="宋体"/>
                <w:vanish/>
              </w:rPr>
            </w:pPr>
          </w:p>
        </w:tc>
      </w:tr>
      <w:tr w:rsidR="002A3970" w14:paraId="4B9A385C" w14:textId="77777777">
        <w:tc>
          <w:tcPr>
            <w:tcW w:w="0" w:type="auto"/>
            <w:gridSpan w:val="3"/>
            <w:shd w:val="clear" w:color="auto" w:fill="CCEEFF"/>
            <w:tcMar>
              <w:top w:w="40" w:type="dxa"/>
              <w:left w:w="20" w:type="dxa"/>
              <w:bottom w:w="40" w:type="dxa"/>
              <w:right w:w="20" w:type="dxa"/>
            </w:tcMar>
            <w:vAlign w:val="center"/>
          </w:tcPr>
          <w:p w14:paraId="4B9A3853" w14:textId="77777777" w:rsidR="002A3970" w:rsidRDefault="00C35E63">
            <w:pPr>
              <w:textAlignment w:val="center"/>
            </w:pPr>
            <w:r>
              <w:rPr>
                <w:rFonts w:ascii="Times New Roman" w:eastAsia="宋体" w:hAnsi="Times New Roman"/>
                <w:color w:val="000000"/>
                <w:sz w:val="16"/>
                <w:szCs w:val="16"/>
              </w:rPr>
              <w:t>Net cash used in investing activities</w:t>
            </w:r>
          </w:p>
        </w:tc>
        <w:tc>
          <w:tcPr>
            <w:tcW w:w="0" w:type="auto"/>
            <w:gridSpan w:val="3"/>
            <w:shd w:val="clear" w:color="auto" w:fill="CCEEFF"/>
            <w:tcMar>
              <w:top w:w="0" w:type="dxa"/>
              <w:left w:w="20" w:type="dxa"/>
              <w:bottom w:w="0" w:type="dxa"/>
              <w:right w:w="20" w:type="dxa"/>
            </w:tcMar>
            <w:vAlign w:val="bottom"/>
          </w:tcPr>
          <w:p w14:paraId="4B9A3854"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855" w14:textId="77777777" w:rsidR="002A3970" w:rsidRDefault="00C35E63">
            <w:pPr>
              <w:jc w:val="right"/>
              <w:textAlignment w:val="center"/>
            </w:pPr>
            <w:r>
              <w:rPr>
                <w:rFonts w:ascii="Times New Roman" w:eastAsia="宋体" w:hAnsi="Times New Roman"/>
                <w:color w:val="000000"/>
                <w:sz w:val="16"/>
                <w:szCs w:val="16"/>
              </w:rPr>
              <w:t>(12,965)</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85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57"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858" w14:textId="77777777" w:rsidR="002A3970" w:rsidRDefault="00C35E63">
            <w:pPr>
              <w:jc w:val="right"/>
              <w:textAlignment w:val="center"/>
            </w:pPr>
            <w:r>
              <w:rPr>
                <w:rFonts w:ascii="Times New Roman" w:eastAsia="宋体" w:hAnsi="Times New Roman"/>
                <w:color w:val="000000"/>
                <w:sz w:val="16"/>
                <w:szCs w:val="16"/>
              </w:rPr>
              <w:t>(1,530)</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859" w14:textId="77777777" w:rsidR="002A3970" w:rsidRDefault="002A3970">
            <w:pPr>
              <w:jc w:val="right"/>
              <w:rPr>
                <w:rFonts w:ascii="宋体"/>
              </w:rPr>
            </w:pPr>
          </w:p>
        </w:tc>
        <w:tc>
          <w:tcPr>
            <w:tcW w:w="0" w:type="auto"/>
            <w:shd w:val="clear" w:color="auto" w:fill="auto"/>
            <w:vAlign w:val="bottom"/>
          </w:tcPr>
          <w:p w14:paraId="4B9A385A" w14:textId="77777777" w:rsidR="002A3970" w:rsidRDefault="002A3970">
            <w:pPr>
              <w:rPr>
                <w:rFonts w:ascii="宋体"/>
                <w:vanish/>
              </w:rPr>
            </w:pPr>
          </w:p>
        </w:tc>
        <w:tc>
          <w:tcPr>
            <w:tcW w:w="0" w:type="auto"/>
            <w:shd w:val="clear" w:color="auto" w:fill="auto"/>
            <w:vAlign w:val="bottom"/>
          </w:tcPr>
          <w:p w14:paraId="4B9A385B" w14:textId="77777777" w:rsidR="002A3970" w:rsidRDefault="002A3970">
            <w:pPr>
              <w:rPr>
                <w:rFonts w:ascii="宋体"/>
                <w:vanish/>
              </w:rPr>
            </w:pPr>
          </w:p>
        </w:tc>
      </w:tr>
      <w:tr w:rsidR="002A3970" w14:paraId="4B9A3864" w14:textId="77777777">
        <w:trPr>
          <w:trHeight w:val="220"/>
        </w:trPr>
        <w:tc>
          <w:tcPr>
            <w:tcW w:w="0" w:type="auto"/>
            <w:gridSpan w:val="3"/>
            <w:shd w:val="clear" w:color="auto" w:fill="FFFFFF"/>
            <w:tcMar>
              <w:top w:w="0" w:type="dxa"/>
              <w:left w:w="20" w:type="dxa"/>
              <w:bottom w:w="0" w:type="dxa"/>
              <w:right w:w="20" w:type="dxa"/>
            </w:tcMar>
            <w:vAlign w:val="bottom"/>
          </w:tcPr>
          <w:p w14:paraId="4B9A385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5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5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6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61" w14:textId="77777777" w:rsidR="002A3970" w:rsidRDefault="002A3970">
            <w:pPr>
              <w:rPr>
                <w:rFonts w:ascii="宋体"/>
              </w:rPr>
            </w:pPr>
          </w:p>
        </w:tc>
        <w:tc>
          <w:tcPr>
            <w:tcW w:w="0" w:type="auto"/>
            <w:shd w:val="clear" w:color="auto" w:fill="auto"/>
            <w:vAlign w:val="bottom"/>
          </w:tcPr>
          <w:p w14:paraId="4B9A3862" w14:textId="77777777" w:rsidR="002A3970" w:rsidRDefault="002A3970">
            <w:pPr>
              <w:rPr>
                <w:rFonts w:ascii="宋体"/>
                <w:vanish/>
              </w:rPr>
            </w:pPr>
          </w:p>
        </w:tc>
        <w:tc>
          <w:tcPr>
            <w:tcW w:w="0" w:type="auto"/>
            <w:shd w:val="clear" w:color="auto" w:fill="auto"/>
            <w:vAlign w:val="bottom"/>
          </w:tcPr>
          <w:p w14:paraId="4B9A3863" w14:textId="77777777" w:rsidR="002A3970" w:rsidRDefault="002A3970">
            <w:pPr>
              <w:rPr>
                <w:rFonts w:ascii="宋体"/>
                <w:vanish/>
              </w:rPr>
            </w:pPr>
          </w:p>
        </w:tc>
      </w:tr>
      <w:tr w:rsidR="002A3970" w14:paraId="4B9A386C" w14:textId="77777777">
        <w:tc>
          <w:tcPr>
            <w:tcW w:w="0" w:type="auto"/>
            <w:gridSpan w:val="3"/>
            <w:shd w:val="clear" w:color="auto" w:fill="CCEEFF"/>
            <w:tcMar>
              <w:top w:w="40" w:type="dxa"/>
              <w:left w:w="20" w:type="dxa"/>
              <w:bottom w:w="40" w:type="dxa"/>
              <w:right w:w="20" w:type="dxa"/>
            </w:tcMar>
            <w:vAlign w:val="center"/>
          </w:tcPr>
          <w:p w14:paraId="4B9A3865" w14:textId="77777777" w:rsidR="002A3970" w:rsidRDefault="00C35E63">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bottom"/>
          </w:tcPr>
          <w:p w14:paraId="4B9A3866"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867"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868"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869" w14:textId="77777777" w:rsidR="002A3970" w:rsidRDefault="002A3970">
            <w:pPr>
              <w:rPr>
                <w:rFonts w:ascii="宋体"/>
              </w:rPr>
            </w:pPr>
          </w:p>
        </w:tc>
        <w:tc>
          <w:tcPr>
            <w:tcW w:w="0" w:type="auto"/>
            <w:shd w:val="clear" w:color="auto" w:fill="auto"/>
            <w:vAlign w:val="bottom"/>
          </w:tcPr>
          <w:p w14:paraId="4B9A386A" w14:textId="77777777" w:rsidR="002A3970" w:rsidRDefault="002A3970">
            <w:pPr>
              <w:rPr>
                <w:rFonts w:ascii="宋体"/>
                <w:vanish/>
              </w:rPr>
            </w:pPr>
          </w:p>
        </w:tc>
        <w:tc>
          <w:tcPr>
            <w:tcW w:w="0" w:type="auto"/>
            <w:shd w:val="clear" w:color="auto" w:fill="auto"/>
            <w:vAlign w:val="bottom"/>
          </w:tcPr>
          <w:p w14:paraId="4B9A386B" w14:textId="77777777" w:rsidR="002A3970" w:rsidRDefault="002A3970">
            <w:pPr>
              <w:rPr>
                <w:rFonts w:ascii="宋体"/>
                <w:vanish/>
              </w:rPr>
            </w:pPr>
          </w:p>
        </w:tc>
      </w:tr>
      <w:tr w:rsidR="002A3970" w14:paraId="4B9A3876" w14:textId="77777777">
        <w:tc>
          <w:tcPr>
            <w:tcW w:w="0" w:type="auto"/>
            <w:gridSpan w:val="3"/>
            <w:shd w:val="clear" w:color="auto" w:fill="FFFFFF"/>
            <w:tcMar>
              <w:top w:w="40" w:type="dxa"/>
              <w:left w:w="380" w:type="dxa"/>
              <w:bottom w:w="40" w:type="dxa"/>
              <w:right w:w="20" w:type="dxa"/>
            </w:tcMar>
            <w:vAlign w:val="center"/>
          </w:tcPr>
          <w:p w14:paraId="4B9A386D" w14:textId="77777777" w:rsidR="002A3970" w:rsidRDefault="00C35E63">
            <w:pPr>
              <w:textAlignment w:val="center"/>
            </w:pPr>
            <w:r>
              <w:rPr>
                <w:rFonts w:ascii="Times New Roman" w:eastAsia="宋体" w:hAnsi="Times New Roman"/>
                <w:color w:val="000000"/>
                <w:sz w:val="16"/>
                <w:szCs w:val="16"/>
              </w:rPr>
              <w:t xml:space="preserve">Net change in short-term </w:t>
            </w:r>
            <w:r>
              <w:rPr>
                <w:rFonts w:ascii="Times New Roman" w:eastAsia="宋体" w:hAnsi="Times New Roman"/>
                <w:color w:val="000000"/>
                <w:sz w:val="16"/>
                <w:szCs w:val="16"/>
              </w:rPr>
              <w:t>borrowings</w:t>
            </w:r>
          </w:p>
        </w:tc>
        <w:tc>
          <w:tcPr>
            <w:tcW w:w="0" w:type="auto"/>
            <w:gridSpan w:val="3"/>
            <w:shd w:val="clear" w:color="auto" w:fill="FFFFFF"/>
            <w:tcMar>
              <w:top w:w="0" w:type="dxa"/>
              <w:left w:w="20" w:type="dxa"/>
              <w:bottom w:w="0" w:type="dxa"/>
              <w:right w:w="20" w:type="dxa"/>
            </w:tcMar>
            <w:vAlign w:val="bottom"/>
          </w:tcPr>
          <w:p w14:paraId="4B9A386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6F" w14:textId="77777777" w:rsidR="002A3970" w:rsidRDefault="00C35E63">
            <w:pPr>
              <w:jc w:val="right"/>
              <w:textAlignment w:val="center"/>
            </w:pPr>
            <w:r>
              <w:rPr>
                <w:rFonts w:ascii="Times New Roman" w:eastAsia="宋体" w:hAnsi="Times New Roman"/>
                <w:color w:val="000000"/>
                <w:sz w:val="16"/>
                <w:szCs w:val="16"/>
              </w:rPr>
              <w:t>6,451 </w:t>
            </w:r>
          </w:p>
        </w:tc>
        <w:tc>
          <w:tcPr>
            <w:tcW w:w="0" w:type="auto"/>
            <w:shd w:val="clear" w:color="auto" w:fill="FFFFFF"/>
            <w:tcMar>
              <w:top w:w="40" w:type="dxa"/>
              <w:left w:w="0" w:type="dxa"/>
              <w:bottom w:w="40" w:type="dxa"/>
              <w:right w:w="20" w:type="dxa"/>
            </w:tcMar>
            <w:vAlign w:val="center"/>
          </w:tcPr>
          <w:p w14:paraId="4B9A387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7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72" w14:textId="77777777" w:rsidR="002A3970" w:rsidRDefault="00C35E63">
            <w:pPr>
              <w:jc w:val="right"/>
              <w:textAlignment w:val="center"/>
            </w:pPr>
            <w:r>
              <w:rPr>
                <w:rFonts w:ascii="Times New Roman" w:eastAsia="宋体" w:hAnsi="Times New Roman"/>
                <w:color w:val="000000"/>
                <w:sz w:val="16"/>
                <w:szCs w:val="16"/>
              </w:rPr>
              <w:t>228 </w:t>
            </w:r>
          </w:p>
        </w:tc>
        <w:tc>
          <w:tcPr>
            <w:tcW w:w="0" w:type="auto"/>
            <w:shd w:val="clear" w:color="auto" w:fill="FFFFFF"/>
            <w:tcMar>
              <w:top w:w="40" w:type="dxa"/>
              <w:left w:w="0" w:type="dxa"/>
              <w:bottom w:w="40" w:type="dxa"/>
              <w:right w:w="20" w:type="dxa"/>
            </w:tcMar>
            <w:vAlign w:val="center"/>
          </w:tcPr>
          <w:p w14:paraId="4B9A3873" w14:textId="77777777" w:rsidR="002A3970" w:rsidRDefault="002A3970">
            <w:pPr>
              <w:jc w:val="right"/>
              <w:rPr>
                <w:rFonts w:ascii="宋体"/>
              </w:rPr>
            </w:pPr>
          </w:p>
        </w:tc>
        <w:tc>
          <w:tcPr>
            <w:tcW w:w="0" w:type="auto"/>
            <w:shd w:val="clear" w:color="auto" w:fill="auto"/>
            <w:vAlign w:val="bottom"/>
          </w:tcPr>
          <w:p w14:paraId="4B9A3874" w14:textId="77777777" w:rsidR="002A3970" w:rsidRDefault="002A3970">
            <w:pPr>
              <w:rPr>
                <w:rFonts w:ascii="宋体"/>
                <w:vanish/>
              </w:rPr>
            </w:pPr>
          </w:p>
        </w:tc>
        <w:tc>
          <w:tcPr>
            <w:tcW w:w="0" w:type="auto"/>
            <w:shd w:val="clear" w:color="auto" w:fill="auto"/>
            <w:vAlign w:val="bottom"/>
          </w:tcPr>
          <w:p w14:paraId="4B9A3875" w14:textId="77777777" w:rsidR="002A3970" w:rsidRDefault="002A3970">
            <w:pPr>
              <w:rPr>
                <w:rFonts w:ascii="宋体"/>
                <w:vanish/>
              </w:rPr>
            </w:pPr>
          </w:p>
        </w:tc>
      </w:tr>
      <w:tr w:rsidR="002A3970" w14:paraId="4B9A3880" w14:textId="77777777">
        <w:tc>
          <w:tcPr>
            <w:tcW w:w="0" w:type="auto"/>
            <w:gridSpan w:val="3"/>
            <w:shd w:val="clear" w:color="auto" w:fill="CCEEFF"/>
            <w:tcMar>
              <w:top w:w="40" w:type="dxa"/>
              <w:left w:w="380" w:type="dxa"/>
              <w:bottom w:w="40" w:type="dxa"/>
              <w:right w:w="20" w:type="dxa"/>
            </w:tcMar>
            <w:vAlign w:val="center"/>
          </w:tcPr>
          <w:p w14:paraId="4B9A3877" w14:textId="77777777" w:rsidR="002A3970" w:rsidRDefault="00C35E63">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CCEEFF"/>
            <w:tcMar>
              <w:top w:w="0" w:type="dxa"/>
              <w:left w:w="20" w:type="dxa"/>
              <w:bottom w:w="0" w:type="dxa"/>
              <w:right w:w="20" w:type="dxa"/>
            </w:tcMar>
            <w:vAlign w:val="bottom"/>
          </w:tcPr>
          <w:p w14:paraId="4B9A387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79" w14:textId="77777777" w:rsidR="002A3970" w:rsidRDefault="00C35E63">
            <w:pPr>
              <w:jc w:val="right"/>
              <w:textAlignment w:val="center"/>
            </w:pPr>
            <w:r>
              <w:rPr>
                <w:rFonts w:ascii="Times New Roman" w:eastAsia="宋体" w:hAnsi="Times New Roman"/>
                <w:color w:val="000000"/>
                <w:sz w:val="16"/>
                <w:szCs w:val="16"/>
              </w:rPr>
              <w:t>4,969 </w:t>
            </w:r>
          </w:p>
        </w:tc>
        <w:tc>
          <w:tcPr>
            <w:tcW w:w="0" w:type="auto"/>
            <w:shd w:val="clear" w:color="auto" w:fill="CCEEFF"/>
            <w:tcMar>
              <w:top w:w="40" w:type="dxa"/>
              <w:left w:w="0" w:type="dxa"/>
              <w:bottom w:w="40" w:type="dxa"/>
              <w:right w:w="20" w:type="dxa"/>
            </w:tcMar>
            <w:vAlign w:val="center"/>
          </w:tcPr>
          <w:p w14:paraId="4B9A387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7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7C" w14:textId="77777777" w:rsidR="002A3970" w:rsidRDefault="00C35E63">
            <w:pPr>
              <w:jc w:val="right"/>
              <w:textAlignment w:val="center"/>
            </w:pPr>
            <w:r>
              <w:rPr>
                <w:rFonts w:ascii="Times New Roman" w:eastAsia="宋体" w:hAnsi="Times New Roman"/>
                <w:color w:val="000000"/>
                <w:sz w:val="16"/>
                <w:szCs w:val="16"/>
              </w:rPr>
              <w:t>6,945 </w:t>
            </w:r>
          </w:p>
        </w:tc>
        <w:tc>
          <w:tcPr>
            <w:tcW w:w="0" w:type="auto"/>
            <w:shd w:val="clear" w:color="auto" w:fill="CCEEFF"/>
            <w:tcMar>
              <w:top w:w="40" w:type="dxa"/>
              <w:left w:w="0" w:type="dxa"/>
              <w:bottom w:w="40" w:type="dxa"/>
              <w:right w:w="20" w:type="dxa"/>
            </w:tcMar>
            <w:vAlign w:val="center"/>
          </w:tcPr>
          <w:p w14:paraId="4B9A387D" w14:textId="77777777" w:rsidR="002A3970" w:rsidRDefault="002A3970">
            <w:pPr>
              <w:jc w:val="right"/>
              <w:rPr>
                <w:rFonts w:ascii="宋体"/>
              </w:rPr>
            </w:pPr>
          </w:p>
        </w:tc>
        <w:tc>
          <w:tcPr>
            <w:tcW w:w="0" w:type="auto"/>
            <w:shd w:val="clear" w:color="auto" w:fill="auto"/>
            <w:vAlign w:val="bottom"/>
          </w:tcPr>
          <w:p w14:paraId="4B9A387E" w14:textId="77777777" w:rsidR="002A3970" w:rsidRDefault="002A3970">
            <w:pPr>
              <w:rPr>
                <w:rFonts w:ascii="宋体"/>
                <w:vanish/>
              </w:rPr>
            </w:pPr>
          </w:p>
        </w:tc>
        <w:tc>
          <w:tcPr>
            <w:tcW w:w="0" w:type="auto"/>
            <w:shd w:val="clear" w:color="auto" w:fill="auto"/>
            <w:vAlign w:val="bottom"/>
          </w:tcPr>
          <w:p w14:paraId="4B9A387F" w14:textId="77777777" w:rsidR="002A3970" w:rsidRDefault="002A3970">
            <w:pPr>
              <w:rPr>
                <w:rFonts w:ascii="宋体"/>
                <w:vanish/>
              </w:rPr>
            </w:pPr>
          </w:p>
        </w:tc>
      </w:tr>
      <w:tr w:rsidR="002A3970" w14:paraId="4B9A388A" w14:textId="77777777">
        <w:tc>
          <w:tcPr>
            <w:tcW w:w="0" w:type="auto"/>
            <w:gridSpan w:val="3"/>
            <w:shd w:val="clear" w:color="auto" w:fill="FFFFFF"/>
            <w:tcMar>
              <w:top w:w="40" w:type="dxa"/>
              <w:left w:w="380" w:type="dxa"/>
              <w:bottom w:w="40" w:type="dxa"/>
              <w:right w:w="20" w:type="dxa"/>
            </w:tcMar>
            <w:vAlign w:val="center"/>
          </w:tcPr>
          <w:p w14:paraId="4B9A3881" w14:textId="77777777" w:rsidR="002A3970" w:rsidRDefault="00C35E63">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4B9A388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83" w14:textId="77777777" w:rsidR="002A3970" w:rsidRDefault="00C35E63">
            <w:pPr>
              <w:jc w:val="right"/>
              <w:textAlignment w:val="center"/>
            </w:pPr>
            <w:r>
              <w:rPr>
                <w:rFonts w:ascii="Times New Roman" w:eastAsia="宋体" w:hAnsi="Times New Roman"/>
                <w:color w:val="000000"/>
                <w:sz w:val="16"/>
                <w:szCs w:val="16"/>
              </w:rPr>
              <w:t>(1,439)</w:t>
            </w:r>
          </w:p>
        </w:tc>
        <w:tc>
          <w:tcPr>
            <w:tcW w:w="0" w:type="auto"/>
            <w:shd w:val="clear" w:color="auto" w:fill="FFFFFF"/>
            <w:tcMar>
              <w:top w:w="40" w:type="dxa"/>
              <w:left w:w="0" w:type="dxa"/>
              <w:bottom w:w="40" w:type="dxa"/>
              <w:right w:w="20" w:type="dxa"/>
            </w:tcMar>
            <w:vAlign w:val="center"/>
          </w:tcPr>
          <w:p w14:paraId="4B9A388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8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86" w14:textId="77777777" w:rsidR="002A3970" w:rsidRDefault="00C35E63">
            <w:pPr>
              <w:jc w:val="right"/>
              <w:textAlignment w:val="center"/>
            </w:pPr>
            <w:r>
              <w:rPr>
                <w:rFonts w:ascii="Times New Roman" w:eastAsia="宋体" w:hAnsi="Times New Roman"/>
                <w:color w:val="000000"/>
                <w:sz w:val="16"/>
                <w:szCs w:val="16"/>
              </w:rPr>
              <w:t>(13,010)</w:t>
            </w:r>
          </w:p>
        </w:tc>
        <w:tc>
          <w:tcPr>
            <w:tcW w:w="0" w:type="auto"/>
            <w:shd w:val="clear" w:color="auto" w:fill="FFFFFF"/>
            <w:tcMar>
              <w:top w:w="40" w:type="dxa"/>
              <w:left w:w="0" w:type="dxa"/>
              <w:bottom w:w="40" w:type="dxa"/>
              <w:right w:w="20" w:type="dxa"/>
            </w:tcMar>
            <w:vAlign w:val="center"/>
          </w:tcPr>
          <w:p w14:paraId="4B9A3887" w14:textId="77777777" w:rsidR="002A3970" w:rsidRDefault="002A3970">
            <w:pPr>
              <w:jc w:val="right"/>
              <w:rPr>
                <w:rFonts w:ascii="宋体"/>
              </w:rPr>
            </w:pPr>
          </w:p>
        </w:tc>
        <w:tc>
          <w:tcPr>
            <w:tcW w:w="0" w:type="auto"/>
            <w:shd w:val="clear" w:color="auto" w:fill="auto"/>
            <w:vAlign w:val="bottom"/>
          </w:tcPr>
          <w:p w14:paraId="4B9A3888" w14:textId="77777777" w:rsidR="002A3970" w:rsidRDefault="002A3970">
            <w:pPr>
              <w:rPr>
                <w:rFonts w:ascii="宋体"/>
                <w:vanish/>
              </w:rPr>
            </w:pPr>
          </w:p>
        </w:tc>
        <w:tc>
          <w:tcPr>
            <w:tcW w:w="0" w:type="auto"/>
            <w:shd w:val="clear" w:color="auto" w:fill="auto"/>
            <w:vAlign w:val="bottom"/>
          </w:tcPr>
          <w:p w14:paraId="4B9A3889" w14:textId="77777777" w:rsidR="002A3970" w:rsidRDefault="002A3970">
            <w:pPr>
              <w:rPr>
                <w:rFonts w:ascii="宋体"/>
                <w:vanish/>
              </w:rPr>
            </w:pPr>
          </w:p>
        </w:tc>
      </w:tr>
      <w:tr w:rsidR="002A3970" w14:paraId="4B9A3894" w14:textId="77777777">
        <w:tc>
          <w:tcPr>
            <w:tcW w:w="0" w:type="auto"/>
            <w:gridSpan w:val="3"/>
            <w:shd w:val="clear" w:color="auto" w:fill="CCEEFF"/>
            <w:tcMar>
              <w:top w:w="40" w:type="dxa"/>
              <w:left w:w="380" w:type="dxa"/>
              <w:bottom w:w="40" w:type="dxa"/>
              <w:right w:w="20" w:type="dxa"/>
            </w:tcMar>
            <w:vAlign w:val="center"/>
          </w:tcPr>
          <w:p w14:paraId="4B9A388B" w14:textId="77777777" w:rsidR="002A3970" w:rsidRDefault="00C35E63">
            <w:pPr>
              <w:textAlignment w:val="center"/>
            </w:pPr>
            <w:r>
              <w:rPr>
                <w:rFonts w:ascii="Times New Roman" w:eastAsia="宋体" w:hAnsi="Times New Roman"/>
                <w:color w:val="000000"/>
                <w:sz w:val="16"/>
                <w:szCs w:val="16"/>
              </w:rPr>
              <w:t>Premiums paid to extinguish debt</w:t>
            </w:r>
          </w:p>
        </w:tc>
        <w:tc>
          <w:tcPr>
            <w:tcW w:w="0" w:type="auto"/>
            <w:gridSpan w:val="3"/>
            <w:shd w:val="clear" w:color="auto" w:fill="CCEEFF"/>
            <w:tcMar>
              <w:top w:w="0" w:type="dxa"/>
              <w:left w:w="20" w:type="dxa"/>
              <w:bottom w:w="0" w:type="dxa"/>
              <w:right w:w="20" w:type="dxa"/>
            </w:tcMar>
            <w:vAlign w:val="bottom"/>
          </w:tcPr>
          <w:p w14:paraId="4B9A388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8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88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8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90" w14:textId="77777777" w:rsidR="002A3970" w:rsidRDefault="00C35E63">
            <w:pPr>
              <w:jc w:val="right"/>
              <w:textAlignment w:val="center"/>
            </w:pPr>
            <w:r>
              <w:rPr>
                <w:rFonts w:ascii="Times New Roman" w:eastAsia="宋体" w:hAnsi="Times New Roman"/>
                <w:color w:val="000000"/>
                <w:sz w:val="16"/>
                <w:szCs w:val="16"/>
              </w:rPr>
              <w:t>(2,317)</w:t>
            </w:r>
          </w:p>
        </w:tc>
        <w:tc>
          <w:tcPr>
            <w:tcW w:w="0" w:type="auto"/>
            <w:shd w:val="clear" w:color="auto" w:fill="CCEEFF"/>
            <w:tcMar>
              <w:top w:w="40" w:type="dxa"/>
              <w:left w:w="0" w:type="dxa"/>
              <w:bottom w:w="40" w:type="dxa"/>
              <w:right w:w="20" w:type="dxa"/>
            </w:tcMar>
            <w:vAlign w:val="center"/>
          </w:tcPr>
          <w:p w14:paraId="4B9A3891" w14:textId="77777777" w:rsidR="002A3970" w:rsidRDefault="002A3970">
            <w:pPr>
              <w:jc w:val="right"/>
              <w:rPr>
                <w:rFonts w:ascii="宋体"/>
              </w:rPr>
            </w:pPr>
          </w:p>
        </w:tc>
        <w:tc>
          <w:tcPr>
            <w:tcW w:w="0" w:type="auto"/>
            <w:shd w:val="clear" w:color="auto" w:fill="auto"/>
            <w:vAlign w:val="bottom"/>
          </w:tcPr>
          <w:p w14:paraId="4B9A3892" w14:textId="77777777" w:rsidR="002A3970" w:rsidRDefault="002A3970">
            <w:pPr>
              <w:rPr>
                <w:rFonts w:ascii="宋体"/>
                <w:vanish/>
              </w:rPr>
            </w:pPr>
          </w:p>
        </w:tc>
        <w:tc>
          <w:tcPr>
            <w:tcW w:w="0" w:type="auto"/>
            <w:shd w:val="clear" w:color="auto" w:fill="auto"/>
            <w:vAlign w:val="bottom"/>
          </w:tcPr>
          <w:p w14:paraId="4B9A3893" w14:textId="77777777" w:rsidR="002A3970" w:rsidRDefault="002A3970">
            <w:pPr>
              <w:rPr>
                <w:rFonts w:ascii="宋体"/>
                <w:vanish/>
              </w:rPr>
            </w:pPr>
          </w:p>
        </w:tc>
      </w:tr>
      <w:tr w:rsidR="002A3970" w14:paraId="4B9A389E" w14:textId="77777777">
        <w:tc>
          <w:tcPr>
            <w:tcW w:w="0" w:type="auto"/>
            <w:gridSpan w:val="3"/>
            <w:shd w:val="clear" w:color="auto" w:fill="FFFFFF"/>
            <w:tcMar>
              <w:top w:w="40" w:type="dxa"/>
              <w:left w:w="380" w:type="dxa"/>
              <w:bottom w:w="40" w:type="dxa"/>
              <w:right w:w="20" w:type="dxa"/>
            </w:tcMar>
            <w:vAlign w:val="center"/>
          </w:tcPr>
          <w:p w14:paraId="4B9A3895" w14:textId="77777777" w:rsidR="002A3970" w:rsidRDefault="00C35E63">
            <w:pPr>
              <w:textAlignment w:val="center"/>
            </w:pPr>
            <w:r>
              <w:rPr>
                <w:rFonts w:ascii="Times New Roman" w:eastAsia="宋体" w:hAnsi="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bottom"/>
          </w:tcPr>
          <w:p w14:paraId="4B9A389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97" w14:textId="77777777" w:rsidR="002A3970" w:rsidRDefault="00C35E63">
            <w:pPr>
              <w:jc w:val="right"/>
              <w:textAlignment w:val="center"/>
            </w:pPr>
            <w:r>
              <w:rPr>
                <w:rFonts w:ascii="Times New Roman" w:eastAsia="宋体" w:hAnsi="Times New Roman"/>
                <w:color w:val="000000"/>
                <w:sz w:val="16"/>
                <w:szCs w:val="16"/>
              </w:rPr>
              <w:t>(4,600)</w:t>
            </w:r>
          </w:p>
        </w:tc>
        <w:tc>
          <w:tcPr>
            <w:tcW w:w="0" w:type="auto"/>
            <w:shd w:val="clear" w:color="auto" w:fill="FFFFFF"/>
            <w:tcMar>
              <w:top w:w="40" w:type="dxa"/>
              <w:left w:w="0" w:type="dxa"/>
              <w:bottom w:w="40" w:type="dxa"/>
              <w:right w:w="20" w:type="dxa"/>
            </w:tcMar>
            <w:vAlign w:val="center"/>
          </w:tcPr>
          <w:p w14:paraId="4B9A389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9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9A" w14:textId="77777777" w:rsidR="002A3970" w:rsidRDefault="00C35E63">
            <w:pPr>
              <w:jc w:val="right"/>
              <w:textAlignment w:val="center"/>
            </w:pPr>
            <w:r>
              <w:rPr>
                <w:rFonts w:ascii="Times New Roman" w:eastAsia="宋体" w:hAnsi="Times New Roman"/>
                <w:color w:val="000000"/>
                <w:sz w:val="16"/>
                <w:szCs w:val="16"/>
              </w:rPr>
              <w:t>(4,627)</w:t>
            </w:r>
          </w:p>
        </w:tc>
        <w:tc>
          <w:tcPr>
            <w:tcW w:w="0" w:type="auto"/>
            <w:shd w:val="clear" w:color="auto" w:fill="FFFFFF"/>
            <w:tcMar>
              <w:top w:w="40" w:type="dxa"/>
              <w:left w:w="0" w:type="dxa"/>
              <w:bottom w:w="40" w:type="dxa"/>
              <w:right w:w="20" w:type="dxa"/>
            </w:tcMar>
            <w:vAlign w:val="center"/>
          </w:tcPr>
          <w:p w14:paraId="4B9A389B" w14:textId="77777777" w:rsidR="002A3970" w:rsidRDefault="002A3970">
            <w:pPr>
              <w:jc w:val="right"/>
              <w:rPr>
                <w:rFonts w:ascii="宋体"/>
              </w:rPr>
            </w:pPr>
          </w:p>
        </w:tc>
        <w:tc>
          <w:tcPr>
            <w:tcW w:w="0" w:type="auto"/>
            <w:shd w:val="clear" w:color="auto" w:fill="auto"/>
            <w:vAlign w:val="bottom"/>
          </w:tcPr>
          <w:p w14:paraId="4B9A389C" w14:textId="77777777" w:rsidR="002A3970" w:rsidRDefault="002A3970">
            <w:pPr>
              <w:rPr>
                <w:rFonts w:ascii="宋体"/>
                <w:vanish/>
              </w:rPr>
            </w:pPr>
          </w:p>
        </w:tc>
        <w:tc>
          <w:tcPr>
            <w:tcW w:w="0" w:type="auto"/>
            <w:shd w:val="clear" w:color="auto" w:fill="auto"/>
            <w:vAlign w:val="bottom"/>
          </w:tcPr>
          <w:p w14:paraId="4B9A389D" w14:textId="77777777" w:rsidR="002A3970" w:rsidRDefault="002A3970">
            <w:pPr>
              <w:rPr>
                <w:rFonts w:ascii="宋体"/>
                <w:vanish/>
              </w:rPr>
            </w:pPr>
          </w:p>
        </w:tc>
      </w:tr>
      <w:tr w:rsidR="002A3970" w14:paraId="4B9A38A8" w14:textId="77777777">
        <w:tc>
          <w:tcPr>
            <w:tcW w:w="0" w:type="auto"/>
            <w:gridSpan w:val="3"/>
            <w:shd w:val="clear" w:color="auto" w:fill="CCEEFF"/>
            <w:tcMar>
              <w:top w:w="40" w:type="dxa"/>
              <w:left w:w="380" w:type="dxa"/>
              <w:bottom w:w="40" w:type="dxa"/>
              <w:right w:w="20" w:type="dxa"/>
            </w:tcMar>
            <w:vAlign w:val="center"/>
          </w:tcPr>
          <w:p w14:paraId="4B9A389F" w14:textId="77777777" w:rsidR="002A3970" w:rsidRDefault="00C35E63">
            <w:pPr>
              <w:textAlignment w:val="center"/>
            </w:pPr>
            <w:r>
              <w:rPr>
                <w:rFonts w:ascii="Times New Roman" w:eastAsia="宋体" w:hAnsi="Times New Roman"/>
                <w:color w:val="000000"/>
                <w:sz w:val="16"/>
                <w:szCs w:val="16"/>
              </w:rPr>
              <w:t xml:space="preserve">Purchase of </w:t>
            </w:r>
            <w:r>
              <w:rPr>
                <w:rFonts w:ascii="Times New Roman" w:eastAsia="宋体" w:hAnsi="Times New Roman"/>
                <w:color w:val="000000"/>
                <w:sz w:val="16"/>
                <w:szCs w:val="16"/>
              </w:rPr>
              <w:t>Company stock</w:t>
            </w:r>
          </w:p>
        </w:tc>
        <w:tc>
          <w:tcPr>
            <w:tcW w:w="0" w:type="auto"/>
            <w:gridSpan w:val="3"/>
            <w:shd w:val="clear" w:color="auto" w:fill="CCEEFF"/>
            <w:tcMar>
              <w:top w:w="0" w:type="dxa"/>
              <w:left w:w="20" w:type="dxa"/>
              <w:bottom w:w="0" w:type="dxa"/>
              <w:right w:w="20" w:type="dxa"/>
            </w:tcMar>
            <w:vAlign w:val="bottom"/>
          </w:tcPr>
          <w:p w14:paraId="4B9A38A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A1" w14:textId="77777777" w:rsidR="002A3970" w:rsidRDefault="00C35E63">
            <w:pPr>
              <w:jc w:val="right"/>
              <w:textAlignment w:val="center"/>
            </w:pPr>
            <w:r>
              <w:rPr>
                <w:rFonts w:ascii="Times New Roman" w:eastAsia="宋体" w:hAnsi="Times New Roman"/>
                <w:color w:val="000000"/>
                <w:sz w:val="16"/>
                <w:szCs w:val="16"/>
              </w:rPr>
              <w:t>(8,708)</w:t>
            </w:r>
          </w:p>
        </w:tc>
        <w:tc>
          <w:tcPr>
            <w:tcW w:w="0" w:type="auto"/>
            <w:shd w:val="clear" w:color="auto" w:fill="CCEEFF"/>
            <w:tcMar>
              <w:top w:w="40" w:type="dxa"/>
              <w:left w:w="0" w:type="dxa"/>
              <w:bottom w:w="40" w:type="dxa"/>
              <w:right w:w="20" w:type="dxa"/>
            </w:tcMar>
            <w:vAlign w:val="center"/>
          </w:tcPr>
          <w:p w14:paraId="4B9A38A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A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A4" w14:textId="77777777" w:rsidR="002A3970" w:rsidRDefault="00C35E63">
            <w:pPr>
              <w:jc w:val="right"/>
              <w:textAlignment w:val="center"/>
            </w:pPr>
            <w:r>
              <w:rPr>
                <w:rFonts w:ascii="Times New Roman" w:eastAsia="宋体" w:hAnsi="Times New Roman"/>
                <w:color w:val="000000"/>
                <w:sz w:val="16"/>
                <w:szCs w:val="16"/>
              </w:rPr>
              <w:t>(7,368)</w:t>
            </w:r>
          </w:p>
        </w:tc>
        <w:tc>
          <w:tcPr>
            <w:tcW w:w="0" w:type="auto"/>
            <w:shd w:val="clear" w:color="auto" w:fill="CCEEFF"/>
            <w:tcMar>
              <w:top w:w="40" w:type="dxa"/>
              <w:left w:w="0" w:type="dxa"/>
              <w:bottom w:w="40" w:type="dxa"/>
              <w:right w:w="20" w:type="dxa"/>
            </w:tcMar>
            <w:vAlign w:val="center"/>
          </w:tcPr>
          <w:p w14:paraId="4B9A38A5" w14:textId="77777777" w:rsidR="002A3970" w:rsidRDefault="002A3970">
            <w:pPr>
              <w:jc w:val="right"/>
              <w:rPr>
                <w:rFonts w:ascii="宋体"/>
              </w:rPr>
            </w:pPr>
          </w:p>
        </w:tc>
        <w:tc>
          <w:tcPr>
            <w:tcW w:w="0" w:type="auto"/>
            <w:shd w:val="clear" w:color="auto" w:fill="auto"/>
            <w:vAlign w:val="bottom"/>
          </w:tcPr>
          <w:p w14:paraId="4B9A38A6" w14:textId="77777777" w:rsidR="002A3970" w:rsidRDefault="002A3970">
            <w:pPr>
              <w:rPr>
                <w:rFonts w:ascii="宋体"/>
                <w:vanish/>
              </w:rPr>
            </w:pPr>
          </w:p>
        </w:tc>
        <w:tc>
          <w:tcPr>
            <w:tcW w:w="0" w:type="auto"/>
            <w:shd w:val="clear" w:color="auto" w:fill="auto"/>
            <w:vAlign w:val="bottom"/>
          </w:tcPr>
          <w:p w14:paraId="4B9A38A7" w14:textId="77777777" w:rsidR="002A3970" w:rsidRDefault="002A3970">
            <w:pPr>
              <w:rPr>
                <w:rFonts w:ascii="宋体"/>
                <w:vanish/>
              </w:rPr>
            </w:pPr>
          </w:p>
        </w:tc>
      </w:tr>
      <w:tr w:rsidR="002A3970" w14:paraId="4B9A38B2" w14:textId="77777777">
        <w:tc>
          <w:tcPr>
            <w:tcW w:w="0" w:type="auto"/>
            <w:gridSpan w:val="3"/>
            <w:shd w:val="clear" w:color="auto" w:fill="FFFFFF"/>
            <w:tcMar>
              <w:top w:w="40" w:type="dxa"/>
              <w:left w:w="380" w:type="dxa"/>
              <w:bottom w:w="40" w:type="dxa"/>
              <w:right w:w="20" w:type="dxa"/>
            </w:tcMar>
            <w:vAlign w:val="center"/>
          </w:tcPr>
          <w:p w14:paraId="4B9A38A9" w14:textId="77777777" w:rsidR="002A3970" w:rsidRDefault="00C35E63">
            <w:pPr>
              <w:textAlignment w:val="center"/>
            </w:pPr>
            <w:r>
              <w:rPr>
                <w:rFonts w:ascii="Times New Roman" w:eastAsia="宋体" w:hAnsi="Times New Roman"/>
                <w:color w:val="000000"/>
                <w:sz w:val="16"/>
                <w:szCs w:val="16"/>
              </w:rPr>
              <w:t>Dividends paid to noncontrolling interest</w:t>
            </w:r>
          </w:p>
        </w:tc>
        <w:tc>
          <w:tcPr>
            <w:tcW w:w="0" w:type="auto"/>
            <w:gridSpan w:val="3"/>
            <w:shd w:val="clear" w:color="auto" w:fill="FFFFFF"/>
            <w:tcMar>
              <w:top w:w="0" w:type="dxa"/>
              <w:left w:w="20" w:type="dxa"/>
              <w:bottom w:w="0" w:type="dxa"/>
              <w:right w:w="20" w:type="dxa"/>
            </w:tcMar>
            <w:vAlign w:val="bottom"/>
          </w:tcPr>
          <w:p w14:paraId="4B9A38A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AB" w14:textId="77777777" w:rsidR="002A3970" w:rsidRDefault="00C35E63">
            <w:pPr>
              <w:jc w:val="right"/>
              <w:textAlignment w:val="center"/>
            </w:pPr>
            <w:r>
              <w:rPr>
                <w:rFonts w:ascii="Times New Roman" w:eastAsia="宋体" w:hAnsi="Times New Roman"/>
                <w:color w:val="000000"/>
                <w:sz w:val="16"/>
                <w:szCs w:val="16"/>
              </w:rPr>
              <w:t>(16)</w:t>
            </w:r>
          </w:p>
        </w:tc>
        <w:tc>
          <w:tcPr>
            <w:tcW w:w="0" w:type="auto"/>
            <w:shd w:val="clear" w:color="auto" w:fill="FFFFFF"/>
            <w:tcMar>
              <w:top w:w="40" w:type="dxa"/>
              <w:left w:w="0" w:type="dxa"/>
              <w:bottom w:w="40" w:type="dxa"/>
              <w:right w:w="20" w:type="dxa"/>
            </w:tcMar>
            <w:vAlign w:val="center"/>
          </w:tcPr>
          <w:p w14:paraId="4B9A38A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A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AE" w14:textId="77777777" w:rsidR="002A3970" w:rsidRDefault="00C35E63">
            <w:pPr>
              <w:jc w:val="right"/>
              <w:textAlignment w:val="center"/>
            </w:pPr>
            <w:r>
              <w:rPr>
                <w:rFonts w:ascii="Times New Roman" w:eastAsia="宋体" w:hAnsi="Times New Roman"/>
                <w:color w:val="000000"/>
                <w:sz w:val="16"/>
                <w:szCs w:val="16"/>
              </w:rPr>
              <w:t>(20)</w:t>
            </w:r>
          </w:p>
        </w:tc>
        <w:tc>
          <w:tcPr>
            <w:tcW w:w="0" w:type="auto"/>
            <w:shd w:val="clear" w:color="auto" w:fill="FFFFFF"/>
            <w:tcMar>
              <w:top w:w="40" w:type="dxa"/>
              <w:left w:w="0" w:type="dxa"/>
              <w:bottom w:w="40" w:type="dxa"/>
              <w:right w:w="20" w:type="dxa"/>
            </w:tcMar>
            <w:vAlign w:val="center"/>
          </w:tcPr>
          <w:p w14:paraId="4B9A38AF" w14:textId="77777777" w:rsidR="002A3970" w:rsidRDefault="002A3970">
            <w:pPr>
              <w:jc w:val="right"/>
              <w:rPr>
                <w:rFonts w:ascii="宋体"/>
              </w:rPr>
            </w:pPr>
          </w:p>
        </w:tc>
        <w:tc>
          <w:tcPr>
            <w:tcW w:w="0" w:type="auto"/>
            <w:shd w:val="clear" w:color="auto" w:fill="auto"/>
            <w:vAlign w:val="bottom"/>
          </w:tcPr>
          <w:p w14:paraId="4B9A38B0" w14:textId="77777777" w:rsidR="002A3970" w:rsidRDefault="002A3970">
            <w:pPr>
              <w:rPr>
                <w:rFonts w:ascii="宋体"/>
                <w:vanish/>
              </w:rPr>
            </w:pPr>
          </w:p>
        </w:tc>
        <w:tc>
          <w:tcPr>
            <w:tcW w:w="0" w:type="auto"/>
            <w:shd w:val="clear" w:color="auto" w:fill="auto"/>
            <w:vAlign w:val="bottom"/>
          </w:tcPr>
          <w:p w14:paraId="4B9A38B1" w14:textId="77777777" w:rsidR="002A3970" w:rsidRDefault="002A3970">
            <w:pPr>
              <w:rPr>
                <w:rFonts w:ascii="宋体"/>
                <w:vanish/>
              </w:rPr>
            </w:pPr>
          </w:p>
        </w:tc>
      </w:tr>
      <w:tr w:rsidR="002A3970" w14:paraId="4B9A38BA" w14:textId="77777777">
        <w:trPr>
          <w:hidden/>
        </w:trPr>
        <w:tc>
          <w:tcPr>
            <w:tcW w:w="0" w:type="auto"/>
            <w:gridSpan w:val="3"/>
            <w:shd w:val="clear" w:color="auto" w:fill="auto"/>
            <w:vAlign w:val="bottom"/>
          </w:tcPr>
          <w:p w14:paraId="4B9A38B3" w14:textId="77777777" w:rsidR="002A3970" w:rsidRDefault="002A3970">
            <w:pPr>
              <w:rPr>
                <w:rFonts w:ascii="宋体"/>
                <w:vanish/>
              </w:rPr>
            </w:pPr>
          </w:p>
        </w:tc>
        <w:tc>
          <w:tcPr>
            <w:tcW w:w="0" w:type="auto"/>
            <w:gridSpan w:val="3"/>
            <w:shd w:val="clear" w:color="auto" w:fill="auto"/>
            <w:vAlign w:val="bottom"/>
          </w:tcPr>
          <w:p w14:paraId="4B9A38B4" w14:textId="77777777" w:rsidR="002A3970" w:rsidRDefault="002A3970">
            <w:pPr>
              <w:rPr>
                <w:rFonts w:ascii="宋体"/>
                <w:vanish/>
              </w:rPr>
            </w:pPr>
          </w:p>
        </w:tc>
        <w:tc>
          <w:tcPr>
            <w:tcW w:w="0" w:type="auto"/>
            <w:gridSpan w:val="3"/>
            <w:shd w:val="clear" w:color="auto" w:fill="auto"/>
            <w:vAlign w:val="bottom"/>
          </w:tcPr>
          <w:p w14:paraId="4B9A38B5" w14:textId="77777777" w:rsidR="002A3970" w:rsidRDefault="002A3970">
            <w:pPr>
              <w:rPr>
                <w:rFonts w:ascii="宋体"/>
                <w:vanish/>
              </w:rPr>
            </w:pPr>
          </w:p>
        </w:tc>
        <w:tc>
          <w:tcPr>
            <w:tcW w:w="0" w:type="auto"/>
            <w:gridSpan w:val="3"/>
            <w:shd w:val="clear" w:color="auto" w:fill="auto"/>
            <w:vAlign w:val="bottom"/>
          </w:tcPr>
          <w:p w14:paraId="4B9A38B6" w14:textId="77777777" w:rsidR="002A3970" w:rsidRDefault="002A3970">
            <w:pPr>
              <w:rPr>
                <w:rFonts w:ascii="宋体"/>
                <w:vanish/>
              </w:rPr>
            </w:pPr>
          </w:p>
        </w:tc>
        <w:tc>
          <w:tcPr>
            <w:tcW w:w="0" w:type="auto"/>
            <w:gridSpan w:val="3"/>
            <w:shd w:val="clear" w:color="auto" w:fill="auto"/>
            <w:vAlign w:val="bottom"/>
          </w:tcPr>
          <w:p w14:paraId="4B9A38B7" w14:textId="77777777" w:rsidR="002A3970" w:rsidRDefault="002A3970">
            <w:pPr>
              <w:rPr>
                <w:rFonts w:ascii="宋体"/>
                <w:vanish/>
              </w:rPr>
            </w:pPr>
          </w:p>
        </w:tc>
        <w:tc>
          <w:tcPr>
            <w:tcW w:w="0" w:type="auto"/>
            <w:shd w:val="clear" w:color="auto" w:fill="auto"/>
            <w:vAlign w:val="bottom"/>
          </w:tcPr>
          <w:p w14:paraId="4B9A38B8" w14:textId="77777777" w:rsidR="002A3970" w:rsidRDefault="002A3970">
            <w:pPr>
              <w:rPr>
                <w:rFonts w:ascii="宋体"/>
                <w:vanish/>
              </w:rPr>
            </w:pPr>
          </w:p>
        </w:tc>
        <w:tc>
          <w:tcPr>
            <w:tcW w:w="0" w:type="auto"/>
            <w:shd w:val="clear" w:color="auto" w:fill="auto"/>
            <w:vAlign w:val="bottom"/>
          </w:tcPr>
          <w:p w14:paraId="4B9A38B9" w14:textId="77777777" w:rsidR="002A3970" w:rsidRDefault="002A3970">
            <w:pPr>
              <w:rPr>
                <w:rFonts w:ascii="宋体"/>
                <w:vanish/>
              </w:rPr>
            </w:pPr>
          </w:p>
        </w:tc>
      </w:tr>
      <w:tr w:rsidR="002A3970" w14:paraId="4B9A38C4" w14:textId="77777777">
        <w:tc>
          <w:tcPr>
            <w:tcW w:w="0" w:type="auto"/>
            <w:gridSpan w:val="3"/>
            <w:shd w:val="clear" w:color="auto" w:fill="CCEEFF"/>
            <w:tcMar>
              <w:top w:w="40" w:type="dxa"/>
              <w:left w:w="380" w:type="dxa"/>
              <w:bottom w:w="40" w:type="dxa"/>
              <w:right w:w="20" w:type="dxa"/>
            </w:tcMar>
            <w:vAlign w:val="center"/>
          </w:tcPr>
          <w:p w14:paraId="4B9A38BB" w14:textId="77777777" w:rsidR="002A3970" w:rsidRDefault="00C35E63">
            <w:pPr>
              <w:textAlignment w:val="center"/>
            </w:pPr>
            <w:r>
              <w:rPr>
                <w:rFonts w:ascii="Times New Roman" w:eastAsia="宋体" w:hAnsi="Times New Roman"/>
                <w:color w:val="000000"/>
                <w:sz w:val="16"/>
                <w:szCs w:val="16"/>
              </w:rPr>
              <w:t>Sale of subsidiary stock</w:t>
            </w:r>
          </w:p>
        </w:tc>
        <w:tc>
          <w:tcPr>
            <w:tcW w:w="0" w:type="auto"/>
            <w:gridSpan w:val="3"/>
            <w:shd w:val="clear" w:color="auto" w:fill="CCEEFF"/>
            <w:tcMar>
              <w:top w:w="0" w:type="dxa"/>
              <w:left w:w="20" w:type="dxa"/>
              <w:bottom w:w="0" w:type="dxa"/>
              <w:right w:w="20" w:type="dxa"/>
            </w:tcMar>
            <w:vAlign w:val="bottom"/>
          </w:tcPr>
          <w:p w14:paraId="4B9A38B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BD" w14:textId="77777777" w:rsidR="002A3970" w:rsidRDefault="00C35E63">
            <w:pPr>
              <w:jc w:val="right"/>
              <w:textAlignment w:val="center"/>
            </w:pPr>
            <w:r>
              <w:rPr>
                <w:rFonts w:ascii="Times New Roman" w:eastAsia="宋体" w:hAnsi="Times New Roman"/>
                <w:color w:val="000000"/>
                <w:sz w:val="16"/>
                <w:szCs w:val="16"/>
              </w:rPr>
              <w:t>55 </w:t>
            </w:r>
          </w:p>
        </w:tc>
        <w:tc>
          <w:tcPr>
            <w:tcW w:w="0" w:type="auto"/>
            <w:shd w:val="clear" w:color="auto" w:fill="CCEEFF"/>
            <w:tcMar>
              <w:top w:w="40" w:type="dxa"/>
              <w:left w:w="0" w:type="dxa"/>
              <w:bottom w:w="40" w:type="dxa"/>
              <w:right w:w="20" w:type="dxa"/>
            </w:tcMar>
            <w:vAlign w:val="center"/>
          </w:tcPr>
          <w:p w14:paraId="4B9A38B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B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C0" w14:textId="77777777" w:rsidR="002A3970" w:rsidRDefault="00C35E63">
            <w:pPr>
              <w:jc w:val="right"/>
              <w:textAlignment w:val="center"/>
            </w:pPr>
            <w:r>
              <w:rPr>
                <w:rFonts w:ascii="Times New Roman" w:eastAsia="宋体" w:hAnsi="Times New Roman"/>
                <w:color w:val="000000"/>
                <w:sz w:val="16"/>
                <w:szCs w:val="16"/>
              </w:rPr>
              <w:t>3,231 </w:t>
            </w:r>
          </w:p>
        </w:tc>
        <w:tc>
          <w:tcPr>
            <w:tcW w:w="0" w:type="auto"/>
            <w:shd w:val="clear" w:color="auto" w:fill="CCEEFF"/>
            <w:tcMar>
              <w:top w:w="40" w:type="dxa"/>
              <w:left w:w="0" w:type="dxa"/>
              <w:bottom w:w="40" w:type="dxa"/>
              <w:right w:w="20" w:type="dxa"/>
            </w:tcMar>
            <w:vAlign w:val="center"/>
          </w:tcPr>
          <w:p w14:paraId="4B9A38C1" w14:textId="77777777" w:rsidR="002A3970" w:rsidRDefault="002A3970">
            <w:pPr>
              <w:jc w:val="right"/>
              <w:rPr>
                <w:rFonts w:ascii="宋体"/>
              </w:rPr>
            </w:pPr>
          </w:p>
        </w:tc>
        <w:tc>
          <w:tcPr>
            <w:tcW w:w="0" w:type="auto"/>
            <w:shd w:val="clear" w:color="auto" w:fill="auto"/>
            <w:vAlign w:val="bottom"/>
          </w:tcPr>
          <w:p w14:paraId="4B9A38C2" w14:textId="77777777" w:rsidR="002A3970" w:rsidRDefault="002A3970">
            <w:pPr>
              <w:rPr>
                <w:rFonts w:ascii="宋体"/>
                <w:vanish/>
              </w:rPr>
            </w:pPr>
          </w:p>
        </w:tc>
        <w:tc>
          <w:tcPr>
            <w:tcW w:w="0" w:type="auto"/>
            <w:shd w:val="clear" w:color="auto" w:fill="auto"/>
            <w:vAlign w:val="bottom"/>
          </w:tcPr>
          <w:p w14:paraId="4B9A38C3" w14:textId="77777777" w:rsidR="002A3970" w:rsidRDefault="002A3970">
            <w:pPr>
              <w:rPr>
                <w:rFonts w:ascii="宋体"/>
                <w:vanish/>
              </w:rPr>
            </w:pPr>
          </w:p>
        </w:tc>
      </w:tr>
      <w:tr w:rsidR="002A3970" w14:paraId="4B9A38CE" w14:textId="77777777">
        <w:tc>
          <w:tcPr>
            <w:tcW w:w="0" w:type="auto"/>
            <w:gridSpan w:val="3"/>
            <w:shd w:val="clear" w:color="auto" w:fill="FFFFFF"/>
            <w:tcMar>
              <w:top w:w="40" w:type="dxa"/>
              <w:left w:w="380" w:type="dxa"/>
              <w:bottom w:w="40" w:type="dxa"/>
              <w:right w:w="20" w:type="dxa"/>
            </w:tcMar>
            <w:vAlign w:val="center"/>
          </w:tcPr>
          <w:p w14:paraId="4B9A38C5" w14:textId="77777777" w:rsidR="002A3970" w:rsidRDefault="00C35E63">
            <w:pPr>
              <w:textAlignment w:val="center"/>
            </w:pPr>
            <w:r>
              <w:rPr>
                <w:rFonts w:ascii="Times New Roman" w:eastAsia="宋体" w:hAnsi="Times New Roman"/>
                <w:color w:val="000000"/>
                <w:sz w:val="16"/>
                <w:szCs w:val="16"/>
              </w:rPr>
              <w:t>Other financing activities</w:t>
            </w:r>
          </w:p>
        </w:tc>
        <w:tc>
          <w:tcPr>
            <w:tcW w:w="0" w:type="auto"/>
            <w:gridSpan w:val="3"/>
            <w:shd w:val="clear" w:color="auto" w:fill="FFFFFF"/>
            <w:tcMar>
              <w:top w:w="0" w:type="dxa"/>
              <w:left w:w="20" w:type="dxa"/>
              <w:bottom w:w="0" w:type="dxa"/>
              <w:right w:w="20" w:type="dxa"/>
            </w:tcMar>
            <w:vAlign w:val="bottom"/>
          </w:tcPr>
          <w:p w14:paraId="4B9A38C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C7" w14:textId="77777777" w:rsidR="002A3970" w:rsidRDefault="00C35E63">
            <w:pPr>
              <w:jc w:val="right"/>
              <w:textAlignment w:val="center"/>
            </w:pPr>
            <w:r>
              <w:rPr>
                <w:rFonts w:ascii="Times New Roman" w:eastAsia="宋体" w:hAnsi="Times New Roman"/>
                <w:color w:val="000000"/>
                <w:sz w:val="16"/>
                <w:szCs w:val="16"/>
              </w:rPr>
              <w:t>(2,293)</w:t>
            </w:r>
          </w:p>
        </w:tc>
        <w:tc>
          <w:tcPr>
            <w:tcW w:w="0" w:type="auto"/>
            <w:shd w:val="clear" w:color="auto" w:fill="FFFFFF"/>
            <w:tcMar>
              <w:top w:w="40" w:type="dxa"/>
              <w:left w:w="0" w:type="dxa"/>
              <w:bottom w:w="40" w:type="dxa"/>
              <w:right w:w="20" w:type="dxa"/>
            </w:tcMar>
            <w:vAlign w:val="center"/>
          </w:tcPr>
          <w:p w14:paraId="4B9A38C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8C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CA" w14:textId="77777777" w:rsidR="002A3970" w:rsidRDefault="00C35E63">
            <w:pPr>
              <w:jc w:val="right"/>
              <w:textAlignment w:val="center"/>
            </w:pPr>
            <w:r>
              <w:rPr>
                <w:rFonts w:ascii="Times New Roman" w:eastAsia="宋体" w:hAnsi="Times New Roman"/>
                <w:color w:val="000000"/>
                <w:sz w:val="16"/>
                <w:szCs w:val="16"/>
              </w:rPr>
              <w:t>(1,175)</w:t>
            </w:r>
          </w:p>
        </w:tc>
        <w:tc>
          <w:tcPr>
            <w:tcW w:w="0" w:type="auto"/>
            <w:shd w:val="clear" w:color="auto" w:fill="FFFFFF"/>
            <w:tcMar>
              <w:top w:w="40" w:type="dxa"/>
              <w:left w:w="0" w:type="dxa"/>
              <w:bottom w:w="40" w:type="dxa"/>
              <w:right w:w="20" w:type="dxa"/>
            </w:tcMar>
            <w:vAlign w:val="center"/>
          </w:tcPr>
          <w:p w14:paraId="4B9A38CB" w14:textId="77777777" w:rsidR="002A3970" w:rsidRDefault="002A3970">
            <w:pPr>
              <w:jc w:val="right"/>
              <w:rPr>
                <w:rFonts w:ascii="宋体"/>
              </w:rPr>
            </w:pPr>
          </w:p>
        </w:tc>
        <w:tc>
          <w:tcPr>
            <w:tcW w:w="0" w:type="auto"/>
            <w:shd w:val="clear" w:color="auto" w:fill="auto"/>
            <w:vAlign w:val="bottom"/>
          </w:tcPr>
          <w:p w14:paraId="4B9A38CC" w14:textId="77777777" w:rsidR="002A3970" w:rsidRDefault="002A3970">
            <w:pPr>
              <w:rPr>
                <w:rFonts w:ascii="宋体"/>
                <w:vanish/>
              </w:rPr>
            </w:pPr>
          </w:p>
        </w:tc>
        <w:tc>
          <w:tcPr>
            <w:tcW w:w="0" w:type="auto"/>
            <w:shd w:val="clear" w:color="auto" w:fill="auto"/>
            <w:vAlign w:val="bottom"/>
          </w:tcPr>
          <w:p w14:paraId="4B9A38CD" w14:textId="77777777" w:rsidR="002A3970" w:rsidRDefault="002A3970">
            <w:pPr>
              <w:rPr>
                <w:rFonts w:ascii="宋体"/>
                <w:vanish/>
              </w:rPr>
            </w:pPr>
          </w:p>
        </w:tc>
      </w:tr>
      <w:tr w:rsidR="002A3970" w14:paraId="4B9A38D8" w14:textId="77777777">
        <w:tc>
          <w:tcPr>
            <w:tcW w:w="0" w:type="auto"/>
            <w:gridSpan w:val="3"/>
            <w:shd w:val="clear" w:color="auto" w:fill="CCEEFF"/>
            <w:tcMar>
              <w:top w:w="40" w:type="dxa"/>
              <w:left w:w="20" w:type="dxa"/>
              <w:bottom w:w="40" w:type="dxa"/>
              <w:right w:w="20" w:type="dxa"/>
            </w:tcMar>
            <w:vAlign w:val="center"/>
          </w:tcPr>
          <w:p w14:paraId="4B9A38CF" w14:textId="77777777" w:rsidR="002A3970" w:rsidRDefault="00C35E63">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4B9A38D0"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8D1" w14:textId="77777777" w:rsidR="002A3970" w:rsidRDefault="00C35E63">
            <w:pPr>
              <w:jc w:val="right"/>
              <w:textAlignment w:val="center"/>
            </w:pPr>
            <w:r>
              <w:rPr>
                <w:rFonts w:ascii="Times New Roman" w:eastAsia="宋体" w:hAnsi="Times New Roman"/>
                <w:color w:val="000000"/>
                <w:sz w:val="16"/>
                <w:szCs w:val="16"/>
              </w:rPr>
              <w:t>(5,581)</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8D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D3"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8D4" w14:textId="77777777" w:rsidR="002A3970" w:rsidRDefault="00C35E63">
            <w:pPr>
              <w:jc w:val="right"/>
              <w:textAlignment w:val="center"/>
            </w:pPr>
            <w:r>
              <w:rPr>
                <w:rFonts w:ascii="Times New Roman" w:eastAsia="宋体" w:hAnsi="Times New Roman"/>
                <w:color w:val="000000"/>
                <w:sz w:val="16"/>
                <w:szCs w:val="16"/>
              </w:rPr>
              <w:t>(18,113)</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8D5" w14:textId="77777777" w:rsidR="002A3970" w:rsidRDefault="002A3970">
            <w:pPr>
              <w:jc w:val="right"/>
              <w:rPr>
                <w:rFonts w:ascii="宋体"/>
              </w:rPr>
            </w:pPr>
          </w:p>
        </w:tc>
        <w:tc>
          <w:tcPr>
            <w:tcW w:w="0" w:type="auto"/>
            <w:shd w:val="clear" w:color="auto" w:fill="auto"/>
            <w:vAlign w:val="bottom"/>
          </w:tcPr>
          <w:p w14:paraId="4B9A38D6" w14:textId="77777777" w:rsidR="002A3970" w:rsidRDefault="002A3970">
            <w:pPr>
              <w:rPr>
                <w:rFonts w:ascii="宋体"/>
                <w:vanish/>
              </w:rPr>
            </w:pPr>
          </w:p>
        </w:tc>
        <w:tc>
          <w:tcPr>
            <w:tcW w:w="0" w:type="auto"/>
            <w:shd w:val="clear" w:color="auto" w:fill="auto"/>
            <w:vAlign w:val="bottom"/>
          </w:tcPr>
          <w:p w14:paraId="4B9A38D7" w14:textId="77777777" w:rsidR="002A3970" w:rsidRDefault="002A3970">
            <w:pPr>
              <w:rPr>
                <w:rFonts w:ascii="宋体"/>
                <w:vanish/>
              </w:rPr>
            </w:pPr>
          </w:p>
        </w:tc>
      </w:tr>
      <w:tr w:rsidR="002A3970" w14:paraId="4B9A38E0" w14:textId="77777777">
        <w:trPr>
          <w:trHeight w:val="220"/>
        </w:trPr>
        <w:tc>
          <w:tcPr>
            <w:tcW w:w="0" w:type="auto"/>
            <w:gridSpan w:val="3"/>
            <w:shd w:val="clear" w:color="auto" w:fill="FFFFFF"/>
            <w:tcMar>
              <w:top w:w="0" w:type="dxa"/>
              <w:left w:w="20" w:type="dxa"/>
              <w:bottom w:w="0" w:type="dxa"/>
              <w:right w:w="20" w:type="dxa"/>
            </w:tcMar>
            <w:vAlign w:val="bottom"/>
          </w:tcPr>
          <w:p w14:paraId="4B9A38D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D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D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D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DD" w14:textId="77777777" w:rsidR="002A3970" w:rsidRDefault="002A3970">
            <w:pPr>
              <w:rPr>
                <w:rFonts w:ascii="宋体"/>
              </w:rPr>
            </w:pPr>
          </w:p>
        </w:tc>
        <w:tc>
          <w:tcPr>
            <w:tcW w:w="0" w:type="auto"/>
            <w:shd w:val="clear" w:color="auto" w:fill="auto"/>
            <w:vAlign w:val="bottom"/>
          </w:tcPr>
          <w:p w14:paraId="4B9A38DE" w14:textId="77777777" w:rsidR="002A3970" w:rsidRDefault="002A3970">
            <w:pPr>
              <w:rPr>
                <w:rFonts w:ascii="宋体"/>
                <w:vanish/>
              </w:rPr>
            </w:pPr>
          </w:p>
        </w:tc>
        <w:tc>
          <w:tcPr>
            <w:tcW w:w="0" w:type="auto"/>
            <w:shd w:val="clear" w:color="auto" w:fill="auto"/>
            <w:vAlign w:val="bottom"/>
          </w:tcPr>
          <w:p w14:paraId="4B9A38DF" w14:textId="77777777" w:rsidR="002A3970" w:rsidRDefault="002A3970">
            <w:pPr>
              <w:rPr>
                <w:rFonts w:ascii="宋体"/>
                <w:vanish/>
              </w:rPr>
            </w:pPr>
          </w:p>
        </w:tc>
      </w:tr>
      <w:tr w:rsidR="002A3970" w14:paraId="4B9A38EA" w14:textId="77777777">
        <w:tc>
          <w:tcPr>
            <w:tcW w:w="0" w:type="auto"/>
            <w:gridSpan w:val="3"/>
            <w:shd w:val="clear" w:color="auto" w:fill="CCEEFF"/>
            <w:tcMar>
              <w:top w:w="40" w:type="dxa"/>
              <w:left w:w="20" w:type="dxa"/>
              <w:bottom w:w="40" w:type="dxa"/>
              <w:right w:w="20" w:type="dxa"/>
            </w:tcMar>
            <w:vAlign w:val="center"/>
          </w:tcPr>
          <w:p w14:paraId="4B9A38E1" w14:textId="77777777" w:rsidR="002A3970" w:rsidRDefault="00C35E63">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CCEEFF"/>
            <w:tcMar>
              <w:top w:w="0" w:type="dxa"/>
              <w:left w:w="20" w:type="dxa"/>
              <w:bottom w:w="0" w:type="dxa"/>
              <w:right w:w="20" w:type="dxa"/>
            </w:tcMar>
            <w:vAlign w:val="bottom"/>
          </w:tcPr>
          <w:p w14:paraId="4B9A38E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E3" w14:textId="77777777" w:rsidR="002A3970" w:rsidRDefault="00C35E63">
            <w:pPr>
              <w:jc w:val="right"/>
              <w:textAlignment w:val="center"/>
            </w:pPr>
            <w:r>
              <w:rPr>
                <w:rFonts w:ascii="Times New Roman" w:eastAsia="宋体" w:hAnsi="Times New Roman"/>
                <w:color w:val="000000"/>
                <w:sz w:val="16"/>
                <w:szCs w:val="16"/>
              </w:rPr>
              <w:t>(331)</w:t>
            </w:r>
          </w:p>
        </w:tc>
        <w:tc>
          <w:tcPr>
            <w:tcW w:w="0" w:type="auto"/>
            <w:shd w:val="clear" w:color="auto" w:fill="CCEEFF"/>
            <w:tcMar>
              <w:top w:w="40" w:type="dxa"/>
              <w:left w:w="0" w:type="dxa"/>
              <w:bottom w:w="40" w:type="dxa"/>
              <w:right w:w="20" w:type="dxa"/>
            </w:tcMar>
            <w:vAlign w:val="center"/>
          </w:tcPr>
          <w:p w14:paraId="4B9A38E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E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E6" w14:textId="77777777" w:rsidR="002A3970" w:rsidRDefault="00C35E63">
            <w:pPr>
              <w:jc w:val="right"/>
              <w:textAlignment w:val="center"/>
            </w:pPr>
            <w:r>
              <w:rPr>
                <w:rFonts w:ascii="Times New Roman" w:eastAsia="宋体" w:hAnsi="Times New Roman"/>
                <w:color w:val="000000"/>
                <w:sz w:val="16"/>
                <w:szCs w:val="16"/>
              </w:rPr>
              <w:t>(118)</w:t>
            </w:r>
          </w:p>
        </w:tc>
        <w:tc>
          <w:tcPr>
            <w:tcW w:w="0" w:type="auto"/>
            <w:shd w:val="clear" w:color="auto" w:fill="CCEEFF"/>
            <w:tcMar>
              <w:top w:w="40" w:type="dxa"/>
              <w:left w:w="0" w:type="dxa"/>
              <w:bottom w:w="40" w:type="dxa"/>
              <w:right w:w="20" w:type="dxa"/>
            </w:tcMar>
            <w:vAlign w:val="center"/>
          </w:tcPr>
          <w:p w14:paraId="4B9A38E7" w14:textId="77777777" w:rsidR="002A3970" w:rsidRDefault="002A3970">
            <w:pPr>
              <w:jc w:val="right"/>
              <w:rPr>
                <w:rFonts w:ascii="宋体"/>
              </w:rPr>
            </w:pPr>
          </w:p>
        </w:tc>
        <w:tc>
          <w:tcPr>
            <w:tcW w:w="0" w:type="auto"/>
            <w:shd w:val="clear" w:color="auto" w:fill="auto"/>
            <w:vAlign w:val="bottom"/>
          </w:tcPr>
          <w:p w14:paraId="4B9A38E8" w14:textId="77777777" w:rsidR="002A3970" w:rsidRDefault="002A3970">
            <w:pPr>
              <w:rPr>
                <w:rFonts w:ascii="宋体"/>
                <w:vanish/>
              </w:rPr>
            </w:pPr>
          </w:p>
        </w:tc>
        <w:tc>
          <w:tcPr>
            <w:tcW w:w="0" w:type="auto"/>
            <w:shd w:val="clear" w:color="auto" w:fill="auto"/>
            <w:vAlign w:val="bottom"/>
          </w:tcPr>
          <w:p w14:paraId="4B9A38E9" w14:textId="77777777" w:rsidR="002A3970" w:rsidRDefault="002A3970">
            <w:pPr>
              <w:rPr>
                <w:rFonts w:ascii="宋体"/>
                <w:vanish/>
              </w:rPr>
            </w:pPr>
          </w:p>
        </w:tc>
      </w:tr>
      <w:tr w:rsidR="002A3970" w14:paraId="4B9A38F2" w14:textId="77777777">
        <w:trPr>
          <w:trHeight w:val="220"/>
        </w:trPr>
        <w:tc>
          <w:tcPr>
            <w:tcW w:w="0" w:type="auto"/>
            <w:gridSpan w:val="3"/>
            <w:shd w:val="clear" w:color="auto" w:fill="FFFFFF"/>
            <w:tcMar>
              <w:top w:w="0" w:type="dxa"/>
              <w:left w:w="20" w:type="dxa"/>
              <w:bottom w:w="0" w:type="dxa"/>
              <w:right w:w="20" w:type="dxa"/>
            </w:tcMar>
            <w:vAlign w:val="bottom"/>
          </w:tcPr>
          <w:p w14:paraId="4B9A38E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EC"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8E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8EE"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8EF" w14:textId="77777777" w:rsidR="002A3970" w:rsidRDefault="002A3970">
            <w:pPr>
              <w:rPr>
                <w:rFonts w:ascii="宋体"/>
              </w:rPr>
            </w:pPr>
          </w:p>
        </w:tc>
        <w:tc>
          <w:tcPr>
            <w:tcW w:w="0" w:type="auto"/>
            <w:shd w:val="clear" w:color="auto" w:fill="auto"/>
            <w:vAlign w:val="bottom"/>
          </w:tcPr>
          <w:p w14:paraId="4B9A38F0" w14:textId="77777777" w:rsidR="002A3970" w:rsidRDefault="002A3970">
            <w:pPr>
              <w:rPr>
                <w:rFonts w:ascii="宋体"/>
                <w:vanish/>
              </w:rPr>
            </w:pPr>
          </w:p>
        </w:tc>
        <w:tc>
          <w:tcPr>
            <w:tcW w:w="0" w:type="auto"/>
            <w:shd w:val="clear" w:color="auto" w:fill="auto"/>
            <w:vAlign w:val="bottom"/>
          </w:tcPr>
          <w:p w14:paraId="4B9A38F1" w14:textId="77777777" w:rsidR="002A3970" w:rsidRDefault="002A3970">
            <w:pPr>
              <w:rPr>
                <w:rFonts w:ascii="宋体"/>
                <w:vanish/>
              </w:rPr>
            </w:pPr>
          </w:p>
        </w:tc>
      </w:tr>
      <w:tr w:rsidR="002A3970" w14:paraId="4B9A38FC" w14:textId="77777777">
        <w:tc>
          <w:tcPr>
            <w:tcW w:w="0" w:type="auto"/>
            <w:gridSpan w:val="3"/>
            <w:shd w:val="clear" w:color="auto" w:fill="CCEEFF"/>
            <w:tcMar>
              <w:top w:w="40" w:type="dxa"/>
              <w:left w:w="20" w:type="dxa"/>
              <w:bottom w:w="40" w:type="dxa"/>
              <w:right w:w="20" w:type="dxa"/>
            </w:tcMar>
            <w:vAlign w:val="center"/>
          </w:tcPr>
          <w:p w14:paraId="4B9A38F3" w14:textId="77777777" w:rsidR="002A3970" w:rsidRDefault="00C35E63">
            <w:pPr>
              <w:textAlignment w:val="center"/>
            </w:pPr>
            <w:r>
              <w:rPr>
                <w:rFonts w:ascii="Times New Roman" w:eastAsia="宋体" w:hAnsi="Times New Roman"/>
                <w:color w:val="000000"/>
                <w:sz w:val="16"/>
                <w:szCs w:val="16"/>
              </w:rPr>
              <w:t>Net decrease in cash, cash equivalents and restricted cash</w:t>
            </w:r>
          </w:p>
        </w:tc>
        <w:tc>
          <w:tcPr>
            <w:tcW w:w="0" w:type="auto"/>
            <w:gridSpan w:val="3"/>
            <w:shd w:val="clear" w:color="auto" w:fill="CCEEFF"/>
            <w:tcMar>
              <w:top w:w="0" w:type="dxa"/>
              <w:left w:w="20" w:type="dxa"/>
              <w:bottom w:w="0" w:type="dxa"/>
              <w:right w:w="20" w:type="dxa"/>
            </w:tcMar>
            <w:vAlign w:val="bottom"/>
          </w:tcPr>
          <w:p w14:paraId="4B9A38F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F5" w14:textId="77777777" w:rsidR="002A3970" w:rsidRDefault="00C35E63">
            <w:pPr>
              <w:jc w:val="right"/>
              <w:textAlignment w:val="center"/>
            </w:pPr>
            <w:r>
              <w:rPr>
                <w:rFonts w:ascii="Times New Roman" w:eastAsia="宋体" w:hAnsi="Times New Roman"/>
                <w:color w:val="000000"/>
                <w:sz w:val="16"/>
                <w:szCs w:val="16"/>
              </w:rPr>
              <w:t>(3,179)</w:t>
            </w:r>
          </w:p>
        </w:tc>
        <w:tc>
          <w:tcPr>
            <w:tcW w:w="0" w:type="auto"/>
            <w:shd w:val="clear" w:color="auto" w:fill="CCEEFF"/>
            <w:tcMar>
              <w:top w:w="40" w:type="dxa"/>
              <w:left w:w="0" w:type="dxa"/>
              <w:bottom w:w="40" w:type="dxa"/>
              <w:right w:w="20" w:type="dxa"/>
            </w:tcMar>
            <w:vAlign w:val="center"/>
          </w:tcPr>
          <w:p w14:paraId="4B9A38F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8F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8F8" w14:textId="77777777" w:rsidR="002A3970" w:rsidRDefault="00C35E63">
            <w:pPr>
              <w:jc w:val="right"/>
              <w:textAlignment w:val="center"/>
            </w:pPr>
            <w:r>
              <w:rPr>
                <w:rFonts w:ascii="Times New Roman" w:eastAsia="宋体" w:hAnsi="Times New Roman"/>
                <w:color w:val="000000"/>
                <w:sz w:val="16"/>
                <w:szCs w:val="16"/>
              </w:rPr>
              <w:t>(3,470)</w:t>
            </w:r>
          </w:p>
        </w:tc>
        <w:tc>
          <w:tcPr>
            <w:tcW w:w="0" w:type="auto"/>
            <w:shd w:val="clear" w:color="auto" w:fill="CCEEFF"/>
            <w:tcMar>
              <w:top w:w="40" w:type="dxa"/>
              <w:left w:w="0" w:type="dxa"/>
              <w:bottom w:w="40" w:type="dxa"/>
              <w:right w:w="20" w:type="dxa"/>
            </w:tcMar>
            <w:vAlign w:val="center"/>
          </w:tcPr>
          <w:p w14:paraId="4B9A38F9" w14:textId="77777777" w:rsidR="002A3970" w:rsidRDefault="002A3970">
            <w:pPr>
              <w:jc w:val="right"/>
              <w:rPr>
                <w:rFonts w:ascii="宋体"/>
              </w:rPr>
            </w:pPr>
          </w:p>
        </w:tc>
        <w:tc>
          <w:tcPr>
            <w:tcW w:w="0" w:type="auto"/>
            <w:shd w:val="clear" w:color="auto" w:fill="auto"/>
            <w:vAlign w:val="bottom"/>
          </w:tcPr>
          <w:p w14:paraId="4B9A38FA" w14:textId="77777777" w:rsidR="002A3970" w:rsidRDefault="002A3970">
            <w:pPr>
              <w:rPr>
                <w:rFonts w:ascii="宋体"/>
                <w:vanish/>
              </w:rPr>
            </w:pPr>
          </w:p>
        </w:tc>
        <w:tc>
          <w:tcPr>
            <w:tcW w:w="0" w:type="auto"/>
            <w:shd w:val="clear" w:color="auto" w:fill="auto"/>
            <w:vAlign w:val="bottom"/>
          </w:tcPr>
          <w:p w14:paraId="4B9A38FB" w14:textId="77777777" w:rsidR="002A3970" w:rsidRDefault="002A3970">
            <w:pPr>
              <w:rPr>
                <w:rFonts w:ascii="宋体"/>
                <w:vanish/>
              </w:rPr>
            </w:pPr>
          </w:p>
        </w:tc>
      </w:tr>
      <w:tr w:rsidR="002A3970" w14:paraId="4B9A3906" w14:textId="77777777">
        <w:tc>
          <w:tcPr>
            <w:tcW w:w="0" w:type="auto"/>
            <w:gridSpan w:val="3"/>
            <w:shd w:val="clear" w:color="auto" w:fill="FFFFFF"/>
            <w:tcMar>
              <w:top w:w="40" w:type="dxa"/>
              <w:left w:w="20" w:type="dxa"/>
              <w:bottom w:w="40" w:type="dxa"/>
              <w:right w:w="20" w:type="dxa"/>
            </w:tcMar>
            <w:vAlign w:val="center"/>
          </w:tcPr>
          <w:p w14:paraId="4B9A38FD" w14:textId="77777777" w:rsidR="002A3970" w:rsidRDefault="00C35E63">
            <w:pPr>
              <w:textAlignment w:val="center"/>
            </w:pPr>
            <w:r>
              <w:rPr>
                <w:rFonts w:ascii="Times New Roman" w:eastAsia="宋体" w:hAnsi="Times New Roman"/>
                <w:color w:val="000000"/>
                <w:sz w:val="16"/>
                <w:szCs w:val="16"/>
              </w:rPr>
              <w:t xml:space="preserve">Change in cash and cash equivalents </w:t>
            </w:r>
            <w:r>
              <w:rPr>
                <w:rFonts w:ascii="Times New Roman" w:eastAsia="宋体" w:hAnsi="Times New Roman"/>
                <w:color w:val="000000"/>
                <w:sz w:val="16"/>
                <w:szCs w:val="16"/>
              </w:rPr>
              <w:t>reclassified from assets held for sale</w:t>
            </w:r>
          </w:p>
        </w:tc>
        <w:tc>
          <w:tcPr>
            <w:tcW w:w="0" w:type="auto"/>
            <w:gridSpan w:val="3"/>
            <w:shd w:val="clear" w:color="auto" w:fill="FFFFFF"/>
            <w:tcMar>
              <w:top w:w="0" w:type="dxa"/>
              <w:left w:w="20" w:type="dxa"/>
              <w:bottom w:w="0" w:type="dxa"/>
              <w:right w:w="20" w:type="dxa"/>
            </w:tcMar>
            <w:vAlign w:val="bottom"/>
          </w:tcPr>
          <w:p w14:paraId="4B9A38F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8FF"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90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0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02" w14:textId="77777777" w:rsidR="002A3970" w:rsidRDefault="00C35E63">
            <w:pPr>
              <w:jc w:val="right"/>
              <w:textAlignment w:val="center"/>
            </w:pPr>
            <w:r>
              <w:rPr>
                <w:rFonts w:ascii="Times New Roman" w:eastAsia="宋体" w:hAnsi="Times New Roman"/>
                <w:color w:val="000000"/>
                <w:sz w:val="16"/>
                <w:szCs w:val="16"/>
              </w:rPr>
              <w:t>1,848 </w:t>
            </w:r>
          </w:p>
        </w:tc>
        <w:tc>
          <w:tcPr>
            <w:tcW w:w="0" w:type="auto"/>
            <w:shd w:val="clear" w:color="auto" w:fill="FFFFFF"/>
            <w:tcMar>
              <w:top w:w="40" w:type="dxa"/>
              <w:left w:w="0" w:type="dxa"/>
              <w:bottom w:w="40" w:type="dxa"/>
              <w:right w:w="20" w:type="dxa"/>
            </w:tcMar>
            <w:vAlign w:val="center"/>
          </w:tcPr>
          <w:p w14:paraId="4B9A3903" w14:textId="77777777" w:rsidR="002A3970" w:rsidRDefault="002A3970">
            <w:pPr>
              <w:jc w:val="right"/>
              <w:rPr>
                <w:rFonts w:ascii="宋体"/>
              </w:rPr>
            </w:pPr>
          </w:p>
        </w:tc>
        <w:tc>
          <w:tcPr>
            <w:tcW w:w="0" w:type="auto"/>
            <w:shd w:val="clear" w:color="auto" w:fill="auto"/>
            <w:vAlign w:val="bottom"/>
          </w:tcPr>
          <w:p w14:paraId="4B9A3904" w14:textId="77777777" w:rsidR="002A3970" w:rsidRDefault="002A3970">
            <w:pPr>
              <w:rPr>
                <w:rFonts w:ascii="宋体"/>
                <w:vanish/>
              </w:rPr>
            </w:pPr>
          </w:p>
        </w:tc>
        <w:tc>
          <w:tcPr>
            <w:tcW w:w="0" w:type="auto"/>
            <w:shd w:val="clear" w:color="auto" w:fill="auto"/>
            <w:vAlign w:val="bottom"/>
          </w:tcPr>
          <w:p w14:paraId="4B9A3905" w14:textId="77777777" w:rsidR="002A3970" w:rsidRDefault="002A3970">
            <w:pPr>
              <w:rPr>
                <w:rFonts w:ascii="宋体"/>
                <w:vanish/>
              </w:rPr>
            </w:pPr>
          </w:p>
        </w:tc>
      </w:tr>
      <w:tr w:rsidR="002A3970" w14:paraId="4B9A3910" w14:textId="77777777">
        <w:tc>
          <w:tcPr>
            <w:tcW w:w="0" w:type="auto"/>
            <w:gridSpan w:val="3"/>
            <w:shd w:val="clear" w:color="auto" w:fill="CCEEFF"/>
            <w:tcMar>
              <w:top w:w="40" w:type="dxa"/>
              <w:left w:w="20" w:type="dxa"/>
              <w:bottom w:w="40" w:type="dxa"/>
              <w:right w:w="20" w:type="dxa"/>
            </w:tcMar>
            <w:vAlign w:val="center"/>
          </w:tcPr>
          <w:p w14:paraId="4B9A3907" w14:textId="77777777" w:rsidR="002A3970" w:rsidRDefault="00C35E63">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vAlign w:val="bottom"/>
          </w:tcPr>
          <w:p w14:paraId="4B9A390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909" w14:textId="77777777" w:rsidR="002A3970" w:rsidRDefault="00C35E63">
            <w:pPr>
              <w:jc w:val="right"/>
              <w:textAlignment w:val="center"/>
            </w:pPr>
            <w:r>
              <w:rPr>
                <w:rFonts w:ascii="Times New Roman" w:eastAsia="宋体" w:hAnsi="Times New Roman"/>
                <w:color w:val="000000"/>
                <w:sz w:val="16"/>
                <w:szCs w:val="16"/>
              </w:rPr>
              <w:t>14,834 </w:t>
            </w:r>
          </w:p>
        </w:tc>
        <w:tc>
          <w:tcPr>
            <w:tcW w:w="0" w:type="auto"/>
            <w:shd w:val="clear" w:color="auto" w:fill="CCEEFF"/>
            <w:tcMar>
              <w:top w:w="40" w:type="dxa"/>
              <w:left w:w="0" w:type="dxa"/>
              <w:bottom w:w="40" w:type="dxa"/>
              <w:right w:w="20" w:type="dxa"/>
            </w:tcMar>
            <w:vAlign w:val="center"/>
          </w:tcPr>
          <w:p w14:paraId="4B9A390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0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90C" w14:textId="77777777" w:rsidR="002A3970" w:rsidRDefault="00C35E63">
            <w:pPr>
              <w:jc w:val="right"/>
              <w:textAlignment w:val="center"/>
            </w:pPr>
            <w:r>
              <w:rPr>
                <w:rFonts w:ascii="Times New Roman" w:eastAsia="宋体" w:hAnsi="Times New Roman"/>
                <w:color w:val="000000"/>
                <w:sz w:val="16"/>
                <w:szCs w:val="16"/>
              </w:rPr>
              <w:t>17,788 </w:t>
            </w:r>
          </w:p>
        </w:tc>
        <w:tc>
          <w:tcPr>
            <w:tcW w:w="0" w:type="auto"/>
            <w:shd w:val="clear" w:color="auto" w:fill="CCEEFF"/>
            <w:tcMar>
              <w:top w:w="40" w:type="dxa"/>
              <w:left w:w="0" w:type="dxa"/>
              <w:bottom w:w="40" w:type="dxa"/>
              <w:right w:w="20" w:type="dxa"/>
            </w:tcMar>
            <w:vAlign w:val="center"/>
          </w:tcPr>
          <w:p w14:paraId="4B9A390D" w14:textId="77777777" w:rsidR="002A3970" w:rsidRDefault="002A3970">
            <w:pPr>
              <w:jc w:val="right"/>
              <w:rPr>
                <w:rFonts w:ascii="宋体"/>
              </w:rPr>
            </w:pPr>
          </w:p>
        </w:tc>
        <w:tc>
          <w:tcPr>
            <w:tcW w:w="0" w:type="auto"/>
            <w:shd w:val="clear" w:color="auto" w:fill="auto"/>
            <w:vAlign w:val="bottom"/>
          </w:tcPr>
          <w:p w14:paraId="4B9A390E" w14:textId="77777777" w:rsidR="002A3970" w:rsidRDefault="002A3970">
            <w:pPr>
              <w:rPr>
                <w:rFonts w:ascii="宋体"/>
                <w:vanish/>
              </w:rPr>
            </w:pPr>
          </w:p>
        </w:tc>
        <w:tc>
          <w:tcPr>
            <w:tcW w:w="0" w:type="auto"/>
            <w:shd w:val="clear" w:color="auto" w:fill="auto"/>
            <w:vAlign w:val="bottom"/>
          </w:tcPr>
          <w:p w14:paraId="4B9A390F" w14:textId="77777777" w:rsidR="002A3970" w:rsidRDefault="002A3970">
            <w:pPr>
              <w:rPr>
                <w:rFonts w:ascii="宋体"/>
                <w:vanish/>
              </w:rPr>
            </w:pPr>
          </w:p>
        </w:tc>
      </w:tr>
      <w:tr w:rsidR="002A3970" w14:paraId="4B9A391C" w14:textId="77777777">
        <w:tc>
          <w:tcPr>
            <w:tcW w:w="0" w:type="auto"/>
            <w:gridSpan w:val="3"/>
            <w:shd w:val="clear" w:color="auto" w:fill="FFFFFF"/>
            <w:tcMar>
              <w:top w:w="40" w:type="dxa"/>
              <w:left w:w="20" w:type="dxa"/>
              <w:bottom w:w="40" w:type="dxa"/>
              <w:right w:w="20" w:type="dxa"/>
            </w:tcMar>
            <w:vAlign w:val="center"/>
          </w:tcPr>
          <w:p w14:paraId="4B9A3911" w14:textId="77777777" w:rsidR="002A3970" w:rsidRDefault="00C35E63">
            <w:pPr>
              <w:textAlignment w:val="center"/>
            </w:pPr>
            <w:r>
              <w:rPr>
                <w:rFonts w:ascii="Times New Roman" w:eastAsia="宋体" w:hAnsi="Times New Roman"/>
                <w:color w:val="000000"/>
                <w:sz w:val="16"/>
                <w:szCs w:val="16"/>
              </w:rPr>
              <w:t>Cash, cash equivalents and restricted cash at end of period</w:t>
            </w:r>
          </w:p>
        </w:tc>
        <w:tc>
          <w:tcPr>
            <w:tcW w:w="0" w:type="auto"/>
            <w:gridSpan w:val="3"/>
            <w:shd w:val="clear" w:color="auto" w:fill="FFFFFF"/>
            <w:tcMar>
              <w:top w:w="0" w:type="dxa"/>
              <w:left w:w="20" w:type="dxa"/>
              <w:bottom w:w="0" w:type="dxa"/>
              <w:right w:w="20" w:type="dxa"/>
            </w:tcMar>
            <w:vAlign w:val="bottom"/>
          </w:tcPr>
          <w:p w14:paraId="4B9A3912"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913"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914" w14:textId="77777777" w:rsidR="002A3970" w:rsidRDefault="00C35E63">
            <w:pPr>
              <w:jc w:val="right"/>
              <w:textAlignment w:val="center"/>
            </w:pPr>
            <w:r>
              <w:rPr>
                <w:rFonts w:ascii="Times New Roman" w:eastAsia="宋体" w:hAnsi="Times New Roman"/>
                <w:color w:val="000000"/>
                <w:sz w:val="16"/>
                <w:szCs w:val="16"/>
              </w:rPr>
              <w:t>11,655 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91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16"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917"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918" w14:textId="77777777" w:rsidR="002A3970" w:rsidRDefault="00C35E63">
            <w:pPr>
              <w:jc w:val="right"/>
              <w:textAlignment w:val="center"/>
            </w:pPr>
            <w:r>
              <w:rPr>
                <w:rFonts w:ascii="Times New Roman" w:eastAsia="宋体" w:hAnsi="Times New Roman"/>
                <w:color w:val="000000"/>
                <w:sz w:val="16"/>
                <w:szCs w:val="16"/>
              </w:rPr>
              <w:t>16,166 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919" w14:textId="77777777" w:rsidR="002A3970" w:rsidRDefault="002A3970">
            <w:pPr>
              <w:jc w:val="right"/>
              <w:rPr>
                <w:rFonts w:ascii="宋体"/>
              </w:rPr>
            </w:pPr>
          </w:p>
        </w:tc>
        <w:tc>
          <w:tcPr>
            <w:tcW w:w="0" w:type="auto"/>
            <w:shd w:val="clear" w:color="auto" w:fill="auto"/>
            <w:vAlign w:val="bottom"/>
          </w:tcPr>
          <w:p w14:paraId="4B9A391A" w14:textId="77777777" w:rsidR="002A3970" w:rsidRDefault="002A3970">
            <w:pPr>
              <w:rPr>
                <w:rFonts w:ascii="宋体"/>
                <w:vanish/>
              </w:rPr>
            </w:pPr>
          </w:p>
        </w:tc>
        <w:tc>
          <w:tcPr>
            <w:tcW w:w="0" w:type="auto"/>
            <w:shd w:val="clear" w:color="auto" w:fill="auto"/>
            <w:vAlign w:val="bottom"/>
          </w:tcPr>
          <w:p w14:paraId="4B9A391B" w14:textId="77777777" w:rsidR="002A3970" w:rsidRDefault="002A3970">
            <w:pPr>
              <w:rPr>
                <w:rFonts w:ascii="宋体"/>
                <w:vanish/>
              </w:rPr>
            </w:pPr>
          </w:p>
        </w:tc>
      </w:tr>
      <w:tr w:rsidR="002A3970" w14:paraId="4B9A3924" w14:textId="77777777">
        <w:trPr>
          <w:hidden/>
        </w:trPr>
        <w:tc>
          <w:tcPr>
            <w:tcW w:w="0" w:type="auto"/>
            <w:gridSpan w:val="3"/>
            <w:shd w:val="clear" w:color="auto" w:fill="auto"/>
            <w:vAlign w:val="bottom"/>
          </w:tcPr>
          <w:p w14:paraId="4B9A391D" w14:textId="77777777" w:rsidR="002A3970" w:rsidRDefault="002A3970">
            <w:pPr>
              <w:rPr>
                <w:rFonts w:ascii="宋体"/>
                <w:vanish/>
              </w:rPr>
            </w:pPr>
          </w:p>
        </w:tc>
        <w:tc>
          <w:tcPr>
            <w:tcW w:w="0" w:type="auto"/>
            <w:gridSpan w:val="3"/>
            <w:shd w:val="clear" w:color="auto" w:fill="auto"/>
            <w:vAlign w:val="bottom"/>
          </w:tcPr>
          <w:p w14:paraId="4B9A391E" w14:textId="77777777" w:rsidR="002A3970" w:rsidRDefault="002A3970">
            <w:pPr>
              <w:rPr>
                <w:rFonts w:ascii="宋体"/>
                <w:vanish/>
              </w:rPr>
            </w:pPr>
          </w:p>
        </w:tc>
        <w:tc>
          <w:tcPr>
            <w:tcW w:w="0" w:type="auto"/>
            <w:gridSpan w:val="3"/>
            <w:shd w:val="clear" w:color="auto" w:fill="auto"/>
            <w:vAlign w:val="bottom"/>
          </w:tcPr>
          <w:p w14:paraId="4B9A391F" w14:textId="77777777" w:rsidR="002A3970" w:rsidRDefault="002A3970">
            <w:pPr>
              <w:rPr>
                <w:rFonts w:ascii="宋体"/>
                <w:vanish/>
              </w:rPr>
            </w:pPr>
          </w:p>
        </w:tc>
        <w:tc>
          <w:tcPr>
            <w:tcW w:w="0" w:type="auto"/>
            <w:gridSpan w:val="3"/>
            <w:shd w:val="clear" w:color="auto" w:fill="auto"/>
            <w:vAlign w:val="bottom"/>
          </w:tcPr>
          <w:p w14:paraId="4B9A3920" w14:textId="77777777" w:rsidR="002A3970" w:rsidRDefault="002A3970">
            <w:pPr>
              <w:rPr>
                <w:rFonts w:ascii="宋体"/>
                <w:vanish/>
              </w:rPr>
            </w:pPr>
          </w:p>
        </w:tc>
        <w:tc>
          <w:tcPr>
            <w:tcW w:w="0" w:type="auto"/>
            <w:gridSpan w:val="3"/>
            <w:shd w:val="clear" w:color="auto" w:fill="auto"/>
            <w:vAlign w:val="bottom"/>
          </w:tcPr>
          <w:p w14:paraId="4B9A3921" w14:textId="77777777" w:rsidR="002A3970" w:rsidRDefault="002A3970">
            <w:pPr>
              <w:rPr>
                <w:rFonts w:ascii="宋体"/>
                <w:vanish/>
              </w:rPr>
            </w:pPr>
          </w:p>
        </w:tc>
        <w:tc>
          <w:tcPr>
            <w:tcW w:w="0" w:type="auto"/>
            <w:shd w:val="clear" w:color="auto" w:fill="auto"/>
            <w:vAlign w:val="bottom"/>
          </w:tcPr>
          <w:p w14:paraId="4B9A3922" w14:textId="77777777" w:rsidR="002A3970" w:rsidRDefault="002A3970">
            <w:pPr>
              <w:rPr>
                <w:rFonts w:ascii="宋体"/>
                <w:vanish/>
              </w:rPr>
            </w:pPr>
          </w:p>
        </w:tc>
        <w:tc>
          <w:tcPr>
            <w:tcW w:w="0" w:type="auto"/>
            <w:shd w:val="clear" w:color="auto" w:fill="auto"/>
            <w:vAlign w:val="bottom"/>
          </w:tcPr>
          <w:p w14:paraId="4B9A3923" w14:textId="77777777" w:rsidR="002A3970" w:rsidRDefault="002A3970">
            <w:pPr>
              <w:rPr>
                <w:rFonts w:ascii="宋体"/>
                <w:vanish/>
              </w:rPr>
            </w:pPr>
          </w:p>
        </w:tc>
      </w:tr>
      <w:tr w:rsidR="002A3970" w14:paraId="4B9A392C" w14:textId="77777777">
        <w:trPr>
          <w:hidden/>
        </w:trPr>
        <w:tc>
          <w:tcPr>
            <w:tcW w:w="0" w:type="auto"/>
            <w:gridSpan w:val="3"/>
            <w:shd w:val="clear" w:color="auto" w:fill="auto"/>
            <w:vAlign w:val="bottom"/>
          </w:tcPr>
          <w:p w14:paraId="4B9A3925" w14:textId="77777777" w:rsidR="002A3970" w:rsidRDefault="002A3970">
            <w:pPr>
              <w:rPr>
                <w:rFonts w:ascii="宋体"/>
                <w:vanish/>
              </w:rPr>
            </w:pPr>
          </w:p>
        </w:tc>
        <w:tc>
          <w:tcPr>
            <w:tcW w:w="0" w:type="auto"/>
            <w:gridSpan w:val="3"/>
            <w:shd w:val="clear" w:color="auto" w:fill="auto"/>
            <w:vAlign w:val="bottom"/>
          </w:tcPr>
          <w:p w14:paraId="4B9A3926" w14:textId="77777777" w:rsidR="002A3970" w:rsidRDefault="002A3970">
            <w:pPr>
              <w:rPr>
                <w:rFonts w:ascii="宋体"/>
                <w:vanish/>
              </w:rPr>
            </w:pPr>
          </w:p>
        </w:tc>
        <w:tc>
          <w:tcPr>
            <w:tcW w:w="0" w:type="auto"/>
            <w:gridSpan w:val="3"/>
            <w:shd w:val="clear" w:color="auto" w:fill="auto"/>
            <w:vAlign w:val="bottom"/>
          </w:tcPr>
          <w:p w14:paraId="4B9A3927" w14:textId="77777777" w:rsidR="002A3970" w:rsidRDefault="002A3970">
            <w:pPr>
              <w:rPr>
                <w:rFonts w:ascii="宋体"/>
                <w:vanish/>
              </w:rPr>
            </w:pPr>
          </w:p>
        </w:tc>
        <w:tc>
          <w:tcPr>
            <w:tcW w:w="0" w:type="auto"/>
            <w:gridSpan w:val="3"/>
            <w:shd w:val="clear" w:color="auto" w:fill="auto"/>
            <w:vAlign w:val="bottom"/>
          </w:tcPr>
          <w:p w14:paraId="4B9A3928" w14:textId="77777777" w:rsidR="002A3970" w:rsidRDefault="002A3970">
            <w:pPr>
              <w:rPr>
                <w:rFonts w:ascii="宋体"/>
                <w:vanish/>
              </w:rPr>
            </w:pPr>
          </w:p>
        </w:tc>
        <w:tc>
          <w:tcPr>
            <w:tcW w:w="0" w:type="auto"/>
            <w:gridSpan w:val="3"/>
            <w:shd w:val="clear" w:color="auto" w:fill="auto"/>
            <w:vAlign w:val="bottom"/>
          </w:tcPr>
          <w:p w14:paraId="4B9A3929" w14:textId="77777777" w:rsidR="002A3970" w:rsidRDefault="002A3970">
            <w:pPr>
              <w:rPr>
                <w:rFonts w:ascii="宋体"/>
                <w:vanish/>
              </w:rPr>
            </w:pPr>
          </w:p>
        </w:tc>
        <w:tc>
          <w:tcPr>
            <w:tcW w:w="0" w:type="auto"/>
            <w:shd w:val="clear" w:color="auto" w:fill="auto"/>
            <w:vAlign w:val="bottom"/>
          </w:tcPr>
          <w:p w14:paraId="4B9A392A" w14:textId="77777777" w:rsidR="002A3970" w:rsidRDefault="002A3970">
            <w:pPr>
              <w:rPr>
                <w:rFonts w:ascii="宋体"/>
                <w:vanish/>
              </w:rPr>
            </w:pPr>
          </w:p>
        </w:tc>
        <w:tc>
          <w:tcPr>
            <w:tcW w:w="0" w:type="auto"/>
            <w:shd w:val="clear" w:color="auto" w:fill="auto"/>
            <w:vAlign w:val="bottom"/>
          </w:tcPr>
          <w:p w14:paraId="4B9A392B" w14:textId="77777777" w:rsidR="002A3970" w:rsidRDefault="002A3970">
            <w:pPr>
              <w:rPr>
                <w:rFonts w:ascii="宋体"/>
                <w:vanish/>
              </w:rPr>
            </w:pPr>
          </w:p>
        </w:tc>
      </w:tr>
      <w:tr w:rsidR="002A3970" w14:paraId="4B9A3934" w14:textId="77777777">
        <w:trPr>
          <w:hidden/>
        </w:trPr>
        <w:tc>
          <w:tcPr>
            <w:tcW w:w="0" w:type="auto"/>
            <w:gridSpan w:val="3"/>
            <w:shd w:val="clear" w:color="auto" w:fill="auto"/>
            <w:vAlign w:val="bottom"/>
          </w:tcPr>
          <w:p w14:paraId="4B9A392D" w14:textId="77777777" w:rsidR="002A3970" w:rsidRDefault="002A3970">
            <w:pPr>
              <w:rPr>
                <w:rFonts w:ascii="宋体"/>
                <w:vanish/>
              </w:rPr>
            </w:pPr>
          </w:p>
        </w:tc>
        <w:tc>
          <w:tcPr>
            <w:tcW w:w="0" w:type="auto"/>
            <w:gridSpan w:val="3"/>
            <w:shd w:val="clear" w:color="auto" w:fill="auto"/>
            <w:vAlign w:val="bottom"/>
          </w:tcPr>
          <w:p w14:paraId="4B9A392E" w14:textId="77777777" w:rsidR="002A3970" w:rsidRDefault="002A3970">
            <w:pPr>
              <w:rPr>
                <w:rFonts w:ascii="宋体"/>
                <w:vanish/>
              </w:rPr>
            </w:pPr>
          </w:p>
        </w:tc>
        <w:tc>
          <w:tcPr>
            <w:tcW w:w="0" w:type="auto"/>
            <w:gridSpan w:val="3"/>
            <w:shd w:val="clear" w:color="auto" w:fill="auto"/>
            <w:vAlign w:val="bottom"/>
          </w:tcPr>
          <w:p w14:paraId="4B9A392F" w14:textId="77777777" w:rsidR="002A3970" w:rsidRDefault="002A3970">
            <w:pPr>
              <w:rPr>
                <w:rFonts w:ascii="宋体"/>
                <w:vanish/>
              </w:rPr>
            </w:pPr>
          </w:p>
        </w:tc>
        <w:tc>
          <w:tcPr>
            <w:tcW w:w="0" w:type="auto"/>
            <w:gridSpan w:val="3"/>
            <w:shd w:val="clear" w:color="auto" w:fill="auto"/>
            <w:vAlign w:val="bottom"/>
          </w:tcPr>
          <w:p w14:paraId="4B9A3930" w14:textId="77777777" w:rsidR="002A3970" w:rsidRDefault="002A3970">
            <w:pPr>
              <w:rPr>
                <w:rFonts w:ascii="宋体"/>
                <w:vanish/>
              </w:rPr>
            </w:pPr>
          </w:p>
        </w:tc>
        <w:tc>
          <w:tcPr>
            <w:tcW w:w="0" w:type="auto"/>
            <w:gridSpan w:val="3"/>
            <w:shd w:val="clear" w:color="auto" w:fill="auto"/>
            <w:vAlign w:val="bottom"/>
          </w:tcPr>
          <w:p w14:paraId="4B9A3931" w14:textId="77777777" w:rsidR="002A3970" w:rsidRDefault="002A3970">
            <w:pPr>
              <w:rPr>
                <w:rFonts w:ascii="宋体"/>
                <w:vanish/>
              </w:rPr>
            </w:pPr>
          </w:p>
        </w:tc>
        <w:tc>
          <w:tcPr>
            <w:tcW w:w="0" w:type="auto"/>
            <w:shd w:val="clear" w:color="auto" w:fill="auto"/>
            <w:vAlign w:val="bottom"/>
          </w:tcPr>
          <w:p w14:paraId="4B9A3932" w14:textId="77777777" w:rsidR="002A3970" w:rsidRDefault="002A3970">
            <w:pPr>
              <w:rPr>
                <w:rFonts w:ascii="宋体"/>
                <w:vanish/>
              </w:rPr>
            </w:pPr>
          </w:p>
        </w:tc>
        <w:tc>
          <w:tcPr>
            <w:tcW w:w="0" w:type="auto"/>
            <w:shd w:val="clear" w:color="auto" w:fill="auto"/>
            <w:vAlign w:val="bottom"/>
          </w:tcPr>
          <w:p w14:paraId="4B9A3933" w14:textId="77777777" w:rsidR="002A3970" w:rsidRDefault="002A3970">
            <w:pPr>
              <w:rPr>
                <w:rFonts w:ascii="宋体"/>
                <w:vanish/>
              </w:rPr>
            </w:pPr>
          </w:p>
        </w:tc>
      </w:tr>
      <w:tr w:rsidR="002A3970" w14:paraId="4B9A393C" w14:textId="77777777">
        <w:trPr>
          <w:hidden/>
        </w:trPr>
        <w:tc>
          <w:tcPr>
            <w:tcW w:w="0" w:type="auto"/>
            <w:gridSpan w:val="3"/>
            <w:shd w:val="clear" w:color="auto" w:fill="auto"/>
            <w:vAlign w:val="bottom"/>
          </w:tcPr>
          <w:p w14:paraId="4B9A3935" w14:textId="77777777" w:rsidR="002A3970" w:rsidRDefault="002A3970">
            <w:pPr>
              <w:rPr>
                <w:rFonts w:ascii="宋体"/>
                <w:vanish/>
              </w:rPr>
            </w:pPr>
          </w:p>
        </w:tc>
        <w:tc>
          <w:tcPr>
            <w:tcW w:w="0" w:type="auto"/>
            <w:gridSpan w:val="3"/>
            <w:shd w:val="clear" w:color="auto" w:fill="auto"/>
            <w:vAlign w:val="bottom"/>
          </w:tcPr>
          <w:p w14:paraId="4B9A3936" w14:textId="77777777" w:rsidR="002A3970" w:rsidRDefault="002A3970">
            <w:pPr>
              <w:rPr>
                <w:rFonts w:ascii="宋体"/>
                <w:vanish/>
              </w:rPr>
            </w:pPr>
          </w:p>
        </w:tc>
        <w:tc>
          <w:tcPr>
            <w:tcW w:w="0" w:type="auto"/>
            <w:gridSpan w:val="3"/>
            <w:shd w:val="clear" w:color="auto" w:fill="auto"/>
            <w:vAlign w:val="bottom"/>
          </w:tcPr>
          <w:p w14:paraId="4B9A3937" w14:textId="77777777" w:rsidR="002A3970" w:rsidRDefault="002A3970">
            <w:pPr>
              <w:rPr>
                <w:rFonts w:ascii="宋体"/>
                <w:vanish/>
              </w:rPr>
            </w:pPr>
          </w:p>
        </w:tc>
        <w:tc>
          <w:tcPr>
            <w:tcW w:w="0" w:type="auto"/>
            <w:gridSpan w:val="3"/>
            <w:shd w:val="clear" w:color="auto" w:fill="auto"/>
            <w:vAlign w:val="bottom"/>
          </w:tcPr>
          <w:p w14:paraId="4B9A3938" w14:textId="77777777" w:rsidR="002A3970" w:rsidRDefault="002A3970">
            <w:pPr>
              <w:rPr>
                <w:rFonts w:ascii="宋体"/>
                <w:vanish/>
              </w:rPr>
            </w:pPr>
          </w:p>
        </w:tc>
        <w:tc>
          <w:tcPr>
            <w:tcW w:w="0" w:type="auto"/>
            <w:gridSpan w:val="3"/>
            <w:shd w:val="clear" w:color="auto" w:fill="auto"/>
            <w:vAlign w:val="bottom"/>
          </w:tcPr>
          <w:p w14:paraId="4B9A3939" w14:textId="77777777" w:rsidR="002A3970" w:rsidRDefault="002A3970">
            <w:pPr>
              <w:rPr>
                <w:rFonts w:ascii="宋体"/>
                <w:vanish/>
              </w:rPr>
            </w:pPr>
          </w:p>
        </w:tc>
        <w:tc>
          <w:tcPr>
            <w:tcW w:w="0" w:type="auto"/>
            <w:shd w:val="clear" w:color="auto" w:fill="auto"/>
            <w:vAlign w:val="bottom"/>
          </w:tcPr>
          <w:p w14:paraId="4B9A393A" w14:textId="77777777" w:rsidR="002A3970" w:rsidRDefault="002A3970">
            <w:pPr>
              <w:rPr>
                <w:rFonts w:ascii="宋体"/>
                <w:vanish/>
              </w:rPr>
            </w:pPr>
          </w:p>
        </w:tc>
        <w:tc>
          <w:tcPr>
            <w:tcW w:w="0" w:type="auto"/>
            <w:shd w:val="clear" w:color="auto" w:fill="auto"/>
            <w:vAlign w:val="bottom"/>
          </w:tcPr>
          <w:p w14:paraId="4B9A393B" w14:textId="77777777" w:rsidR="002A3970" w:rsidRDefault="002A3970">
            <w:pPr>
              <w:rPr>
                <w:rFonts w:ascii="宋体"/>
                <w:vanish/>
              </w:rPr>
            </w:pPr>
          </w:p>
        </w:tc>
      </w:tr>
    </w:tbl>
    <w:p w14:paraId="4B9A393D" w14:textId="77777777" w:rsidR="002A3970" w:rsidRDefault="00C35E63">
      <w:pPr>
        <w:spacing w:before="80"/>
      </w:pPr>
      <w:r>
        <w:rPr>
          <w:rFonts w:ascii="Times New Roman" w:eastAsia="宋体" w:hAnsi="Times New Roman"/>
          <w:i/>
          <w:iCs/>
          <w:color w:val="000000"/>
          <w:sz w:val="16"/>
          <w:szCs w:val="16"/>
        </w:rPr>
        <w:t xml:space="preserve">See accompanying notes. </w:t>
      </w:r>
    </w:p>
    <w:p w14:paraId="4B9A393E" w14:textId="77777777" w:rsidR="002A3970" w:rsidRDefault="00C35E63">
      <w:pPr>
        <w:jc w:val="center"/>
      </w:pPr>
      <w:r>
        <w:rPr>
          <w:rFonts w:ascii="Times New Roman" w:eastAsia="宋体" w:hAnsi="Times New Roman"/>
          <w:color w:val="000000"/>
          <w:sz w:val="20"/>
          <w:szCs w:val="20"/>
        </w:rPr>
        <w:t>8</w:t>
      </w:r>
    </w:p>
    <w:p w14:paraId="4B9A393F" w14:textId="77777777" w:rsidR="002A3970" w:rsidRDefault="00C35E63">
      <w:r>
        <w:pict w14:anchorId="4B9A4C1D">
          <v:rect id="_x0000_i1032" style="width:415.3pt;height:1.5pt" o:hralign="center" o:hrstd="t" o:hr="t" fillcolor="#a0a0a0" stroked="f"/>
        </w:pict>
      </w:r>
    </w:p>
    <w:p w14:paraId="4B9A3940" w14:textId="77777777" w:rsidR="002A3970" w:rsidRDefault="00C35E63">
      <w:hyperlink r:id="rId47" w:anchor="i0522a2f6333e456295d59e779af751cb_7" w:history="1">
        <w:r>
          <w:rPr>
            <w:rStyle w:val="a5"/>
            <w:rFonts w:ascii="Times New Roman" w:eastAsia="宋体" w:hAnsi="Times New Roman"/>
            <w:sz w:val="20"/>
            <w:szCs w:val="20"/>
          </w:rPr>
          <w:t>Table of Contents</w:t>
        </w:r>
      </w:hyperlink>
    </w:p>
    <w:p w14:paraId="4B9A3941" w14:textId="77777777" w:rsidR="002A3970" w:rsidRDefault="00C35E63">
      <w:pPr>
        <w:jc w:val="center"/>
      </w:pPr>
      <w:r>
        <w:rPr>
          <w:rFonts w:ascii="Times New Roman" w:eastAsia="宋体" w:hAnsi="Times New Roman"/>
          <w:b/>
          <w:bCs/>
          <w:color w:val="000000"/>
          <w:sz w:val="20"/>
          <w:szCs w:val="20"/>
        </w:rPr>
        <w:t>Walmart Inc.</w:t>
      </w:r>
    </w:p>
    <w:p w14:paraId="4B9A3942" w14:textId="77777777" w:rsidR="002A3970" w:rsidRDefault="00C35E63">
      <w:pPr>
        <w:spacing w:before="60"/>
        <w:jc w:val="center"/>
      </w:pPr>
      <w:r>
        <w:rPr>
          <w:rFonts w:ascii="Times New Roman" w:eastAsia="宋体" w:hAnsi="Times New Roman"/>
          <w:b/>
          <w:bCs/>
          <w:color w:val="000000"/>
          <w:sz w:val="20"/>
          <w:szCs w:val="20"/>
        </w:rPr>
        <w:t>Notes to Condensed Consolidated Financial Statements</w:t>
      </w:r>
    </w:p>
    <w:p w14:paraId="4B9A3943" w14:textId="77777777" w:rsidR="002A3970" w:rsidRDefault="00C35E63">
      <w:pPr>
        <w:spacing w:before="180"/>
      </w:pPr>
      <w:r>
        <w:rPr>
          <w:rFonts w:ascii="Times New Roman" w:eastAsia="宋体" w:hAnsi="Times New Roman"/>
          <w:b/>
          <w:bCs/>
          <w:color w:val="000000"/>
          <w:sz w:val="20"/>
          <w:szCs w:val="20"/>
        </w:rPr>
        <w:t xml:space="preserve">Note 1. </w:t>
      </w:r>
      <w:r>
        <w:rPr>
          <w:rFonts w:ascii="Times New Roman" w:eastAsia="宋体" w:hAnsi="Times New Roman"/>
          <w:b/>
          <w:bCs/>
          <w:color w:val="000000"/>
          <w:sz w:val="20"/>
          <w:szCs w:val="20"/>
        </w:rPr>
        <w:t>Summary of Significant Accounting Policies</w:t>
      </w:r>
    </w:p>
    <w:p w14:paraId="4B9A3944" w14:textId="77777777" w:rsidR="002A3970" w:rsidRDefault="00C35E63">
      <w:pPr>
        <w:spacing w:before="180"/>
      </w:pPr>
      <w:r>
        <w:rPr>
          <w:rFonts w:ascii="Times New Roman" w:eastAsia="宋体" w:hAnsi="Times New Roman"/>
          <w:b/>
          <w:bCs/>
          <w:i/>
          <w:iCs/>
          <w:color w:val="000000"/>
          <w:sz w:val="20"/>
          <w:szCs w:val="20"/>
        </w:rPr>
        <w:t>Basis of Presentation</w:t>
      </w:r>
    </w:p>
    <w:p w14:paraId="4B9A3945" w14:textId="77777777" w:rsidR="002A3970" w:rsidRDefault="00C35E63">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Certain previously reported amounts have been reclassified to conform to the current year presentation. </w:t>
      </w:r>
      <w:r>
        <w:rPr>
          <w:rFonts w:ascii="Times New Roman" w:eastAsia="宋体" w:hAnsi="Times New Roman"/>
          <w:color w:val="000000"/>
          <w:sz w:val="20"/>
          <w:szCs w:val="20"/>
        </w:rPr>
        <w:t>The Condensed Consolidated Financial Statements, and the accompanying notes, are prepared in accordance with generally accepted accounting principles in the United States ("GAAP") and do not contain certain information included in the Company's Annual Repo</w:t>
      </w:r>
      <w:r>
        <w:rPr>
          <w:rFonts w:ascii="Times New Roman" w:eastAsia="宋体" w:hAnsi="Times New Roman"/>
          <w:color w:val="000000"/>
          <w:sz w:val="20"/>
          <w:szCs w:val="20"/>
        </w:rPr>
        <w:t xml:space="preserve">rt on Form 10-K for the fiscal year ended January 31, 2022 ("fiscal 2022"). Therefore, the interim Condensed Consolidated Financial Statements should be read in conjunction with that Annual Report on Form 10-K. </w:t>
      </w:r>
    </w:p>
    <w:p w14:paraId="4B9A3946" w14:textId="77777777" w:rsidR="002A3970" w:rsidRDefault="00C35E63">
      <w:pPr>
        <w:spacing w:before="60"/>
      </w:pPr>
      <w:r>
        <w:rPr>
          <w:rFonts w:ascii="Times New Roman" w:eastAsia="宋体" w:hAnsi="Times New Roman"/>
          <w:color w:val="000000"/>
          <w:sz w:val="20"/>
          <w:szCs w:val="20"/>
        </w:rPr>
        <w:t>The Company's Consolidated Financial Stateme</w:t>
      </w:r>
      <w:r>
        <w:rPr>
          <w:rFonts w:ascii="Times New Roman" w:eastAsia="宋体" w:hAnsi="Times New Roman"/>
          <w:color w:val="000000"/>
          <w:sz w:val="20"/>
          <w:szCs w:val="20"/>
        </w:rPr>
        <w:t>nts are based on a fiscal year ending January 31 for the United States ("U.S.") and Canadian operations. The Company consolidates all other operations generally using a one-month lag based on a calendar year. There were no significant intervening events du</w:t>
      </w:r>
      <w:r>
        <w:rPr>
          <w:rFonts w:ascii="Times New Roman" w:eastAsia="宋体" w:hAnsi="Times New Roman"/>
          <w:color w:val="000000"/>
          <w:sz w:val="20"/>
          <w:szCs w:val="20"/>
        </w:rPr>
        <w:t>ring the month of October 2022 related to the consolidated operations using a lag that materially affected the Condensed Consolidated Financial Statements.</w:t>
      </w:r>
    </w:p>
    <w:p w14:paraId="4B9A3947" w14:textId="77777777" w:rsidR="002A3970" w:rsidRDefault="00C35E63">
      <w:pPr>
        <w:spacing w:before="60"/>
      </w:pPr>
      <w:r>
        <w:rPr>
          <w:rFonts w:ascii="Times New Roman" w:eastAsia="宋体" w:hAnsi="Times New Roman"/>
          <w:color w:val="000000"/>
          <w:sz w:val="20"/>
          <w:szCs w:val="20"/>
        </w:rPr>
        <w:t>The Company's business is seasonal to a certain extent due to calendar events and national and relig</w:t>
      </w:r>
      <w:r>
        <w:rPr>
          <w:rFonts w:ascii="Times New Roman" w:eastAsia="宋体" w:hAnsi="Times New Roman"/>
          <w:color w:val="000000"/>
          <w:sz w:val="20"/>
          <w:szCs w:val="20"/>
        </w:rPr>
        <w:t>ious holidays, as well as weather patterns. Historically, the Company's highest sales volume has occurred in the fiscal quarter ending January 31.</w:t>
      </w:r>
    </w:p>
    <w:p w14:paraId="4B9A3948" w14:textId="77777777" w:rsidR="002A3970" w:rsidRDefault="00C35E63">
      <w:pPr>
        <w:spacing w:before="100"/>
      </w:pPr>
      <w:r>
        <w:rPr>
          <w:rFonts w:ascii="Times New Roman" w:eastAsia="宋体" w:hAnsi="Times New Roman"/>
          <w:b/>
          <w:bCs/>
          <w:i/>
          <w:iCs/>
          <w:color w:val="000000"/>
          <w:sz w:val="20"/>
          <w:szCs w:val="20"/>
        </w:rPr>
        <w:t>Use of Estimates</w:t>
      </w:r>
    </w:p>
    <w:p w14:paraId="4B9A3949" w14:textId="77777777" w:rsidR="002A3970" w:rsidRDefault="00C35E63">
      <w:pPr>
        <w:spacing w:before="100"/>
      </w:pPr>
      <w:r>
        <w:rPr>
          <w:rFonts w:ascii="Times New Roman" w:eastAsia="宋体" w:hAnsi="Times New Roman"/>
          <w:color w:val="000000"/>
          <w:sz w:val="20"/>
          <w:szCs w:val="20"/>
        </w:rPr>
        <w:t xml:space="preserve">The Condensed Consolidated Financial Statements have been prepared in conformity with GAAP. </w:t>
      </w:r>
      <w:r>
        <w:rPr>
          <w:rFonts w:ascii="Times New Roman" w:eastAsia="宋体" w:hAnsi="Times New Roman"/>
          <w:color w:val="000000"/>
          <w:sz w:val="20"/>
          <w:szCs w:val="20"/>
        </w:rPr>
        <w:t>Those principles require management to make estimates and assumptions that affect the reported amounts of assets and liabilities. Management's estimates and assumptions also affect the disclosure of contingent assets and liabilities at the date of the fina</w:t>
      </w:r>
      <w:r>
        <w:rPr>
          <w:rFonts w:ascii="Times New Roman" w:eastAsia="宋体" w:hAnsi="Times New Roman"/>
          <w:color w:val="000000"/>
          <w:sz w:val="20"/>
          <w:szCs w:val="20"/>
        </w:rPr>
        <w:t>ncial statements and the reported amounts of revenues and expenses during the reporting period. Actual results may differ materially from those estimates.</w:t>
      </w:r>
    </w:p>
    <w:p w14:paraId="4B9A394A" w14:textId="77777777" w:rsidR="002A3970" w:rsidRDefault="00C35E63">
      <w:pPr>
        <w:spacing w:before="100"/>
      </w:pPr>
      <w:r>
        <w:rPr>
          <w:rFonts w:ascii="Times New Roman" w:eastAsia="宋体" w:hAnsi="Times New Roman"/>
          <w:b/>
          <w:bCs/>
          <w:i/>
          <w:iCs/>
          <w:color w:val="000000"/>
          <w:sz w:val="20"/>
          <w:szCs w:val="20"/>
        </w:rPr>
        <w:t>Redeemable Noncontrolling Interest</w:t>
      </w:r>
    </w:p>
    <w:p w14:paraId="4B9A394B" w14:textId="77777777" w:rsidR="002A3970" w:rsidRDefault="00C35E63">
      <w:pPr>
        <w:spacing w:before="100"/>
      </w:pPr>
      <w:r>
        <w:rPr>
          <w:rFonts w:ascii="Times New Roman" w:eastAsia="宋体" w:hAnsi="Times New Roman"/>
          <w:color w:val="000000"/>
          <w:sz w:val="20"/>
          <w:szCs w:val="20"/>
        </w:rPr>
        <w:t>Noncontrolling interests that are redeemable outside the Company's</w:t>
      </w:r>
      <w:r>
        <w:rPr>
          <w:rFonts w:ascii="Times New Roman" w:eastAsia="宋体" w:hAnsi="Times New Roman"/>
          <w:color w:val="000000"/>
          <w:sz w:val="20"/>
          <w:szCs w:val="20"/>
        </w:rPr>
        <w:t xml:space="preserve"> control at fixed or determinable prices and dates are presented as temporary equity on the Condensed Consolidated Balance Sheets. Redeemable noncontrolling interests are recorded at the greater of the redemption fair value or the carrying value of the non</w:t>
      </w:r>
      <w:r>
        <w:rPr>
          <w:rFonts w:ascii="Times New Roman" w:eastAsia="宋体" w:hAnsi="Times New Roman"/>
          <w:color w:val="000000"/>
          <w:sz w:val="20"/>
          <w:szCs w:val="20"/>
        </w:rPr>
        <w:t>controlling interest and adjusted each reporting period for income, loss and any distributions made. As of October 31, 2022, the Company has a redeemable noncontrolling interest related to an acquisition in the Walmart U.S. segment as the minority interest</w:t>
      </w:r>
      <w:r>
        <w:rPr>
          <w:rFonts w:ascii="Times New Roman" w:eastAsia="宋体" w:hAnsi="Times New Roman"/>
          <w:color w:val="000000"/>
          <w:sz w:val="20"/>
          <w:szCs w:val="20"/>
        </w:rPr>
        <w:t xml:space="preserve"> owner holds a put option which may require the Company to purchase its interest beginning in December 2027 and annually thereafter.</w:t>
      </w:r>
    </w:p>
    <w:p w14:paraId="4B9A394C" w14:textId="77777777" w:rsidR="002A3970" w:rsidRDefault="00C35E63">
      <w:pPr>
        <w:spacing w:before="100"/>
      </w:pPr>
      <w:r>
        <w:rPr>
          <w:rFonts w:ascii="Times New Roman" w:eastAsia="宋体" w:hAnsi="Times New Roman"/>
          <w:b/>
          <w:bCs/>
          <w:i/>
          <w:iCs/>
          <w:color w:val="000000"/>
          <w:sz w:val="20"/>
          <w:szCs w:val="20"/>
        </w:rPr>
        <w:t>Inventories</w:t>
      </w:r>
    </w:p>
    <w:p w14:paraId="4B9A394D" w14:textId="77777777" w:rsidR="002A3970" w:rsidRDefault="00C35E63">
      <w:pPr>
        <w:spacing w:before="100"/>
      </w:pPr>
      <w:r>
        <w:rPr>
          <w:rFonts w:ascii="Times New Roman" w:eastAsia="宋体" w:hAnsi="Times New Roman"/>
          <w:color w:val="000000"/>
          <w:sz w:val="20"/>
          <w:szCs w:val="20"/>
        </w:rPr>
        <w:t>The Company values inventories at the lower of cost or market as determined primarily by the retail inventory m</w:t>
      </w:r>
      <w:r>
        <w:rPr>
          <w:rFonts w:ascii="Times New Roman" w:eastAsia="宋体" w:hAnsi="Times New Roman"/>
          <w:color w:val="000000"/>
          <w:sz w:val="20"/>
          <w:szCs w:val="20"/>
        </w:rPr>
        <w:t>ethod of accounting, using the last-in, first-out ("LIFO") method for the Walmart U.S. segment's inventories. The inventory for the Walmart International segment is generally valued in most markets by the retail inventory method of accounting, using the fi</w:t>
      </w:r>
      <w:r>
        <w:rPr>
          <w:rFonts w:ascii="Times New Roman" w:eastAsia="宋体" w:hAnsi="Times New Roman"/>
          <w:color w:val="000000"/>
          <w:sz w:val="20"/>
          <w:szCs w:val="20"/>
        </w:rPr>
        <w:t>rst-in, first-out ("FIFO") method. The retail inventory method of accounting results in inventory being valued at the lower of cost or market, since permanent markdowns are immediately recorded as a reduction of the carrying value of inventory. The invento</w:t>
      </w:r>
      <w:r>
        <w:rPr>
          <w:rFonts w:ascii="Times New Roman" w:eastAsia="宋体" w:hAnsi="Times New Roman"/>
          <w:color w:val="000000"/>
          <w:sz w:val="20"/>
          <w:szCs w:val="20"/>
        </w:rPr>
        <w:t>ry at the Sam's Club segment is valued using the weighted-average cost LIFO method. If necessary, the Company records a LIFO adjustment during interim periods for the projected annual effect of inflation or deflation which is adjusted to actual results bas</w:t>
      </w:r>
      <w:r>
        <w:rPr>
          <w:rFonts w:ascii="Times New Roman" w:eastAsia="宋体" w:hAnsi="Times New Roman"/>
          <w:color w:val="000000"/>
          <w:sz w:val="20"/>
          <w:szCs w:val="20"/>
        </w:rPr>
        <w:t>ed on rates and inventory levels at the end of the year.</w:t>
      </w:r>
    </w:p>
    <w:p w14:paraId="4B9A394E" w14:textId="77777777" w:rsidR="002A3970" w:rsidRDefault="00C35E63">
      <w:pPr>
        <w:spacing w:before="100"/>
      </w:pPr>
      <w:r>
        <w:rPr>
          <w:rFonts w:ascii="Times New Roman" w:eastAsia="宋体" w:hAnsi="Times New Roman"/>
          <w:b/>
          <w:bCs/>
          <w:color w:val="000000"/>
          <w:sz w:val="20"/>
          <w:szCs w:val="20"/>
        </w:rPr>
        <w:t>Recent Accounting Pronouncements</w:t>
      </w:r>
    </w:p>
    <w:p w14:paraId="4B9A394F" w14:textId="77777777" w:rsidR="002A3970" w:rsidRDefault="00C35E63">
      <w:pPr>
        <w:spacing w:before="100"/>
      </w:pPr>
      <w:r>
        <w:rPr>
          <w:rFonts w:ascii="Times New Roman" w:eastAsia="宋体" w:hAnsi="Times New Roman"/>
          <w:color w:val="000000"/>
          <w:sz w:val="20"/>
          <w:szCs w:val="20"/>
        </w:rPr>
        <w:t xml:space="preserve">In September 2022, the FASB issued ASU 2022-04, </w:t>
      </w:r>
      <w:r>
        <w:rPr>
          <w:rFonts w:ascii="Times New Roman" w:eastAsia="宋体" w:hAnsi="Times New Roman"/>
          <w:i/>
          <w:iCs/>
          <w:color w:val="000000"/>
          <w:sz w:val="20"/>
          <w:szCs w:val="20"/>
        </w:rPr>
        <w:t>Liabilities - Supplier Finance Programs (Subtopic 405-50): Disclosure of Supplier Finance Program Obligations</w:t>
      </w:r>
      <w:r>
        <w:rPr>
          <w:rFonts w:ascii="Times New Roman" w:eastAsia="宋体" w:hAnsi="Times New Roman"/>
          <w:color w:val="000000"/>
          <w:sz w:val="20"/>
          <w:szCs w:val="20"/>
        </w:rPr>
        <w:t>, which e</w:t>
      </w:r>
      <w:r>
        <w:rPr>
          <w:rFonts w:ascii="Times New Roman" w:eastAsia="宋体" w:hAnsi="Times New Roman"/>
          <w:color w:val="000000"/>
          <w:sz w:val="20"/>
          <w:szCs w:val="20"/>
        </w:rPr>
        <w:t xml:space="preserve">nhances the transparency about the use of supplier finance programs for investors and other allocators of capital. The amendments are effective for fiscal years beginning after December 15, 2022, including interim periods within those fiscal years, except </w:t>
      </w:r>
      <w:r>
        <w:rPr>
          <w:rFonts w:ascii="Times New Roman" w:eastAsia="宋体" w:hAnsi="Times New Roman"/>
          <w:color w:val="000000"/>
          <w:sz w:val="20"/>
          <w:szCs w:val="20"/>
        </w:rPr>
        <w:t>for the disclosure of rollforward information, which is effective for fiscal years beginning after December 15, 2023. Early adoption is permitted. The amendments should be applied retrospectively to each period in which a balance sheet is presented, except</w:t>
      </w:r>
      <w:r>
        <w:rPr>
          <w:rFonts w:ascii="Times New Roman" w:eastAsia="宋体" w:hAnsi="Times New Roman"/>
          <w:color w:val="000000"/>
          <w:sz w:val="20"/>
          <w:szCs w:val="20"/>
        </w:rPr>
        <w:t xml:space="preserve"> for disclosure of rollforward information, which should be applied prospectively. Management is currently evaluating this ASU to determine its impact on the Company's disclosures.</w:t>
      </w:r>
    </w:p>
    <w:p w14:paraId="4B9A3950" w14:textId="77777777" w:rsidR="002A3970" w:rsidRDefault="00C35E63">
      <w:pPr>
        <w:jc w:val="center"/>
      </w:pPr>
      <w:r>
        <w:rPr>
          <w:rFonts w:ascii="Times New Roman" w:eastAsia="宋体" w:hAnsi="Times New Roman"/>
          <w:color w:val="000000"/>
          <w:sz w:val="20"/>
          <w:szCs w:val="20"/>
        </w:rPr>
        <w:t>9</w:t>
      </w:r>
    </w:p>
    <w:p w14:paraId="4B9A3951" w14:textId="77777777" w:rsidR="002A3970" w:rsidRDefault="00C35E63">
      <w:r>
        <w:pict w14:anchorId="4B9A4C1E">
          <v:rect id="_x0000_i1033" style="width:415.3pt;height:1.5pt" o:hralign="center" o:hrstd="t" o:hr="t" fillcolor="#a0a0a0" stroked="f"/>
        </w:pict>
      </w:r>
    </w:p>
    <w:p w14:paraId="4B9A3952" w14:textId="77777777" w:rsidR="002A3970" w:rsidRDefault="00C35E63">
      <w:hyperlink r:id="rId48" w:anchor="i0522a2f6333e456295d59e779af751cb_7" w:history="1">
        <w:r>
          <w:rPr>
            <w:rStyle w:val="a5"/>
            <w:rFonts w:ascii="Times New Roman" w:eastAsia="宋体" w:hAnsi="Times New Roman"/>
            <w:sz w:val="20"/>
            <w:szCs w:val="20"/>
          </w:rPr>
          <w:t>Table of Contents</w:t>
        </w:r>
      </w:hyperlink>
    </w:p>
    <w:p w14:paraId="4B9A3953" w14:textId="77777777" w:rsidR="002A3970" w:rsidRDefault="00C35E63">
      <w:pPr>
        <w:spacing w:before="240"/>
      </w:pPr>
      <w:r>
        <w:rPr>
          <w:rFonts w:ascii="Times New Roman" w:eastAsia="宋体" w:hAnsi="Times New Roman"/>
          <w:b/>
          <w:bCs/>
          <w:color w:val="000000"/>
          <w:sz w:val="20"/>
          <w:szCs w:val="20"/>
        </w:rPr>
        <w:t>Note 2. Net Income (Loss) Per Common Share</w:t>
      </w:r>
    </w:p>
    <w:p w14:paraId="4B9A3954" w14:textId="77777777" w:rsidR="002A3970" w:rsidRDefault="00C35E63">
      <w:pPr>
        <w:spacing w:before="180"/>
      </w:pPr>
      <w:r>
        <w:rPr>
          <w:rFonts w:ascii="Times New Roman" w:eastAsia="宋体" w:hAnsi="Times New Roman"/>
          <w:color w:val="000000"/>
          <w:sz w:val="20"/>
          <w:szCs w:val="20"/>
        </w:rPr>
        <w:t xml:space="preserve">Basic net income per common share attributable to Walmart is based on the weighted-average common shares </w:t>
      </w:r>
      <w:r>
        <w:rPr>
          <w:rFonts w:ascii="Times New Roman" w:eastAsia="宋体" w:hAnsi="Times New Roman"/>
          <w:color w:val="000000"/>
          <w:sz w:val="20"/>
          <w:szCs w:val="20"/>
        </w:rPr>
        <w:t>outstanding during the relevant period. Diluted net income (loss) per common share attributable to Walmart is based on the weighted-average common shares outstanding during the relevant period adjusted for the dilutive effect of share-based awards. The Com</w:t>
      </w:r>
      <w:r>
        <w:rPr>
          <w:rFonts w:ascii="Times New Roman" w:eastAsia="宋体" w:hAnsi="Times New Roman"/>
          <w:color w:val="000000"/>
          <w:sz w:val="20"/>
          <w:szCs w:val="20"/>
        </w:rPr>
        <w:t>pany did not have significant share-based awards outstanding that were anti-dilutive and not included in the calculation of diluted net income (loss) per common share attributable to Walmart for the three and nine months ended October 31, 2022 and 2021. Fu</w:t>
      </w:r>
      <w:r>
        <w:rPr>
          <w:rFonts w:ascii="Times New Roman" w:eastAsia="宋体" w:hAnsi="Times New Roman"/>
          <w:color w:val="000000"/>
          <w:sz w:val="20"/>
          <w:szCs w:val="20"/>
        </w:rPr>
        <w:t>rther, the calculation of diluted net loss per common share attributable to Walmart for the three months ended October 31, 2022 does not include the effect of share-based payment awards as their inclusion would be anti-dilutive and would reduce the net los</w:t>
      </w:r>
      <w:r>
        <w:rPr>
          <w:rFonts w:ascii="Times New Roman" w:eastAsia="宋体" w:hAnsi="Times New Roman"/>
          <w:color w:val="000000"/>
          <w:sz w:val="20"/>
          <w:szCs w:val="20"/>
        </w:rPr>
        <w:t>s per common share.</w:t>
      </w:r>
    </w:p>
    <w:p w14:paraId="4B9A3955" w14:textId="77777777" w:rsidR="002A3970" w:rsidRDefault="00C35E63">
      <w:pPr>
        <w:spacing w:before="100"/>
      </w:pPr>
      <w:r>
        <w:rPr>
          <w:rFonts w:ascii="Times New Roman" w:eastAsia="宋体" w:hAnsi="Times New Roman"/>
          <w:color w:val="000000"/>
          <w:sz w:val="20"/>
          <w:szCs w:val="20"/>
        </w:rPr>
        <w:t xml:space="preserve">The following table provides a reconciliation of the numerators and denominators used to determine basic and diluted net income (loss) per common share attributable to Walmart: </w:t>
      </w:r>
    </w:p>
    <w:tbl>
      <w:tblPr>
        <w:tblW w:w="5000" w:type="pct"/>
        <w:tblCellMar>
          <w:top w:w="15" w:type="dxa"/>
          <w:left w:w="15" w:type="dxa"/>
          <w:bottom w:w="15" w:type="dxa"/>
          <w:right w:w="15" w:type="dxa"/>
        </w:tblCellMar>
        <w:tblLook w:val="04A0" w:firstRow="1" w:lastRow="0" w:firstColumn="1" w:lastColumn="0" w:noHBand="0" w:noVBand="1"/>
      </w:tblPr>
      <w:tblGrid>
        <w:gridCol w:w="40"/>
        <w:gridCol w:w="4023"/>
        <w:gridCol w:w="39"/>
        <w:gridCol w:w="36"/>
        <w:gridCol w:w="36"/>
        <w:gridCol w:w="36"/>
        <w:gridCol w:w="100"/>
        <w:gridCol w:w="865"/>
        <w:gridCol w:w="36"/>
        <w:gridCol w:w="36"/>
        <w:gridCol w:w="36"/>
        <w:gridCol w:w="36"/>
        <w:gridCol w:w="100"/>
        <w:gridCol w:w="830"/>
        <w:gridCol w:w="36"/>
        <w:gridCol w:w="36"/>
        <w:gridCol w:w="36"/>
        <w:gridCol w:w="36"/>
        <w:gridCol w:w="100"/>
        <w:gridCol w:w="768"/>
        <w:gridCol w:w="36"/>
        <w:gridCol w:w="36"/>
        <w:gridCol w:w="36"/>
        <w:gridCol w:w="36"/>
        <w:gridCol w:w="100"/>
        <w:gridCol w:w="795"/>
        <w:gridCol w:w="36"/>
      </w:tblGrid>
      <w:tr w:rsidR="002A3970" w14:paraId="4B9A3971" w14:textId="77777777">
        <w:tc>
          <w:tcPr>
            <w:tcW w:w="50" w:type="pct"/>
            <w:shd w:val="clear" w:color="auto" w:fill="auto"/>
            <w:vAlign w:val="bottom"/>
          </w:tcPr>
          <w:p w14:paraId="4B9A3956" w14:textId="77777777" w:rsidR="002A3970" w:rsidRDefault="002A3970">
            <w:pPr>
              <w:rPr>
                <w:rFonts w:ascii="宋体"/>
              </w:rPr>
            </w:pPr>
          </w:p>
        </w:tc>
        <w:tc>
          <w:tcPr>
            <w:tcW w:w="2437" w:type="pct"/>
            <w:shd w:val="clear" w:color="auto" w:fill="auto"/>
            <w:vAlign w:val="bottom"/>
          </w:tcPr>
          <w:p w14:paraId="4B9A3957" w14:textId="77777777" w:rsidR="002A3970" w:rsidRDefault="002A3970">
            <w:pPr>
              <w:rPr>
                <w:rFonts w:ascii="宋体"/>
              </w:rPr>
            </w:pPr>
          </w:p>
        </w:tc>
        <w:tc>
          <w:tcPr>
            <w:tcW w:w="5" w:type="pct"/>
            <w:shd w:val="clear" w:color="auto" w:fill="auto"/>
            <w:vAlign w:val="bottom"/>
          </w:tcPr>
          <w:p w14:paraId="4B9A3958" w14:textId="77777777" w:rsidR="002A3970" w:rsidRDefault="002A3970">
            <w:pPr>
              <w:rPr>
                <w:rFonts w:ascii="宋体"/>
              </w:rPr>
            </w:pPr>
          </w:p>
        </w:tc>
        <w:tc>
          <w:tcPr>
            <w:tcW w:w="5" w:type="pct"/>
            <w:shd w:val="clear" w:color="auto" w:fill="auto"/>
            <w:vAlign w:val="bottom"/>
          </w:tcPr>
          <w:p w14:paraId="4B9A3959" w14:textId="77777777" w:rsidR="002A3970" w:rsidRDefault="002A3970">
            <w:pPr>
              <w:rPr>
                <w:rFonts w:ascii="宋体"/>
              </w:rPr>
            </w:pPr>
          </w:p>
        </w:tc>
        <w:tc>
          <w:tcPr>
            <w:tcW w:w="41" w:type="pct"/>
            <w:shd w:val="clear" w:color="auto" w:fill="auto"/>
            <w:vAlign w:val="bottom"/>
          </w:tcPr>
          <w:p w14:paraId="4B9A395A" w14:textId="77777777" w:rsidR="002A3970" w:rsidRDefault="002A3970">
            <w:pPr>
              <w:rPr>
                <w:rFonts w:ascii="宋体"/>
              </w:rPr>
            </w:pPr>
          </w:p>
        </w:tc>
        <w:tc>
          <w:tcPr>
            <w:tcW w:w="5" w:type="pct"/>
            <w:shd w:val="clear" w:color="auto" w:fill="auto"/>
            <w:vAlign w:val="bottom"/>
          </w:tcPr>
          <w:p w14:paraId="4B9A395B" w14:textId="77777777" w:rsidR="002A3970" w:rsidRDefault="002A3970">
            <w:pPr>
              <w:rPr>
                <w:rFonts w:ascii="宋体"/>
              </w:rPr>
            </w:pPr>
          </w:p>
        </w:tc>
        <w:tc>
          <w:tcPr>
            <w:tcW w:w="50" w:type="pct"/>
            <w:shd w:val="clear" w:color="auto" w:fill="auto"/>
            <w:vAlign w:val="bottom"/>
          </w:tcPr>
          <w:p w14:paraId="4B9A395C" w14:textId="77777777" w:rsidR="002A3970" w:rsidRDefault="002A3970">
            <w:pPr>
              <w:rPr>
                <w:rFonts w:ascii="宋体"/>
              </w:rPr>
            </w:pPr>
          </w:p>
        </w:tc>
        <w:tc>
          <w:tcPr>
            <w:tcW w:w="551" w:type="pct"/>
            <w:shd w:val="clear" w:color="auto" w:fill="auto"/>
            <w:vAlign w:val="bottom"/>
          </w:tcPr>
          <w:p w14:paraId="4B9A395D" w14:textId="77777777" w:rsidR="002A3970" w:rsidRDefault="002A3970">
            <w:pPr>
              <w:rPr>
                <w:rFonts w:ascii="宋体"/>
              </w:rPr>
            </w:pPr>
          </w:p>
        </w:tc>
        <w:tc>
          <w:tcPr>
            <w:tcW w:w="5" w:type="pct"/>
            <w:shd w:val="clear" w:color="auto" w:fill="auto"/>
            <w:vAlign w:val="bottom"/>
          </w:tcPr>
          <w:p w14:paraId="4B9A395E" w14:textId="77777777" w:rsidR="002A3970" w:rsidRDefault="002A3970">
            <w:pPr>
              <w:rPr>
                <w:rFonts w:ascii="宋体"/>
              </w:rPr>
            </w:pPr>
          </w:p>
        </w:tc>
        <w:tc>
          <w:tcPr>
            <w:tcW w:w="5" w:type="pct"/>
            <w:shd w:val="clear" w:color="auto" w:fill="auto"/>
            <w:vAlign w:val="bottom"/>
          </w:tcPr>
          <w:p w14:paraId="4B9A395F" w14:textId="77777777" w:rsidR="002A3970" w:rsidRDefault="002A3970">
            <w:pPr>
              <w:rPr>
                <w:rFonts w:ascii="宋体"/>
              </w:rPr>
            </w:pPr>
          </w:p>
        </w:tc>
        <w:tc>
          <w:tcPr>
            <w:tcW w:w="41" w:type="pct"/>
            <w:shd w:val="clear" w:color="auto" w:fill="auto"/>
            <w:vAlign w:val="bottom"/>
          </w:tcPr>
          <w:p w14:paraId="4B9A3960" w14:textId="77777777" w:rsidR="002A3970" w:rsidRDefault="002A3970">
            <w:pPr>
              <w:rPr>
                <w:rFonts w:ascii="宋体"/>
              </w:rPr>
            </w:pPr>
          </w:p>
        </w:tc>
        <w:tc>
          <w:tcPr>
            <w:tcW w:w="5" w:type="pct"/>
            <w:shd w:val="clear" w:color="auto" w:fill="auto"/>
            <w:vAlign w:val="bottom"/>
          </w:tcPr>
          <w:p w14:paraId="4B9A3961" w14:textId="77777777" w:rsidR="002A3970" w:rsidRDefault="002A3970">
            <w:pPr>
              <w:rPr>
                <w:rFonts w:ascii="宋体"/>
              </w:rPr>
            </w:pPr>
          </w:p>
        </w:tc>
        <w:tc>
          <w:tcPr>
            <w:tcW w:w="50" w:type="pct"/>
            <w:shd w:val="clear" w:color="auto" w:fill="auto"/>
            <w:vAlign w:val="bottom"/>
          </w:tcPr>
          <w:p w14:paraId="4B9A3962" w14:textId="77777777" w:rsidR="002A3970" w:rsidRDefault="002A3970">
            <w:pPr>
              <w:rPr>
                <w:rFonts w:ascii="宋体"/>
              </w:rPr>
            </w:pPr>
          </w:p>
        </w:tc>
        <w:tc>
          <w:tcPr>
            <w:tcW w:w="529" w:type="pct"/>
            <w:shd w:val="clear" w:color="auto" w:fill="auto"/>
            <w:vAlign w:val="bottom"/>
          </w:tcPr>
          <w:p w14:paraId="4B9A3963" w14:textId="77777777" w:rsidR="002A3970" w:rsidRDefault="002A3970">
            <w:pPr>
              <w:rPr>
                <w:rFonts w:ascii="宋体"/>
              </w:rPr>
            </w:pPr>
          </w:p>
        </w:tc>
        <w:tc>
          <w:tcPr>
            <w:tcW w:w="5" w:type="pct"/>
            <w:shd w:val="clear" w:color="auto" w:fill="auto"/>
            <w:vAlign w:val="bottom"/>
          </w:tcPr>
          <w:p w14:paraId="4B9A3964" w14:textId="77777777" w:rsidR="002A3970" w:rsidRDefault="002A3970">
            <w:pPr>
              <w:rPr>
                <w:rFonts w:ascii="宋体"/>
              </w:rPr>
            </w:pPr>
          </w:p>
        </w:tc>
        <w:tc>
          <w:tcPr>
            <w:tcW w:w="5" w:type="pct"/>
            <w:shd w:val="clear" w:color="auto" w:fill="auto"/>
            <w:vAlign w:val="bottom"/>
          </w:tcPr>
          <w:p w14:paraId="4B9A3965" w14:textId="77777777" w:rsidR="002A3970" w:rsidRDefault="002A3970">
            <w:pPr>
              <w:rPr>
                <w:rFonts w:ascii="宋体"/>
              </w:rPr>
            </w:pPr>
          </w:p>
        </w:tc>
        <w:tc>
          <w:tcPr>
            <w:tcW w:w="26" w:type="pct"/>
            <w:shd w:val="clear" w:color="auto" w:fill="auto"/>
            <w:vAlign w:val="bottom"/>
          </w:tcPr>
          <w:p w14:paraId="4B9A3966" w14:textId="77777777" w:rsidR="002A3970" w:rsidRDefault="002A3970">
            <w:pPr>
              <w:rPr>
                <w:rFonts w:ascii="宋体"/>
              </w:rPr>
            </w:pPr>
          </w:p>
        </w:tc>
        <w:tc>
          <w:tcPr>
            <w:tcW w:w="5" w:type="pct"/>
            <w:shd w:val="clear" w:color="auto" w:fill="auto"/>
            <w:vAlign w:val="bottom"/>
          </w:tcPr>
          <w:p w14:paraId="4B9A3967" w14:textId="77777777" w:rsidR="002A3970" w:rsidRDefault="002A3970">
            <w:pPr>
              <w:rPr>
                <w:rFonts w:ascii="宋体"/>
              </w:rPr>
            </w:pPr>
          </w:p>
        </w:tc>
        <w:tc>
          <w:tcPr>
            <w:tcW w:w="50" w:type="pct"/>
            <w:shd w:val="clear" w:color="auto" w:fill="auto"/>
            <w:vAlign w:val="bottom"/>
          </w:tcPr>
          <w:p w14:paraId="4B9A3968" w14:textId="77777777" w:rsidR="002A3970" w:rsidRDefault="002A3970">
            <w:pPr>
              <w:rPr>
                <w:rFonts w:ascii="宋体"/>
              </w:rPr>
            </w:pPr>
          </w:p>
        </w:tc>
        <w:tc>
          <w:tcPr>
            <w:tcW w:w="507" w:type="pct"/>
            <w:shd w:val="clear" w:color="auto" w:fill="auto"/>
            <w:vAlign w:val="bottom"/>
          </w:tcPr>
          <w:p w14:paraId="4B9A3969" w14:textId="77777777" w:rsidR="002A3970" w:rsidRDefault="002A3970">
            <w:pPr>
              <w:rPr>
                <w:rFonts w:ascii="宋体"/>
              </w:rPr>
            </w:pPr>
          </w:p>
        </w:tc>
        <w:tc>
          <w:tcPr>
            <w:tcW w:w="5" w:type="pct"/>
            <w:shd w:val="clear" w:color="auto" w:fill="auto"/>
            <w:vAlign w:val="bottom"/>
          </w:tcPr>
          <w:p w14:paraId="4B9A396A" w14:textId="77777777" w:rsidR="002A3970" w:rsidRDefault="002A3970">
            <w:pPr>
              <w:rPr>
                <w:rFonts w:ascii="宋体"/>
              </w:rPr>
            </w:pPr>
          </w:p>
        </w:tc>
        <w:tc>
          <w:tcPr>
            <w:tcW w:w="5" w:type="pct"/>
            <w:shd w:val="clear" w:color="auto" w:fill="auto"/>
            <w:vAlign w:val="bottom"/>
          </w:tcPr>
          <w:p w14:paraId="4B9A396B" w14:textId="77777777" w:rsidR="002A3970" w:rsidRDefault="002A3970">
            <w:pPr>
              <w:rPr>
                <w:rFonts w:ascii="宋体"/>
              </w:rPr>
            </w:pPr>
          </w:p>
        </w:tc>
        <w:tc>
          <w:tcPr>
            <w:tcW w:w="41" w:type="pct"/>
            <w:shd w:val="clear" w:color="auto" w:fill="auto"/>
            <w:vAlign w:val="bottom"/>
          </w:tcPr>
          <w:p w14:paraId="4B9A396C" w14:textId="77777777" w:rsidR="002A3970" w:rsidRDefault="002A3970">
            <w:pPr>
              <w:rPr>
                <w:rFonts w:ascii="宋体"/>
              </w:rPr>
            </w:pPr>
          </w:p>
        </w:tc>
        <w:tc>
          <w:tcPr>
            <w:tcW w:w="5" w:type="pct"/>
            <w:shd w:val="clear" w:color="auto" w:fill="auto"/>
            <w:vAlign w:val="bottom"/>
          </w:tcPr>
          <w:p w14:paraId="4B9A396D" w14:textId="77777777" w:rsidR="002A3970" w:rsidRDefault="002A3970">
            <w:pPr>
              <w:rPr>
                <w:rFonts w:ascii="宋体"/>
              </w:rPr>
            </w:pPr>
          </w:p>
        </w:tc>
        <w:tc>
          <w:tcPr>
            <w:tcW w:w="50" w:type="pct"/>
            <w:shd w:val="clear" w:color="auto" w:fill="auto"/>
            <w:vAlign w:val="bottom"/>
          </w:tcPr>
          <w:p w14:paraId="4B9A396E" w14:textId="77777777" w:rsidR="002A3970" w:rsidRDefault="002A3970">
            <w:pPr>
              <w:rPr>
                <w:rFonts w:ascii="宋体"/>
              </w:rPr>
            </w:pPr>
          </w:p>
        </w:tc>
        <w:tc>
          <w:tcPr>
            <w:tcW w:w="508" w:type="pct"/>
            <w:shd w:val="clear" w:color="auto" w:fill="auto"/>
            <w:vAlign w:val="bottom"/>
          </w:tcPr>
          <w:p w14:paraId="4B9A396F" w14:textId="77777777" w:rsidR="002A3970" w:rsidRDefault="002A3970">
            <w:pPr>
              <w:rPr>
                <w:rFonts w:ascii="宋体"/>
              </w:rPr>
            </w:pPr>
          </w:p>
        </w:tc>
        <w:tc>
          <w:tcPr>
            <w:tcW w:w="5" w:type="pct"/>
            <w:shd w:val="clear" w:color="auto" w:fill="auto"/>
            <w:vAlign w:val="bottom"/>
          </w:tcPr>
          <w:p w14:paraId="4B9A3970" w14:textId="77777777" w:rsidR="002A3970" w:rsidRDefault="002A3970">
            <w:pPr>
              <w:rPr>
                <w:rFonts w:ascii="宋体"/>
              </w:rPr>
            </w:pPr>
          </w:p>
        </w:tc>
      </w:tr>
      <w:tr w:rsidR="002A3970" w14:paraId="4B9A3977" w14:textId="77777777">
        <w:tc>
          <w:tcPr>
            <w:tcW w:w="0" w:type="auto"/>
            <w:gridSpan w:val="3"/>
            <w:shd w:val="clear" w:color="auto" w:fill="auto"/>
            <w:tcMar>
              <w:top w:w="0" w:type="dxa"/>
              <w:left w:w="20" w:type="dxa"/>
              <w:bottom w:w="0" w:type="dxa"/>
              <w:right w:w="20" w:type="dxa"/>
            </w:tcMar>
            <w:vAlign w:val="bottom"/>
          </w:tcPr>
          <w:p w14:paraId="4B9A397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973"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974"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3975"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976"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3981" w14:textId="77777777">
        <w:tc>
          <w:tcPr>
            <w:tcW w:w="0" w:type="auto"/>
            <w:gridSpan w:val="3"/>
            <w:shd w:val="clear" w:color="auto" w:fill="auto"/>
            <w:tcMar>
              <w:top w:w="40" w:type="dxa"/>
              <w:left w:w="20" w:type="dxa"/>
              <w:bottom w:w="40" w:type="dxa"/>
              <w:right w:w="20" w:type="dxa"/>
            </w:tcMar>
            <w:vAlign w:val="bottom"/>
          </w:tcPr>
          <w:p w14:paraId="4B9A3978" w14:textId="77777777" w:rsidR="002A3970" w:rsidRDefault="00C35E63">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4B9A3979"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97A"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97B"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97C"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397D"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97E"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97F"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980"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398B" w14:textId="77777777">
        <w:tc>
          <w:tcPr>
            <w:tcW w:w="0" w:type="auto"/>
            <w:gridSpan w:val="3"/>
            <w:shd w:val="clear" w:color="auto" w:fill="auto"/>
            <w:tcMar>
              <w:top w:w="40" w:type="dxa"/>
              <w:left w:w="20" w:type="dxa"/>
              <w:bottom w:w="40" w:type="dxa"/>
              <w:right w:w="20" w:type="dxa"/>
            </w:tcMar>
            <w:vAlign w:val="center"/>
          </w:tcPr>
          <w:p w14:paraId="4B9A3982" w14:textId="77777777" w:rsidR="002A3970" w:rsidRDefault="00C35E63">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vAlign w:val="bottom"/>
          </w:tcPr>
          <w:p w14:paraId="4B9A3983"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98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985"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986"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987"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988"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989"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98A" w14:textId="77777777" w:rsidR="002A3970" w:rsidRDefault="002A3970">
            <w:pPr>
              <w:rPr>
                <w:rFonts w:ascii="宋体"/>
              </w:rPr>
            </w:pPr>
          </w:p>
        </w:tc>
      </w:tr>
      <w:tr w:rsidR="002A3970" w14:paraId="4B9A399D" w14:textId="77777777">
        <w:tc>
          <w:tcPr>
            <w:tcW w:w="0" w:type="auto"/>
            <w:gridSpan w:val="3"/>
            <w:shd w:val="clear" w:color="auto" w:fill="CCEEFF"/>
            <w:tcMar>
              <w:top w:w="40" w:type="dxa"/>
              <w:left w:w="380" w:type="dxa"/>
              <w:bottom w:w="40" w:type="dxa"/>
              <w:right w:w="20" w:type="dxa"/>
            </w:tcMar>
            <w:vAlign w:val="center"/>
          </w:tcPr>
          <w:p w14:paraId="4B9A398C" w14:textId="77777777" w:rsidR="002A3970" w:rsidRDefault="00C35E63">
            <w:pPr>
              <w:textAlignment w:val="center"/>
            </w:pPr>
            <w:r>
              <w:rPr>
                <w:rFonts w:ascii="Times New Roman" w:eastAsia="宋体" w:hAnsi="Times New Roman"/>
                <w:b/>
                <w:bCs/>
                <w:color w:val="000000"/>
                <w:sz w:val="16"/>
                <w:szCs w:val="16"/>
              </w:rPr>
              <w:t>Consolidated net income (loss)</w:t>
            </w:r>
          </w:p>
        </w:tc>
        <w:tc>
          <w:tcPr>
            <w:tcW w:w="0" w:type="auto"/>
            <w:gridSpan w:val="3"/>
            <w:shd w:val="clear" w:color="auto" w:fill="CCEEFF"/>
            <w:tcMar>
              <w:top w:w="0" w:type="dxa"/>
              <w:left w:w="20" w:type="dxa"/>
              <w:bottom w:w="0" w:type="dxa"/>
              <w:right w:w="20" w:type="dxa"/>
            </w:tcMar>
            <w:vAlign w:val="bottom"/>
          </w:tcPr>
          <w:p w14:paraId="4B9A398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98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98F" w14:textId="77777777" w:rsidR="002A3970" w:rsidRDefault="00C35E63">
            <w:pPr>
              <w:jc w:val="right"/>
              <w:textAlignment w:val="center"/>
            </w:pPr>
            <w:r>
              <w:rPr>
                <w:rFonts w:ascii="Times New Roman" w:eastAsia="宋体" w:hAnsi="Times New Roman"/>
                <w:color w:val="000000"/>
                <w:sz w:val="16"/>
                <w:szCs w:val="16"/>
              </w:rPr>
              <w:t>(1,767)</w:t>
            </w:r>
          </w:p>
        </w:tc>
        <w:tc>
          <w:tcPr>
            <w:tcW w:w="0" w:type="auto"/>
            <w:shd w:val="clear" w:color="auto" w:fill="CCEEFF"/>
            <w:tcMar>
              <w:top w:w="40" w:type="dxa"/>
              <w:left w:w="0" w:type="dxa"/>
              <w:bottom w:w="40" w:type="dxa"/>
              <w:right w:w="20" w:type="dxa"/>
            </w:tcMar>
            <w:vAlign w:val="center"/>
          </w:tcPr>
          <w:p w14:paraId="4B9A399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9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99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993" w14:textId="77777777" w:rsidR="002A3970" w:rsidRDefault="00C35E63">
            <w:pPr>
              <w:jc w:val="right"/>
              <w:textAlignment w:val="center"/>
            </w:pPr>
            <w:r>
              <w:rPr>
                <w:rFonts w:ascii="Times New Roman" w:eastAsia="宋体" w:hAnsi="Times New Roman"/>
                <w:color w:val="000000"/>
                <w:sz w:val="16"/>
                <w:szCs w:val="16"/>
              </w:rPr>
              <w:t>3,132 </w:t>
            </w:r>
          </w:p>
        </w:tc>
        <w:tc>
          <w:tcPr>
            <w:tcW w:w="0" w:type="auto"/>
            <w:shd w:val="clear" w:color="auto" w:fill="CCEEFF"/>
            <w:tcMar>
              <w:top w:w="40" w:type="dxa"/>
              <w:left w:w="0" w:type="dxa"/>
              <w:bottom w:w="40" w:type="dxa"/>
              <w:right w:w="20" w:type="dxa"/>
            </w:tcMar>
            <w:vAlign w:val="center"/>
          </w:tcPr>
          <w:p w14:paraId="4B9A399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95" w14:textId="77777777" w:rsidR="002A3970" w:rsidRDefault="002A3970">
            <w:pPr>
              <w:rPr>
                <w:rFonts w:ascii="宋体"/>
              </w:rPr>
            </w:pPr>
          </w:p>
        </w:tc>
        <w:tc>
          <w:tcPr>
            <w:tcW w:w="0" w:type="auto"/>
            <w:shd w:val="clear" w:color="auto" w:fill="CCEEFF"/>
            <w:tcMar>
              <w:top w:w="40" w:type="dxa"/>
              <w:left w:w="20" w:type="dxa"/>
              <w:bottom w:w="40" w:type="dxa"/>
              <w:right w:w="0" w:type="dxa"/>
            </w:tcMar>
            <w:vAlign w:val="bottom"/>
          </w:tcPr>
          <w:p w14:paraId="4B9A3996" w14:textId="77777777" w:rsidR="002A3970" w:rsidRDefault="00C35E63">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B9A3997" w14:textId="77777777" w:rsidR="002A3970" w:rsidRDefault="00C35E63">
            <w:pPr>
              <w:jc w:val="right"/>
              <w:textAlignment w:val="bottom"/>
            </w:pPr>
            <w:r>
              <w:rPr>
                <w:rFonts w:ascii="Times New Roman" w:eastAsia="宋体" w:hAnsi="Times New Roman"/>
                <w:color w:val="000000"/>
                <w:sz w:val="16"/>
                <w:szCs w:val="16"/>
              </w:rPr>
              <w:t>5,483 </w:t>
            </w:r>
          </w:p>
        </w:tc>
        <w:tc>
          <w:tcPr>
            <w:tcW w:w="0" w:type="auto"/>
            <w:shd w:val="clear" w:color="auto" w:fill="CCEEFF"/>
            <w:tcMar>
              <w:top w:w="40" w:type="dxa"/>
              <w:left w:w="0" w:type="dxa"/>
              <w:bottom w:w="40" w:type="dxa"/>
              <w:right w:w="20" w:type="dxa"/>
            </w:tcMar>
            <w:vAlign w:val="bottom"/>
          </w:tcPr>
          <w:p w14:paraId="4B9A399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99" w14:textId="77777777" w:rsidR="002A3970" w:rsidRDefault="002A3970">
            <w:pPr>
              <w:rPr>
                <w:rFonts w:ascii="宋体"/>
              </w:rPr>
            </w:pPr>
          </w:p>
        </w:tc>
        <w:tc>
          <w:tcPr>
            <w:tcW w:w="0" w:type="auto"/>
            <w:shd w:val="clear" w:color="auto" w:fill="CCEEFF"/>
            <w:tcMar>
              <w:top w:w="40" w:type="dxa"/>
              <w:left w:w="20" w:type="dxa"/>
              <w:bottom w:w="40" w:type="dxa"/>
              <w:right w:w="0" w:type="dxa"/>
            </w:tcMar>
            <w:vAlign w:val="bottom"/>
          </w:tcPr>
          <w:p w14:paraId="4B9A399A" w14:textId="77777777" w:rsidR="002A3970" w:rsidRDefault="00C35E63">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B9A399B" w14:textId="77777777" w:rsidR="002A3970" w:rsidRDefault="00C35E63">
            <w:pPr>
              <w:jc w:val="right"/>
              <w:textAlignment w:val="bottom"/>
            </w:pPr>
            <w:r>
              <w:rPr>
                <w:rFonts w:ascii="Times New Roman" w:eastAsia="宋体" w:hAnsi="Times New Roman"/>
                <w:color w:val="000000"/>
                <w:sz w:val="16"/>
                <w:szCs w:val="16"/>
              </w:rPr>
              <w:t>10,307 </w:t>
            </w:r>
          </w:p>
        </w:tc>
        <w:tc>
          <w:tcPr>
            <w:tcW w:w="0" w:type="auto"/>
            <w:shd w:val="clear" w:color="auto" w:fill="CCEEFF"/>
            <w:tcMar>
              <w:top w:w="40" w:type="dxa"/>
              <w:left w:w="0" w:type="dxa"/>
              <w:bottom w:w="40" w:type="dxa"/>
              <w:right w:w="20" w:type="dxa"/>
            </w:tcMar>
            <w:vAlign w:val="bottom"/>
          </w:tcPr>
          <w:p w14:paraId="4B9A399C" w14:textId="77777777" w:rsidR="002A3970" w:rsidRDefault="002A3970">
            <w:pPr>
              <w:jc w:val="right"/>
              <w:rPr>
                <w:rFonts w:ascii="宋体"/>
              </w:rPr>
            </w:pPr>
          </w:p>
        </w:tc>
      </w:tr>
      <w:tr w:rsidR="002A3970" w14:paraId="4B9A39AB" w14:textId="77777777">
        <w:tc>
          <w:tcPr>
            <w:tcW w:w="0" w:type="auto"/>
            <w:gridSpan w:val="3"/>
            <w:shd w:val="clear" w:color="auto" w:fill="FFFFFF"/>
            <w:tcMar>
              <w:top w:w="40" w:type="dxa"/>
              <w:left w:w="380" w:type="dxa"/>
              <w:bottom w:w="40" w:type="dxa"/>
              <w:right w:w="20" w:type="dxa"/>
            </w:tcMar>
            <w:vAlign w:val="center"/>
          </w:tcPr>
          <w:p w14:paraId="4B9A399E" w14:textId="77777777" w:rsidR="002A3970" w:rsidRDefault="00C35E63">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vAlign w:val="bottom"/>
          </w:tcPr>
          <w:p w14:paraId="4B9A399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A0" w14:textId="77777777" w:rsidR="002A3970" w:rsidRDefault="00C35E63">
            <w:pPr>
              <w:jc w:val="right"/>
              <w:textAlignment w:val="center"/>
            </w:pPr>
            <w:r>
              <w:rPr>
                <w:rFonts w:ascii="Times New Roman" w:eastAsia="宋体" w:hAnsi="Times New Roman"/>
                <w:color w:val="000000"/>
                <w:sz w:val="16"/>
                <w:szCs w:val="16"/>
              </w:rPr>
              <w:t>(31)</w:t>
            </w:r>
          </w:p>
        </w:tc>
        <w:tc>
          <w:tcPr>
            <w:tcW w:w="0" w:type="auto"/>
            <w:shd w:val="clear" w:color="auto" w:fill="FFFFFF"/>
            <w:tcMar>
              <w:top w:w="40" w:type="dxa"/>
              <w:left w:w="0" w:type="dxa"/>
              <w:bottom w:w="40" w:type="dxa"/>
              <w:right w:w="20" w:type="dxa"/>
            </w:tcMar>
            <w:vAlign w:val="center"/>
          </w:tcPr>
          <w:p w14:paraId="4B9A39A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A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A3" w14:textId="77777777" w:rsidR="002A3970" w:rsidRDefault="00C35E63">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4B9A39A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A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A6" w14:textId="77777777" w:rsidR="002A3970" w:rsidRDefault="00C35E63">
            <w:pPr>
              <w:jc w:val="right"/>
              <w:textAlignment w:val="center"/>
            </w:pPr>
            <w:r>
              <w:rPr>
                <w:rFonts w:ascii="Times New Roman" w:eastAsia="宋体" w:hAnsi="Times New Roman"/>
                <w:color w:val="000000"/>
                <w:sz w:val="16"/>
                <w:szCs w:val="16"/>
              </w:rPr>
              <w:t>(78)</w:t>
            </w:r>
          </w:p>
        </w:tc>
        <w:tc>
          <w:tcPr>
            <w:tcW w:w="0" w:type="auto"/>
            <w:shd w:val="clear" w:color="auto" w:fill="FFFFFF"/>
            <w:tcMar>
              <w:top w:w="40" w:type="dxa"/>
              <w:left w:w="0" w:type="dxa"/>
              <w:bottom w:w="40" w:type="dxa"/>
              <w:right w:w="20" w:type="dxa"/>
            </w:tcMar>
            <w:vAlign w:val="center"/>
          </w:tcPr>
          <w:p w14:paraId="4B9A39A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A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A9" w14:textId="77777777" w:rsidR="002A3970" w:rsidRDefault="00C35E63">
            <w:pPr>
              <w:jc w:val="right"/>
              <w:textAlignment w:val="center"/>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center"/>
          </w:tcPr>
          <w:p w14:paraId="4B9A39AA" w14:textId="77777777" w:rsidR="002A3970" w:rsidRDefault="002A3970">
            <w:pPr>
              <w:jc w:val="right"/>
              <w:rPr>
                <w:rFonts w:ascii="宋体"/>
              </w:rPr>
            </w:pPr>
          </w:p>
        </w:tc>
      </w:tr>
      <w:tr w:rsidR="002A3970" w14:paraId="4B9A39BD" w14:textId="77777777">
        <w:tc>
          <w:tcPr>
            <w:tcW w:w="0" w:type="auto"/>
            <w:gridSpan w:val="3"/>
            <w:shd w:val="clear" w:color="auto" w:fill="CCEEFF"/>
            <w:tcMar>
              <w:top w:w="40" w:type="dxa"/>
              <w:left w:w="380" w:type="dxa"/>
              <w:bottom w:w="40" w:type="dxa"/>
              <w:right w:w="20" w:type="dxa"/>
            </w:tcMar>
            <w:vAlign w:val="center"/>
          </w:tcPr>
          <w:p w14:paraId="4B9A39AC" w14:textId="77777777" w:rsidR="002A3970" w:rsidRDefault="00C35E63">
            <w:pPr>
              <w:textAlignment w:val="center"/>
            </w:pPr>
            <w:r>
              <w:rPr>
                <w:rFonts w:ascii="Times New Roman" w:eastAsia="宋体" w:hAnsi="Times New Roman"/>
                <w:b/>
                <w:bCs/>
                <w:color w:val="000000"/>
                <w:sz w:val="16"/>
                <w:szCs w:val="16"/>
              </w:rPr>
              <w:t>Consolidated net income (loss) attributable to Walmart</w:t>
            </w:r>
          </w:p>
        </w:tc>
        <w:tc>
          <w:tcPr>
            <w:tcW w:w="0" w:type="auto"/>
            <w:gridSpan w:val="3"/>
            <w:shd w:val="clear" w:color="auto" w:fill="CCEEFF"/>
            <w:tcMar>
              <w:top w:w="0" w:type="dxa"/>
              <w:left w:w="20" w:type="dxa"/>
              <w:bottom w:w="0" w:type="dxa"/>
              <w:right w:w="20" w:type="dxa"/>
            </w:tcMar>
            <w:vAlign w:val="bottom"/>
          </w:tcPr>
          <w:p w14:paraId="4B9A39A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9A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9AF" w14:textId="77777777" w:rsidR="002A3970" w:rsidRDefault="00C35E63">
            <w:pPr>
              <w:jc w:val="right"/>
              <w:textAlignment w:val="center"/>
            </w:pPr>
            <w:r>
              <w:rPr>
                <w:rFonts w:ascii="Times New Roman" w:eastAsia="宋体" w:hAnsi="Times New Roman"/>
                <w:color w:val="000000"/>
                <w:sz w:val="16"/>
                <w:szCs w:val="16"/>
              </w:rPr>
              <w:t>(1,798)</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9B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B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9B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9B3" w14:textId="77777777" w:rsidR="002A3970" w:rsidRDefault="00C35E63">
            <w:pPr>
              <w:jc w:val="right"/>
              <w:textAlignment w:val="center"/>
            </w:pPr>
            <w:r>
              <w:rPr>
                <w:rFonts w:ascii="Times New Roman" w:eastAsia="宋体" w:hAnsi="Times New Roman"/>
                <w:color w:val="000000"/>
                <w:sz w:val="16"/>
                <w:szCs w:val="16"/>
              </w:rPr>
              <w:t>3,105 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9B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B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9B6"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9B7" w14:textId="77777777" w:rsidR="002A3970" w:rsidRDefault="00C35E63">
            <w:pPr>
              <w:jc w:val="right"/>
              <w:textAlignment w:val="bottom"/>
            </w:pPr>
            <w:r>
              <w:rPr>
                <w:rFonts w:ascii="Times New Roman" w:eastAsia="宋体" w:hAnsi="Times New Roman"/>
                <w:color w:val="000000"/>
                <w:sz w:val="16"/>
                <w:szCs w:val="16"/>
              </w:rPr>
              <w:t>5,405 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9B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B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9BA"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9BB" w14:textId="77777777" w:rsidR="002A3970" w:rsidRDefault="00C35E63">
            <w:pPr>
              <w:jc w:val="right"/>
              <w:textAlignment w:val="bottom"/>
            </w:pPr>
            <w:r>
              <w:rPr>
                <w:rFonts w:ascii="Times New Roman" w:eastAsia="宋体" w:hAnsi="Times New Roman"/>
                <w:color w:val="000000"/>
                <w:sz w:val="16"/>
                <w:szCs w:val="16"/>
              </w:rPr>
              <w:t>10,111 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9BC" w14:textId="77777777" w:rsidR="002A3970" w:rsidRDefault="002A3970">
            <w:pPr>
              <w:jc w:val="right"/>
              <w:rPr>
                <w:rFonts w:ascii="宋体"/>
              </w:rPr>
            </w:pPr>
          </w:p>
        </w:tc>
      </w:tr>
      <w:tr w:rsidR="002A3970" w14:paraId="4B9A39C7" w14:textId="77777777">
        <w:trPr>
          <w:trHeight w:val="220"/>
        </w:trPr>
        <w:tc>
          <w:tcPr>
            <w:tcW w:w="0" w:type="auto"/>
            <w:gridSpan w:val="3"/>
            <w:shd w:val="clear" w:color="auto" w:fill="FFFFFF"/>
            <w:tcMar>
              <w:top w:w="0" w:type="dxa"/>
              <w:left w:w="20" w:type="dxa"/>
              <w:bottom w:w="0" w:type="dxa"/>
              <w:right w:w="20" w:type="dxa"/>
            </w:tcMar>
            <w:vAlign w:val="bottom"/>
          </w:tcPr>
          <w:p w14:paraId="4B9A39B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9BF"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39C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9C1"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39C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9C3"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39C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9C5"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39C6" w14:textId="77777777" w:rsidR="002A3970" w:rsidRDefault="002A3970">
            <w:pPr>
              <w:rPr>
                <w:rFonts w:ascii="宋体"/>
              </w:rPr>
            </w:pPr>
          </w:p>
        </w:tc>
      </w:tr>
      <w:tr w:rsidR="002A3970" w14:paraId="4B9A39D1" w14:textId="77777777">
        <w:tc>
          <w:tcPr>
            <w:tcW w:w="0" w:type="auto"/>
            <w:gridSpan w:val="3"/>
            <w:shd w:val="clear" w:color="auto" w:fill="CCEEFF"/>
            <w:tcMar>
              <w:top w:w="40" w:type="dxa"/>
              <w:left w:w="20" w:type="dxa"/>
              <w:bottom w:w="40" w:type="dxa"/>
              <w:right w:w="20" w:type="dxa"/>
            </w:tcMar>
            <w:vAlign w:val="center"/>
          </w:tcPr>
          <w:p w14:paraId="4B9A39C8" w14:textId="77777777" w:rsidR="002A3970" w:rsidRDefault="00C35E63">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vAlign w:val="bottom"/>
          </w:tcPr>
          <w:p w14:paraId="4B9A39C9"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CA"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CB"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CC"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CD"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C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CF"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D0" w14:textId="77777777" w:rsidR="002A3970" w:rsidRDefault="002A3970">
            <w:pPr>
              <w:rPr>
                <w:rFonts w:ascii="宋体"/>
              </w:rPr>
            </w:pPr>
          </w:p>
        </w:tc>
      </w:tr>
      <w:tr w:rsidR="002A3970" w14:paraId="4B9A39DF" w14:textId="77777777">
        <w:tc>
          <w:tcPr>
            <w:tcW w:w="0" w:type="auto"/>
            <w:gridSpan w:val="3"/>
            <w:shd w:val="clear" w:color="auto" w:fill="FFFFFF"/>
            <w:tcMar>
              <w:top w:w="40" w:type="dxa"/>
              <w:left w:w="380" w:type="dxa"/>
              <w:bottom w:w="40" w:type="dxa"/>
              <w:right w:w="20" w:type="dxa"/>
            </w:tcMar>
            <w:vAlign w:val="center"/>
          </w:tcPr>
          <w:p w14:paraId="4B9A39D2" w14:textId="77777777" w:rsidR="002A3970" w:rsidRDefault="00C35E63">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vAlign w:val="bottom"/>
          </w:tcPr>
          <w:p w14:paraId="4B9A39D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D4" w14:textId="77777777" w:rsidR="002A3970" w:rsidRDefault="00C35E63">
            <w:pPr>
              <w:jc w:val="right"/>
              <w:textAlignment w:val="center"/>
            </w:pPr>
            <w:r>
              <w:rPr>
                <w:rFonts w:ascii="Times New Roman" w:eastAsia="宋体" w:hAnsi="Times New Roman"/>
                <w:color w:val="000000"/>
                <w:sz w:val="16"/>
                <w:szCs w:val="16"/>
              </w:rPr>
              <w:t>2,711 </w:t>
            </w:r>
          </w:p>
        </w:tc>
        <w:tc>
          <w:tcPr>
            <w:tcW w:w="0" w:type="auto"/>
            <w:shd w:val="clear" w:color="auto" w:fill="FFFFFF"/>
            <w:tcMar>
              <w:top w:w="40" w:type="dxa"/>
              <w:left w:w="0" w:type="dxa"/>
              <w:bottom w:w="40" w:type="dxa"/>
              <w:right w:w="20" w:type="dxa"/>
            </w:tcMar>
            <w:vAlign w:val="center"/>
          </w:tcPr>
          <w:p w14:paraId="4B9A39D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D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D7" w14:textId="77777777" w:rsidR="002A3970" w:rsidRDefault="00C35E63">
            <w:pPr>
              <w:jc w:val="right"/>
              <w:textAlignment w:val="center"/>
            </w:pPr>
            <w:r>
              <w:rPr>
                <w:rFonts w:ascii="Times New Roman" w:eastAsia="宋体" w:hAnsi="Times New Roman"/>
                <w:color w:val="000000"/>
                <w:sz w:val="16"/>
                <w:szCs w:val="16"/>
              </w:rPr>
              <w:t>2,785 </w:t>
            </w:r>
          </w:p>
        </w:tc>
        <w:tc>
          <w:tcPr>
            <w:tcW w:w="0" w:type="auto"/>
            <w:shd w:val="clear" w:color="auto" w:fill="FFFFFF"/>
            <w:tcMar>
              <w:top w:w="40" w:type="dxa"/>
              <w:left w:w="0" w:type="dxa"/>
              <w:bottom w:w="40" w:type="dxa"/>
              <w:right w:w="20" w:type="dxa"/>
            </w:tcMar>
            <w:vAlign w:val="center"/>
          </w:tcPr>
          <w:p w14:paraId="4B9A39D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D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DA" w14:textId="77777777" w:rsidR="002A3970" w:rsidRDefault="00C35E63">
            <w:pPr>
              <w:jc w:val="right"/>
              <w:textAlignment w:val="center"/>
            </w:pPr>
            <w:r>
              <w:rPr>
                <w:rFonts w:ascii="Times New Roman" w:eastAsia="宋体" w:hAnsi="Times New Roman"/>
                <w:color w:val="000000"/>
                <w:sz w:val="16"/>
                <w:szCs w:val="16"/>
              </w:rPr>
              <w:t>2,733 </w:t>
            </w:r>
          </w:p>
        </w:tc>
        <w:tc>
          <w:tcPr>
            <w:tcW w:w="0" w:type="auto"/>
            <w:shd w:val="clear" w:color="auto" w:fill="FFFFFF"/>
            <w:tcMar>
              <w:top w:w="40" w:type="dxa"/>
              <w:left w:w="0" w:type="dxa"/>
              <w:bottom w:w="40" w:type="dxa"/>
              <w:right w:w="20" w:type="dxa"/>
            </w:tcMar>
            <w:vAlign w:val="center"/>
          </w:tcPr>
          <w:p w14:paraId="4B9A39D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D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9DD" w14:textId="77777777" w:rsidR="002A3970" w:rsidRDefault="00C35E63">
            <w:pPr>
              <w:jc w:val="right"/>
              <w:textAlignment w:val="center"/>
            </w:pPr>
            <w:r>
              <w:rPr>
                <w:rFonts w:ascii="Times New Roman" w:eastAsia="宋体" w:hAnsi="Times New Roman"/>
                <w:color w:val="000000"/>
                <w:sz w:val="16"/>
                <w:szCs w:val="16"/>
              </w:rPr>
              <w:t>2,799 </w:t>
            </w:r>
          </w:p>
        </w:tc>
        <w:tc>
          <w:tcPr>
            <w:tcW w:w="0" w:type="auto"/>
            <w:shd w:val="clear" w:color="auto" w:fill="FFFFFF"/>
            <w:tcMar>
              <w:top w:w="40" w:type="dxa"/>
              <w:left w:w="0" w:type="dxa"/>
              <w:bottom w:w="40" w:type="dxa"/>
              <w:right w:w="20" w:type="dxa"/>
            </w:tcMar>
            <w:vAlign w:val="center"/>
          </w:tcPr>
          <w:p w14:paraId="4B9A39DE" w14:textId="77777777" w:rsidR="002A3970" w:rsidRDefault="002A3970">
            <w:pPr>
              <w:jc w:val="right"/>
              <w:rPr>
                <w:rFonts w:ascii="宋体"/>
              </w:rPr>
            </w:pPr>
          </w:p>
        </w:tc>
      </w:tr>
      <w:tr w:rsidR="002A3970" w14:paraId="4B9A39ED" w14:textId="77777777">
        <w:tc>
          <w:tcPr>
            <w:tcW w:w="0" w:type="auto"/>
            <w:gridSpan w:val="3"/>
            <w:shd w:val="clear" w:color="auto" w:fill="CCEEFF"/>
            <w:tcMar>
              <w:top w:w="40" w:type="dxa"/>
              <w:left w:w="380" w:type="dxa"/>
              <w:bottom w:w="40" w:type="dxa"/>
              <w:right w:w="20" w:type="dxa"/>
            </w:tcMar>
            <w:vAlign w:val="center"/>
          </w:tcPr>
          <w:p w14:paraId="4B9A39E0" w14:textId="77777777" w:rsidR="002A3970" w:rsidRDefault="00C35E63">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vAlign w:val="bottom"/>
          </w:tcPr>
          <w:p w14:paraId="4B9A39E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9E2"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9E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E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9E5" w14:textId="77777777" w:rsidR="002A3970" w:rsidRDefault="00C35E63">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B9A39E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E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9E8" w14:textId="77777777" w:rsidR="002A3970" w:rsidRDefault="00C35E63">
            <w:pPr>
              <w:jc w:val="right"/>
              <w:textAlignment w:val="bottom"/>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bottom"/>
          </w:tcPr>
          <w:p w14:paraId="4B9A39E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9E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9EB" w14:textId="77777777" w:rsidR="002A3970" w:rsidRDefault="00C35E63">
            <w:pPr>
              <w:jc w:val="right"/>
              <w:textAlignment w:val="bottom"/>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bottom"/>
          </w:tcPr>
          <w:p w14:paraId="4B9A39EC" w14:textId="77777777" w:rsidR="002A3970" w:rsidRDefault="002A3970">
            <w:pPr>
              <w:jc w:val="right"/>
              <w:rPr>
                <w:rFonts w:ascii="宋体"/>
              </w:rPr>
            </w:pPr>
          </w:p>
        </w:tc>
      </w:tr>
      <w:tr w:rsidR="002A3970" w14:paraId="4B9A39FB" w14:textId="77777777">
        <w:tc>
          <w:tcPr>
            <w:tcW w:w="0" w:type="auto"/>
            <w:gridSpan w:val="3"/>
            <w:shd w:val="clear" w:color="auto" w:fill="FFFFFF"/>
            <w:tcMar>
              <w:top w:w="40" w:type="dxa"/>
              <w:left w:w="380" w:type="dxa"/>
              <w:bottom w:w="40" w:type="dxa"/>
              <w:right w:w="20" w:type="dxa"/>
            </w:tcMar>
            <w:vAlign w:val="center"/>
          </w:tcPr>
          <w:p w14:paraId="4B9A39EE" w14:textId="77777777" w:rsidR="002A3970" w:rsidRDefault="00C35E63">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vAlign w:val="bottom"/>
          </w:tcPr>
          <w:p w14:paraId="4B9A39EF"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9F0" w14:textId="77777777" w:rsidR="002A3970" w:rsidRDefault="00C35E63">
            <w:pPr>
              <w:jc w:val="right"/>
              <w:textAlignment w:val="center"/>
            </w:pPr>
            <w:r>
              <w:rPr>
                <w:rFonts w:ascii="Times New Roman" w:eastAsia="宋体" w:hAnsi="Times New Roman"/>
                <w:color w:val="000000"/>
                <w:sz w:val="16"/>
                <w:szCs w:val="16"/>
              </w:rPr>
              <w:t>2,711 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9F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F2"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9F3" w14:textId="77777777" w:rsidR="002A3970" w:rsidRDefault="00C35E63">
            <w:pPr>
              <w:jc w:val="right"/>
              <w:textAlignment w:val="center"/>
            </w:pPr>
            <w:r>
              <w:rPr>
                <w:rFonts w:ascii="Times New Roman" w:eastAsia="宋体" w:hAnsi="Times New Roman"/>
                <w:color w:val="000000"/>
                <w:sz w:val="16"/>
                <w:szCs w:val="16"/>
              </w:rPr>
              <w:t>2,797 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9F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F5"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9F6" w14:textId="77777777" w:rsidR="002A3970" w:rsidRDefault="00C35E63">
            <w:pPr>
              <w:jc w:val="right"/>
              <w:textAlignment w:val="center"/>
            </w:pPr>
            <w:r>
              <w:rPr>
                <w:rFonts w:ascii="Times New Roman" w:eastAsia="宋体" w:hAnsi="Times New Roman"/>
                <w:color w:val="000000"/>
                <w:sz w:val="16"/>
                <w:szCs w:val="16"/>
              </w:rPr>
              <w:t>2,743 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9F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9F8"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39F9" w14:textId="77777777" w:rsidR="002A3970" w:rsidRDefault="00C35E63">
            <w:pPr>
              <w:jc w:val="right"/>
              <w:textAlignment w:val="center"/>
            </w:pPr>
            <w:r>
              <w:rPr>
                <w:rFonts w:ascii="Times New Roman" w:eastAsia="宋体" w:hAnsi="Times New Roman"/>
                <w:color w:val="000000"/>
                <w:sz w:val="16"/>
                <w:szCs w:val="16"/>
              </w:rPr>
              <w:t>2,813 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9FA" w14:textId="77777777" w:rsidR="002A3970" w:rsidRDefault="002A3970">
            <w:pPr>
              <w:jc w:val="right"/>
              <w:rPr>
                <w:rFonts w:ascii="宋体"/>
              </w:rPr>
            </w:pPr>
          </w:p>
        </w:tc>
      </w:tr>
      <w:tr w:rsidR="002A3970" w14:paraId="4B9A3A05" w14:textId="77777777">
        <w:trPr>
          <w:trHeight w:val="220"/>
        </w:trPr>
        <w:tc>
          <w:tcPr>
            <w:tcW w:w="0" w:type="auto"/>
            <w:gridSpan w:val="3"/>
            <w:shd w:val="clear" w:color="auto" w:fill="CCEEFF"/>
            <w:tcMar>
              <w:top w:w="0" w:type="dxa"/>
              <w:left w:w="20" w:type="dxa"/>
              <w:bottom w:w="0" w:type="dxa"/>
              <w:right w:w="20" w:type="dxa"/>
            </w:tcMar>
            <w:vAlign w:val="bottom"/>
          </w:tcPr>
          <w:p w14:paraId="4B9A39FC"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FD"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39F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9FF"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3A00"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A01"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3A0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A03"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3A04" w14:textId="77777777" w:rsidR="002A3970" w:rsidRDefault="002A3970">
            <w:pPr>
              <w:rPr>
                <w:rFonts w:ascii="宋体"/>
              </w:rPr>
            </w:pPr>
          </w:p>
        </w:tc>
      </w:tr>
      <w:tr w:rsidR="002A3970" w14:paraId="4B9A3A0F" w14:textId="77777777">
        <w:tc>
          <w:tcPr>
            <w:tcW w:w="0" w:type="auto"/>
            <w:gridSpan w:val="3"/>
            <w:shd w:val="clear" w:color="auto" w:fill="FFFFFF"/>
            <w:tcMar>
              <w:top w:w="40" w:type="dxa"/>
              <w:left w:w="20" w:type="dxa"/>
              <w:bottom w:w="40" w:type="dxa"/>
              <w:right w:w="20" w:type="dxa"/>
            </w:tcMar>
            <w:vAlign w:val="center"/>
          </w:tcPr>
          <w:p w14:paraId="4B9A3A06" w14:textId="77777777" w:rsidR="002A3970" w:rsidRDefault="00C35E63">
            <w:pPr>
              <w:textAlignment w:val="center"/>
            </w:pPr>
            <w:r>
              <w:rPr>
                <w:rFonts w:ascii="Times New Roman" w:eastAsia="宋体" w:hAnsi="Times New Roman"/>
                <w:b/>
                <w:bCs/>
                <w:color w:val="000000"/>
                <w:sz w:val="16"/>
                <w:szCs w:val="16"/>
              </w:rPr>
              <w:t>Net income (loss) per common share attributable to Walmart</w:t>
            </w:r>
          </w:p>
        </w:tc>
        <w:tc>
          <w:tcPr>
            <w:tcW w:w="0" w:type="auto"/>
            <w:gridSpan w:val="3"/>
            <w:shd w:val="clear" w:color="auto" w:fill="FFFFFF"/>
            <w:tcMar>
              <w:top w:w="0" w:type="dxa"/>
              <w:left w:w="20" w:type="dxa"/>
              <w:bottom w:w="0" w:type="dxa"/>
              <w:right w:w="20" w:type="dxa"/>
            </w:tcMar>
            <w:vAlign w:val="bottom"/>
          </w:tcPr>
          <w:p w14:paraId="4B9A3A07"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8"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9"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3A0E" w14:textId="77777777" w:rsidR="002A3970" w:rsidRDefault="002A3970">
            <w:pPr>
              <w:rPr>
                <w:rFonts w:ascii="宋体"/>
              </w:rPr>
            </w:pPr>
          </w:p>
        </w:tc>
      </w:tr>
      <w:tr w:rsidR="002A3970" w14:paraId="4B9A3A21" w14:textId="77777777">
        <w:tc>
          <w:tcPr>
            <w:tcW w:w="0" w:type="auto"/>
            <w:gridSpan w:val="3"/>
            <w:shd w:val="clear" w:color="auto" w:fill="CCEEFF"/>
            <w:tcMar>
              <w:top w:w="40" w:type="dxa"/>
              <w:left w:w="380" w:type="dxa"/>
              <w:bottom w:w="40" w:type="dxa"/>
              <w:right w:w="20" w:type="dxa"/>
            </w:tcMar>
            <w:vAlign w:val="center"/>
          </w:tcPr>
          <w:p w14:paraId="4B9A3A10" w14:textId="77777777" w:rsidR="002A3970" w:rsidRDefault="00C35E63">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4B9A3A11" w14:textId="77777777" w:rsidR="002A3970" w:rsidRDefault="002A3970">
            <w:pPr>
              <w:rPr>
                <w:rFonts w:ascii="宋体"/>
              </w:rPr>
            </w:pPr>
          </w:p>
        </w:tc>
        <w:tc>
          <w:tcPr>
            <w:tcW w:w="0" w:type="auto"/>
            <w:shd w:val="clear" w:color="auto" w:fill="CCEEFF"/>
            <w:tcMar>
              <w:top w:w="40" w:type="dxa"/>
              <w:left w:w="20" w:type="dxa"/>
              <w:bottom w:w="40" w:type="dxa"/>
              <w:right w:w="0" w:type="dxa"/>
            </w:tcMar>
            <w:vAlign w:val="bottom"/>
          </w:tcPr>
          <w:p w14:paraId="4B9A3A12" w14:textId="77777777" w:rsidR="002A3970" w:rsidRDefault="00C35E63">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B9A3A13" w14:textId="77777777" w:rsidR="002A3970" w:rsidRDefault="00C35E63">
            <w:pPr>
              <w:jc w:val="right"/>
              <w:textAlignment w:val="bottom"/>
            </w:pPr>
            <w:r>
              <w:rPr>
                <w:rFonts w:ascii="Times New Roman" w:eastAsia="宋体" w:hAnsi="Times New Roman"/>
                <w:color w:val="000000"/>
                <w:sz w:val="16"/>
                <w:szCs w:val="16"/>
              </w:rPr>
              <w:t>(0.66)</w:t>
            </w:r>
          </w:p>
        </w:tc>
        <w:tc>
          <w:tcPr>
            <w:tcW w:w="0" w:type="auto"/>
            <w:shd w:val="clear" w:color="auto" w:fill="CCEEFF"/>
            <w:tcMar>
              <w:top w:w="40" w:type="dxa"/>
              <w:left w:w="0" w:type="dxa"/>
              <w:bottom w:w="40" w:type="dxa"/>
              <w:right w:w="20" w:type="dxa"/>
            </w:tcMar>
            <w:vAlign w:val="bottom"/>
          </w:tcPr>
          <w:p w14:paraId="4B9A3A1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15" w14:textId="77777777" w:rsidR="002A3970" w:rsidRDefault="002A3970">
            <w:pPr>
              <w:rPr>
                <w:rFonts w:ascii="宋体"/>
              </w:rPr>
            </w:pPr>
          </w:p>
        </w:tc>
        <w:tc>
          <w:tcPr>
            <w:tcW w:w="0" w:type="auto"/>
            <w:shd w:val="clear" w:color="auto" w:fill="CCEEFF"/>
            <w:tcMar>
              <w:top w:w="40" w:type="dxa"/>
              <w:left w:w="20" w:type="dxa"/>
              <w:bottom w:w="40" w:type="dxa"/>
              <w:right w:w="0" w:type="dxa"/>
            </w:tcMar>
            <w:vAlign w:val="bottom"/>
          </w:tcPr>
          <w:p w14:paraId="4B9A3A16" w14:textId="77777777" w:rsidR="002A3970" w:rsidRDefault="00C35E63">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B9A3A17" w14:textId="77777777" w:rsidR="002A3970" w:rsidRDefault="00C35E63">
            <w:pPr>
              <w:jc w:val="right"/>
              <w:textAlignment w:val="bottom"/>
            </w:pPr>
            <w:r>
              <w:rPr>
                <w:rFonts w:ascii="Times New Roman" w:eastAsia="宋体" w:hAnsi="Times New Roman"/>
                <w:color w:val="000000"/>
                <w:sz w:val="16"/>
                <w:szCs w:val="16"/>
              </w:rPr>
              <w:t>1.11 </w:t>
            </w:r>
          </w:p>
        </w:tc>
        <w:tc>
          <w:tcPr>
            <w:tcW w:w="0" w:type="auto"/>
            <w:shd w:val="clear" w:color="auto" w:fill="CCEEFF"/>
            <w:tcMar>
              <w:top w:w="40" w:type="dxa"/>
              <w:left w:w="0" w:type="dxa"/>
              <w:bottom w:w="40" w:type="dxa"/>
              <w:right w:w="20" w:type="dxa"/>
            </w:tcMar>
            <w:vAlign w:val="bottom"/>
          </w:tcPr>
          <w:p w14:paraId="4B9A3A1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19" w14:textId="77777777" w:rsidR="002A3970" w:rsidRDefault="002A3970">
            <w:pPr>
              <w:rPr>
                <w:rFonts w:ascii="宋体"/>
              </w:rPr>
            </w:pPr>
          </w:p>
        </w:tc>
        <w:tc>
          <w:tcPr>
            <w:tcW w:w="0" w:type="auto"/>
            <w:shd w:val="clear" w:color="auto" w:fill="CCEEFF"/>
            <w:tcMar>
              <w:top w:w="40" w:type="dxa"/>
              <w:left w:w="20" w:type="dxa"/>
              <w:bottom w:w="40" w:type="dxa"/>
              <w:right w:w="0" w:type="dxa"/>
            </w:tcMar>
            <w:vAlign w:val="bottom"/>
          </w:tcPr>
          <w:p w14:paraId="4B9A3A1A" w14:textId="77777777" w:rsidR="002A3970" w:rsidRDefault="00C35E63">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B9A3A1B" w14:textId="77777777" w:rsidR="002A3970" w:rsidRDefault="00C35E63">
            <w:pPr>
              <w:jc w:val="right"/>
              <w:textAlignment w:val="bottom"/>
            </w:pPr>
            <w:r>
              <w:rPr>
                <w:rFonts w:ascii="Times New Roman" w:eastAsia="宋体" w:hAnsi="Times New Roman"/>
                <w:color w:val="000000"/>
                <w:sz w:val="16"/>
                <w:szCs w:val="16"/>
              </w:rPr>
              <w:t>1.98 </w:t>
            </w:r>
          </w:p>
        </w:tc>
        <w:tc>
          <w:tcPr>
            <w:tcW w:w="0" w:type="auto"/>
            <w:shd w:val="clear" w:color="auto" w:fill="CCEEFF"/>
            <w:tcMar>
              <w:top w:w="40" w:type="dxa"/>
              <w:left w:w="0" w:type="dxa"/>
              <w:bottom w:w="40" w:type="dxa"/>
              <w:right w:w="20" w:type="dxa"/>
            </w:tcMar>
            <w:vAlign w:val="bottom"/>
          </w:tcPr>
          <w:p w14:paraId="4B9A3A1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1D" w14:textId="77777777" w:rsidR="002A3970" w:rsidRDefault="002A3970">
            <w:pPr>
              <w:rPr>
                <w:rFonts w:ascii="宋体"/>
              </w:rPr>
            </w:pPr>
          </w:p>
        </w:tc>
        <w:tc>
          <w:tcPr>
            <w:tcW w:w="0" w:type="auto"/>
            <w:shd w:val="clear" w:color="auto" w:fill="CCEEFF"/>
            <w:tcMar>
              <w:top w:w="40" w:type="dxa"/>
              <w:left w:w="20" w:type="dxa"/>
              <w:bottom w:w="40" w:type="dxa"/>
              <w:right w:w="0" w:type="dxa"/>
            </w:tcMar>
            <w:vAlign w:val="bottom"/>
          </w:tcPr>
          <w:p w14:paraId="4B9A3A1E" w14:textId="77777777" w:rsidR="002A3970" w:rsidRDefault="00C35E63">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B9A3A1F" w14:textId="77777777" w:rsidR="002A3970" w:rsidRDefault="00C35E63">
            <w:pPr>
              <w:jc w:val="right"/>
              <w:textAlignment w:val="bottom"/>
            </w:pPr>
            <w:r>
              <w:rPr>
                <w:rFonts w:ascii="Times New Roman" w:eastAsia="宋体" w:hAnsi="Times New Roman"/>
                <w:color w:val="000000"/>
                <w:sz w:val="16"/>
                <w:szCs w:val="16"/>
              </w:rPr>
              <w:t>3.61 </w:t>
            </w:r>
          </w:p>
        </w:tc>
        <w:tc>
          <w:tcPr>
            <w:tcW w:w="0" w:type="auto"/>
            <w:shd w:val="clear" w:color="auto" w:fill="CCEEFF"/>
            <w:tcMar>
              <w:top w:w="40" w:type="dxa"/>
              <w:left w:w="0" w:type="dxa"/>
              <w:bottom w:w="40" w:type="dxa"/>
              <w:right w:w="20" w:type="dxa"/>
            </w:tcMar>
            <w:vAlign w:val="bottom"/>
          </w:tcPr>
          <w:p w14:paraId="4B9A3A20" w14:textId="77777777" w:rsidR="002A3970" w:rsidRDefault="002A3970">
            <w:pPr>
              <w:jc w:val="right"/>
              <w:rPr>
                <w:rFonts w:ascii="宋体"/>
              </w:rPr>
            </w:pPr>
          </w:p>
        </w:tc>
      </w:tr>
      <w:tr w:rsidR="002A3970" w14:paraId="4B9A3A2F" w14:textId="77777777">
        <w:tc>
          <w:tcPr>
            <w:tcW w:w="0" w:type="auto"/>
            <w:gridSpan w:val="3"/>
            <w:shd w:val="clear" w:color="auto" w:fill="FFFFFF"/>
            <w:tcMar>
              <w:top w:w="40" w:type="dxa"/>
              <w:left w:w="380" w:type="dxa"/>
              <w:bottom w:w="40" w:type="dxa"/>
              <w:right w:w="20" w:type="dxa"/>
            </w:tcMar>
            <w:vAlign w:val="center"/>
          </w:tcPr>
          <w:p w14:paraId="4B9A3A22" w14:textId="77777777" w:rsidR="002A3970" w:rsidRDefault="00C35E63">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4B9A3A2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A24" w14:textId="77777777" w:rsidR="002A3970" w:rsidRDefault="00C35E63">
            <w:pPr>
              <w:jc w:val="right"/>
              <w:textAlignment w:val="bottom"/>
            </w:pPr>
            <w:r>
              <w:rPr>
                <w:rFonts w:ascii="Times New Roman" w:eastAsia="宋体" w:hAnsi="Times New Roman"/>
                <w:color w:val="000000"/>
                <w:sz w:val="16"/>
                <w:szCs w:val="16"/>
              </w:rPr>
              <w:t>(0.66)</w:t>
            </w:r>
          </w:p>
        </w:tc>
        <w:tc>
          <w:tcPr>
            <w:tcW w:w="0" w:type="auto"/>
            <w:shd w:val="clear" w:color="auto" w:fill="FFFFFF"/>
            <w:tcMar>
              <w:top w:w="40" w:type="dxa"/>
              <w:left w:w="0" w:type="dxa"/>
              <w:bottom w:w="40" w:type="dxa"/>
              <w:right w:w="20" w:type="dxa"/>
            </w:tcMar>
            <w:vAlign w:val="bottom"/>
          </w:tcPr>
          <w:p w14:paraId="4B9A3A2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2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A27" w14:textId="77777777" w:rsidR="002A3970" w:rsidRDefault="00C35E63">
            <w:pPr>
              <w:jc w:val="right"/>
              <w:textAlignment w:val="bottom"/>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bottom"/>
          </w:tcPr>
          <w:p w14:paraId="4B9A3A2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2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A2A" w14:textId="77777777" w:rsidR="002A3970" w:rsidRDefault="00C35E63">
            <w:pPr>
              <w:jc w:val="right"/>
              <w:textAlignment w:val="bottom"/>
            </w:pPr>
            <w:r>
              <w:rPr>
                <w:rFonts w:ascii="Times New Roman" w:eastAsia="宋体" w:hAnsi="Times New Roman"/>
                <w:color w:val="000000"/>
                <w:sz w:val="16"/>
                <w:szCs w:val="16"/>
              </w:rPr>
              <w:t>1.97 </w:t>
            </w:r>
          </w:p>
        </w:tc>
        <w:tc>
          <w:tcPr>
            <w:tcW w:w="0" w:type="auto"/>
            <w:shd w:val="clear" w:color="auto" w:fill="FFFFFF"/>
            <w:tcMar>
              <w:top w:w="40" w:type="dxa"/>
              <w:left w:w="0" w:type="dxa"/>
              <w:bottom w:w="40" w:type="dxa"/>
              <w:right w:w="20" w:type="dxa"/>
            </w:tcMar>
            <w:vAlign w:val="bottom"/>
          </w:tcPr>
          <w:p w14:paraId="4B9A3A2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2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A2D" w14:textId="77777777" w:rsidR="002A3970" w:rsidRDefault="00C35E63">
            <w:pPr>
              <w:jc w:val="right"/>
              <w:textAlignment w:val="bottom"/>
            </w:pPr>
            <w:r>
              <w:rPr>
                <w:rFonts w:ascii="Times New Roman" w:eastAsia="宋体" w:hAnsi="Times New Roman"/>
                <w:color w:val="000000"/>
                <w:sz w:val="16"/>
                <w:szCs w:val="16"/>
              </w:rPr>
              <w:t>3.59 </w:t>
            </w:r>
          </w:p>
        </w:tc>
        <w:tc>
          <w:tcPr>
            <w:tcW w:w="0" w:type="auto"/>
            <w:shd w:val="clear" w:color="auto" w:fill="FFFFFF"/>
            <w:tcMar>
              <w:top w:w="40" w:type="dxa"/>
              <w:left w:w="0" w:type="dxa"/>
              <w:bottom w:w="40" w:type="dxa"/>
              <w:right w:w="20" w:type="dxa"/>
            </w:tcMar>
            <w:vAlign w:val="bottom"/>
          </w:tcPr>
          <w:p w14:paraId="4B9A3A2E" w14:textId="77777777" w:rsidR="002A3970" w:rsidRDefault="002A3970">
            <w:pPr>
              <w:jc w:val="right"/>
              <w:rPr>
                <w:rFonts w:ascii="宋体"/>
              </w:rPr>
            </w:pPr>
          </w:p>
        </w:tc>
      </w:tr>
    </w:tbl>
    <w:p w14:paraId="4B9A3A30" w14:textId="77777777" w:rsidR="002A3970" w:rsidRDefault="00C35E63">
      <w:pPr>
        <w:spacing w:before="240"/>
      </w:pPr>
      <w:r>
        <w:rPr>
          <w:rFonts w:ascii="Times New Roman" w:eastAsia="宋体" w:hAnsi="Times New Roman"/>
          <w:b/>
          <w:bCs/>
          <w:color w:val="000000"/>
          <w:sz w:val="20"/>
          <w:szCs w:val="20"/>
        </w:rPr>
        <w:t>Note 3. Accumulated Other Comprehensive Loss</w:t>
      </w:r>
    </w:p>
    <w:p w14:paraId="4B9A3A31" w14:textId="77777777" w:rsidR="002A3970" w:rsidRDefault="00C35E63">
      <w:pPr>
        <w:spacing w:before="180"/>
      </w:pPr>
      <w:r>
        <w:rPr>
          <w:rFonts w:ascii="Times New Roman" w:eastAsia="宋体" w:hAnsi="Times New Roman"/>
          <w:color w:val="000000"/>
          <w:sz w:val="20"/>
          <w:szCs w:val="20"/>
        </w:rPr>
        <w:t>Amounts reclassified from accumulated other comprehensive loss for derivative instruments are generally recorded in interest, net, in the Company's Condensed Consoli</w:t>
      </w:r>
      <w:r>
        <w:rPr>
          <w:rFonts w:ascii="Times New Roman" w:eastAsia="宋体" w:hAnsi="Times New Roman"/>
          <w:color w:val="000000"/>
          <w:sz w:val="20"/>
          <w:szCs w:val="20"/>
        </w:rPr>
        <w:t>dated Statements of Income. Amounts for the minimum pension liability, as well as the cumulative translation and any related net investment hedge impacts resulting from a disposition of a business, are recorded in other gains and losses in the Company's Co</w:t>
      </w:r>
      <w:r>
        <w:rPr>
          <w:rFonts w:ascii="Times New Roman" w:eastAsia="宋体" w:hAnsi="Times New Roman"/>
          <w:color w:val="000000"/>
          <w:sz w:val="20"/>
          <w:szCs w:val="20"/>
        </w:rPr>
        <w:t>ndensed Consolidated Statements of Income. The following tables provide the changes in the composition of total accumulated other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621"/>
        <w:gridCol w:w="37"/>
        <w:gridCol w:w="36"/>
        <w:gridCol w:w="36"/>
        <w:gridCol w:w="36"/>
        <w:gridCol w:w="101"/>
        <w:gridCol w:w="803"/>
        <w:gridCol w:w="36"/>
        <w:gridCol w:w="36"/>
        <w:gridCol w:w="36"/>
        <w:gridCol w:w="36"/>
        <w:gridCol w:w="101"/>
        <w:gridCol w:w="803"/>
        <w:gridCol w:w="36"/>
        <w:gridCol w:w="36"/>
        <w:gridCol w:w="36"/>
        <w:gridCol w:w="36"/>
        <w:gridCol w:w="100"/>
        <w:gridCol w:w="608"/>
        <w:gridCol w:w="36"/>
        <w:gridCol w:w="36"/>
        <w:gridCol w:w="36"/>
        <w:gridCol w:w="36"/>
        <w:gridCol w:w="101"/>
        <w:gridCol w:w="644"/>
        <w:gridCol w:w="36"/>
        <w:gridCol w:w="36"/>
        <w:gridCol w:w="36"/>
        <w:gridCol w:w="36"/>
        <w:gridCol w:w="100"/>
        <w:gridCol w:w="559"/>
        <w:gridCol w:w="36"/>
      </w:tblGrid>
      <w:tr w:rsidR="002A3970" w14:paraId="4B9A3A53" w14:textId="77777777">
        <w:tc>
          <w:tcPr>
            <w:tcW w:w="50" w:type="pct"/>
            <w:shd w:val="clear" w:color="auto" w:fill="auto"/>
            <w:vAlign w:val="bottom"/>
          </w:tcPr>
          <w:p w14:paraId="4B9A3A32" w14:textId="77777777" w:rsidR="002A3970" w:rsidRDefault="002A3970">
            <w:pPr>
              <w:rPr>
                <w:rFonts w:ascii="宋体"/>
              </w:rPr>
            </w:pPr>
          </w:p>
        </w:tc>
        <w:tc>
          <w:tcPr>
            <w:tcW w:w="2196" w:type="pct"/>
            <w:shd w:val="clear" w:color="auto" w:fill="auto"/>
            <w:vAlign w:val="bottom"/>
          </w:tcPr>
          <w:p w14:paraId="4B9A3A33" w14:textId="77777777" w:rsidR="002A3970" w:rsidRDefault="002A3970">
            <w:pPr>
              <w:rPr>
                <w:rFonts w:ascii="宋体"/>
              </w:rPr>
            </w:pPr>
          </w:p>
        </w:tc>
        <w:tc>
          <w:tcPr>
            <w:tcW w:w="5" w:type="pct"/>
            <w:shd w:val="clear" w:color="auto" w:fill="auto"/>
            <w:vAlign w:val="bottom"/>
          </w:tcPr>
          <w:p w14:paraId="4B9A3A34" w14:textId="77777777" w:rsidR="002A3970" w:rsidRDefault="002A3970">
            <w:pPr>
              <w:rPr>
                <w:rFonts w:ascii="宋体"/>
              </w:rPr>
            </w:pPr>
          </w:p>
        </w:tc>
        <w:tc>
          <w:tcPr>
            <w:tcW w:w="5" w:type="pct"/>
            <w:shd w:val="clear" w:color="auto" w:fill="auto"/>
            <w:vAlign w:val="bottom"/>
          </w:tcPr>
          <w:p w14:paraId="4B9A3A35" w14:textId="77777777" w:rsidR="002A3970" w:rsidRDefault="002A3970">
            <w:pPr>
              <w:rPr>
                <w:rFonts w:ascii="宋体"/>
              </w:rPr>
            </w:pPr>
          </w:p>
        </w:tc>
        <w:tc>
          <w:tcPr>
            <w:tcW w:w="26" w:type="pct"/>
            <w:shd w:val="clear" w:color="auto" w:fill="auto"/>
            <w:vAlign w:val="bottom"/>
          </w:tcPr>
          <w:p w14:paraId="4B9A3A36" w14:textId="77777777" w:rsidR="002A3970" w:rsidRDefault="002A3970">
            <w:pPr>
              <w:rPr>
                <w:rFonts w:ascii="宋体"/>
              </w:rPr>
            </w:pPr>
          </w:p>
        </w:tc>
        <w:tc>
          <w:tcPr>
            <w:tcW w:w="5" w:type="pct"/>
            <w:shd w:val="clear" w:color="auto" w:fill="auto"/>
            <w:vAlign w:val="bottom"/>
          </w:tcPr>
          <w:p w14:paraId="4B9A3A37" w14:textId="77777777" w:rsidR="002A3970" w:rsidRDefault="002A3970">
            <w:pPr>
              <w:rPr>
                <w:rFonts w:ascii="宋体"/>
              </w:rPr>
            </w:pPr>
          </w:p>
        </w:tc>
        <w:tc>
          <w:tcPr>
            <w:tcW w:w="50" w:type="pct"/>
            <w:shd w:val="clear" w:color="auto" w:fill="auto"/>
            <w:vAlign w:val="bottom"/>
          </w:tcPr>
          <w:p w14:paraId="4B9A3A38" w14:textId="77777777" w:rsidR="002A3970" w:rsidRDefault="002A3970">
            <w:pPr>
              <w:rPr>
                <w:rFonts w:ascii="宋体"/>
              </w:rPr>
            </w:pPr>
          </w:p>
        </w:tc>
        <w:tc>
          <w:tcPr>
            <w:tcW w:w="529" w:type="pct"/>
            <w:shd w:val="clear" w:color="auto" w:fill="auto"/>
            <w:vAlign w:val="bottom"/>
          </w:tcPr>
          <w:p w14:paraId="4B9A3A39" w14:textId="77777777" w:rsidR="002A3970" w:rsidRDefault="002A3970">
            <w:pPr>
              <w:rPr>
                <w:rFonts w:ascii="宋体"/>
              </w:rPr>
            </w:pPr>
          </w:p>
        </w:tc>
        <w:tc>
          <w:tcPr>
            <w:tcW w:w="5" w:type="pct"/>
            <w:shd w:val="clear" w:color="auto" w:fill="auto"/>
            <w:vAlign w:val="bottom"/>
          </w:tcPr>
          <w:p w14:paraId="4B9A3A3A" w14:textId="77777777" w:rsidR="002A3970" w:rsidRDefault="002A3970">
            <w:pPr>
              <w:rPr>
                <w:rFonts w:ascii="宋体"/>
              </w:rPr>
            </w:pPr>
          </w:p>
        </w:tc>
        <w:tc>
          <w:tcPr>
            <w:tcW w:w="5" w:type="pct"/>
            <w:shd w:val="clear" w:color="auto" w:fill="auto"/>
            <w:vAlign w:val="bottom"/>
          </w:tcPr>
          <w:p w14:paraId="4B9A3A3B" w14:textId="77777777" w:rsidR="002A3970" w:rsidRDefault="002A3970">
            <w:pPr>
              <w:rPr>
                <w:rFonts w:ascii="宋体"/>
              </w:rPr>
            </w:pPr>
          </w:p>
        </w:tc>
        <w:tc>
          <w:tcPr>
            <w:tcW w:w="26" w:type="pct"/>
            <w:shd w:val="clear" w:color="auto" w:fill="auto"/>
            <w:vAlign w:val="bottom"/>
          </w:tcPr>
          <w:p w14:paraId="4B9A3A3C" w14:textId="77777777" w:rsidR="002A3970" w:rsidRDefault="002A3970">
            <w:pPr>
              <w:rPr>
                <w:rFonts w:ascii="宋体"/>
              </w:rPr>
            </w:pPr>
          </w:p>
        </w:tc>
        <w:tc>
          <w:tcPr>
            <w:tcW w:w="5" w:type="pct"/>
            <w:shd w:val="clear" w:color="auto" w:fill="auto"/>
            <w:vAlign w:val="bottom"/>
          </w:tcPr>
          <w:p w14:paraId="4B9A3A3D" w14:textId="77777777" w:rsidR="002A3970" w:rsidRDefault="002A3970">
            <w:pPr>
              <w:rPr>
                <w:rFonts w:ascii="宋体"/>
              </w:rPr>
            </w:pPr>
          </w:p>
        </w:tc>
        <w:tc>
          <w:tcPr>
            <w:tcW w:w="50" w:type="pct"/>
            <w:shd w:val="clear" w:color="auto" w:fill="auto"/>
            <w:vAlign w:val="bottom"/>
          </w:tcPr>
          <w:p w14:paraId="4B9A3A3E" w14:textId="77777777" w:rsidR="002A3970" w:rsidRDefault="002A3970">
            <w:pPr>
              <w:rPr>
                <w:rFonts w:ascii="宋体"/>
              </w:rPr>
            </w:pPr>
          </w:p>
        </w:tc>
        <w:tc>
          <w:tcPr>
            <w:tcW w:w="529" w:type="pct"/>
            <w:shd w:val="clear" w:color="auto" w:fill="auto"/>
            <w:vAlign w:val="bottom"/>
          </w:tcPr>
          <w:p w14:paraId="4B9A3A3F" w14:textId="77777777" w:rsidR="002A3970" w:rsidRDefault="002A3970">
            <w:pPr>
              <w:rPr>
                <w:rFonts w:ascii="宋体"/>
              </w:rPr>
            </w:pPr>
          </w:p>
        </w:tc>
        <w:tc>
          <w:tcPr>
            <w:tcW w:w="5" w:type="pct"/>
            <w:shd w:val="clear" w:color="auto" w:fill="auto"/>
            <w:vAlign w:val="bottom"/>
          </w:tcPr>
          <w:p w14:paraId="4B9A3A40" w14:textId="77777777" w:rsidR="002A3970" w:rsidRDefault="002A3970">
            <w:pPr>
              <w:rPr>
                <w:rFonts w:ascii="宋体"/>
              </w:rPr>
            </w:pPr>
          </w:p>
        </w:tc>
        <w:tc>
          <w:tcPr>
            <w:tcW w:w="5" w:type="pct"/>
            <w:shd w:val="clear" w:color="auto" w:fill="auto"/>
            <w:vAlign w:val="bottom"/>
          </w:tcPr>
          <w:p w14:paraId="4B9A3A41" w14:textId="77777777" w:rsidR="002A3970" w:rsidRDefault="002A3970">
            <w:pPr>
              <w:rPr>
                <w:rFonts w:ascii="宋体"/>
              </w:rPr>
            </w:pPr>
          </w:p>
        </w:tc>
        <w:tc>
          <w:tcPr>
            <w:tcW w:w="26" w:type="pct"/>
            <w:shd w:val="clear" w:color="auto" w:fill="auto"/>
            <w:vAlign w:val="bottom"/>
          </w:tcPr>
          <w:p w14:paraId="4B9A3A42" w14:textId="77777777" w:rsidR="002A3970" w:rsidRDefault="002A3970">
            <w:pPr>
              <w:rPr>
                <w:rFonts w:ascii="宋体"/>
              </w:rPr>
            </w:pPr>
          </w:p>
        </w:tc>
        <w:tc>
          <w:tcPr>
            <w:tcW w:w="5" w:type="pct"/>
            <w:shd w:val="clear" w:color="auto" w:fill="auto"/>
            <w:vAlign w:val="bottom"/>
          </w:tcPr>
          <w:p w14:paraId="4B9A3A43" w14:textId="77777777" w:rsidR="002A3970" w:rsidRDefault="002A3970">
            <w:pPr>
              <w:rPr>
                <w:rFonts w:ascii="宋体"/>
              </w:rPr>
            </w:pPr>
          </w:p>
        </w:tc>
        <w:tc>
          <w:tcPr>
            <w:tcW w:w="50" w:type="pct"/>
            <w:shd w:val="clear" w:color="auto" w:fill="auto"/>
            <w:vAlign w:val="bottom"/>
          </w:tcPr>
          <w:p w14:paraId="4B9A3A44" w14:textId="77777777" w:rsidR="002A3970" w:rsidRDefault="002A3970">
            <w:pPr>
              <w:rPr>
                <w:rFonts w:ascii="宋体"/>
              </w:rPr>
            </w:pPr>
          </w:p>
        </w:tc>
        <w:tc>
          <w:tcPr>
            <w:tcW w:w="412" w:type="pct"/>
            <w:shd w:val="clear" w:color="auto" w:fill="auto"/>
            <w:vAlign w:val="bottom"/>
          </w:tcPr>
          <w:p w14:paraId="4B9A3A45" w14:textId="77777777" w:rsidR="002A3970" w:rsidRDefault="002A3970">
            <w:pPr>
              <w:rPr>
                <w:rFonts w:ascii="宋体"/>
              </w:rPr>
            </w:pPr>
          </w:p>
        </w:tc>
        <w:tc>
          <w:tcPr>
            <w:tcW w:w="5" w:type="pct"/>
            <w:shd w:val="clear" w:color="auto" w:fill="auto"/>
            <w:vAlign w:val="bottom"/>
          </w:tcPr>
          <w:p w14:paraId="4B9A3A46" w14:textId="77777777" w:rsidR="002A3970" w:rsidRDefault="002A3970">
            <w:pPr>
              <w:rPr>
                <w:rFonts w:ascii="宋体"/>
              </w:rPr>
            </w:pPr>
          </w:p>
        </w:tc>
        <w:tc>
          <w:tcPr>
            <w:tcW w:w="5" w:type="pct"/>
            <w:shd w:val="clear" w:color="auto" w:fill="auto"/>
            <w:vAlign w:val="bottom"/>
          </w:tcPr>
          <w:p w14:paraId="4B9A3A47" w14:textId="77777777" w:rsidR="002A3970" w:rsidRDefault="002A3970">
            <w:pPr>
              <w:rPr>
                <w:rFonts w:ascii="宋体"/>
              </w:rPr>
            </w:pPr>
          </w:p>
        </w:tc>
        <w:tc>
          <w:tcPr>
            <w:tcW w:w="26" w:type="pct"/>
            <w:shd w:val="clear" w:color="auto" w:fill="auto"/>
            <w:vAlign w:val="bottom"/>
          </w:tcPr>
          <w:p w14:paraId="4B9A3A48" w14:textId="77777777" w:rsidR="002A3970" w:rsidRDefault="002A3970">
            <w:pPr>
              <w:rPr>
                <w:rFonts w:ascii="宋体"/>
              </w:rPr>
            </w:pPr>
          </w:p>
        </w:tc>
        <w:tc>
          <w:tcPr>
            <w:tcW w:w="5" w:type="pct"/>
            <w:shd w:val="clear" w:color="auto" w:fill="auto"/>
            <w:vAlign w:val="bottom"/>
          </w:tcPr>
          <w:p w14:paraId="4B9A3A49" w14:textId="77777777" w:rsidR="002A3970" w:rsidRDefault="002A3970">
            <w:pPr>
              <w:rPr>
                <w:rFonts w:ascii="宋体"/>
              </w:rPr>
            </w:pPr>
          </w:p>
        </w:tc>
        <w:tc>
          <w:tcPr>
            <w:tcW w:w="50" w:type="pct"/>
            <w:shd w:val="clear" w:color="auto" w:fill="auto"/>
            <w:vAlign w:val="bottom"/>
          </w:tcPr>
          <w:p w14:paraId="4B9A3A4A" w14:textId="77777777" w:rsidR="002A3970" w:rsidRDefault="002A3970">
            <w:pPr>
              <w:rPr>
                <w:rFonts w:ascii="宋体"/>
              </w:rPr>
            </w:pPr>
          </w:p>
        </w:tc>
        <w:tc>
          <w:tcPr>
            <w:tcW w:w="434" w:type="pct"/>
            <w:shd w:val="clear" w:color="auto" w:fill="auto"/>
            <w:vAlign w:val="bottom"/>
          </w:tcPr>
          <w:p w14:paraId="4B9A3A4B" w14:textId="77777777" w:rsidR="002A3970" w:rsidRDefault="002A3970">
            <w:pPr>
              <w:rPr>
                <w:rFonts w:ascii="宋体"/>
              </w:rPr>
            </w:pPr>
          </w:p>
        </w:tc>
        <w:tc>
          <w:tcPr>
            <w:tcW w:w="5" w:type="pct"/>
            <w:shd w:val="clear" w:color="auto" w:fill="auto"/>
            <w:vAlign w:val="bottom"/>
          </w:tcPr>
          <w:p w14:paraId="4B9A3A4C" w14:textId="77777777" w:rsidR="002A3970" w:rsidRDefault="002A3970">
            <w:pPr>
              <w:rPr>
                <w:rFonts w:ascii="宋体"/>
              </w:rPr>
            </w:pPr>
          </w:p>
        </w:tc>
        <w:tc>
          <w:tcPr>
            <w:tcW w:w="5" w:type="pct"/>
            <w:shd w:val="clear" w:color="auto" w:fill="auto"/>
            <w:vAlign w:val="bottom"/>
          </w:tcPr>
          <w:p w14:paraId="4B9A3A4D" w14:textId="77777777" w:rsidR="002A3970" w:rsidRDefault="002A3970">
            <w:pPr>
              <w:rPr>
                <w:rFonts w:ascii="宋体"/>
              </w:rPr>
            </w:pPr>
          </w:p>
        </w:tc>
        <w:tc>
          <w:tcPr>
            <w:tcW w:w="26" w:type="pct"/>
            <w:shd w:val="clear" w:color="auto" w:fill="auto"/>
            <w:vAlign w:val="bottom"/>
          </w:tcPr>
          <w:p w14:paraId="4B9A3A4E" w14:textId="77777777" w:rsidR="002A3970" w:rsidRDefault="002A3970">
            <w:pPr>
              <w:rPr>
                <w:rFonts w:ascii="宋体"/>
              </w:rPr>
            </w:pPr>
          </w:p>
        </w:tc>
        <w:tc>
          <w:tcPr>
            <w:tcW w:w="5" w:type="pct"/>
            <w:shd w:val="clear" w:color="auto" w:fill="auto"/>
            <w:vAlign w:val="bottom"/>
          </w:tcPr>
          <w:p w14:paraId="4B9A3A4F" w14:textId="77777777" w:rsidR="002A3970" w:rsidRDefault="002A3970">
            <w:pPr>
              <w:rPr>
                <w:rFonts w:ascii="宋体"/>
              </w:rPr>
            </w:pPr>
          </w:p>
        </w:tc>
        <w:tc>
          <w:tcPr>
            <w:tcW w:w="50" w:type="pct"/>
            <w:shd w:val="clear" w:color="auto" w:fill="auto"/>
            <w:vAlign w:val="bottom"/>
          </w:tcPr>
          <w:p w14:paraId="4B9A3A50" w14:textId="77777777" w:rsidR="002A3970" w:rsidRDefault="002A3970">
            <w:pPr>
              <w:rPr>
                <w:rFonts w:ascii="宋体"/>
              </w:rPr>
            </w:pPr>
          </w:p>
        </w:tc>
        <w:tc>
          <w:tcPr>
            <w:tcW w:w="383" w:type="pct"/>
            <w:shd w:val="clear" w:color="auto" w:fill="auto"/>
            <w:vAlign w:val="bottom"/>
          </w:tcPr>
          <w:p w14:paraId="4B9A3A51" w14:textId="77777777" w:rsidR="002A3970" w:rsidRDefault="002A3970">
            <w:pPr>
              <w:rPr>
                <w:rFonts w:ascii="宋体"/>
              </w:rPr>
            </w:pPr>
          </w:p>
        </w:tc>
        <w:tc>
          <w:tcPr>
            <w:tcW w:w="5" w:type="pct"/>
            <w:shd w:val="clear" w:color="auto" w:fill="auto"/>
            <w:vAlign w:val="bottom"/>
          </w:tcPr>
          <w:p w14:paraId="4B9A3A52" w14:textId="77777777" w:rsidR="002A3970" w:rsidRDefault="002A3970">
            <w:pPr>
              <w:rPr>
                <w:rFonts w:ascii="宋体"/>
              </w:rPr>
            </w:pPr>
          </w:p>
        </w:tc>
      </w:tr>
      <w:tr w:rsidR="002A3970" w14:paraId="4B9A3A5F" w14:textId="77777777">
        <w:tc>
          <w:tcPr>
            <w:tcW w:w="0" w:type="auto"/>
            <w:gridSpan w:val="3"/>
            <w:shd w:val="clear" w:color="auto" w:fill="auto"/>
            <w:tcMar>
              <w:top w:w="40" w:type="dxa"/>
              <w:left w:w="20" w:type="dxa"/>
              <w:bottom w:w="40" w:type="dxa"/>
              <w:right w:w="20" w:type="dxa"/>
            </w:tcMar>
            <w:vAlign w:val="bottom"/>
          </w:tcPr>
          <w:p w14:paraId="4B9A3A54" w14:textId="77777777" w:rsidR="002A3970" w:rsidRDefault="00C35E63">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4B9A3A5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A56" w14:textId="77777777" w:rsidR="002A3970" w:rsidRDefault="00C35E63">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4B9A3A5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A58" w14:textId="77777777" w:rsidR="002A3970" w:rsidRDefault="00C35E63">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4B9A3A5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A5A" w14:textId="77777777" w:rsidR="002A3970" w:rsidRDefault="00C35E63">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4B9A3A5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A5C" w14:textId="77777777" w:rsidR="002A3970" w:rsidRDefault="00C35E63">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4B9A3A5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A5E" w14:textId="77777777" w:rsidR="002A3970" w:rsidRDefault="00C35E63">
            <w:pPr>
              <w:jc w:val="center"/>
              <w:textAlignment w:val="bottom"/>
            </w:pPr>
            <w:r>
              <w:rPr>
                <w:rFonts w:ascii="Times New Roman" w:eastAsia="宋体" w:hAnsi="Times New Roman"/>
                <w:b/>
                <w:bCs/>
                <w:color w:val="000000"/>
                <w:sz w:val="16"/>
                <w:szCs w:val="16"/>
              </w:rPr>
              <w:t>Total</w:t>
            </w:r>
          </w:p>
        </w:tc>
      </w:tr>
      <w:tr w:rsidR="002A3970" w14:paraId="4B9A3A75" w14:textId="77777777">
        <w:tc>
          <w:tcPr>
            <w:tcW w:w="0" w:type="auto"/>
            <w:gridSpan w:val="3"/>
            <w:shd w:val="clear" w:color="auto" w:fill="CCEEFF"/>
            <w:tcMar>
              <w:top w:w="40" w:type="dxa"/>
              <w:left w:w="20" w:type="dxa"/>
              <w:bottom w:w="40" w:type="dxa"/>
              <w:right w:w="20" w:type="dxa"/>
            </w:tcMar>
            <w:vAlign w:val="center"/>
          </w:tcPr>
          <w:p w14:paraId="4B9A3A60" w14:textId="77777777" w:rsidR="002A3970" w:rsidRDefault="00C35E63">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4B9A3A6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6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63" w14:textId="77777777" w:rsidR="002A3970" w:rsidRDefault="00C35E63">
            <w:pPr>
              <w:jc w:val="right"/>
              <w:textAlignment w:val="center"/>
            </w:pPr>
            <w:r>
              <w:rPr>
                <w:rFonts w:ascii="Times New Roman" w:eastAsia="宋体" w:hAnsi="Times New Roman"/>
                <w:color w:val="000000"/>
                <w:sz w:val="16"/>
                <w:szCs w:val="16"/>
              </w:rPr>
              <w:t>(8,100)</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6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6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6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67"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6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6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6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6B" w14:textId="77777777" w:rsidR="002A3970" w:rsidRDefault="00C35E63">
            <w:pPr>
              <w:jc w:val="right"/>
              <w:textAlignment w:val="center"/>
            </w:pPr>
            <w:r>
              <w:rPr>
                <w:rFonts w:ascii="Times New Roman" w:eastAsia="宋体" w:hAnsi="Times New Roman"/>
                <w:color w:val="000000"/>
                <w:sz w:val="16"/>
                <w:szCs w:val="16"/>
              </w:rPr>
              <w:t>(748)</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6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6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6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6F" w14:textId="77777777" w:rsidR="002A3970" w:rsidRDefault="00C35E63">
            <w:pPr>
              <w:jc w:val="right"/>
              <w:textAlignment w:val="center"/>
            </w:pPr>
            <w:r>
              <w:rPr>
                <w:rFonts w:ascii="Times New Roman" w:eastAsia="宋体" w:hAnsi="Times New Roman"/>
                <w:color w:val="000000"/>
                <w:sz w:val="16"/>
                <w:szCs w:val="16"/>
              </w:rPr>
              <w:t>(12)</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7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7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7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73" w14:textId="77777777" w:rsidR="002A3970" w:rsidRDefault="00C35E63">
            <w:pPr>
              <w:jc w:val="right"/>
              <w:textAlignment w:val="center"/>
            </w:pPr>
            <w:r>
              <w:rPr>
                <w:rFonts w:ascii="Times New Roman" w:eastAsia="宋体" w:hAnsi="Times New Roman"/>
                <w:color w:val="000000"/>
                <w:sz w:val="16"/>
                <w:szCs w:val="16"/>
              </w:rPr>
              <w:t>(8,766)</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74" w14:textId="77777777" w:rsidR="002A3970" w:rsidRDefault="002A3970">
            <w:pPr>
              <w:jc w:val="right"/>
              <w:rPr>
                <w:rFonts w:ascii="宋体"/>
              </w:rPr>
            </w:pPr>
          </w:p>
        </w:tc>
      </w:tr>
      <w:tr w:rsidR="002A3970" w14:paraId="4B9A3A81" w14:textId="77777777">
        <w:trPr>
          <w:hidden/>
        </w:trPr>
        <w:tc>
          <w:tcPr>
            <w:tcW w:w="0" w:type="auto"/>
            <w:gridSpan w:val="3"/>
            <w:shd w:val="clear" w:color="auto" w:fill="auto"/>
            <w:vAlign w:val="bottom"/>
          </w:tcPr>
          <w:p w14:paraId="4B9A3A76" w14:textId="77777777" w:rsidR="002A3970" w:rsidRDefault="002A3970">
            <w:pPr>
              <w:rPr>
                <w:rFonts w:ascii="宋体"/>
                <w:vanish/>
              </w:rPr>
            </w:pPr>
          </w:p>
        </w:tc>
        <w:tc>
          <w:tcPr>
            <w:tcW w:w="0" w:type="auto"/>
            <w:gridSpan w:val="3"/>
            <w:shd w:val="clear" w:color="auto" w:fill="auto"/>
            <w:vAlign w:val="bottom"/>
          </w:tcPr>
          <w:p w14:paraId="4B9A3A77" w14:textId="77777777" w:rsidR="002A3970" w:rsidRDefault="002A3970">
            <w:pPr>
              <w:rPr>
                <w:rFonts w:ascii="宋体"/>
                <w:vanish/>
              </w:rPr>
            </w:pPr>
          </w:p>
        </w:tc>
        <w:tc>
          <w:tcPr>
            <w:tcW w:w="0" w:type="auto"/>
            <w:gridSpan w:val="3"/>
            <w:shd w:val="clear" w:color="auto" w:fill="auto"/>
            <w:vAlign w:val="bottom"/>
          </w:tcPr>
          <w:p w14:paraId="4B9A3A78" w14:textId="77777777" w:rsidR="002A3970" w:rsidRDefault="002A3970">
            <w:pPr>
              <w:rPr>
                <w:rFonts w:ascii="宋体"/>
                <w:vanish/>
              </w:rPr>
            </w:pPr>
          </w:p>
        </w:tc>
        <w:tc>
          <w:tcPr>
            <w:tcW w:w="0" w:type="auto"/>
            <w:gridSpan w:val="3"/>
            <w:shd w:val="clear" w:color="auto" w:fill="auto"/>
            <w:vAlign w:val="bottom"/>
          </w:tcPr>
          <w:p w14:paraId="4B9A3A79" w14:textId="77777777" w:rsidR="002A3970" w:rsidRDefault="002A3970">
            <w:pPr>
              <w:rPr>
                <w:rFonts w:ascii="宋体"/>
                <w:vanish/>
              </w:rPr>
            </w:pPr>
          </w:p>
        </w:tc>
        <w:tc>
          <w:tcPr>
            <w:tcW w:w="0" w:type="auto"/>
            <w:gridSpan w:val="3"/>
            <w:shd w:val="clear" w:color="auto" w:fill="auto"/>
            <w:vAlign w:val="bottom"/>
          </w:tcPr>
          <w:p w14:paraId="4B9A3A7A" w14:textId="77777777" w:rsidR="002A3970" w:rsidRDefault="002A3970">
            <w:pPr>
              <w:rPr>
                <w:rFonts w:ascii="宋体"/>
                <w:vanish/>
              </w:rPr>
            </w:pPr>
          </w:p>
        </w:tc>
        <w:tc>
          <w:tcPr>
            <w:tcW w:w="0" w:type="auto"/>
            <w:gridSpan w:val="3"/>
            <w:shd w:val="clear" w:color="auto" w:fill="auto"/>
            <w:vAlign w:val="bottom"/>
          </w:tcPr>
          <w:p w14:paraId="4B9A3A7B" w14:textId="77777777" w:rsidR="002A3970" w:rsidRDefault="002A3970">
            <w:pPr>
              <w:rPr>
                <w:rFonts w:ascii="宋体"/>
                <w:vanish/>
              </w:rPr>
            </w:pPr>
          </w:p>
        </w:tc>
        <w:tc>
          <w:tcPr>
            <w:tcW w:w="0" w:type="auto"/>
            <w:gridSpan w:val="3"/>
            <w:shd w:val="clear" w:color="auto" w:fill="auto"/>
            <w:vAlign w:val="bottom"/>
          </w:tcPr>
          <w:p w14:paraId="4B9A3A7C" w14:textId="77777777" w:rsidR="002A3970" w:rsidRDefault="002A3970">
            <w:pPr>
              <w:rPr>
                <w:rFonts w:ascii="宋体"/>
                <w:vanish/>
              </w:rPr>
            </w:pPr>
          </w:p>
        </w:tc>
        <w:tc>
          <w:tcPr>
            <w:tcW w:w="0" w:type="auto"/>
            <w:gridSpan w:val="3"/>
            <w:shd w:val="clear" w:color="auto" w:fill="auto"/>
            <w:vAlign w:val="bottom"/>
          </w:tcPr>
          <w:p w14:paraId="4B9A3A7D" w14:textId="77777777" w:rsidR="002A3970" w:rsidRDefault="002A3970">
            <w:pPr>
              <w:rPr>
                <w:rFonts w:ascii="宋体"/>
                <w:vanish/>
              </w:rPr>
            </w:pPr>
          </w:p>
        </w:tc>
        <w:tc>
          <w:tcPr>
            <w:tcW w:w="0" w:type="auto"/>
            <w:gridSpan w:val="3"/>
            <w:shd w:val="clear" w:color="auto" w:fill="auto"/>
            <w:vAlign w:val="bottom"/>
          </w:tcPr>
          <w:p w14:paraId="4B9A3A7E" w14:textId="77777777" w:rsidR="002A3970" w:rsidRDefault="002A3970">
            <w:pPr>
              <w:rPr>
                <w:rFonts w:ascii="宋体"/>
                <w:vanish/>
              </w:rPr>
            </w:pPr>
          </w:p>
        </w:tc>
        <w:tc>
          <w:tcPr>
            <w:tcW w:w="0" w:type="auto"/>
            <w:gridSpan w:val="3"/>
            <w:shd w:val="clear" w:color="auto" w:fill="auto"/>
            <w:vAlign w:val="bottom"/>
          </w:tcPr>
          <w:p w14:paraId="4B9A3A7F" w14:textId="77777777" w:rsidR="002A3970" w:rsidRDefault="002A3970">
            <w:pPr>
              <w:rPr>
                <w:rFonts w:ascii="宋体"/>
                <w:vanish/>
              </w:rPr>
            </w:pPr>
          </w:p>
        </w:tc>
        <w:tc>
          <w:tcPr>
            <w:tcW w:w="0" w:type="auto"/>
            <w:gridSpan w:val="3"/>
            <w:shd w:val="clear" w:color="auto" w:fill="auto"/>
            <w:vAlign w:val="bottom"/>
          </w:tcPr>
          <w:p w14:paraId="4B9A3A80" w14:textId="77777777" w:rsidR="002A3970" w:rsidRDefault="002A3970">
            <w:pPr>
              <w:rPr>
                <w:rFonts w:ascii="宋体"/>
                <w:vanish/>
              </w:rPr>
            </w:pPr>
          </w:p>
        </w:tc>
      </w:tr>
      <w:tr w:rsidR="002A3970" w14:paraId="4B9A3A92" w14:textId="77777777">
        <w:tc>
          <w:tcPr>
            <w:tcW w:w="0" w:type="auto"/>
            <w:gridSpan w:val="3"/>
            <w:shd w:val="clear" w:color="auto" w:fill="FFFFFF"/>
            <w:tcMar>
              <w:top w:w="40" w:type="dxa"/>
              <w:left w:w="20" w:type="dxa"/>
              <w:bottom w:w="40" w:type="dxa"/>
              <w:right w:w="20" w:type="dxa"/>
            </w:tcMar>
            <w:vAlign w:val="center"/>
          </w:tcPr>
          <w:p w14:paraId="4B9A3A82" w14:textId="77777777" w:rsidR="002A3970" w:rsidRDefault="00C35E63">
            <w:pPr>
              <w:textAlignment w:val="center"/>
            </w:pPr>
            <w:r>
              <w:rPr>
                <w:rFonts w:ascii="Times New Roman" w:eastAsia="宋体" w:hAnsi="Times New Roman"/>
                <w:color w:val="000000"/>
                <w:sz w:val="16"/>
                <w:szCs w:val="16"/>
              </w:rPr>
              <w:t>Other comprehensive income before reclassifications, net</w:t>
            </w:r>
          </w:p>
        </w:tc>
        <w:tc>
          <w:tcPr>
            <w:tcW w:w="0" w:type="auto"/>
            <w:gridSpan w:val="3"/>
            <w:shd w:val="clear" w:color="auto" w:fill="FFFFFF"/>
            <w:tcMar>
              <w:top w:w="0" w:type="dxa"/>
              <w:left w:w="20" w:type="dxa"/>
              <w:bottom w:w="0" w:type="dxa"/>
              <w:right w:w="20" w:type="dxa"/>
            </w:tcMar>
            <w:vAlign w:val="bottom"/>
          </w:tcPr>
          <w:p w14:paraId="4B9A3A8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84" w14:textId="77777777" w:rsidR="002A3970" w:rsidRDefault="00C35E63">
            <w:pPr>
              <w:jc w:val="right"/>
              <w:textAlignment w:val="center"/>
            </w:pPr>
            <w:r>
              <w:rPr>
                <w:rFonts w:ascii="Times New Roman" w:eastAsia="宋体" w:hAnsi="Times New Roman"/>
                <w:color w:val="000000"/>
                <w:sz w:val="16"/>
                <w:szCs w:val="16"/>
              </w:rPr>
              <w:t>225 </w:t>
            </w:r>
          </w:p>
        </w:tc>
        <w:tc>
          <w:tcPr>
            <w:tcW w:w="0" w:type="auto"/>
            <w:shd w:val="clear" w:color="auto" w:fill="FFFFFF"/>
            <w:tcMar>
              <w:top w:w="40" w:type="dxa"/>
              <w:left w:w="0" w:type="dxa"/>
              <w:bottom w:w="40" w:type="dxa"/>
              <w:right w:w="20" w:type="dxa"/>
            </w:tcMar>
            <w:vAlign w:val="center"/>
          </w:tcPr>
          <w:p w14:paraId="4B9A3A8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8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8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A8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8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8A" w14:textId="77777777" w:rsidR="002A3970" w:rsidRDefault="00C35E63">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4B9A3A8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8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8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A8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8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90" w14:textId="77777777" w:rsidR="002A3970" w:rsidRDefault="00C35E63">
            <w:pPr>
              <w:jc w:val="right"/>
              <w:textAlignment w:val="center"/>
            </w:pPr>
            <w:r>
              <w:rPr>
                <w:rFonts w:ascii="Times New Roman" w:eastAsia="宋体" w:hAnsi="Times New Roman"/>
                <w:color w:val="000000"/>
                <w:sz w:val="16"/>
                <w:szCs w:val="16"/>
              </w:rPr>
              <w:t>251 </w:t>
            </w:r>
          </w:p>
        </w:tc>
        <w:tc>
          <w:tcPr>
            <w:tcW w:w="0" w:type="auto"/>
            <w:shd w:val="clear" w:color="auto" w:fill="FFFFFF"/>
            <w:tcMar>
              <w:top w:w="40" w:type="dxa"/>
              <w:left w:w="0" w:type="dxa"/>
              <w:bottom w:w="40" w:type="dxa"/>
              <w:right w:w="20" w:type="dxa"/>
            </w:tcMar>
            <w:vAlign w:val="center"/>
          </w:tcPr>
          <w:p w14:paraId="4B9A3A91" w14:textId="77777777" w:rsidR="002A3970" w:rsidRDefault="002A3970">
            <w:pPr>
              <w:jc w:val="right"/>
              <w:rPr>
                <w:rFonts w:ascii="宋体"/>
              </w:rPr>
            </w:pPr>
          </w:p>
        </w:tc>
      </w:tr>
      <w:tr w:rsidR="002A3970" w14:paraId="4B9A3A9E" w14:textId="77777777">
        <w:trPr>
          <w:hidden/>
        </w:trPr>
        <w:tc>
          <w:tcPr>
            <w:tcW w:w="0" w:type="auto"/>
            <w:gridSpan w:val="3"/>
            <w:shd w:val="clear" w:color="auto" w:fill="auto"/>
            <w:vAlign w:val="bottom"/>
          </w:tcPr>
          <w:p w14:paraId="4B9A3A93" w14:textId="77777777" w:rsidR="002A3970" w:rsidRDefault="002A3970">
            <w:pPr>
              <w:rPr>
                <w:rFonts w:ascii="宋体"/>
                <w:vanish/>
              </w:rPr>
            </w:pPr>
          </w:p>
        </w:tc>
        <w:tc>
          <w:tcPr>
            <w:tcW w:w="0" w:type="auto"/>
            <w:gridSpan w:val="3"/>
            <w:shd w:val="clear" w:color="auto" w:fill="auto"/>
            <w:vAlign w:val="bottom"/>
          </w:tcPr>
          <w:p w14:paraId="4B9A3A94" w14:textId="77777777" w:rsidR="002A3970" w:rsidRDefault="002A3970">
            <w:pPr>
              <w:rPr>
                <w:rFonts w:ascii="宋体"/>
                <w:vanish/>
              </w:rPr>
            </w:pPr>
          </w:p>
        </w:tc>
        <w:tc>
          <w:tcPr>
            <w:tcW w:w="0" w:type="auto"/>
            <w:gridSpan w:val="3"/>
            <w:shd w:val="clear" w:color="auto" w:fill="auto"/>
            <w:vAlign w:val="bottom"/>
          </w:tcPr>
          <w:p w14:paraId="4B9A3A95" w14:textId="77777777" w:rsidR="002A3970" w:rsidRDefault="002A3970">
            <w:pPr>
              <w:rPr>
                <w:rFonts w:ascii="宋体"/>
                <w:vanish/>
              </w:rPr>
            </w:pPr>
          </w:p>
        </w:tc>
        <w:tc>
          <w:tcPr>
            <w:tcW w:w="0" w:type="auto"/>
            <w:gridSpan w:val="3"/>
            <w:shd w:val="clear" w:color="auto" w:fill="auto"/>
            <w:vAlign w:val="bottom"/>
          </w:tcPr>
          <w:p w14:paraId="4B9A3A96" w14:textId="77777777" w:rsidR="002A3970" w:rsidRDefault="002A3970">
            <w:pPr>
              <w:rPr>
                <w:rFonts w:ascii="宋体"/>
                <w:vanish/>
              </w:rPr>
            </w:pPr>
          </w:p>
        </w:tc>
        <w:tc>
          <w:tcPr>
            <w:tcW w:w="0" w:type="auto"/>
            <w:gridSpan w:val="3"/>
            <w:shd w:val="clear" w:color="auto" w:fill="auto"/>
            <w:vAlign w:val="bottom"/>
          </w:tcPr>
          <w:p w14:paraId="4B9A3A97" w14:textId="77777777" w:rsidR="002A3970" w:rsidRDefault="002A3970">
            <w:pPr>
              <w:rPr>
                <w:rFonts w:ascii="宋体"/>
                <w:vanish/>
              </w:rPr>
            </w:pPr>
          </w:p>
        </w:tc>
        <w:tc>
          <w:tcPr>
            <w:tcW w:w="0" w:type="auto"/>
            <w:gridSpan w:val="3"/>
            <w:shd w:val="clear" w:color="auto" w:fill="auto"/>
            <w:vAlign w:val="bottom"/>
          </w:tcPr>
          <w:p w14:paraId="4B9A3A98" w14:textId="77777777" w:rsidR="002A3970" w:rsidRDefault="002A3970">
            <w:pPr>
              <w:rPr>
                <w:rFonts w:ascii="宋体"/>
                <w:vanish/>
              </w:rPr>
            </w:pPr>
          </w:p>
        </w:tc>
        <w:tc>
          <w:tcPr>
            <w:tcW w:w="0" w:type="auto"/>
            <w:gridSpan w:val="3"/>
            <w:shd w:val="clear" w:color="auto" w:fill="auto"/>
            <w:vAlign w:val="bottom"/>
          </w:tcPr>
          <w:p w14:paraId="4B9A3A99" w14:textId="77777777" w:rsidR="002A3970" w:rsidRDefault="002A3970">
            <w:pPr>
              <w:rPr>
                <w:rFonts w:ascii="宋体"/>
                <w:vanish/>
              </w:rPr>
            </w:pPr>
          </w:p>
        </w:tc>
        <w:tc>
          <w:tcPr>
            <w:tcW w:w="0" w:type="auto"/>
            <w:gridSpan w:val="3"/>
            <w:shd w:val="clear" w:color="auto" w:fill="auto"/>
            <w:vAlign w:val="bottom"/>
          </w:tcPr>
          <w:p w14:paraId="4B9A3A9A" w14:textId="77777777" w:rsidR="002A3970" w:rsidRDefault="002A3970">
            <w:pPr>
              <w:rPr>
                <w:rFonts w:ascii="宋体"/>
                <w:vanish/>
              </w:rPr>
            </w:pPr>
          </w:p>
        </w:tc>
        <w:tc>
          <w:tcPr>
            <w:tcW w:w="0" w:type="auto"/>
            <w:gridSpan w:val="3"/>
            <w:shd w:val="clear" w:color="auto" w:fill="auto"/>
            <w:vAlign w:val="bottom"/>
          </w:tcPr>
          <w:p w14:paraId="4B9A3A9B" w14:textId="77777777" w:rsidR="002A3970" w:rsidRDefault="002A3970">
            <w:pPr>
              <w:rPr>
                <w:rFonts w:ascii="宋体"/>
                <w:vanish/>
              </w:rPr>
            </w:pPr>
          </w:p>
        </w:tc>
        <w:tc>
          <w:tcPr>
            <w:tcW w:w="0" w:type="auto"/>
            <w:gridSpan w:val="3"/>
            <w:shd w:val="clear" w:color="auto" w:fill="auto"/>
            <w:vAlign w:val="bottom"/>
          </w:tcPr>
          <w:p w14:paraId="4B9A3A9C" w14:textId="77777777" w:rsidR="002A3970" w:rsidRDefault="002A3970">
            <w:pPr>
              <w:rPr>
                <w:rFonts w:ascii="宋体"/>
                <w:vanish/>
              </w:rPr>
            </w:pPr>
          </w:p>
        </w:tc>
        <w:tc>
          <w:tcPr>
            <w:tcW w:w="0" w:type="auto"/>
            <w:gridSpan w:val="3"/>
            <w:shd w:val="clear" w:color="auto" w:fill="auto"/>
            <w:vAlign w:val="bottom"/>
          </w:tcPr>
          <w:p w14:paraId="4B9A3A9D" w14:textId="77777777" w:rsidR="002A3970" w:rsidRDefault="002A3970">
            <w:pPr>
              <w:rPr>
                <w:rFonts w:ascii="宋体"/>
                <w:vanish/>
              </w:rPr>
            </w:pPr>
          </w:p>
        </w:tc>
      </w:tr>
      <w:tr w:rsidR="002A3970" w14:paraId="4B9A3AAF" w14:textId="77777777">
        <w:tc>
          <w:tcPr>
            <w:tcW w:w="0" w:type="auto"/>
            <w:gridSpan w:val="3"/>
            <w:shd w:val="clear" w:color="auto" w:fill="CCEEFF"/>
            <w:tcMar>
              <w:top w:w="40" w:type="dxa"/>
              <w:left w:w="20" w:type="dxa"/>
              <w:bottom w:w="40" w:type="dxa"/>
              <w:right w:w="20" w:type="dxa"/>
            </w:tcMar>
            <w:vAlign w:val="center"/>
          </w:tcPr>
          <w:p w14:paraId="4B9A3A9F" w14:textId="77777777" w:rsidR="002A3970" w:rsidRDefault="00C35E63">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4B9A3AA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A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AA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A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A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AA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A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A7" w14:textId="77777777" w:rsidR="002A3970" w:rsidRDefault="00C35E63">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B9A3AA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A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AA" w14:textId="77777777" w:rsidR="002A3970" w:rsidRDefault="00C35E63">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B9A3AA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A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AD" w14:textId="77777777" w:rsidR="002A3970" w:rsidRDefault="00C35E63">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4B9A3AAE" w14:textId="77777777" w:rsidR="002A3970" w:rsidRDefault="002A3970">
            <w:pPr>
              <w:jc w:val="right"/>
              <w:rPr>
                <w:rFonts w:ascii="宋体"/>
              </w:rPr>
            </w:pPr>
          </w:p>
        </w:tc>
      </w:tr>
      <w:tr w:rsidR="002A3970" w14:paraId="4B9A3AC5" w14:textId="77777777">
        <w:tc>
          <w:tcPr>
            <w:tcW w:w="0" w:type="auto"/>
            <w:gridSpan w:val="3"/>
            <w:shd w:val="clear" w:color="auto" w:fill="FFFFFF"/>
            <w:tcMar>
              <w:top w:w="40" w:type="dxa"/>
              <w:left w:w="20" w:type="dxa"/>
              <w:bottom w:w="40" w:type="dxa"/>
              <w:right w:w="20" w:type="dxa"/>
            </w:tcMar>
            <w:vAlign w:val="center"/>
          </w:tcPr>
          <w:p w14:paraId="4B9A3AB0" w14:textId="77777777" w:rsidR="002A3970" w:rsidRDefault="00C35E63">
            <w:pPr>
              <w:textAlignment w:val="center"/>
            </w:pPr>
            <w:r>
              <w:rPr>
                <w:rFonts w:ascii="Times New Roman" w:eastAsia="宋体" w:hAnsi="Times New Roman"/>
                <w:b/>
                <w:bCs/>
                <w:color w:val="000000"/>
                <w:sz w:val="16"/>
                <w:szCs w:val="16"/>
              </w:rPr>
              <w:t>Balances as of April 30, 2022</w:t>
            </w:r>
          </w:p>
        </w:tc>
        <w:tc>
          <w:tcPr>
            <w:tcW w:w="0" w:type="auto"/>
            <w:gridSpan w:val="3"/>
            <w:shd w:val="clear" w:color="auto" w:fill="FFFFFF"/>
            <w:tcMar>
              <w:top w:w="0" w:type="dxa"/>
              <w:left w:w="20" w:type="dxa"/>
              <w:bottom w:w="0" w:type="dxa"/>
              <w:right w:w="20" w:type="dxa"/>
            </w:tcMar>
            <w:vAlign w:val="bottom"/>
          </w:tcPr>
          <w:p w14:paraId="4B9A3AB1"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AB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AB3" w14:textId="77777777" w:rsidR="002A3970" w:rsidRDefault="00C35E63">
            <w:pPr>
              <w:jc w:val="right"/>
              <w:textAlignment w:val="center"/>
            </w:pPr>
            <w:r>
              <w:rPr>
                <w:rFonts w:ascii="Times New Roman" w:eastAsia="宋体" w:hAnsi="Times New Roman"/>
                <w:color w:val="000000"/>
                <w:sz w:val="16"/>
                <w:szCs w:val="16"/>
              </w:rPr>
              <w:t>(7,875)</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AB4"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AB5"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AB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AB7"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AB8"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AB9"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AB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ABB" w14:textId="77777777" w:rsidR="002A3970" w:rsidRDefault="00C35E63">
            <w:pPr>
              <w:jc w:val="right"/>
              <w:textAlignment w:val="center"/>
            </w:pPr>
            <w:r>
              <w:rPr>
                <w:rFonts w:ascii="Times New Roman" w:eastAsia="宋体" w:hAnsi="Times New Roman"/>
                <w:color w:val="000000"/>
                <w:sz w:val="16"/>
                <w:szCs w:val="16"/>
              </w:rPr>
              <w:t>(706)</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ABC"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ABD"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AB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ABF" w14:textId="77777777" w:rsidR="002A3970" w:rsidRDefault="00C35E63">
            <w:pPr>
              <w:jc w:val="right"/>
              <w:textAlignment w:val="center"/>
            </w:pPr>
            <w:r>
              <w:rPr>
                <w:rFonts w:ascii="Times New Roman" w:eastAsia="宋体" w:hAnsi="Times New Roman"/>
                <w:color w:val="000000"/>
                <w:sz w:val="16"/>
                <w:szCs w:val="16"/>
              </w:rPr>
              <w:t>(11)</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AC0"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AC1"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AC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AC3" w14:textId="77777777" w:rsidR="002A3970" w:rsidRDefault="00C35E63">
            <w:pPr>
              <w:jc w:val="right"/>
              <w:textAlignment w:val="center"/>
            </w:pPr>
            <w:r>
              <w:rPr>
                <w:rFonts w:ascii="Times New Roman" w:eastAsia="宋体" w:hAnsi="Times New Roman"/>
                <w:color w:val="000000"/>
                <w:sz w:val="16"/>
                <w:szCs w:val="16"/>
              </w:rPr>
              <w:t>(8,498)</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AC4" w14:textId="77777777" w:rsidR="002A3970" w:rsidRDefault="002A3970">
            <w:pPr>
              <w:jc w:val="right"/>
              <w:rPr>
                <w:rFonts w:ascii="宋体"/>
              </w:rPr>
            </w:pPr>
          </w:p>
        </w:tc>
      </w:tr>
      <w:tr w:rsidR="002A3970" w14:paraId="4B9A3AD6" w14:textId="77777777">
        <w:tc>
          <w:tcPr>
            <w:tcW w:w="0" w:type="auto"/>
            <w:gridSpan w:val="3"/>
            <w:shd w:val="clear" w:color="auto" w:fill="CCEEFF"/>
            <w:tcMar>
              <w:top w:w="40" w:type="dxa"/>
              <w:left w:w="20" w:type="dxa"/>
              <w:bottom w:w="40" w:type="dxa"/>
              <w:right w:w="20" w:type="dxa"/>
            </w:tcMar>
            <w:vAlign w:val="center"/>
          </w:tcPr>
          <w:p w14:paraId="4B9A3AC6" w14:textId="77777777" w:rsidR="002A3970" w:rsidRDefault="00C35E63">
            <w:pPr>
              <w:textAlignment w:val="center"/>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CCEEFF"/>
            <w:tcMar>
              <w:top w:w="0" w:type="dxa"/>
              <w:left w:w="20" w:type="dxa"/>
              <w:bottom w:w="0" w:type="dxa"/>
              <w:right w:w="20" w:type="dxa"/>
            </w:tcMar>
            <w:vAlign w:val="bottom"/>
          </w:tcPr>
          <w:p w14:paraId="4B9A3AC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C8" w14:textId="77777777" w:rsidR="002A3970" w:rsidRDefault="00C35E63">
            <w:pPr>
              <w:jc w:val="right"/>
              <w:textAlignment w:val="center"/>
            </w:pPr>
            <w:r>
              <w:rPr>
                <w:rFonts w:ascii="Times New Roman" w:eastAsia="宋体" w:hAnsi="Times New Roman"/>
                <w:color w:val="000000"/>
                <w:sz w:val="16"/>
                <w:szCs w:val="16"/>
              </w:rPr>
              <w:t>(796)</w:t>
            </w:r>
          </w:p>
        </w:tc>
        <w:tc>
          <w:tcPr>
            <w:tcW w:w="0" w:type="auto"/>
            <w:shd w:val="clear" w:color="auto" w:fill="CCEEFF"/>
            <w:tcMar>
              <w:top w:w="40" w:type="dxa"/>
              <w:left w:w="0" w:type="dxa"/>
              <w:bottom w:w="40" w:type="dxa"/>
              <w:right w:w="20" w:type="dxa"/>
            </w:tcMar>
            <w:vAlign w:val="center"/>
          </w:tcPr>
          <w:p w14:paraId="4B9A3AC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C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CB"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AC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C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CE" w14:textId="77777777" w:rsidR="002A3970" w:rsidRDefault="00C35E63">
            <w:pPr>
              <w:jc w:val="right"/>
              <w:textAlignment w:val="center"/>
            </w:pPr>
            <w:r>
              <w:rPr>
                <w:rFonts w:ascii="Times New Roman" w:eastAsia="宋体" w:hAnsi="Times New Roman"/>
                <w:color w:val="000000"/>
                <w:sz w:val="16"/>
                <w:szCs w:val="16"/>
              </w:rPr>
              <w:t>(622)</w:t>
            </w:r>
          </w:p>
        </w:tc>
        <w:tc>
          <w:tcPr>
            <w:tcW w:w="0" w:type="auto"/>
            <w:shd w:val="clear" w:color="auto" w:fill="CCEEFF"/>
            <w:tcMar>
              <w:top w:w="40" w:type="dxa"/>
              <w:left w:w="0" w:type="dxa"/>
              <w:bottom w:w="40" w:type="dxa"/>
              <w:right w:w="20" w:type="dxa"/>
            </w:tcMar>
            <w:vAlign w:val="center"/>
          </w:tcPr>
          <w:p w14:paraId="4B9A3AC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D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D1" w14:textId="77777777" w:rsidR="002A3970" w:rsidRDefault="00C35E63">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B9A3AD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AD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AD4" w14:textId="77777777" w:rsidR="002A3970" w:rsidRDefault="00C35E63">
            <w:pPr>
              <w:jc w:val="right"/>
              <w:textAlignment w:val="center"/>
            </w:pPr>
            <w:r>
              <w:rPr>
                <w:rFonts w:ascii="Times New Roman" w:eastAsia="宋体" w:hAnsi="Times New Roman"/>
                <w:color w:val="000000"/>
                <w:sz w:val="16"/>
                <w:szCs w:val="16"/>
              </w:rPr>
              <w:t>(1,416)</w:t>
            </w:r>
          </w:p>
        </w:tc>
        <w:tc>
          <w:tcPr>
            <w:tcW w:w="0" w:type="auto"/>
            <w:shd w:val="clear" w:color="auto" w:fill="CCEEFF"/>
            <w:tcMar>
              <w:top w:w="40" w:type="dxa"/>
              <w:left w:w="0" w:type="dxa"/>
              <w:bottom w:w="40" w:type="dxa"/>
              <w:right w:w="20" w:type="dxa"/>
            </w:tcMar>
            <w:vAlign w:val="center"/>
          </w:tcPr>
          <w:p w14:paraId="4B9A3AD5" w14:textId="77777777" w:rsidR="002A3970" w:rsidRDefault="002A3970">
            <w:pPr>
              <w:jc w:val="right"/>
              <w:rPr>
                <w:rFonts w:ascii="宋体"/>
              </w:rPr>
            </w:pPr>
          </w:p>
        </w:tc>
      </w:tr>
      <w:tr w:rsidR="002A3970" w14:paraId="4B9A3AE7" w14:textId="77777777">
        <w:tc>
          <w:tcPr>
            <w:tcW w:w="0" w:type="auto"/>
            <w:gridSpan w:val="3"/>
            <w:shd w:val="clear" w:color="auto" w:fill="FFFFFF"/>
            <w:tcMar>
              <w:top w:w="40" w:type="dxa"/>
              <w:left w:w="20" w:type="dxa"/>
              <w:bottom w:w="40" w:type="dxa"/>
              <w:right w:w="20" w:type="dxa"/>
            </w:tcMar>
            <w:vAlign w:val="center"/>
          </w:tcPr>
          <w:p w14:paraId="4B9A3AD7" w14:textId="77777777" w:rsidR="002A3970" w:rsidRDefault="00C35E63">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4B9A3AD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D9" w14:textId="77777777" w:rsidR="002A3970" w:rsidRDefault="00C35E63">
            <w:pPr>
              <w:jc w:val="right"/>
              <w:textAlignment w:val="center"/>
            </w:pPr>
            <w:r>
              <w:rPr>
                <w:rFonts w:ascii="Times New Roman" w:eastAsia="宋体" w:hAnsi="Times New Roman"/>
                <w:color w:val="000000"/>
                <w:sz w:val="16"/>
                <w:szCs w:val="16"/>
              </w:rPr>
              <w:t>(309)</w:t>
            </w:r>
          </w:p>
        </w:tc>
        <w:tc>
          <w:tcPr>
            <w:tcW w:w="0" w:type="auto"/>
            <w:shd w:val="clear" w:color="auto" w:fill="FFFFFF"/>
            <w:tcMar>
              <w:top w:w="40" w:type="dxa"/>
              <w:left w:w="0" w:type="dxa"/>
              <w:bottom w:w="40" w:type="dxa"/>
              <w:right w:w="20" w:type="dxa"/>
            </w:tcMar>
            <w:vAlign w:val="center"/>
          </w:tcPr>
          <w:p w14:paraId="4B9A3AD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D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DC"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AD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D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DF" w14:textId="77777777" w:rsidR="002A3970" w:rsidRDefault="00C35E63">
            <w:pPr>
              <w:jc w:val="right"/>
              <w:textAlignment w:val="center"/>
            </w:pPr>
            <w:r>
              <w:rPr>
                <w:rFonts w:ascii="Times New Roman" w:eastAsia="宋体" w:hAnsi="Times New Roman"/>
                <w:color w:val="000000"/>
                <w:sz w:val="16"/>
                <w:szCs w:val="16"/>
              </w:rPr>
              <w:t>329 </w:t>
            </w:r>
          </w:p>
        </w:tc>
        <w:tc>
          <w:tcPr>
            <w:tcW w:w="0" w:type="auto"/>
            <w:shd w:val="clear" w:color="auto" w:fill="FFFFFF"/>
            <w:tcMar>
              <w:top w:w="40" w:type="dxa"/>
              <w:left w:w="0" w:type="dxa"/>
              <w:bottom w:w="40" w:type="dxa"/>
              <w:right w:w="20" w:type="dxa"/>
            </w:tcMar>
            <w:vAlign w:val="center"/>
          </w:tcPr>
          <w:p w14:paraId="4B9A3AE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E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E2"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AE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AE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AE5" w14:textId="77777777" w:rsidR="002A3970" w:rsidRDefault="00C35E63">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4B9A3AE6" w14:textId="77777777" w:rsidR="002A3970" w:rsidRDefault="002A3970">
            <w:pPr>
              <w:jc w:val="right"/>
              <w:rPr>
                <w:rFonts w:ascii="宋体"/>
              </w:rPr>
            </w:pPr>
          </w:p>
        </w:tc>
      </w:tr>
      <w:tr w:rsidR="002A3970" w14:paraId="4B9A3AFD" w14:textId="77777777">
        <w:tc>
          <w:tcPr>
            <w:tcW w:w="0" w:type="auto"/>
            <w:gridSpan w:val="3"/>
            <w:shd w:val="clear" w:color="auto" w:fill="CCEEFF"/>
            <w:tcMar>
              <w:top w:w="40" w:type="dxa"/>
              <w:left w:w="20" w:type="dxa"/>
              <w:bottom w:w="40" w:type="dxa"/>
              <w:right w:w="20" w:type="dxa"/>
            </w:tcMar>
            <w:vAlign w:val="center"/>
          </w:tcPr>
          <w:p w14:paraId="4B9A3AE8" w14:textId="77777777" w:rsidR="002A3970" w:rsidRDefault="00C35E63">
            <w:pPr>
              <w:textAlignment w:val="center"/>
            </w:pPr>
            <w:r>
              <w:rPr>
                <w:rFonts w:ascii="Times New Roman" w:eastAsia="宋体" w:hAnsi="Times New Roman"/>
                <w:b/>
                <w:bCs/>
                <w:color w:val="000000"/>
                <w:sz w:val="16"/>
                <w:szCs w:val="16"/>
              </w:rPr>
              <w:t>Balances as of July 31, 2022</w:t>
            </w:r>
          </w:p>
        </w:tc>
        <w:tc>
          <w:tcPr>
            <w:tcW w:w="0" w:type="auto"/>
            <w:gridSpan w:val="3"/>
            <w:shd w:val="clear" w:color="auto" w:fill="CCEEFF"/>
            <w:tcMar>
              <w:top w:w="0" w:type="dxa"/>
              <w:left w:w="20" w:type="dxa"/>
              <w:bottom w:w="0" w:type="dxa"/>
              <w:right w:w="20" w:type="dxa"/>
            </w:tcMar>
            <w:vAlign w:val="bottom"/>
          </w:tcPr>
          <w:p w14:paraId="4B9A3AE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E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EB" w14:textId="77777777" w:rsidR="002A3970" w:rsidRDefault="00C35E63">
            <w:pPr>
              <w:jc w:val="right"/>
              <w:textAlignment w:val="center"/>
            </w:pPr>
            <w:r>
              <w:rPr>
                <w:rFonts w:ascii="Times New Roman" w:eastAsia="宋体" w:hAnsi="Times New Roman"/>
                <w:color w:val="000000"/>
                <w:sz w:val="16"/>
                <w:szCs w:val="16"/>
              </w:rPr>
              <w:t>(8,980)</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EC"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AE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E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EF"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F0"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AF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F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F3" w14:textId="77777777" w:rsidR="002A3970" w:rsidRDefault="00C35E63">
            <w:pPr>
              <w:jc w:val="right"/>
              <w:textAlignment w:val="center"/>
            </w:pPr>
            <w:r>
              <w:rPr>
                <w:rFonts w:ascii="Times New Roman" w:eastAsia="宋体" w:hAnsi="Times New Roman"/>
                <w:color w:val="000000"/>
                <w:sz w:val="16"/>
                <w:szCs w:val="16"/>
              </w:rPr>
              <w:t>(999)</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F4"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AF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F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F7" w14:textId="77777777" w:rsidR="002A3970" w:rsidRDefault="00C35E63">
            <w:pPr>
              <w:jc w:val="right"/>
              <w:textAlignment w:val="center"/>
            </w:pPr>
            <w:r>
              <w:rPr>
                <w:rFonts w:ascii="Times New Roman" w:eastAsia="宋体" w:hAnsi="Times New Roman"/>
                <w:color w:val="000000"/>
                <w:sz w:val="16"/>
                <w:szCs w:val="16"/>
              </w:rPr>
              <w:t>(9)</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F8"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AF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AF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AFB" w14:textId="77777777" w:rsidR="002A3970" w:rsidRDefault="00C35E63">
            <w:pPr>
              <w:jc w:val="right"/>
              <w:textAlignment w:val="center"/>
            </w:pPr>
            <w:r>
              <w:rPr>
                <w:rFonts w:ascii="Times New Roman" w:eastAsia="宋体" w:hAnsi="Times New Roman"/>
                <w:color w:val="000000"/>
                <w:sz w:val="16"/>
                <w:szCs w:val="16"/>
              </w:rPr>
              <w:t>(9,894)</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AFC" w14:textId="77777777" w:rsidR="002A3970" w:rsidRDefault="002A3970">
            <w:pPr>
              <w:jc w:val="right"/>
              <w:rPr>
                <w:rFonts w:ascii="宋体"/>
              </w:rPr>
            </w:pPr>
          </w:p>
        </w:tc>
      </w:tr>
      <w:tr w:rsidR="002A3970" w14:paraId="4B9A3B0E" w14:textId="77777777">
        <w:tc>
          <w:tcPr>
            <w:tcW w:w="0" w:type="auto"/>
            <w:gridSpan w:val="3"/>
            <w:shd w:val="clear" w:color="auto" w:fill="FFFFFF"/>
            <w:tcMar>
              <w:top w:w="40" w:type="dxa"/>
              <w:left w:w="20" w:type="dxa"/>
              <w:bottom w:w="40" w:type="dxa"/>
              <w:right w:w="20" w:type="dxa"/>
            </w:tcMar>
            <w:vAlign w:val="center"/>
          </w:tcPr>
          <w:p w14:paraId="4B9A3AFE" w14:textId="77777777" w:rsidR="002A3970" w:rsidRDefault="00C35E63">
            <w:pPr>
              <w:textAlignment w:val="center"/>
            </w:pPr>
            <w:r>
              <w:rPr>
                <w:rFonts w:ascii="Times New Roman" w:eastAsia="宋体" w:hAnsi="Times New Roman"/>
                <w:color w:val="000000"/>
                <w:sz w:val="16"/>
                <w:szCs w:val="16"/>
              </w:rPr>
              <w:t>Other comprehensive loss before recl</w:t>
            </w:r>
            <w:r>
              <w:rPr>
                <w:rFonts w:ascii="Times New Roman" w:eastAsia="宋体" w:hAnsi="Times New Roman"/>
                <w:color w:val="000000"/>
                <w:sz w:val="16"/>
                <w:szCs w:val="16"/>
              </w:rPr>
              <w:t>assifications, net</w:t>
            </w:r>
          </w:p>
        </w:tc>
        <w:tc>
          <w:tcPr>
            <w:tcW w:w="0" w:type="auto"/>
            <w:gridSpan w:val="3"/>
            <w:shd w:val="clear" w:color="auto" w:fill="FFFFFF"/>
            <w:tcMar>
              <w:top w:w="0" w:type="dxa"/>
              <w:left w:w="20" w:type="dxa"/>
              <w:bottom w:w="0" w:type="dxa"/>
              <w:right w:w="20" w:type="dxa"/>
            </w:tcMar>
            <w:vAlign w:val="bottom"/>
          </w:tcPr>
          <w:p w14:paraId="4B9A3AF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B00" w14:textId="77777777" w:rsidR="002A3970" w:rsidRDefault="00C35E63">
            <w:pPr>
              <w:jc w:val="right"/>
              <w:textAlignment w:val="center"/>
            </w:pPr>
            <w:r>
              <w:rPr>
                <w:rFonts w:ascii="Times New Roman" w:eastAsia="宋体" w:hAnsi="Times New Roman"/>
                <w:color w:val="000000"/>
                <w:sz w:val="16"/>
                <w:szCs w:val="16"/>
              </w:rPr>
              <w:t>(711)</w:t>
            </w:r>
          </w:p>
        </w:tc>
        <w:tc>
          <w:tcPr>
            <w:tcW w:w="0" w:type="auto"/>
            <w:shd w:val="clear" w:color="auto" w:fill="FFFFFF"/>
            <w:tcMar>
              <w:top w:w="40" w:type="dxa"/>
              <w:left w:w="0" w:type="dxa"/>
              <w:bottom w:w="40" w:type="dxa"/>
              <w:right w:w="20" w:type="dxa"/>
            </w:tcMar>
            <w:vAlign w:val="center"/>
          </w:tcPr>
          <w:p w14:paraId="4B9A3B0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0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B0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B0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0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B06" w14:textId="77777777" w:rsidR="002A3970" w:rsidRDefault="00C35E63">
            <w:pPr>
              <w:jc w:val="right"/>
              <w:textAlignment w:val="center"/>
            </w:pPr>
            <w:r>
              <w:rPr>
                <w:rFonts w:ascii="Times New Roman" w:eastAsia="宋体" w:hAnsi="Times New Roman"/>
                <w:color w:val="000000"/>
                <w:sz w:val="16"/>
                <w:szCs w:val="16"/>
              </w:rPr>
              <w:t>(191)</w:t>
            </w:r>
          </w:p>
        </w:tc>
        <w:tc>
          <w:tcPr>
            <w:tcW w:w="0" w:type="auto"/>
            <w:shd w:val="clear" w:color="auto" w:fill="FFFFFF"/>
            <w:tcMar>
              <w:top w:w="40" w:type="dxa"/>
              <w:left w:w="0" w:type="dxa"/>
              <w:bottom w:w="40" w:type="dxa"/>
              <w:right w:w="20" w:type="dxa"/>
            </w:tcMar>
            <w:vAlign w:val="center"/>
          </w:tcPr>
          <w:p w14:paraId="4B9A3B0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0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B0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B0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0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B0C" w14:textId="77777777" w:rsidR="002A3970" w:rsidRDefault="00C35E63">
            <w:pPr>
              <w:jc w:val="right"/>
              <w:textAlignment w:val="center"/>
            </w:pPr>
            <w:r>
              <w:rPr>
                <w:rFonts w:ascii="Times New Roman" w:eastAsia="宋体" w:hAnsi="Times New Roman"/>
                <w:color w:val="000000"/>
                <w:sz w:val="16"/>
                <w:szCs w:val="16"/>
              </w:rPr>
              <w:t>(902)</w:t>
            </w:r>
          </w:p>
        </w:tc>
        <w:tc>
          <w:tcPr>
            <w:tcW w:w="0" w:type="auto"/>
            <w:shd w:val="clear" w:color="auto" w:fill="FFFFFF"/>
            <w:tcMar>
              <w:top w:w="40" w:type="dxa"/>
              <w:left w:w="0" w:type="dxa"/>
              <w:bottom w:w="40" w:type="dxa"/>
              <w:right w:w="20" w:type="dxa"/>
            </w:tcMar>
            <w:vAlign w:val="center"/>
          </w:tcPr>
          <w:p w14:paraId="4B9A3B0D" w14:textId="77777777" w:rsidR="002A3970" w:rsidRDefault="002A3970">
            <w:pPr>
              <w:jc w:val="right"/>
              <w:rPr>
                <w:rFonts w:ascii="宋体"/>
              </w:rPr>
            </w:pPr>
          </w:p>
        </w:tc>
      </w:tr>
      <w:tr w:rsidR="002A3970" w14:paraId="4B9A3B1F" w14:textId="77777777">
        <w:tc>
          <w:tcPr>
            <w:tcW w:w="0" w:type="auto"/>
            <w:gridSpan w:val="3"/>
            <w:shd w:val="clear" w:color="auto" w:fill="CCEEFF"/>
            <w:tcMar>
              <w:top w:w="40" w:type="dxa"/>
              <w:left w:w="20" w:type="dxa"/>
              <w:bottom w:w="40" w:type="dxa"/>
              <w:right w:w="20" w:type="dxa"/>
            </w:tcMar>
            <w:vAlign w:val="center"/>
          </w:tcPr>
          <w:p w14:paraId="4B9A3B0F" w14:textId="77777777" w:rsidR="002A3970" w:rsidRDefault="00C35E63">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4B9A3B1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11"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B1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1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1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B1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1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17" w14:textId="77777777" w:rsidR="002A3970" w:rsidRDefault="00C35E63">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B9A3B1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1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1A"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B1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1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1D" w14:textId="77777777" w:rsidR="002A3970" w:rsidRDefault="00C35E63">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B9A3B1E" w14:textId="77777777" w:rsidR="002A3970" w:rsidRDefault="002A3970">
            <w:pPr>
              <w:jc w:val="right"/>
              <w:rPr>
                <w:rFonts w:ascii="宋体"/>
              </w:rPr>
            </w:pPr>
          </w:p>
        </w:tc>
      </w:tr>
      <w:tr w:rsidR="002A3970" w14:paraId="4B9A3B35" w14:textId="77777777">
        <w:tc>
          <w:tcPr>
            <w:tcW w:w="0" w:type="auto"/>
            <w:gridSpan w:val="3"/>
            <w:shd w:val="clear" w:color="auto" w:fill="FFFFFF"/>
            <w:tcMar>
              <w:top w:w="40" w:type="dxa"/>
              <w:left w:w="20" w:type="dxa"/>
              <w:bottom w:w="40" w:type="dxa"/>
              <w:right w:w="20" w:type="dxa"/>
            </w:tcMar>
            <w:vAlign w:val="center"/>
          </w:tcPr>
          <w:p w14:paraId="4B9A3B20" w14:textId="77777777" w:rsidR="002A3970" w:rsidRDefault="00C35E63">
            <w:pPr>
              <w:textAlignment w:val="center"/>
            </w:pPr>
            <w:r>
              <w:rPr>
                <w:rFonts w:ascii="Times New Roman" w:eastAsia="宋体" w:hAnsi="Times New Roman"/>
                <w:b/>
                <w:bCs/>
                <w:color w:val="000000"/>
                <w:sz w:val="16"/>
                <w:szCs w:val="16"/>
              </w:rPr>
              <w:t>Balances as of October 31, 2022</w:t>
            </w:r>
          </w:p>
        </w:tc>
        <w:tc>
          <w:tcPr>
            <w:tcW w:w="0" w:type="auto"/>
            <w:gridSpan w:val="3"/>
            <w:shd w:val="clear" w:color="auto" w:fill="FFFFFF"/>
            <w:tcMar>
              <w:top w:w="0" w:type="dxa"/>
              <w:left w:w="20" w:type="dxa"/>
              <w:bottom w:w="0" w:type="dxa"/>
              <w:right w:w="20" w:type="dxa"/>
            </w:tcMar>
            <w:vAlign w:val="bottom"/>
          </w:tcPr>
          <w:p w14:paraId="4B9A3B21"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B2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B23" w14:textId="77777777" w:rsidR="002A3970" w:rsidRDefault="00C35E63">
            <w:pPr>
              <w:jc w:val="right"/>
              <w:textAlignment w:val="center"/>
            </w:pPr>
            <w:r>
              <w:rPr>
                <w:rFonts w:ascii="Times New Roman" w:eastAsia="宋体" w:hAnsi="Times New Roman"/>
                <w:color w:val="000000"/>
                <w:sz w:val="16"/>
                <w:szCs w:val="16"/>
              </w:rPr>
              <w:t>(9,691)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B2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25"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B2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B27"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B2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29"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B2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B2B" w14:textId="77777777" w:rsidR="002A3970" w:rsidRDefault="00C35E63">
            <w:pPr>
              <w:jc w:val="right"/>
              <w:textAlignment w:val="center"/>
            </w:pPr>
            <w:r>
              <w:rPr>
                <w:rFonts w:ascii="Times New Roman" w:eastAsia="宋体" w:hAnsi="Times New Roman"/>
                <w:color w:val="000000"/>
                <w:sz w:val="16"/>
                <w:szCs w:val="16"/>
              </w:rPr>
              <w:t>(1,174)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B2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2D"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B2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B2F" w14:textId="77777777" w:rsidR="002A3970" w:rsidRDefault="00C35E63">
            <w:pPr>
              <w:jc w:val="right"/>
              <w:textAlignment w:val="center"/>
            </w:pPr>
            <w:r>
              <w:rPr>
                <w:rFonts w:ascii="Times New Roman" w:eastAsia="宋体" w:hAnsi="Times New Roman"/>
                <w:color w:val="000000"/>
                <w:sz w:val="16"/>
                <w:szCs w:val="16"/>
              </w:rPr>
              <w:t>(9)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B3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31"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B3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B33" w14:textId="77777777" w:rsidR="002A3970" w:rsidRDefault="00C35E63">
            <w:pPr>
              <w:jc w:val="right"/>
              <w:textAlignment w:val="center"/>
            </w:pPr>
            <w:r>
              <w:rPr>
                <w:rFonts w:ascii="Times New Roman" w:eastAsia="宋体" w:hAnsi="Times New Roman"/>
                <w:color w:val="000000"/>
                <w:sz w:val="16"/>
                <w:szCs w:val="16"/>
              </w:rPr>
              <w:t>(10,780)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B34" w14:textId="77777777" w:rsidR="002A3970" w:rsidRDefault="002A3970">
            <w:pPr>
              <w:jc w:val="right"/>
              <w:rPr>
                <w:rFonts w:ascii="宋体"/>
              </w:rPr>
            </w:pPr>
          </w:p>
        </w:tc>
      </w:tr>
    </w:tbl>
    <w:p w14:paraId="4B9A3B36" w14:textId="77777777" w:rsidR="002A3970" w:rsidRDefault="00C35E63">
      <w:pPr>
        <w:jc w:val="center"/>
      </w:pPr>
      <w:r>
        <w:rPr>
          <w:rFonts w:ascii="Times New Roman" w:eastAsia="宋体" w:hAnsi="Times New Roman"/>
          <w:color w:val="000000"/>
          <w:sz w:val="20"/>
          <w:szCs w:val="20"/>
        </w:rPr>
        <w:t>10</w:t>
      </w:r>
    </w:p>
    <w:p w14:paraId="4B9A3B37" w14:textId="77777777" w:rsidR="002A3970" w:rsidRDefault="00C35E63">
      <w:r>
        <w:pict w14:anchorId="4B9A4C1F">
          <v:rect id="_x0000_i1034" style="width:415.3pt;height:1.5pt" o:hralign="center" o:hrstd="t" o:hr="t" fillcolor="#a0a0a0" stroked="f"/>
        </w:pict>
      </w:r>
    </w:p>
    <w:p w14:paraId="4B9A3B38" w14:textId="77777777" w:rsidR="002A3970" w:rsidRDefault="00C35E63">
      <w:hyperlink r:id="rId49" w:anchor="i0522a2f6333e456295d59e779af751cb_7" w:history="1">
        <w:r>
          <w:rPr>
            <w:rStyle w:val="a5"/>
            <w:rFonts w:ascii="Times New Roman" w:eastAsia="宋体" w:hAnsi="Times New Roman"/>
            <w:sz w:val="20"/>
            <w:szCs w:val="20"/>
          </w:rPr>
          <w:t>Table of Contents</w:t>
        </w:r>
      </w:hyperlink>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38"/>
        <w:gridCol w:w="3621"/>
        <w:gridCol w:w="37"/>
        <w:gridCol w:w="36"/>
        <w:gridCol w:w="36"/>
        <w:gridCol w:w="36"/>
        <w:gridCol w:w="101"/>
        <w:gridCol w:w="802"/>
        <w:gridCol w:w="36"/>
        <w:gridCol w:w="36"/>
        <w:gridCol w:w="36"/>
        <w:gridCol w:w="36"/>
        <w:gridCol w:w="101"/>
        <w:gridCol w:w="803"/>
        <w:gridCol w:w="36"/>
        <w:gridCol w:w="36"/>
        <w:gridCol w:w="36"/>
        <w:gridCol w:w="36"/>
        <w:gridCol w:w="101"/>
        <w:gridCol w:w="608"/>
        <w:gridCol w:w="36"/>
        <w:gridCol w:w="36"/>
        <w:gridCol w:w="36"/>
        <w:gridCol w:w="36"/>
        <w:gridCol w:w="101"/>
        <w:gridCol w:w="644"/>
        <w:gridCol w:w="36"/>
        <w:gridCol w:w="36"/>
        <w:gridCol w:w="36"/>
        <w:gridCol w:w="36"/>
        <w:gridCol w:w="100"/>
        <w:gridCol w:w="559"/>
        <w:gridCol w:w="36"/>
      </w:tblGrid>
      <w:tr w:rsidR="002A3970" w14:paraId="4B9A3B5A" w14:textId="77777777">
        <w:tc>
          <w:tcPr>
            <w:tcW w:w="50" w:type="pct"/>
            <w:shd w:val="clear" w:color="auto" w:fill="auto"/>
            <w:vAlign w:val="bottom"/>
          </w:tcPr>
          <w:p w14:paraId="4B9A3B39" w14:textId="77777777" w:rsidR="002A3970" w:rsidRDefault="002A3970">
            <w:pPr>
              <w:rPr>
                <w:rFonts w:ascii="宋体"/>
              </w:rPr>
            </w:pPr>
          </w:p>
        </w:tc>
        <w:tc>
          <w:tcPr>
            <w:tcW w:w="2196" w:type="pct"/>
            <w:shd w:val="clear" w:color="auto" w:fill="auto"/>
            <w:vAlign w:val="bottom"/>
          </w:tcPr>
          <w:p w14:paraId="4B9A3B3A" w14:textId="77777777" w:rsidR="002A3970" w:rsidRDefault="002A3970">
            <w:pPr>
              <w:rPr>
                <w:rFonts w:ascii="宋体"/>
              </w:rPr>
            </w:pPr>
          </w:p>
        </w:tc>
        <w:tc>
          <w:tcPr>
            <w:tcW w:w="5" w:type="pct"/>
            <w:shd w:val="clear" w:color="auto" w:fill="auto"/>
            <w:vAlign w:val="bottom"/>
          </w:tcPr>
          <w:p w14:paraId="4B9A3B3B" w14:textId="77777777" w:rsidR="002A3970" w:rsidRDefault="002A3970">
            <w:pPr>
              <w:rPr>
                <w:rFonts w:ascii="宋体"/>
              </w:rPr>
            </w:pPr>
          </w:p>
        </w:tc>
        <w:tc>
          <w:tcPr>
            <w:tcW w:w="5" w:type="pct"/>
            <w:shd w:val="clear" w:color="auto" w:fill="auto"/>
            <w:vAlign w:val="bottom"/>
          </w:tcPr>
          <w:p w14:paraId="4B9A3B3C" w14:textId="77777777" w:rsidR="002A3970" w:rsidRDefault="002A3970">
            <w:pPr>
              <w:rPr>
                <w:rFonts w:ascii="宋体"/>
              </w:rPr>
            </w:pPr>
          </w:p>
        </w:tc>
        <w:tc>
          <w:tcPr>
            <w:tcW w:w="26" w:type="pct"/>
            <w:shd w:val="clear" w:color="auto" w:fill="auto"/>
            <w:vAlign w:val="bottom"/>
          </w:tcPr>
          <w:p w14:paraId="4B9A3B3D" w14:textId="77777777" w:rsidR="002A3970" w:rsidRDefault="002A3970">
            <w:pPr>
              <w:rPr>
                <w:rFonts w:ascii="宋体"/>
              </w:rPr>
            </w:pPr>
          </w:p>
        </w:tc>
        <w:tc>
          <w:tcPr>
            <w:tcW w:w="5" w:type="pct"/>
            <w:shd w:val="clear" w:color="auto" w:fill="auto"/>
            <w:vAlign w:val="bottom"/>
          </w:tcPr>
          <w:p w14:paraId="4B9A3B3E" w14:textId="77777777" w:rsidR="002A3970" w:rsidRDefault="002A3970">
            <w:pPr>
              <w:rPr>
                <w:rFonts w:ascii="宋体"/>
              </w:rPr>
            </w:pPr>
          </w:p>
        </w:tc>
        <w:tc>
          <w:tcPr>
            <w:tcW w:w="50" w:type="pct"/>
            <w:shd w:val="clear" w:color="auto" w:fill="auto"/>
            <w:vAlign w:val="bottom"/>
          </w:tcPr>
          <w:p w14:paraId="4B9A3B3F" w14:textId="77777777" w:rsidR="002A3970" w:rsidRDefault="002A3970">
            <w:pPr>
              <w:rPr>
                <w:rFonts w:ascii="宋体"/>
              </w:rPr>
            </w:pPr>
          </w:p>
        </w:tc>
        <w:tc>
          <w:tcPr>
            <w:tcW w:w="529" w:type="pct"/>
            <w:shd w:val="clear" w:color="auto" w:fill="auto"/>
            <w:vAlign w:val="bottom"/>
          </w:tcPr>
          <w:p w14:paraId="4B9A3B40" w14:textId="77777777" w:rsidR="002A3970" w:rsidRDefault="002A3970">
            <w:pPr>
              <w:rPr>
                <w:rFonts w:ascii="宋体"/>
              </w:rPr>
            </w:pPr>
          </w:p>
        </w:tc>
        <w:tc>
          <w:tcPr>
            <w:tcW w:w="5" w:type="pct"/>
            <w:shd w:val="clear" w:color="auto" w:fill="auto"/>
            <w:vAlign w:val="bottom"/>
          </w:tcPr>
          <w:p w14:paraId="4B9A3B41" w14:textId="77777777" w:rsidR="002A3970" w:rsidRDefault="002A3970">
            <w:pPr>
              <w:rPr>
                <w:rFonts w:ascii="宋体"/>
              </w:rPr>
            </w:pPr>
          </w:p>
        </w:tc>
        <w:tc>
          <w:tcPr>
            <w:tcW w:w="5" w:type="pct"/>
            <w:shd w:val="clear" w:color="auto" w:fill="auto"/>
            <w:vAlign w:val="bottom"/>
          </w:tcPr>
          <w:p w14:paraId="4B9A3B42" w14:textId="77777777" w:rsidR="002A3970" w:rsidRDefault="002A3970">
            <w:pPr>
              <w:rPr>
                <w:rFonts w:ascii="宋体"/>
              </w:rPr>
            </w:pPr>
          </w:p>
        </w:tc>
        <w:tc>
          <w:tcPr>
            <w:tcW w:w="26" w:type="pct"/>
            <w:shd w:val="clear" w:color="auto" w:fill="auto"/>
            <w:vAlign w:val="bottom"/>
          </w:tcPr>
          <w:p w14:paraId="4B9A3B43" w14:textId="77777777" w:rsidR="002A3970" w:rsidRDefault="002A3970">
            <w:pPr>
              <w:rPr>
                <w:rFonts w:ascii="宋体"/>
              </w:rPr>
            </w:pPr>
          </w:p>
        </w:tc>
        <w:tc>
          <w:tcPr>
            <w:tcW w:w="5" w:type="pct"/>
            <w:shd w:val="clear" w:color="auto" w:fill="auto"/>
            <w:vAlign w:val="bottom"/>
          </w:tcPr>
          <w:p w14:paraId="4B9A3B44" w14:textId="77777777" w:rsidR="002A3970" w:rsidRDefault="002A3970">
            <w:pPr>
              <w:rPr>
                <w:rFonts w:ascii="宋体"/>
              </w:rPr>
            </w:pPr>
          </w:p>
        </w:tc>
        <w:tc>
          <w:tcPr>
            <w:tcW w:w="50" w:type="pct"/>
            <w:shd w:val="clear" w:color="auto" w:fill="auto"/>
            <w:vAlign w:val="bottom"/>
          </w:tcPr>
          <w:p w14:paraId="4B9A3B45" w14:textId="77777777" w:rsidR="002A3970" w:rsidRDefault="002A3970">
            <w:pPr>
              <w:rPr>
                <w:rFonts w:ascii="宋体"/>
              </w:rPr>
            </w:pPr>
          </w:p>
        </w:tc>
        <w:tc>
          <w:tcPr>
            <w:tcW w:w="529" w:type="pct"/>
            <w:shd w:val="clear" w:color="auto" w:fill="auto"/>
            <w:vAlign w:val="bottom"/>
          </w:tcPr>
          <w:p w14:paraId="4B9A3B46" w14:textId="77777777" w:rsidR="002A3970" w:rsidRDefault="002A3970">
            <w:pPr>
              <w:rPr>
                <w:rFonts w:ascii="宋体"/>
              </w:rPr>
            </w:pPr>
          </w:p>
        </w:tc>
        <w:tc>
          <w:tcPr>
            <w:tcW w:w="5" w:type="pct"/>
            <w:shd w:val="clear" w:color="auto" w:fill="auto"/>
            <w:vAlign w:val="bottom"/>
          </w:tcPr>
          <w:p w14:paraId="4B9A3B47" w14:textId="77777777" w:rsidR="002A3970" w:rsidRDefault="002A3970">
            <w:pPr>
              <w:rPr>
                <w:rFonts w:ascii="宋体"/>
              </w:rPr>
            </w:pPr>
          </w:p>
        </w:tc>
        <w:tc>
          <w:tcPr>
            <w:tcW w:w="5" w:type="pct"/>
            <w:shd w:val="clear" w:color="auto" w:fill="auto"/>
            <w:vAlign w:val="bottom"/>
          </w:tcPr>
          <w:p w14:paraId="4B9A3B48" w14:textId="77777777" w:rsidR="002A3970" w:rsidRDefault="002A3970">
            <w:pPr>
              <w:rPr>
                <w:rFonts w:ascii="宋体"/>
              </w:rPr>
            </w:pPr>
          </w:p>
        </w:tc>
        <w:tc>
          <w:tcPr>
            <w:tcW w:w="26" w:type="pct"/>
            <w:shd w:val="clear" w:color="auto" w:fill="auto"/>
            <w:vAlign w:val="bottom"/>
          </w:tcPr>
          <w:p w14:paraId="4B9A3B49" w14:textId="77777777" w:rsidR="002A3970" w:rsidRDefault="002A3970">
            <w:pPr>
              <w:rPr>
                <w:rFonts w:ascii="宋体"/>
              </w:rPr>
            </w:pPr>
          </w:p>
        </w:tc>
        <w:tc>
          <w:tcPr>
            <w:tcW w:w="5" w:type="pct"/>
            <w:shd w:val="clear" w:color="auto" w:fill="auto"/>
            <w:vAlign w:val="bottom"/>
          </w:tcPr>
          <w:p w14:paraId="4B9A3B4A" w14:textId="77777777" w:rsidR="002A3970" w:rsidRDefault="002A3970">
            <w:pPr>
              <w:rPr>
                <w:rFonts w:ascii="宋体"/>
              </w:rPr>
            </w:pPr>
          </w:p>
        </w:tc>
        <w:tc>
          <w:tcPr>
            <w:tcW w:w="50" w:type="pct"/>
            <w:shd w:val="clear" w:color="auto" w:fill="auto"/>
            <w:vAlign w:val="bottom"/>
          </w:tcPr>
          <w:p w14:paraId="4B9A3B4B" w14:textId="77777777" w:rsidR="002A3970" w:rsidRDefault="002A3970">
            <w:pPr>
              <w:rPr>
                <w:rFonts w:ascii="宋体"/>
              </w:rPr>
            </w:pPr>
          </w:p>
        </w:tc>
        <w:tc>
          <w:tcPr>
            <w:tcW w:w="412" w:type="pct"/>
            <w:shd w:val="clear" w:color="auto" w:fill="auto"/>
            <w:vAlign w:val="bottom"/>
          </w:tcPr>
          <w:p w14:paraId="4B9A3B4C" w14:textId="77777777" w:rsidR="002A3970" w:rsidRDefault="002A3970">
            <w:pPr>
              <w:rPr>
                <w:rFonts w:ascii="宋体"/>
              </w:rPr>
            </w:pPr>
          </w:p>
        </w:tc>
        <w:tc>
          <w:tcPr>
            <w:tcW w:w="5" w:type="pct"/>
            <w:shd w:val="clear" w:color="auto" w:fill="auto"/>
            <w:vAlign w:val="bottom"/>
          </w:tcPr>
          <w:p w14:paraId="4B9A3B4D" w14:textId="77777777" w:rsidR="002A3970" w:rsidRDefault="002A3970">
            <w:pPr>
              <w:rPr>
                <w:rFonts w:ascii="宋体"/>
              </w:rPr>
            </w:pPr>
          </w:p>
        </w:tc>
        <w:tc>
          <w:tcPr>
            <w:tcW w:w="5" w:type="pct"/>
            <w:shd w:val="clear" w:color="auto" w:fill="auto"/>
            <w:vAlign w:val="bottom"/>
          </w:tcPr>
          <w:p w14:paraId="4B9A3B4E" w14:textId="77777777" w:rsidR="002A3970" w:rsidRDefault="002A3970">
            <w:pPr>
              <w:rPr>
                <w:rFonts w:ascii="宋体"/>
              </w:rPr>
            </w:pPr>
          </w:p>
        </w:tc>
        <w:tc>
          <w:tcPr>
            <w:tcW w:w="26" w:type="pct"/>
            <w:shd w:val="clear" w:color="auto" w:fill="auto"/>
            <w:vAlign w:val="bottom"/>
          </w:tcPr>
          <w:p w14:paraId="4B9A3B4F" w14:textId="77777777" w:rsidR="002A3970" w:rsidRDefault="002A3970">
            <w:pPr>
              <w:rPr>
                <w:rFonts w:ascii="宋体"/>
              </w:rPr>
            </w:pPr>
          </w:p>
        </w:tc>
        <w:tc>
          <w:tcPr>
            <w:tcW w:w="5" w:type="pct"/>
            <w:shd w:val="clear" w:color="auto" w:fill="auto"/>
            <w:vAlign w:val="bottom"/>
          </w:tcPr>
          <w:p w14:paraId="4B9A3B50" w14:textId="77777777" w:rsidR="002A3970" w:rsidRDefault="002A3970">
            <w:pPr>
              <w:rPr>
                <w:rFonts w:ascii="宋体"/>
              </w:rPr>
            </w:pPr>
          </w:p>
        </w:tc>
        <w:tc>
          <w:tcPr>
            <w:tcW w:w="50" w:type="pct"/>
            <w:shd w:val="clear" w:color="auto" w:fill="auto"/>
            <w:vAlign w:val="bottom"/>
          </w:tcPr>
          <w:p w14:paraId="4B9A3B51" w14:textId="77777777" w:rsidR="002A3970" w:rsidRDefault="002A3970">
            <w:pPr>
              <w:rPr>
                <w:rFonts w:ascii="宋体"/>
              </w:rPr>
            </w:pPr>
          </w:p>
        </w:tc>
        <w:tc>
          <w:tcPr>
            <w:tcW w:w="434" w:type="pct"/>
            <w:shd w:val="clear" w:color="auto" w:fill="auto"/>
            <w:vAlign w:val="bottom"/>
          </w:tcPr>
          <w:p w14:paraId="4B9A3B52" w14:textId="77777777" w:rsidR="002A3970" w:rsidRDefault="002A3970">
            <w:pPr>
              <w:rPr>
                <w:rFonts w:ascii="宋体"/>
              </w:rPr>
            </w:pPr>
          </w:p>
        </w:tc>
        <w:tc>
          <w:tcPr>
            <w:tcW w:w="5" w:type="pct"/>
            <w:shd w:val="clear" w:color="auto" w:fill="auto"/>
            <w:vAlign w:val="bottom"/>
          </w:tcPr>
          <w:p w14:paraId="4B9A3B53" w14:textId="77777777" w:rsidR="002A3970" w:rsidRDefault="002A3970">
            <w:pPr>
              <w:rPr>
                <w:rFonts w:ascii="宋体"/>
              </w:rPr>
            </w:pPr>
          </w:p>
        </w:tc>
        <w:tc>
          <w:tcPr>
            <w:tcW w:w="5" w:type="pct"/>
            <w:shd w:val="clear" w:color="auto" w:fill="auto"/>
            <w:vAlign w:val="bottom"/>
          </w:tcPr>
          <w:p w14:paraId="4B9A3B54" w14:textId="77777777" w:rsidR="002A3970" w:rsidRDefault="002A3970">
            <w:pPr>
              <w:rPr>
                <w:rFonts w:ascii="宋体"/>
              </w:rPr>
            </w:pPr>
          </w:p>
        </w:tc>
        <w:tc>
          <w:tcPr>
            <w:tcW w:w="26" w:type="pct"/>
            <w:shd w:val="clear" w:color="auto" w:fill="auto"/>
            <w:vAlign w:val="bottom"/>
          </w:tcPr>
          <w:p w14:paraId="4B9A3B55" w14:textId="77777777" w:rsidR="002A3970" w:rsidRDefault="002A3970">
            <w:pPr>
              <w:rPr>
                <w:rFonts w:ascii="宋体"/>
              </w:rPr>
            </w:pPr>
          </w:p>
        </w:tc>
        <w:tc>
          <w:tcPr>
            <w:tcW w:w="5" w:type="pct"/>
            <w:shd w:val="clear" w:color="auto" w:fill="auto"/>
            <w:vAlign w:val="bottom"/>
          </w:tcPr>
          <w:p w14:paraId="4B9A3B56" w14:textId="77777777" w:rsidR="002A3970" w:rsidRDefault="002A3970">
            <w:pPr>
              <w:rPr>
                <w:rFonts w:ascii="宋体"/>
              </w:rPr>
            </w:pPr>
          </w:p>
        </w:tc>
        <w:tc>
          <w:tcPr>
            <w:tcW w:w="50" w:type="pct"/>
            <w:shd w:val="clear" w:color="auto" w:fill="auto"/>
            <w:vAlign w:val="bottom"/>
          </w:tcPr>
          <w:p w14:paraId="4B9A3B57" w14:textId="77777777" w:rsidR="002A3970" w:rsidRDefault="002A3970">
            <w:pPr>
              <w:rPr>
                <w:rFonts w:ascii="宋体"/>
              </w:rPr>
            </w:pPr>
          </w:p>
        </w:tc>
        <w:tc>
          <w:tcPr>
            <w:tcW w:w="383" w:type="pct"/>
            <w:shd w:val="clear" w:color="auto" w:fill="auto"/>
            <w:vAlign w:val="bottom"/>
          </w:tcPr>
          <w:p w14:paraId="4B9A3B58" w14:textId="77777777" w:rsidR="002A3970" w:rsidRDefault="002A3970">
            <w:pPr>
              <w:rPr>
                <w:rFonts w:ascii="宋体"/>
              </w:rPr>
            </w:pPr>
          </w:p>
        </w:tc>
        <w:tc>
          <w:tcPr>
            <w:tcW w:w="5" w:type="pct"/>
            <w:shd w:val="clear" w:color="auto" w:fill="auto"/>
            <w:vAlign w:val="bottom"/>
          </w:tcPr>
          <w:p w14:paraId="4B9A3B59" w14:textId="77777777" w:rsidR="002A3970" w:rsidRDefault="002A3970">
            <w:pPr>
              <w:rPr>
                <w:rFonts w:ascii="宋体"/>
              </w:rPr>
            </w:pPr>
          </w:p>
        </w:tc>
      </w:tr>
      <w:tr w:rsidR="002A3970" w14:paraId="4B9A3B66" w14:textId="77777777">
        <w:tc>
          <w:tcPr>
            <w:tcW w:w="0" w:type="auto"/>
            <w:gridSpan w:val="3"/>
            <w:shd w:val="clear" w:color="auto" w:fill="auto"/>
            <w:tcMar>
              <w:top w:w="40" w:type="dxa"/>
              <w:left w:w="20" w:type="dxa"/>
              <w:bottom w:w="40" w:type="dxa"/>
              <w:right w:w="20" w:type="dxa"/>
            </w:tcMar>
            <w:vAlign w:val="bottom"/>
          </w:tcPr>
          <w:p w14:paraId="4B9A3B5B" w14:textId="77777777" w:rsidR="002A3970" w:rsidRDefault="00C35E63">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4B9A3B5C"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B5D" w14:textId="77777777" w:rsidR="002A3970" w:rsidRDefault="00C35E63">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4B9A3B5E"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B5F" w14:textId="77777777" w:rsidR="002A3970" w:rsidRDefault="00C35E63">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4B9A3B6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B61" w14:textId="77777777" w:rsidR="002A3970" w:rsidRDefault="00C35E63">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4B9A3B62"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B63" w14:textId="77777777" w:rsidR="002A3970" w:rsidRDefault="00C35E63">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w:t>
            </w:r>
            <w:r>
              <w:rPr>
                <w:rFonts w:ascii="Times New Roman" w:eastAsia="宋体" w:hAnsi="Times New Roman"/>
                <w:b/>
                <w:bCs/>
                <w:color w:val="000000"/>
                <w:sz w:val="16"/>
                <w:szCs w:val="16"/>
              </w:rPr>
              <w:t>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4B9A3B64"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B65" w14:textId="77777777" w:rsidR="002A3970" w:rsidRDefault="00C35E63">
            <w:pPr>
              <w:jc w:val="center"/>
              <w:textAlignment w:val="bottom"/>
            </w:pPr>
            <w:r>
              <w:rPr>
                <w:rFonts w:ascii="Times New Roman" w:eastAsia="宋体" w:hAnsi="Times New Roman"/>
                <w:b/>
                <w:bCs/>
                <w:color w:val="000000"/>
                <w:sz w:val="16"/>
                <w:szCs w:val="16"/>
              </w:rPr>
              <w:t>Total</w:t>
            </w:r>
          </w:p>
        </w:tc>
      </w:tr>
      <w:tr w:rsidR="002A3970" w14:paraId="4B9A3B7C" w14:textId="77777777">
        <w:tc>
          <w:tcPr>
            <w:tcW w:w="0" w:type="auto"/>
            <w:gridSpan w:val="3"/>
            <w:shd w:val="clear" w:color="auto" w:fill="CCEEFF"/>
            <w:tcMar>
              <w:top w:w="40" w:type="dxa"/>
              <w:left w:w="20" w:type="dxa"/>
              <w:bottom w:w="40" w:type="dxa"/>
              <w:right w:w="20" w:type="dxa"/>
            </w:tcMar>
            <w:vAlign w:val="bottom"/>
          </w:tcPr>
          <w:p w14:paraId="4B9A3B67" w14:textId="77777777" w:rsidR="002A3970" w:rsidRDefault="00C35E63">
            <w:pPr>
              <w:textAlignment w:val="bottom"/>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4B9A3B6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B69"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B6A" w14:textId="77777777" w:rsidR="002A3970" w:rsidRDefault="00C35E63">
            <w:pPr>
              <w:jc w:val="right"/>
              <w:textAlignment w:val="bottom"/>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B6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6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B6D"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B6E" w14:textId="77777777" w:rsidR="002A3970" w:rsidRDefault="00C35E63">
            <w:pPr>
              <w:jc w:val="right"/>
              <w:textAlignment w:val="bottom"/>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B6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7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B71"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B72" w14:textId="77777777" w:rsidR="002A3970" w:rsidRDefault="00C35E63">
            <w:pPr>
              <w:jc w:val="right"/>
              <w:textAlignment w:val="bottom"/>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B7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7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B75"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B76" w14:textId="77777777" w:rsidR="002A3970" w:rsidRDefault="00C35E63">
            <w:pPr>
              <w:jc w:val="right"/>
              <w:textAlignment w:val="bottom"/>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B7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7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B79"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B7A" w14:textId="77777777" w:rsidR="002A3970" w:rsidRDefault="00C35E63">
            <w:pPr>
              <w:jc w:val="right"/>
              <w:textAlignment w:val="bottom"/>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B7B" w14:textId="77777777" w:rsidR="002A3970" w:rsidRDefault="002A3970">
            <w:pPr>
              <w:jc w:val="right"/>
              <w:rPr>
                <w:rFonts w:ascii="宋体"/>
              </w:rPr>
            </w:pPr>
          </w:p>
        </w:tc>
      </w:tr>
      <w:tr w:rsidR="002A3970" w14:paraId="4B9A3B8D" w14:textId="77777777">
        <w:tc>
          <w:tcPr>
            <w:tcW w:w="0" w:type="auto"/>
            <w:gridSpan w:val="3"/>
            <w:shd w:val="clear" w:color="auto" w:fill="FFFFFF"/>
            <w:tcMar>
              <w:top w:w="40" w:type="dxa"/>
              <w:left w:w="20" w:type="dxa"/>
              <w:bottom w:w="40" w:type="dxa"/>
              <w:right w:w="20" w:type="dxa"/>
            </w:tcMar>
            <w:vAlign w:val="bottom"/>
          </w:tcPr>
          <w:p w14:paraId="4B9A3B7D" w14:textId="77777777" w:rsidR="002A3970" w:rsidRDefault="00C35E63">
            <w:pPr>
              <w:textAlignment w:val="bottom"/>
            </w:pPr>
            <w:r>
              <w:rPr>
                <w:rFonts w:ascii="Times New Roman" w:eastAsia="宋体" w:hAnsi="Times New Roman"/>
                <w:color w:val="000000"/>
                <w:sz w:val="16"/>
                <w:szCs w:val="16"/>
              </w:rPr>
              <w:t xml:space="preserve">Other comprehensive loss </w:t>
            </w:r>
            <w:r>
              <w:rPr>
                <w:rFonts w:ascii="Times New Roman" w:eastAsia="宋体" w:hAnsi="Times New Roman"/>
                <w:color w:val="000000"/>
                <w:sz w:val="16"/>
                <w:szCs w:val="16"/>
              </w:rPr>
              <w:t>before reclassifications, net</w:t>
            </w:r>
          </w:p>
        </w:tc>
        <w:tc>
          <w:tcPr>
            <w:tcW w:w="0" w:type="auto"/>
            <w:gridSpan w:val="3"/>
            <w:shd w:val="clear" w:color="auto" w:fill="FFFFFF"/>
            <w:tcMar>
              <w:top w:w="0" w:type="dxa"/>
              <w:left w:w="20" w:type="dxa"/>
              <w:bottom w:w="0" w:type="dxa"/>
              <w:right w:w="20" w:type="dxa"/>
            </w:tcMar>
            <w:vAlign w:val="bottom"/>
          </w:tcPr>
          <w:p w14:paraId="4B9A3B7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7F" w14:textId="77777777" w:rsidR="002A3970" w:rsidRDefault="00C35E63">
            <w:pPr>
              <w:jc w:val="right"/>
              <w:textAlignment w:val="bottom"/>
            </w:pPr>
            <w:r>
              <w:rPr>
                <w:rFonts w:ascii="Times New Roman" w:eastAsia="宋体" w:hAnsi="Times New Roman"/>
                <w:color w:val="000000"/>
                <w:sz w:val="16"/>
                <w:szCs w:val="16"/>
              </w:rPr>
              <w:t>(225)</w:t>
            </w:r>
          </w:p>
        </w:tc>
        <w:tc>
          <w:tcPr>
            <w:tcW w:w="0" w:type="auto"/>
            <w:shd w:val="clear" w:color="auto" w:fill="FFFFFF"/>
            <w:tcMar>
              <w:top w:w="40" w:type="dxa"/>
              <w:left w:w="0" w:type="dxa"/>
              <w:bottom w:w="40" w:type="dxa"/>
              <w:right w:w="20" w:type="dxa"/>
            </w:tcMar>
            <w:vAlign w:val="bottom"/>
          </w:tcPr>
          <w:p w14:paraId="4B9A3B8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8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82" w14:textId="77777777" w:rsidR="002A3970" w:rsidRDefault="00C35E63">
            <w:pPr>
              <w:jc w:val="right"/>
              <w:textAlignment w:val="bottom"/>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bottom"/>
          </w:tcPr>
          <w:p w14:paraId="4B9A3B8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8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85" w14:textId="77777777" w:rsidR="002A3970" w:rsidRDefault="00C35E63">
            <w:pPr>
              <w:jc w:val="right"/>
              <w:textAlignment w:val="bottom"/>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bottom"/>
          </w:tcPr>
          <w:p w14:paraId="4B9A3B8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8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88" w14:textId="77777777" w:rsidR="002A3970" w:rsidRDefault="00C35E63">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4B9A3B8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8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8B" w14:textId="77777777" w:rsidR="002A3970" w:rsidRDefault="00C35E63">
            <w:pPr>
              <w:jc w:val="right"/>
              <w:textAlignment w:val="bottom"/>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bottom"/>
          </w:tcPr>
          <w:p w14:paraId="4B9A3B8C" w14:textId="77777777" w:rsidR="002A3970" w:rsidRDefault="002A3970">
            <w:pPr>
              <w:jc w:val="right"/>
              <w:rPr>
                <w:rFonts w:ascii="宋体"/>
              </w:rPr>
            </w:pPr>
          </w:p>
        </w:tc>
      </w:tr>
      <w:tr w:rsidR="002A3970" w14:paraId="4B9A3B9E" w14:textId="77777777">
        <w:tc>
          <w:tcPr>
            <w:tcW w:w="0" w:type="auto"/>
            <w:gridSpan w:val="3"/>
            <w:shd w:val="clear" w:color="auto" w:fill="CCEEFF"/>
            <w:tcMar>
              <w:top w:w="40" w:type="dxa"/>
              <w:left w:w="20" w:type="dxa"/>
              <w:bottom w:w="40" w:type="dxa"/>
              <w:right w:w="20" w:type="dxa"/>
            </w:tcMar>
            <w:vAlign w:val="center"/>
          </w:tcPr>
          <w:p w14:paraId="4B9A3B8E" w14:textId="77777777" w:rsidR="002A3970" w:rsidRDefault="00C35E63">
            <w:pPr>
              <w:textAlignment w:val="center"/>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B9A3B8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90" w14:textId="77777777" w:rsidR="002A3970" w:rsidRDefault="00C35E63">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4B9A3B9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9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93" w14:textId="77777777" w:rsidR="002A3970" w:rsidRDefault="00C35E63">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4B9A3B9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9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96" w14:textId="77777777" w:rsidR="002A3970" w:rsidRDefault="00C35E63">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4B9A3B9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9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99" w14:textId="77777777" w:rsidR="002A3970" w:rsidRDefault="00C35E63">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4B9A3B9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9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B9C" w14:textId="77777777" w:rsidR="002A3970" w:rsidRDefault="00C35E63">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4B9A3B9D" w14:textId="77777777" w:rsidR="002A3970" w:rsidRDefault="002A3970">
            <w:pPr>
              <w:jc w:val="right"/>
              <w:rPr>
                <w:rFonts w:ascii="宋体"/>
              </w:rPr>
            </w:pPr>
          </w:p>
        </w:tc>
      </w:tr>
      <w:tr w:rsidR="002A3970" w14:paraId="4B9A3BAF" w14:textId="77777777">
        <w:tc>
          <w:tcPr>
            <w:tcW w:w="0" w:type="auto"/>
            <w:gridSpan w:val="3"/>
            <w:shd w:val="clear" w:color="auto" w:fill="FFFFFF"/>
            <w:tcMar>
              <w:top w:w="40" w:type="dxa"/>
              <w:left w:w="20" w:type="dxa"/>
              <w:bottom w:w="40" w:type="dxa"/>
              <w:right w:w="20" w:type="dxa"/>
            </w:tcMar>
            <w:vAlign w:val="bottom"/>
          </w:tcPr>
          <w:p w14:paraId="4B9A3B9F" w14:textId="77777777" w:rsidR="002A3970" w:rsidRDefault="00C35E63">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4B9A3BA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A1"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3BA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A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A4"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3BA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A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A7" w14:textId="77777777" w:rsidR="002A3970" w:rsidRDefault="00C35E63">
            <w:pPr>
              <w:jc w:val="right"/>
              <w:textAlignment w:val="bottom"/>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bottom"/>
          </w:tcPr>
          <w:p w14:paraId="4B9A3BA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A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AA" w14:textId="77777777" w:rsidR="002A3970" w:rsidRDefault="00C35E63">
            <w:pPr>
              <w:jc w:val="right"/>
              <w:textAlignment w:val="bottom"/>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bottom"/>
          </w:tcPr>
          <w:p w14:paraId="4B9A3BA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A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AD" w14:textId="77777777" w:rsidR="002A3970" w:rsidRDefault="00C35E63">
            <w:pPr>
              <w:jc w:val="right"/>
              <w:textAlignment w:val="bottom"/>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bottom"/>
          </w:tcPr>
          <w:p w14:paraId="4B9A3BAE" w14:textId="77777777" w:rsidR="002A3970" w:rsidRDefault="002A3970">
            <w:pPr>
              <w:jc w:val="right"/>
              <w:rPr>
                <w:rFonts w:ascii="宋体"/>
              </w:rPr>
            </w:pPr>
          </w:p>
        </w:tc>
      </w:tr>
      <w:tr w:rsidR="002A3970" w14:paraId="4B9A3BC5" w14:textId="77777777">
        <w:tc>
          <w:tcPr>
            <w:tcW w:w="0" w:type="auto"/>
            <w:gridSpan w:val="3"/>
            <w:shd w:val="clear" w:color="auto" w:fill="CCEEFF"/>
            <w:tcMar>
              <w:top w:w="40" w:type="dxa"/>
              <w:left w:w="20" w:type="dxa"/>
              <w:bottom w:w="40" w:type="dxa"/>
              <w:right w:w="20" w:type="dxa"/>
            </w:tcMar>
            <w:vAlign w:val="bottom"/>
          </w:tcPr>
          <w:p w14:paraId="4B9A3BB0" w14:textId="77777777" w:rsidR="002A3970" w:rsidRDefault="00C35E63">
            <w:pPr>
              <w:textAlignment w:val="bottom"/>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vAlign w:val="bottom"/>
          </w:tcPr>
          <w:p w14:paraId="4B9A3BB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BB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BB3" w14:textId="77777777" w:rsidR="002A3970" w:rsidRDefault="00C35E63">
            <w:pPr>
              <w:jc w:val="right"/>
              <w:textAlignment w:val="center"/>
            </w:pPr>
            <w:r>
              <w:rPr>
                <w:rFonts w:ascii="Times New Roman" w:eastAsia="宋体" w:hAnsi="Times New Roman"/>
                <w:color w:val="000000"/>
                <w:sz w:val="16"/>
                <w:szCs w:val="16"/>
              </w:rPr>
              <w:t>(7,739)</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BB4"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BB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BB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BB7"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BB8"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BB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BB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BBB" w14:textId="77777777" w:rsidR="002A3970" w:rsidRDefault="00C35E63">
            <w:pPr>
              <w:jc w:val="right"/>
              <w:textAlignment w:val="center"/>
            </w:pPr>
            <w:r>
              <w:rPr>
                <w:rFonts w:ascii="Times New Roman" w:eastAsia="宋体" w:hAnsi="Times New Roman"/>
                <w:color w:val="000000"/>
                <w:sz w:val="16"/>
                <w:szCs w:val="16"/>
              </w:rPr>
              <w:t>(284)</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BBC"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BB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BB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BBF" w14:textId="77777777" w:rsidR="002A3970" w:rsidRDefault="00C35E63">
            <w:pPr>
              <w:jc w:val="right"/>
              <w:textAlignment w:val="center"/>
            </w:pPr>
            <w:r>
              <w:rPr>
                <w:rFonts w:ascii="Times New Roman" w:eastAsia="宋体" w:hAnsi="Times New Roman"/>
                <w:color w:val="000000"/>
                <w:sz w:val="16"/>
                <w:szCs w:val="16"/>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BC0" w14:textId="77777777" w:rsidR="002A3970" w:rsidRDefault="002A3970">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3BC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BC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BC3" w14:textId="77777777" w:rsidR="002A3970" w:rsidRDefault="00C35E63">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BC4" w14:textId="77777777" w:rsidR="002A3970" w:rsidRDefault="002A3970">
            <w:pPr>
              <w:jc w:val="right"/>
              <w:rPr>
                <w:rFonts w:ascii="宋体"/>
              </w:rPr>
            </w:pPr>
          </w:p>
        </w:tc>
      </w:tr>
      <w:tr w:rsidR="002A3970" w14:paraId="4B9A3BD1" w14:textId="77777777">
        <w:trPr>
          <w:hidden/>
        </w:trPr>
        <w:tc>
          <w:tcPr>
            <w:tcW w:w="0" w:type="auto"/>
            <w:gridSpan w:val="3"/>
            <w:shd w:val="clear" w:color="auto" w:fill="auto"/>
            <w:vAlign w:val="bottom"/>
          </w:tcPr>
          <w:p w14:paraId="4B9A3BC6" w14:textId="77777777" w:rsidR="002A3970" w:rsidRDefault="002A3970">
            <w:pPr>
              <w:rPr>
                <w:rFonts w:ascii="宋体"/>
                <w:vanish/>
              </w:rPr>
            </w:pPr>
          </w:p>
        </w:tc>
        <w:tc>
          <w:tcPr>
            <w:tcW w:w="0" w:type="auto"/>
            <w:gridSpan w:val="3"/>
            <w:shd w:val="clear" w:color="auto" w:fill="auto"/>
            <w:vAlign w:val="bottom"/>
          </w:tcPr>
          <w:p w14:paraId="4B9A3BC7" w14:textId="77777777" w:rsidR="002A3970" w:rsidRDefault="002A3970">
            <w:pPr>
              <w:rPr>
                <w:rFonts w:ascii="宋体"/>
                <w:vanish/>
              </w:rPr>
            </w:pPr>
          </w:p>
        </w:tc>
        <w:tc>
          <w:tcPr>
            <w:tcW w:w="0" w:type="auto"/>
            <w:gridSpan w:val="3"/>
            <w:shd w:val="clear" w:color="auto" w:fill="auto"/>
            <w:vAlign w:val="bottom"/>
          </w:tcPr>
          <w:p w14:paraId="4B9A3BC8" w14:textId="77777777" w:rsidR="002A3970" w:rsidRDefault="002A3970">
            <w:pPr>
              <w:rPr>
                <w:rFonts w:ascii="宋体"/>
                <w:vanish/>
              </w:rPr>
            </w:pPr>
          </w:p>
        </w:tc>
        <w:tc>
          <w:tcPr>
            <w:tcW w:w="0" w:type="auto"/>
            <w:gridSpan w:val="3"/>
            <w:shd w:val="clear" w:color="auto" w:fill="auto"/>
            <w:vAlign w:val="bottom"/>
          </w:tcPr>
          <w:p w14:paraId="4B9A3BC9" w14:textId="77777777" w:rsidR="002A3970" w:rsidRDefault="002A3970">
            <w:pPr>
              <w:rPr>
                <w:rFonts w:ascii="宋体"/>
                <w:vanish/>
              </w:rPr>
            </w:pPr>
          </w:p>
        </w:tc>
        <w:tc>
          <w:tcPr>
            <w:tcW w:w="0" w:type="auto"/>
            <w:gridSpan w:val="3"/>
            <w:shd w:val="clear" w:color="auto" w:fill="auto"/>
            <w:vAlign w:val="bottom"/>
          </w:tcPr>
          <w:p w14:paraId="4B9A3BCA" w14:textId="77777777" w:rsidR="002A3970" w:rsidRDefault="002A3970">
            <w:pPr>
              <w:rPr>
                <w:rFonts w:ascii="宋体"/>
                <w:vanish/>
              </w:rPr>
            </w:pPr>
          </w:p>
        </w:tc>
        <w:tc>
          <w:tcPr>
            <w:tcW w:w="0" w:type="auto"/>
            <w:gridSpan w:val="3"/>
            <w:shd w:val="clear" w:color="auto" w:fill="auto"/>
            <w:vAlign w:val="bottom"/>
          </w:tcPr>
          <w:p w14:paraId="4B9A3BCB" w14:textId="77777777" w:rsidR="002A3970" w:rsidRDefault="002A3970">
            <w:pPr>
              <w:rPr>
                <w:rFonts w:ascii="宋体"/>
                <w:vanish/>
              </w:rPr>
            </w:pPr>
          </w:p>
        </w:tc>
        <w:tc>
          <w:tcPr>
            <w:tcW w:w="0" w:type="auto"/>
            <w:gridSpan w:val="3"/>
            <w:shd w:val="clear" w:color="auto" w:fill="auto"/>
            <w:vAlign w:val="bottom"/>
          </w:tcPr>
          <w:p w14:paraId="4B9A3BCC" w14:textId="77777777" w:rsidR="002A3970" w:rsidRDefault="002A3970">
            <w:pPr>
              <w:rPr>
                <w:rFonts w:ascii="宋体"/>
                <w:vanish/>
              </w:rPr>
            </w:pPr>
          </w:p>
        </w:tc>
        <w:tc>
          <w:tcPr>
            <w:tcW w:w="0" w:type="auto"/>
            <w:gridSpan w:val="3"/>
            <w:shd w:val="clear" w:color="auto" w:fill="auto"/>
            <w:vAlign w:val="bottom"/>
          </w:tcPr>
          <w:p w14:paraId="4B9A3BCD" w14:textId="77777777" w:rsidR="002A3970" w:rsidRDefault="002A3970">
            <w:pPr>
              <w:rPr>
                <w:rFonts w:ascii="宋体"/>
                <w:vanish/>
              </w:rPr>
            </w:pPr>
          </w:p>
        </w:tc>
        <w:tc>
          <w:tcPr>
            <w:tcW w:w="0" w:type="auto"/>
            <w:gridSpan w:val="3"/>
            <w:shd w:val="clear" w:color="auto" w:fill="auto"/>
            <w:vAlign w:val="bottom"/>
          </w:tcPr>
          <w:p w14:paraId="4B9A3BCE" w14:textId="77777777" w:rsidR="002A3970" w:rsidRDefault="002A3970">
            <w:pPr>
              <w:rPr>
                <w:rFonts w:ascii="宋体"/>
                <w:vanish/>
              </w:rPr>
            </w:pPr>
          </w:p>
        </w:tc>
        <w:tc>
          <w:tcPr>
            <w:tcW w:w="0" w:type="auto"/>
            <w:gridSpan w:val="3"/>
            <w:shd w:val="clear" w:color="auto" w:fill="auto"/>
            <w:vAlign w:val="bottom"/>
          </w:tcPr>
          <w:p w14:paraId="4B9A3BCF" w14:textId="77777777" w:rsidR="002A3970" w:rsidRDefault="002A3970">
            <w:pPr>
              <w:rPr>
                <w:rFonts w:ascii="宋体"/>
                <w:vanish/>
              </w:rPr>
            </w:pPr>
          </w:p>
        </w:tc>
        <w:tc>
          <w:tcPr>
            <w:tcW w:w="0" w:type="auto"/>
            <w:gridSpan w:val="3"/>
            <w:shd w:val="clear" w:color="auto" w:fill="auto"/>
            <w:vAlign w:val="bottom"/>
          </w:tcPr>
          <w:p w14:paraId="4B9A3BD0" w14:textId="77777777" w:rsidR="002A3970" w:rsidRDefault="002A3970">
            <w:pPr>
              <w:rPr>
                <w:rFonts w:ascii="宋体"/>
                <w:vanish/>
              </w:rPr>
            </w:pPr>
          </w:p>
        </w:tc>
      </w:tr>
      <w:tr w:rsidR="002A3970" w14:paraId="4B9A3BE2" w14:textId="77777777">
        <w:tc>
          <w:tcPr>
            <w:tcW w:w="0" w:type="auto"/>
            <w:gridSpan w:val="3"/>
            <w:shd w:val="clear" w:color="auto" w:fill="FFFFFF"/>
            <w:tcMar>
              <w:top w:w="40" w:type="dxa"/>
              <w:left w:w="20" w:type="dxa"/>
              <w:bottom w:w="40" w:type="dxa"/>
              <w:right w:w="20" w:type="dxa"/>
            </w:tcMar>
            <w:vAlign w:val="bottom"/>
          </w:tcPr>
          <w:p w14:paraId="4B9A3BD2" w14:textId="77777777" w:rsidR="002A3970" w:rsidRDefault="00C35E63">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FFFFFF"/>
            <w:tcMar>
              <w:top w:w="0" w:type="dxa"/>
              <w:left w:w="20" w:type="dxa"/>
              <w:bottom w:w="0" w:type="dxa"/>
              <w:right w:w="20" w:type="dxa"/>
            </w:tcMar>
            <w:vAlign w:val="bottom"/>
          </w:tcPr>
          <w:p w14:paraId="4B9A3BD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D4" w14:textId="77777777" w:rsidR="002A3970" w:rsidRDefault="00C35E63">
            <w:pPr>
              <w:jc w:val="right"/>
              <w:textAlignment w:val="bottom"/>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bottom"/>
          </w:tcPr>
          <w:p w14:paraId="4B9A3BD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D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D7"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3BD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D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DA" w14:textId="77777777" w:rsidR="002A3970" w:rsidRDefault="00C35E63">
            <w:pPr>
              <w:jc w:val="right"/>
              <w:textAlignment w:val="bottom"/>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bottom"/>
          </w:tcPr>
          <w:p w14:paraId="4B9A3BD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D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DD" w14:textId="77777777" w:rsidR="002A3970" w:rsidRDefault="00C35E63">
            <w:pPr>
              <w:jc w:val="right"/>
              <w:textAlignment w:val="bottom"/>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bottom"/>
          </w:tcPr>
          <w:p w14:paraId="4B9A3BD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BD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BE0" w14:textId="77777777" w:rsidR="002A3970" w:rsidRDefault="00C35E63">
            <w:pPr>
              <w:jc w:val="right"/>
              <w:textAlignment w:val="bottom"/>
            </w:pPr>
            <w:r>
              <w:rPr>
                <w:rFonts w:ascii="Times New Roman" w:eastAsia="宋体" w:hAnsi="Times New Roman"/>
                <w:color w:val="000000"/>
                <w:sz w:val="16"/>
                <w:szCs w:val="16"/>
              </w:rPr>
              <w:t>(73)</w:t>
            </w:r>
          </w:p>
        </w:tc>
        <w:tc>
          <w:tcPr>
            <w:tcW w:w="0" w:type="auto"/>
            <w:shd w:val="clear" w:color="auto" w:fill="FFFFFF"/>
            <w:tcMar>
              <w:top w:w="40" w:type="dxa"/>
              <w:left w:w="0" w:type="dxa"/>
              <w:bottom w:w="40" w:type="dxa"/>
              <w:right w:w="20" w:type="dxa"/>
            </w:tcMar>
            <w:vAlign w:val="bottom"/>
          </w:tcPr>
          <w:p w14:paraId="4B9A3BE1" w14:textId="77777777" w:rsidR="002A3970" w:rsidRDefault="002A3970">
            <w:pPr>
              <w:jc w:val="right"/>
              <w:rPr>
                <w:rFonts w:ascii="宋体"/>
              </w:rPr>
            </w:pPr>
          </w:p>
        </w:tc>
      </w:tr>
      <w:tr w:rsidR="002A3970" w14:paraId="4B9A3BF3" w14:textId="77777777">
        <w:tc>
          <w:tcPr>
            <w:tcW w:w="0" w:type="auto"/>
            <w:gridSpan w:val="3"/>
            <w:shd w:val="clear" w:color="auto" w:fill="CCEEFF"/>
            <w:tcMar>
              <w:top w:w="40" w:type="dxa"/>
              <w:left w:w="20" w:type="dxa"/>
              <w:bottom w:w="40" w:type="dxa"/>
              <w:right w:w="20" w:type="dxa"/>
            </w:tcMar>
            <w:vAlign w:val="bottom"/>
          </w:tcPr>
          <w:p w14:paraId="4B9A3BE3" w14:textId="77777777" w:rsidR="002A3970" w:rsidRDefault="00C35E63">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4B9A3BE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BE5"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B9A3BE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E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BE8"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B9A3BE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E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BEB" w14:textId="77777777" w:rsidR="002A3970" w:rsidRDefault="00C35E63">
            <w:pPr>
              <w:jc w:val="right"/>
              <w:textAlignment w:val="bottom"/>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bottom"/>
          </w:tcPr>
          <w:p w14:paraId="4B9A3BE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E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BEE" w14:textId="77777777" w:rsidR="002A3970" w:rsidRDefault="00C35E63">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4B9A3BE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BF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BF1" w14:textId="77777777" w:rsidR="002A3970" w:rsidRDefault="00C35E63">
            <w:pPr>
              <w:jc w:val="right"/>
              <w:textAlignment w:val="bottom"/>
            </w:pPr>
            <w:r>
              <w:rPr>
                <w:rFonts w:ascii="Times New Roman" w:eastAsia="宋体" w:hAnsi="Times New Roman"/>
                <w:color w:val="000000"/>
                <w:sz w:val="16"/>
                <w:szCs w:val="16"/>
              </w:rPr>
              <w:t>43 </w:t>
            </w:r>
          </w:p>
        </w:tc>
        <w:tc>
          <w:tcPr>
            <w:tcW w:w="0" w:type="auto"/>
            <w:shd w:val="clear" w:color="auto" w:fill="CCEEFF"/>
            <w:tcMar>
              <w:top w:w="40" w:type="dxa"/>
              <w:left w:w="0" w:type="dxa"/>
              <w:bottom w:w="40" w:type="dxa"/>
              <w:right w:w="20" w:type="dxa"/>
            </w:tcMar>
            <w:vAlign w:val="bottom"/>
          </w:tcPr>
          <w:p w14:paraId="4B9A3BF2" w14:textId="77777777" w:rsidR="002A3970" w:rsidRDefault="002A3970">
            <w:pPr>
              <w:jc w:val="right"/>
              <w:rPr>
                <w:rFonts w:ascii="宋体"/>
              </w:rPr>
            </w:pPr>
          </w:p>
        </w:tc>
      </w:tr>
      <w:tr w:rsidR="002A3970" w14:paraId="4B9A3C09" w14:textId="77777777">
        <w:tc>
          <w:tcPr>
            <w:tcW w:w="0" w:type="auto"/>
            <w:gridSpan w:val="3"/>
            <w:shd w:val="clear" w:color="auto" w:fill="FFFFFF"/>
            <w:tcMar>
              <w:top w:w="40" w:type="dxa"/>
              <w:left w:w="20" w:type="dxa"/>
              <w:bottom w:w="40" w:type="dxa"/>
              <w:right w:w="20" w:type="dxa"/>
            </w:tcMar>
            <w:vAlign w:val="bottom"/>
          </w:tcPr>
          <w:p w14:paraId="4B9A3BF4" w14:textId="77777777" w:rsidR="002A3970" w:rsidRDefault="00C35E63">
            <w:pPr>
              <w:textAlignment w:val="bottom"/>
            </w:pPr>
            <w:r>
              <w:rPr>
                <w:rFonts w:ascii="Times New Roman" w:eastAsia="宋体" w:hAnsi="Times New Roman"/>
                <w:b/>
                <w:bCs/>
                <w:color w:val="000000"/>
                <w:sz w:val="16"/>
                <w:szCs w:val="16"/>
              </w:rPr>
              <w:t>Balances as of July 31, 2021</w:t>
            </w:r>
          </w:p>
        </w:tc>
        <w:tc>
          <w:tcPr>
            <w:tcW w:w="0" w:type="auto"/>
            <w:gridSpan w:val="3"/>
            <w:shd w:val="clear" w:color="auto" w:fill="FFFFFF"/>
            <w:tcMar>
              <w:top w:w="0" w:type="dxa"/>
              <w:left w:w="20" w:type="dxa"/>
              <w:bottom w:w="0" w:type="dxa"/>
              <w:right w:w="20" w:type="dxa"/>
            </w:tcMar>
            <w:vAlign w:val="bottom"/>
          </w:tcPr>
          <w:p w14:paraId="4B9A3BF5"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BF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BF7" w14:textId="77777777" w:rsidR="002A3970" w:rsidRDefault="00C35E63">
            <w:pPr>
              <w:jc w:val="right"/>
              <w:textAlignment w:val="center"/>
            </w:pPr>
            <w:r>
              <w:rPr>
                <w:rFonts w:ascii="Times New Roman" w:eastAsia="宋体" w:hAnsi="Times New Roman"/>
                <w:color w:val="000000"/>
                <w:sz w:val="16"/>
                <w:szCs w:val="16"/>
              </w:rPr>
              <w:t>(7,616)</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BF8"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BF9"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BF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BFB"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BFC"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BFD"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BF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BFF" w14:textId="77777777" w:rsidR="002A3970" w:rsidRDefault="00C35E63">
            <w:pPr>
              <w:jc w:val="right"/>
              <w:textAlignment w:val="center"/>
            </w:pPr>
            <w:r>
              <w:rPr>
                <w:rFonts w:ascii="Times New Roman" w:eastAsia="宋体" w:hAnsi="Times New Roman"/>
                <w:color w:val="000000"/>
                <w:sz w:val="16"/>
                <w:szCs w:val="16"/>
              </w:rPr>
              <w:t>(439)</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C00"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C01"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C0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C03" w14:textId="77777777" w:rsidR="002A3970" w:rsidRDefault="00C35E63">
            <w:pPr>
              <w:jc w:val="right"/>
              <w:textAlignment w:val="center"/>
            </w:pPr>
            <w:r>
              <w:rPr>
                <w:rFonts w:ascii="Times New Roman" w:eastAsia="宋体" w:hAnsi="Times New Roman"/>
                <w:color w:val="000000"/>
                <w:sz w:val="16"/>
                <w:szCs w:val="16"/>
              </w:rPr>
              <w:t>(15)</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C04" w14:textId="77777777" w:rsidR="002A3970" w:rsidRDefault="002A3970">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3C05"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3C0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3C07" w14:textId="77777777" w:rsidR="002A3970" w:rsidRDefault="00C35E63">
            <w:pPr>
              <w:jc w:val="right"/>
              <w:textAlignment w:val="center"/>
            </w:pPr>
            <w:r>
              <w:rPr>
                <w:rFonts w:ascii="Times New Roman" w:eastAsia="宋体" w:hAnsi="Times New Roman"/>
                <w:color w:val="000000"/>
                <w:sz w:val="16"/>
                <w:szCs w:val="16"/>
              </w:rPr>
              <w:t>(7,976)</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3C08" w14:textId="77777777" w:rsidR="002A3970" w:rsidRDefault="002A3970">
            <w:pPr>
              <w:jc w:val="right"/>
              <w:rPr>
                <w:rFonts w:ascii="宋体"/>
              </w:rPr>
            </w:pPr>
          </w:p>
        </w:tc>
      </w:tr>
      <w:tr w:rsidR="002A3970" w14:paraId="4B9A3C1A" w14:textId="77777777">
        <w:tc>
          <w:tcPr>
            <w:tcW w:w="0" w:type="auto"/>
            <w:gridSpan w:val="3"/>
            <w:shd w:val="clear" w:color="auto" w:fill="CCEEFF"/>
            <w:tcMar>
              <w:top w:w="40" w:type="dxa"/>
              <w:left w:w="20" w:type="dxa"/>
              <w:bottom w:w="40" w:type="dxa"/>
              <w:right w:w="20" w:type="dxa"/>
            </w:tcMar>
            <w:vAlign w:val="bottom"/>
          </w:tcPr>
          <w:p w14:paraId="4B9A3C0A" w14:textId="77777777" w:rsidR="002A3970" w:rsidRDefault="00C35E63">
            <w:pPr>
              <w:textAlignment w:val="bottom"/>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CCEEFF"/>
            <w:tcMar>
              <w:top w:w="0" w:type="dxa"/>
              <w:left w:w="20" w:type="dxa"/>
              <w:bottom w:w="0" w:type="dxa"/>
              <w:right w:w="20" w:type="dxa"/>
            </w:tcMar>
            <w:vAlign w:val="bottom"/>
          </w:tcPr>
          <w:p w14:paraId="4B9A3C0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C0C" w14:textId="77777777" w:rsidR="002A3970" w:rsidRDefault="00C35E63">
            <w:pPr>
              <w:jc w:val="right"/>
              <w:textAlignment w:val="bottom"/>
            </w:pPr>
            <w:r>
              <w:rPr>
                <w:rFonts w:ascii="Times New Roman" w:eastAsia="宋体" w:hAnsi="Times New Roman"/>
                <w:color w:val="000000"/>
                <w:sz w:val="16"/>
                <w:szCs w:val="16"/>
              </w:rPr>
              <w:t>(330)</w:t>
            </w:r>
          </w:p>
        </w:tc>
        <w:tc>
          <w:tcPr>
            <w:tcW w:w="0" w:type="auto"/>
            <w:shd w:val="clear" w:color="auto" w:fill="CCEEFF"/>
            <w:tcMar>
              <w:top w:w="40" w:type="dxa"/>
              <w:left w:w="0" w:type="dxa"/>
              <w:bottom w:w="40" w:type="dxa"/>
              <w:right w:w="20" w:type="dxa"/>
            </w:tcMar>
            <w:vAlign w:val="bottom"/>
          </w:tcPr>
          <w:p w14:paraId="4B9A3C0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0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C0F"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B9A3C1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1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C12" w14:textId="77777777" w:rsidR="002A3970" w:rsidRDefault="00C35E63">
            <w:pPr>
              <w:jc w:val="right"/>
              <w:textAlignment w:val="bottom"/>
            </w:pPr>
            <w:r>
              <w:rPr>
                <w:rFonts w:ascii="Times New Roman" w:eastAsia="宋体" w:hAnsi="Times New Roman"/>
                <w:color w:val="000000"/>
                <w:sz w:val="16"/>
                <w:szCs w:val="16"/>
              </w:rPr>
              <w:t>(181)</w:t>
            </w:r>
          </w:p>
        </w:tc>
        <w:tc>
          <w:tcPr>
            <w:tcW w:w="0" w:type="auto"/>
            <w:shd w:val="clear" w:color="auto" w:fill="CCEEFF"/>
            <w:tcMar>
              <w:top w:w="40" w:type="dxa"/>
              <w:left w:w="0" w:type="dxa"/>
              <w:bottom w:w="40" w:type="dxa"/>
              <w:right w:w="20" w:type="dxa"/>
            </w:tcMar>
            <w:vAlign w:val="bottom"/>
          </w:tcPr>
          <w:p w14:paraId="4B9A3C1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1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C15" w14:textId="77777777" w:rsidR="002A3970" w:rsidRDefault="00C35E63">
            <w:pPr>
              <w:jc w:val="right"/>
              <w:textAlignment w:val="bottom"/>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bottom"/>
          </w:tcPr>
          <w:p w14:paraId="4B9A3C1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1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C18" w14:textId="77777777" w:rsidR="002A3970" w:rsidRDefault="00C35E63">
            <w:pPr>
              <w:jc w:val="right"/>
              <w:textAlignment w:val="bottom"/>
            </w:pPr>
            <w:r>
              <w:rPr>
                <w:rFonts w:ascii="Times New Roman" w:eastAsia="宋体" w:hAnsi="Times New Roman"/>
                <w:color w:val="000000"/>
                <w:sz w:val="16"/>
                <w:szCs w:val="16"/>
              </w:rPr>
              <w:t>(507)</w:t>
            </w:r>
          </w:p>
        </w:tc>
        <w:tc>
          <w:tcPr>
            <w:tcW w:w="0" w:type="auto"/>
            <w:shd w:val="clear" w:color="auto" w:fill="CCEEFF"/>
            <w:tcMar>
              <w:top w:w="40" w:type="dxa"/>
              <w:left w:w="0" w:type="dxa"/>
              <w:bottom w:w="40" w:type="dxa"/>
              <w:right w:w="20" w:type="dxa"/>
            </w:tcMar>
            <w:vAlign w:val="bottom"/>
          </w:tcPr>
          <w:p w14:paraId="4B9A3C19" w14:textId="77777777" w:rsidR="002A3970" w:rsidRDefault="002A3970">
            <w:pPr>
              <w:jc w:val="right"/>
              <w:rPr>
                <w:rFonts w:ascii="宋体"/>
              </w:rPr>
            </w:pPr>
          </w:p>
        </w:tc>
      </w:tr>
      <w:tr w:rsidR="002A3970" w14:paraId="4B9A3C2B" w14:textId="77777777">
        <w:tc>
          <w:tcPr>
            <w:tcW w:w="0" w:type="auto"/>
            <w:gridSpan w:val="3"/>
            <w:shd w:val="clear" w:color="auto" w:fill="FFFFFF"/>
            <w:tcMar>
              <w:top w:w="40" w:type="dxa"/>
              <w:left w:w="20" w:type="dxa"/>
              <w:bottom w:w="40" w:type="dxa"/>
              <w:right w:w="20" w:type="dxa"/>
            </w:tcMar>
            <w:vAlign w:val="bottom"/>
          </w:tcPr>
          <w:p w14:paraId="4B9A3C1B" w14:textId="77777777" w:rsidR="002A3970" w:rsidRDefault="00C35E63">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4B9A3C1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C1D"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3C1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1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C20"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3C2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2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C23" w14:textId="77777777" w:rsidR="002A3970" w:rsidRDefault="00C35E63">
            <w:pPr>
              <w:jc w:val="right"/>
              <w:textAlignment w:val="bottom"/>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bottom"/>
          </w:tcPr>
          <w:p w14:paraId="4B9A3C2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2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C26" w14:textId="77777777" w:rsidR="002A3970" w:rsidRDefault="00C35E63">
            <w:pPr>
              <w:jc w:val="right"/>
              <w:textAlignment w:val="bottom"/>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bottom"/>
          </w:tcPr>
          <w:p w14:paraId="4B9A3C2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2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C29" w14:textId="77777777" w:rsidR="002A3970" w:rsidRDefault="00C35E63">
            <w:pPr>
              <w:jc w:val="right"/>
              <w:textAlignment w:val="bottom"/>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bottom"/>
          </w:tcPr>
          <w:p w14:paraId="4B9A3C2A" w14:textId="77777777" w:rsidR="002A3970" w:rsidRDefault="002A3970">
            <w:pPr>
              <w:jc w:val="right"/>
              <w:rPr>
                <w:rFonts w:ascii="宋体"/>
              </w:rPr>
            </w:pPr>
          </w:p>
        </w:tc>
      </w:tr>
      <w:tr w:rsidR="002A3970" w14:paraId="4B9A3C41" w14:textId="77777777">
        <w:tc>
          <w:tcPr>
            <w:tcW w:w="0" w:type="auto"/>
            <w:gridSpan w:val="3"/>
            <w:shd w:val="clear" w:color="auto" w:fill="CCEEFF"/>
            <w:tcMar>
              <w:top w:w="40" w:type="dxa"/>
              <w:left w:w="20" w:type="dxa"/>
              <w:bottom w:w="40" w:type="dxa"/>
              <w:right w:w="20" w:type="dxa"/>
            </w:tcMar>
            <w:vAlign w:val="bottom"/>
          </w:tcPr>
          <w:p w14:paraId="4B9A3C2C" w14:textId="77777777" w:rsidR="002A3970" w:rsidRDefault="00C35E63">
            <w:pPr>
              <w:textAlignment w:val="bottom"/>
            </w:pPr>
            <w:r>
              <w:rPr>
                <w:rFonts w:ascii="Times New Roman" w:eastAsia="宋体" w:hAnsi="Times New Roman"/>
                <w:b/>
                <w:bCs/>
                <w:color w:val="000000"/>
                <w:sz w:val="16"/>
                <w:szCs w:val="16"/>
              </w:rPr>
              <w:t>Balances as of October 31, 2021</w:t>
            </w:r>
          </w:p>
        </w:tc>
        <w:tc>
          <w:tcPr>
            <w:tcW w:w="0" w:type="auto"/>
            <w:gridSpan w:val="3"/>
            <w:shd w:val="clear" w:color="auto" w:fill="CCEEFF"/>
            <w:tcMar>
              <w:top w:w="0" w:type="dxa"/>
              <w:left w:w="20" w:type="dxa"/>
              <w:bottom w:w="0" w:type="dxa"/>
              <w:right w:w="20" w:type="dxa"/>
            </w:tcMar>
            <w:vAlign w:val="bottom"/>
          </w:tcPr>
          <w:p w14:paraId="4B9A3C2D"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C2E"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C2F" w14:textId="77777777" w:rsidR="002A3970" w:rsidRDefault="00C35E63">
            <w:pPr>
              <w:jc w:val="right"/>
              <w:textAlignment w:val="bottom"/>
            </w:pPr>
            <w:r>
              <w:rPr>
                <w:rFonts w:ascii="Times New Roman" w:eastAsia="宋体" w:hAnsi="Times New Roman"/>
                <w:color w:val="000000"/>
                <w:sz w:val="16"/>
                <w:szCs w:val="16"/>
              </w:rPr>
              <w:t>(7,946)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C3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31"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C32"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C33" w14:textId="77777777" w:rsidR="002A3970" w:rsidRDefault="00C35E63">
            <w:pPr>
              <w:jc w:val="right"/>
              <w:textAlignment w:val="bottom"/>
            </w:pPr>
            <w:r>
              <w:rPr>
                <w:rFonts w:ascii="Times New Roman" w:eastAsia="宋体" w:hAnsi="Times New Roman"/>
                <w:color w:val="000000"/>
                <w:sz w:val="16"/>
                <w:szCs w:val="16"/>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C3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35"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C36"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C37" w14:textId="77777777" w:rsidR="002A3970" w:rsidRDefault="00C35E63">
            <w:pPr>
              <w:jc w:val="right"/>
              <w:textAlignment w:val="bottom"/>
            </w:pPr>
            <w:r>
              <w:rPr>
                <w:rFonts w:ascii="Times New Roman" w:eastAsia="宋体" w:hAnsi="Times New Roman"/>
                <w:color w:val="000000"/>
                <w:sz w:val="16"/>
                <w:szCs w:val="16"/>
              </w:rPr>
              <w:t>(622)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C3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39"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C3A"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C3B" w14:textId="77777777" w:rsidR="002A3970" w:rsidRDefault="00C35E63">
            <w:pPr>
              <w:jc w:val="right"/>
              <w:textAlignment w:val="bottom"/>
            </w:pPr>
            <w:r>
              <w:rPr>
                <w:rFonts w:ascii="Times New Roman" w:eastAsia="宋体" w:hAnsi="Times New Roman"/>
                <w:color w:val="000000"/>
                <w:sz w:val="16"/>
                <w:szCs w:val="16"/>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C3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3D"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C3E"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C3F" w14:textId="77777777" w:rsidR="002A3970" w:rsidRDefault="00C35E63">
            <w:pPr>
              <w:jc w:val="right"/>
              <w:textAlignment w:val="bottom"/>
            </w:pPr>
            <w:r>
              <w:rPr>
                <w:rFonts w:ascii="Times New Roman" w:eastAsia="宋体" w:hAnsi="Times New Roman"/>
                <w:color w:val="000000"/>
                <w:sz w:val="16"/>
                <w:szCs w:val="16"/>
              </w:rPr>
              <w:t>(8,488)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C40" w14:textId="77777777" w:rsidR="002A3970" w:rsidRDefault="002A3970">
            <w:pPr>
              <w:jc w:val="right"/>
              <w:rPr>
                <w:rFonts w:ascii="宋体"/>
              </w:rPr>
            </w:pPr>
          </w:p>
        </w:tc>
      </w:tr>
    </w:tbl>
    <w:p w14:paraId="4B9A3C42" w14:textId="77777777" w:rsidR="002A3970" w:rsidRDefault="00C35E63">
      <w:pPr>
        <w:spacing w:before="80" w:after="100"/>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other comprehensive loss, the majority of which was considered in the impairment evaluation</w:t>
      </w:r>
      <w:r>
        <w:rPr>
          <w:rFonts w:ascii="Times New Roman" w:eastAsia="宋体" w:hAnsi="Times New Roman"/>
          <w:color w:val="000000"/>
          <w:sz w:val="16"/>
          <w:szCs w:val="16"/>
        </w:rPr>
        <w:t xml:space="preserve"> when the individual disposal groups met the held for sale classification in fiscal 2021.</w:t>
      </w:r>
    </w:p>
    <w:p w14:paraId="4B9A3C43" w14:textId="77777777" w:rsidR="002A3970" w:rsidRDefault="00C35E63">
      <w:pPr>
        <w:spacing w:before="240"/>
      </w:pPr>
      <w:r>
        <w:rPr>
          <w:rFonts w:ascii="Times New Roman" w:eastAsia="宋体" w:hAnsi="Times New Roman"/>
          <w:b/>
          <w:bCs/>
          <w:color w:val="000000"/>
          <w:sz w:val="20"/>
          <w:szCs w:val="20"/>
        </w:rPr>
        <w:t>Note 4. Short-term Borrowings and Long-term Debt</w:t>
      </w:r>
    </w:p>
    <w:p w14:paraId="4B9A3C44" w14:textId="77777777" w:rsidR="002A3970" w:rsidRDefault="00C35E63">
      <w:pPr>
        <w:spacing w:before="180" w:after="100"/>
      </w:pPr>
      <w:r>
        <w:rPr>
          <w:rFonts w:ascii="Times New Roman" w:eastAsia="宋体" w:hAnsi="Times New Roman"/>
          <w:color w:val="000000"/>
          <w:sz w:val="20"/>
          <w:szCs w:val="20"/>
        </w:rPr>
        <w:t xml:space="preserve">The Company has various committed lines of credit in the U.S. that are used to support its commercial paper </w:t>
      </w:r>
      <w:r>
        <w:rPr>
          <w:rFonts w:ascii="Times New Roman" w:eastAsia="宋体" w:hAnsi="Times New Roman"/>
          <w:color w:val="000000"/>
          <w:sz w:val="20"/>
          <w:szCs w:val="20"/>
        </w:rPr>
        <w:t>program. In April 2022, the Company renewed and extended its existing 364-day revolving credit facility of $10.0 billion as well as its five-year credit facility of $5.0 billion. In total, the Company had committed lines of credit in the U.S. of $15.0 bill</w:t>
      </w:r>
      <w:r>
        <w:rPr>
          <w:rFonts w:ascii="Times New Roman" w:eastAsia="宋体" w:hAnsi="Times New Roman"/>
          <w:color w:val="000000"/>
          <w:sz w:val="20"/>
          <w:szCs w:val="20"/>
        </w:rPr>
        <w:t>ion at October 31, 2022 and January 31, 2022, all undrawn.</w:t>
      </w:r>
    </w:p>
    <w:p w14:paraId="4B9A3C45" w14:textId="77777777" w:rsidR="002A3970" w:rsidRDefault="00C35E63">
      <w:pPr>
        <w:spacing w:before="100"/>
      </w:pPr>
      <w:r>
        <w:rPr>
          <w:rFonts w:ascii="Times New Roman" w:eastAsia="宋体" w:hAnsi="Times New Roman"/>
          <w:color w:val="000000"/>
          <w:sz w:val="20"/>
          <w:szCs w:val="20"/>
        </w:rPr>
        <w:t>The following table provides the changes in the Company's long-term debt for the nine months ended October 31, 2022:</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2A3970" w14:paraId="4B9A3C5B" w14:textId="77777777">
        <w:tc>
          <w:tcPr>
            <w:tcW w:w="50" w:type="pct"/>
            <w:shd w:val="clear" w:color="auto" w:fill="auto"/>
            <w:vAlign w:val="bottom"/>
          </w:tcPr>
          <w:p w14:paraId="4B9A3C46" w14:textId="77777777" w:rsidR="002A3970" w:rsidRDefault="002A3970">
            <w:pPr>
              <w:rPr>
                <w:rFonts w:ascii="宋体"/>
              </w:rPr>
            </w:pPr>
          </w:p>
        </w:tc>
        <w:tc>
          <w:tcPr>
            <w:tcW w:w="2613" w:type="pct"/>
            <w:shd w:val="clear" w:color="auto" w:fill="auto"/>
            <w:vAlign w:val="bottom"/>
          </w:tcPr>
          <w:p w14:paraId="4B9A3C47" w14:textId="77777777" w:rsidR="002A3970" w:rsidRDefault="002A3970">
            <w:pPr>
              <w:rPr>
                <w:rFonts w:ascii="宋体"/>
              </w:rPr>
            </w:pPr>
          </w:p>
        </w:tc>
        <w:tc>
          <w:tcPr>
            <w:tcW w:w="5" w:type="pct"/>
            <w:shd w:val="clear" w:color="auto" w:fill="auto"/>
            <w:vAlign w:val="bottom"/>
          </w:tcPr>
          <w:p w14:paraId="4B9A3C48" w14:textId="77777777" w:rsidR="002A3970" w:rsidRDefault="002A3970">
            <w:pPr>
              <w:rPr>
                <w:rFonts w:ascii="宋体"/>
              </w:rPr>
            </w:pPr>
          </w:p>
        </w:tc>
        <w:tc>
          <w:tcPr>
            <w:tcW w:w="5" w:type="pct"/>
            <w:shd w:val="clear" w:color="auto" w:fill="auto"/>
            <w:vAlign w:val="bottom"/>
          </w:tcPr>
          <w:p w14:paraId="4B9A3C49" w14:textId="77777777" w:rsidR="002A3970" w:rsidRDefault="002A3970">
            <w:pPr>
              <w:rPr>
                <w:rFonts w:ascii="宋体"/>
              </w:rPr>
            </w:pPr>
          </w:p>
        </w:tc>
        <w:tc>
          <w:tcPr>
            <w:tcW w:w="26" w:type="pct"/>
            <w:shd w:val="clear" w:color="auto" w:fill="auto"/>
            <w:vAlign w:val="bottom"/>
          </w:tcPr>
          <w:p w14:paraId="4B9A3C4A" w14:textId="77777777" w:rsidR="002A3970" w:rsidRDefault="002A3970">
            <w:pPr>
              <w:rPr>
                <w:rFonts w:ascii="宋体"/>
              </w:rPr>
            </w:pPr>
          </w:p>
        </w:tc>
        <w:tc>
          <w:tcPr>
            <w:tcW w:w="5" w:type="pct"/>
            <w:shd w:val="clear" w:color="auto" w:fill="auto"/>
            <w:vAlign w:val="bottom"/>
          </w:tcPr>
          <w:p w14:paraId="4B9A3C4B" w14:textId="77777777" w:rsidR="002A3970" w:rsidRDefault="002A3970">
            <w:pPr>
              <w:rPr>
                <w:rFonts w:ascii="宋体"/>
              </w:rPr>
            </w:pPr>
          </w:p>
        </w:tc>
        <w:tc>
          <w:tcPr>
            <w:tcW w:w="50" w:type="pct"/>
            <w:shd w:val="clear" w:color="auto" w:fill="auto"/>
            <w:vAlign w:val="bottom"/>
          </w:tcPr>
          <w:p w14:paraId="4B9A3C4C" w14:textId="77777777" w:rsidR="002A3970" w:rsidRDefault="002A3970">
            <w:pPr>
              <w:rPr>
                <w:rFonts w:ascii="宋体"/>
              </w:rPr>
            </w:pPr>
          </w:p>
        </w:tc>
        <w:tc>
          <w:tcPr>
            <w:tcW w:w="685" w:type="pct"/>
            <w:shd w:val="clear" w:color="auto" w:fill="auto"/>
            <w:vAlign w:val="bottom"/>
          </w:tcPr>
          <w:p w14:paraId="4B9A3C4D" w14:textId="77777777" w:rsidR="002A3970" w:rsidRDefault="002A3970">
            <w:pPr>
              <w:rPr>
                <w:rFonts w:ascii="宋体"/>
              </w:rPr>
            </w:pPr>
          </w:p>
        </w:tc>
        <w:tc>
          <w:tcPr>
            <w:tcW w:w="5" w:type="pct"/>
            <w:shd w:val="clear" w:color="auto" w:fill="auto"/>
            <w:vAlign w:val="bottom"/>
          </w:tcPr>
          <w:p w14:paraId="4B9A3C4E" w14:textId="77777777" w:rsidR="002A3970" w:rsidRDefault="002A3970">
            <w:pPr>
              <w:rPr>
                <w:rFonts w:ascii="宋体"/>
              </w:rPr>
            </w:pPr>
          </w:p>
        </w:tc>
        <w:tc>
          <w:tcPr>
            <w:tcW w:w="5" w:type="pct"/>
            <w:shd w:val="clear" w:color="auto" w:fill="auto"/>
            <w:vAlign w:val="bottom"/>
          </w:tcPr>
          <w:p w14:paraId="4B9A3C4F" w14:textId="77777777" w:rsidR="002A3970" w:rsidRDefault="002A3970">
            <w:pPr>
              <w:rPr>
                <w:rFonts w:ascii="宋体"/>
              </w:rPr>
            </w:pPr>
          </w:p>
        </w:tc>
        <w:tc>
          <w:tcPr>
            <w:tcW w:w="26" w:type="pct"/>
            <w:shd w:val="clear" w:color="auto" w:fill="auto"/>
            <w:vAlign w:val="bottom"/>
          </w:tcPr>
          <w:p w14:paraId="4B9A3C50" w14:textId="77777777" w:rsidR="002A3970" w:rsidRDefault="002A3970">
            <w:pPr>
              <w:rPr>
                <w:rFonts w:ascii="宋体"/>
              </w:rPr>
            </w:pPr>
          </w:p>
        </w:tc>
        <w:tc>
          <w:tcPr>
            <w:tcW w:w="5" w:type="pct"/>
            <w:shd w:val="clear" w:color="auto" w:fill="auto"/>
            <w:vAlign w:val="bottom"/>
          </w:tcPr>
          <w:p w14:paraId="4B9A3C51" w14:textId="77777777" w:rsidR="002A3970" w:rsidRDefault="002A3970">
            <w:pPr>
              <w:rPr>
                <w:rFonts w:ascii="宋体"/>
              </w:rPr>
            </w:pPr>
          </w:p>
        </w:tc>
        <w:tc>
          <w:tcPr>
            <w:tcW w:w="50" w:type="pct"/>
            <w:shd w:val="clear" w:color="auto" w:fill="auto"/>
            <w:vAlign w:val="bottom"/>
          </w:tcPr>
          <w:p w14:paraId="4B9A3C52" w14:textId="77777777" w:rsidR="002A3970" w:rsidRDefault="002A3970">
            <w:pPr>
              <w:rPr>
                <w:rFonts w:ascii="宋体"/>
              </w:rPr>
            </w:pPr>
          </w:p>
        </w:tc>
        <w:tc>
          <w:tcPr>
            <w:tcW w:w="685" w:type="pct"/>
            <w:shd w:val="clear" w:color="auto" w:fill="auto"/>
            <w:vAlign w:val="bottom"/>
          </w:tcPr>
          <w:p w14:paraId="4B9A3C53" w14:textId="77777777" w:rsidR="002A3970" w:rsidRDefault="002A3970">
            <w:pPr>
              <w:rPr>
                <w:rFonts w:ascii="宋体"/>
              </w:rPr>
            </w:pPr>
          </w:p>
        </w:tc>
        <w:tc>
          <w:tcPr>
            <w:tcW w:w="5" w:type="pct"/>
            <w:shd w:val="clear" w:color="auto" w:fill="auto"/>
            <w:vAlign w:val="bottom"/>
          </w:tcPr>
          <w:p w14:paraId="4B9A3C54" w14:textId="77777777" w:rsidR="002A3970" w:rsidRDefault="002A3970">
            <w:pPr>
              <w:rPr>
                <w:rFonts w:ascii="宋体"/>
              </w:rPr>
            </w:pPr>
          </w:p>
        </w:tc>
        <w:tc>
          <w:tcPr>
            <w:tcW w:w="5" w:type="pct"/>
            <w:shd w:val="clear" w:color="auto" w:fill="auto"/>
            <w:vAlign w:val="bottom"/>
          </w:tcPr>
          <w:p w14:paraId="4B9A3C55" w14:textId="77777777" w:rsidR="002A3970" w:rsidRDefault="002A3970">
            <w:pPr>
              <w:rPr>
                <w:rFonts w:ascii="宋体"/>
              </w:rPr>
            </w:pPr>
          </w:p>
        </w:tc>
        <w:tc>
          <w:tcPr>
            <w:tcW w:w="26" w:type="pct"/>
            <w:shd w:val="clear" w:color="auto" w:fill="auto"/>
            <w:vAlign w:val="bottom"/>
          </w:tcPr>
          <w:p w14:paraId="4B9A3C56" w14:textId="77777777" w:rsidR="002A3970" w:rsidRDefault="002A3970">
            <w:pPr>
              <w:rPr>
                <w:rFonts w:ascii="宋体"/>
              </w:rPr>
            </w:pPr>
          </w:p>
        </w:tc>
        <w:tc>
          <w:tcPr>
            <w:tcW w:w="5" w:type="pct"/>
            <w:shd w:val="clear" w:color="auto" w:fill="auto"/>
            <w:vAlign w:val="bottom"/>
          </w:tcPr>
          <w:p w14:paraId="4B9A3C57" w14:textId="77777777" w:rsidR="002A3970" w:rsidRDefault="002A3970">
            <w:pPr>
              <w:rPr>
                <w:rFonts w:ascii="宋体"/>
              </w:rPr>
            </w:pPr>
          </w:p>
        </w:tc>
        <w:tc>
          <w:tcPr>
            <w:tcW w:w="50" w:type="pct"/>
            <w:shd w:val="clear" w:color="auto" w:fill="auto"/>
            <w:vAlign w:val="bottom"/>
          </w:tcPr>
          <w:p w14:paraId="4B9A3C58" w14:textId="77777777" w:rsidR="002A3970" w:rsidRDefault="002A3970">
            <w:pPr>
              <w:rPr>
                <w:rFonts w:ascii="宋体"/>
              </w:rPr>
            </w:pPr>
          </w:p>
        </w:tc>
        <w:tc>
          <w:tcPr>
            <w:tcW w:w="685" w:type="pct"/>
            <w:shd w:val="clear" w:color="auto" w:fill="auto"/>
            <w:vAlign w:val="bottom"/>
          </w:tcPr>
          <w:p w14:paraId="4B9A3C59" w14:textId="77777777" w:rsidR="002A3970" w:rsidRDefault="002A3970">
            <w:pPr>
              <w:rPr>
                <w:rFonts w:ascii="宋体"/>
              </w:rPr>
            </w:pPr>
          </w:p>
        </w:tc>
        <w:tc>
          <w:tcPr>
            <w:tcW w:w="5" w:type="pct"/>
            <w:shd w:val="clear" w:color="auto" w:fill="auto"/>
            <w:vAlign w:val="bottom"/>
          </w:tcPr>
          <w:p w14:paraId="4B9A3C5A" w14:textId="77777777" w:rsidR="002A3970" w:rsidRDefault="002A3970">
            <w:pPr>
              <w:rPr>
                <w:rFonts w:ascii="宋体"/>
              </w:rPr>
            </w:pPr>
          </w:p>
        </w:tc>
      </w:tr>
      <w:tr w:rsidR="002A3970" w14:paraId="4B9A3C63" w14:textId="77777777">
        <w:tc>
          <w:tcPr>
            <w:tcW w:w="0" w:type="auto"/>
            <w:gridSpan w:val="3"/>
            <w:shd w:val="clear" w:color="auto" w:fill="auto"/>
            <w:tcMar>
              <w:top w:w="40" w:type="dxa"/>
              <w:left w:w="20" w:type="dxa"/>
              <w:bottom w:w="40" w:type="dxa"/>
              <w:right w:w="20" w:type="dxa"/>
            </w:tcMar>
            <w:vAlign w:val="bottom"/>
          </w:tcPr>
          <w:p w14:paraId="4B9A3C5C" w14:textId="77777777" w:rsidR="002A3970" w:rsidRDefault="00C35E63">
            <w:pPr>
              <w:textAlignment w:val="bottom"/>
            </w:pPr>
            <w:r>
              <w:rPr>
                <w:rFonts w:ascii="Times New Roman" w:eastAsia="宋体" w:hAnsi="Times New Roman"/>
                <w:i/>
                <w:iCs/>
                <w:color w:val="000000"/>
                <w:sz w:val="16"/>
                <w:szCs w:val="16"/>
              </w:rPr>
              <w:t>(Amounts i</w:t>
            </w:r>
            <w:r>
              <w:rPr>
                <w:rFonts w:ascii="Times New Roman" w:eastAsia="宋体" w:hAnsi="Times New Roman"/>
                <w:i/>
                <w:iCs/>
                <w:color w:val="000000"/>
                <w:sz w:val="16"/>
                <w:szCs w:val="16"/>
              </w:rPr>
              <w:t>n millions)</w:t>
            </w:r>
          </w:p>
        </w:tc>
        <w:tc>
          <w:tcPr>
            <w:tcW w:w="0" w:type="auto"/>
            <w:gridSpan w:val="3"/>
            <w:shd w:val="clear" w:color="auto" w:fill="auto"/>
            <w:tcMar>
              <w:top w:w="0" w:type="dxa"/>
              <w:left w:w="20" w:type="dxa"/>
              <w:bottom w:w="0" w:type="dxa"/>
              <w:right w:w="20" w:type="dxa"/>
            </w:tcMar>
            <w:vAlign w:val="bottom"/>
          </w:tcPr>
          <w:p w14:paraId="4B9A3C5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5E" w14:textId="77777777" w:rsidR="002A3970" w:rsidRDefault="00C35E63">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4B9A3C5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60" w14:textId="77777777" w:rsidR="002A3970" w:rsidRDefault="00C35E63">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4B9A3C6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62" w14:textId="77777777" w:rsidR="002A3970" w:rsidRDefault="00C35E63">
            <w:pPr>
              <w:jc w:val="center"/>
              <w:textAlignment w:val="bottom"/>
            </w:pPr>
            <w:r>
              <w:rPr>
                <w:rFonts w:ascii="Times New Roman" w:eastAsia="宋体" w:hAnsi="Times New Roman"/>
                <w:b/>
                <w:bCs/>
                <w:color w:val="000000"/>
                <w:sz w:val="16"/>
                <w:szCs w:val="16"/>
              </w:rPr>
              <w:t>Total</w:t>
            </w:r>
          </w:p>
        </w:tc>
      </w:tr>
      <w:tr w:rsidR="002A3970" w14:paraId="4B9A3C71" w14:textId="77777777">
        <w:tc>
          <w:tcPr>
            <w:tcW w:w="0" w:type="auto"/>
            <w:gridSpan w:val="3"/>
            <w:shd w:val="clear" w:color="auto" w:fill="CCEEFF"/>
            <w:tcMar>
              <w:top w:w="40" w:type="dxa"/>
              <w:left w:w="20" w:type="dxa"/>
              <w:bottom w:w="40" w:type="dxa"/>
              <w:right w:w="20" w:type="dxa"/>
            </w:tcMar>
            <w:vAlign w:val="center"/>
          </w:tcPr>
          <w:p w14:paraId="4B9A3C64" w14:textId="77777777" w:rsidR="002A3970" w:rsidRDefault="00C35E63">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4B9A3C6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C6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C67" w14:textId="77777777" w:rsidR="002A3970" w:rsidRDefault="00C35E63">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C6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6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C6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C6B" w14:textId="77777777" w:rsidR="002A3970" w:rsidRDefault="00C35E63">
            <w:pPr>
              <w:jc w:val="right"/>
              <w:textAlignment w:val="center"/>
            </w:pPr>
            <w:r>
              <w:rPr>
                <w:rFonts w:ascii="Times New Roman" w:eastAsia="宋体" w:hAnsi="Times New Roman"/>
                <w:color w:val="000000"/>
                <w:sz w:val="16"/>
                <w:szCs w:val="16"/>
              </w:rPr>
              <w:t>34,864 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C6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6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C6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C6F" w14:textId="77777777" w:rsidR="002A3970" w:rsidRDefault="00C35E63">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C70" w14:textId="77777777" w:rsidR="002A3970" w:rsidRDefault="002A3970">
            <w:pPr>
              <w:jc w:val="right"/>
              <w:rPr>
                <w:rFonts w:ascii="宋体"/>
              </w:rPr>
            </w:pPr>
          </w:p>
        </w:tc>
      </w:tr>
      <w:tr w:rsidR="002A3970" w14:paraId="4B9A3C7C" w14:textId="77777777">
        <w:tc>
          <w:tcPr>
            <w:tcW w:w="0" w:type="auto"/>
            <w:gridSpan w:val="3"/>
            <w:shd w:val="clear" w:color="auto" w:fill="FFFFFF"/>
            <w:tcMar>
              <w:top w:w="40" w:type="dxa"/>
              <w:left w:w="20" w:type="dxa"/>
              <w:bottom w:w="40" w:type="dxa"/>
              <w:right w:w="20" w:type="dxa"/>
            </w:tcMar>
            <w:vAlign w:val="center"/>
          </w:tcPr>
          <w:p w14:paraId="4B9A3C72" w14:textId="77777777" w:rsidR="002A3970" w:rsidRDefault="00C35E63">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vAlign w:val="bottom"/>
          </w:tcPr>
          <w:p w14:paraId="4B9A3C7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C74"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C7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7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C77" w14:textId="77777777" w:rsidR="002A3970" w:rsidRDefault="00C35E63">
            <w:pPr>
              <w:jc w:val="right"/>
              <w:textAlignment w:val="center"/>
            </w:pPr>
            <w:r>
              <w:rPr>
                <w:rFonts w:ascii="Times New Roman" w:eastAsia="宋体" w:hAnsi="Times New Roman"/>
                <w:color w:val="000000"/>
                <w:sz w:val="16"/>
                <w:szCs w:val="16"/>
              </w:rPr>
              <w:t>4,969 </w:t>
            </w:r>
          </w:p>
        </w:tc>
        <w:tc>
          <w:tcPr>
            <w:tcW w:w="0" w:type="auto"/>
            <w:shd w:val="clear" w:color="auto" w:fill="FFFFFF"/>
            <w:tcMar>
              <w:top w:w="40" w:type="dxa"/>
              <w:left w:w="0" w:type="dxa"/>
              <w:bottom w:w="40" w:type="dxa"/>
              <w:right w:w="20" w:type="dxa"/>
            </w:tcMar>
            <w:vAlign w:val="center"/>
          </w:tcPr>
          <w:p w14:paraId="4B9A3C7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7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C7A" w14:textId="77777777" w:rsidR="002A3970" w:rsidRDefault="00C35E63">
            <w:pPr>
              <w:jc w:val="right"/>
              <w:textAlignment w:val="center"/>
            </w:pPr>
            <w:r>
              <w:rPr>
                <w:rFonts w:ascii="Times New Roman" w:eastAsia="宋体" w:hAnsi="Times New Roman"/>
                <w:color w:val="000000"/>
                <w:sz w:val="16"/>
                <w:szCs w:val="16"/>
              </w:rPr>
              <w:t>4,969 </w:t>
            </w:r>
          </w:p>
        </w:tc>
        <w:tc>
          <w:tcPr>
            <w:tcW w:w="0" w:type="auto"/>
            <w:shd w:val="clear" w:color="auto" w:fill="FFFFFF"/>
            <w:tcMar>
              <w:top w:w="40" w:type="dxa"/>
              <w:left w:w="0" w:type="dxa"/>
              <w:bottom w:w="40" w:type="dxa"/>
              <w:right w:w="20" w:type="dxa"/>
            </w:tcMar>
            <w:vAlign w:val="center"/>
          </w:tcPr>
          <w:p w14:paraId="4B9A3C7B" w14:textId="77777777" w:rsidR="002A3970" w:rsidRDefault="002A3970">
            <w:pPr>
              <w:jc w:val="right"/>
              <w:rPr>
                <w:rFonts w:ascii="宋体"/>
              </w:rPr>
            </w:pPr>
          </w:p>
        </w:tc>
      </w:tr>
      <w:tr w:rsidR="002A3970" w14:paraId="4B9A3C87" w14:textId="77777777">
        <w:tc>
          <w:tcPr>
            <w:tcW w:w="0" w:type="auto"/>
            <w:gridSpan w:val="3"/>
            <w:shd w:val="clear" w:color="auto" w:fill="CCEEFF"/>
            <w:tcMar>
              <w:top w:w="40" w:type="dxa"/>
              <w:left w:w="20" w:type="dxa"/>
              <w:bottom w:w="40" w:type="dxa"/>
              <w:right w:w="20" w:type="dxa"/>
            </w:tcMar>
            <w:vAlign w:val="center"/>
          </w:tcPr>
          <w:p w14:paraId="4B9A3C7D" w14:textId="77777777" w:rsidR="002A3970" w:rsidRDefault="00C35E63">
            <w:pPr>
              <w:textAlignment w:val="center"/>
            </w:pPr>
            <w:r>
              <w:rPr>
                <w:rFonts w:ascii="Times New Roman" w:eastAsia="宋体" w:hAnsi="Times New Roman"/>
                <w:color w:val="000000"/>
                <w:sz w:val="16"/>
                <w:szCs w:val="16"/>
              </w:rPr>
              <w:t>Repayments of long-term debt</w:t>
            </w:r>
          </w:p>
        </w:tc>
        <w:tc>
          <w:tcPr>
            <w:tcW w:w="0" w:type="auto"/>
            <w:gridSpan w:val="3"/>
            <w:shd w:val="clear" w:color="auto" w:fill="CCEEFF"/>
            <w:tcMar>
              <w:top w:w="0" w:type="dxa"/>
              <w:left w:w="20" w:type="dxa"/>
              <w:bottom w:w="0" w:type="dxa"/>
              <w:right w:w="20" w:type="dxa"/>
            </w:tcMar>
            <w:vAlign w:val="bottom"/>
          </w:tcPr>
          <w:p w14:paraId="4B9A3C7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C7F" w14:textId="77777777" w:rsidR="002A3970" w:rsidRDefault="00C35E63">
            <w:pPr>
              <w:jc w:val="right"/>
              <w:textAlignment w:val="center"/>
            </w:pPr>
            <w:r>
              <w:rPr>
                <w:rFonts w:ascii="Times New Roman" w:eastAsia="宋体" w:hAnsi="Times New Roman"/>
                <w:color w:val="000000"/>
                <w:sz w:val="16"/>
                <w:szCs w:val="16"/>
              </w:rPr>
              <w:t>(1,439)</w:t>
            </w:r>
          </w:p>
        </w:tc>
        <w:tc>
          <w:tcPr>
            <w:tcW w:w="0" w:type="auto"/>
            <w:shd w:val="clear" w:color="auto" w:fill="CCEEFF"/>
            <w:tcMar>
              <w:top w:w="40" w:type="dxa"/>
              <w:left w:w="0" w:type="dxa"/>
              <w:bottom w:w="40" w:type="dxa"/>
              <w:right w:w="20" w:type="dxa"/>
            </w:tcMar>
            <w:vAlign w:val="center"/>
          </w:tcPr>
          <w:p w14:paraId="4B9A3C8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8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C82"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C8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8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C85" w14:textId="77777777" w:rsidR="002A3970" w:rsidRDefault="00C35E63">
            <w:pPr>
              <w:jc w:val="right"/>
              <w:textAlignment w:val="center"/>
            </w:pPr>
            <w:r>
              <w:rPr>
                <w:rFonts w:ascii="Times New Roman" w:eastAsia="宋体" w:hAnsi="Times New Roman"/>
                <w:color w:val="000000"/>
                <w:sz w:val="16"/>
                <w:szCs w:val="16"/>
              </w:rPr>
              <w:t>(1,439)</w:t>
            </w:r>
          </w:p>
        </w:tc>
        <w:tc>
          <w:tcPr>
            <w:tcW w:w="0" w:type="auto"/>
            <w:shd w:val="clear" w:color="auto" w:fill="CCEEFF"/>
            <w:tcMar>
              <w:top w:w="40" w:type="dxa"/>
              <w:left w:w="0" w:type="dxa"/>
              <w:bottom w:w="40" w:type="dxa"/>
              <w:right w:w="20" w:type="dxa"/>
            </w:tcMar>
            <w:vAlign w:val="center"/>
          </w:tcPr>
          <w:p w14:paraId="4B9A3C86" w14:textId="77777777" w:rsidR="002A3970" w:rsidRDefault="002A3970">
            <w:pPr>
              <w:jc w:val="right"/>
              <w:rPr>
                <w:rFonts w:ascii="宋体"/>
              </w:rPr>
            </w:pPr>
          </w:p>
        </w:tc>
      </w:tr>
      <w:tr w:rsidR="002A3970" w14:paraId="4B9A3C92" w14:textId="77777777">
        <w:tc>
          <w:tcPr>
            <w:tcW w:w="0" w:type="auto"/>
            <w:gridSpan w:val="3"/>
            <w:shd w:val="clear" w:color="auto" w:fill="FFFFFF"/>
            <w:tcMar>
              <w:top w:w="40" w:type="dxa"/>
              <w:left w:w="20" w:type="dxa"/>
              <w:bottom w:w="40" w:type="dxa"/>
              <w:right w:w="20" w:type="dxa"/>
            </w:tcMar>
            <w:vAlign w:val="center"/>
          </w:tcPr>
          <w:p w14:paraId="4B9A3C88" w14:textId="77777777" w:rsidR="002A3970" w:rsidRDefault="00C35E63">
            <w:pPr>
              <w:textAlignment w:val="center"/>
            </w:pPr>
            <w:r>
              <w:rPr>
                <w:rFonts w:ascii="Times New Roman" w:eastAsia="宋体" w:hAnsi="Times New Roman"/>
                <w:color w:val="000000"/>
                <w:sz w:val="16"/>
                <w:szCs w:val="16"/>
              </w:rPr>
              <w:t>Recl</w:t>
            </w:r>
            <w:r>
              <w:rPr>
                <w:rFonts w:ascii="Times New Roman" w:eastAsia="宋体" w:hAnsi="Times New Roman"/>
                <w:color w:val="000000"/>
                <w:sz w:val="16"/>
                <w:szCs w:val="16"/>
              </w:rPr>
              <w:t>assifications of long-term debt</w:t>
            </w:r>
          </w:p>
        </w:tc>
        <w:tc>
          <w:tcPr>
            <w:tcW w:w="0" w:type="auto"/>
            <w:gridSpan w:val="3"/>
            <w:shd w:val="clear" w:color="auto" w:fill="FFFFFF"/>
            <w:tcMar>
              <w:top w:w="0" w:type="dxa"/>
              <w:left w:w="20" w:type="dxa"/>
              <w:bottom w:w="0" w:type="dxa"/>
              <w:right w:w="20" w:type="dxa"/>
            </w:tcMar>
            <w:vAlign w:val="bottom"/>
          </w:tcPr>
          <w:p w14:paraId="4B9A3C8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C8A" w14:textId="77777777" w:rsidR="002A3970" w:rsidRDefault="00C35E63">
            <w:pPr>
              <w:jc w:val="right"/>
              <w:textAlignment w:val="center"/>
            </w:pPr>
            <w:r>
              <w:rPr>
                <w:rFonts w:ascii="Times New Roman" w:eastAsia="宋体" w:hAnsi="Times New Roman"/>
                <w:color w:val="000000"/>
                <w:sz w:val="16"/>
                <w:szCs w:val="16"/>
              </w:rPr>
              <w:t>4,181 </w:t>
            </w:r>
          </w:p>
        </w:tc>
        <w:tc>
          <w:tcPr>
            <w:tcW w:w="0" w:type="auto"/>
            <w:shd w:val="clear" w:color="auto" w:fill="FFFFFF"/>
            <w:tcMar>
              <w:top w:w="40" w:type="dxa"/>
              <w:left w:w="0" w:type="dxa"/>
              <w:bottom w:w="40" w:type="dxa"/>
              <w:right w:w="20" w:type="dxa"/>
            </w:tcMar>
            <w:vAlign w:val="center"/>
          </w:tcPr>
          <w:p w14:paraId="4B9A3C8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8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C8D" w14:textId="77777777" w:rsidR="002A3970" w:rsidRDefault="00C35E63">
            <w:pPr>
              <w:jc w:val="right"/>
              <w:textAlignment w:val="center"/>
            </w:pPr>
            <w:r>
              <w:rPr>
                <w:rFonts w:ascii="Times New Roman" w:eastAsia="宋体" w:hAnsi="Times New Roman"/>
                <w:color w:val="000000"/>
                <w:sz w:val="16"/>
                <w:szCs w:val="16"/>
              </w:rPr>
              <w:t>(4,181)</w:t>
            </w:r>
          </w:p>
        </w:tc>
        <w:tc>
          <w:tcPr>
            <w:tcW w:w="0" w:type="auto"/>
            <w:shd w:val="clear" w:color="auto" w:fill="FFFFFF"/>
            <w:tcMar>
              <w:top w:w="40" w:type="dxa"/>
              <w:left w:w="0" w:type="dxa"/>
              <w:bottom w:w="40" w:type="dxa"/>
              <w:right w:w="20" w:type="dxa"/>
            </w:tcMar>
            <w:vAlign w:val="center"/>
          </w:tcPr>
          <w:p w14:paraId="4B9A3C8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8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C90"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3C91" w14:textId="77777777" w:rsidR="002A3970" w:rsidRDefault="002A3970">
            <w:pPr>
              <w:jc w:val="right"/>
              <w:rPr>
                <w:rFonts w:ascii="宋体"/>
              </w:rPr>
            </w:pPr>
          </w:p>
        </w:tc>
      </w:tr>
      <w:tr w:rsidR="002A3970" w14:paraId="4B9A3C9D" w14:textId="77777777">
        <w:tc>
          <w:tcPr>
            <w:tcW w:w="0" w:type="auto"/>
            <w:gridSpan w:val="3"/>
            <w:shd w:val="clear" w:color="auto" w:fill="CCEEFF"/>
            <w:tcMar>
              <w:top w:w="40" w:type="dxa"/>
              <w:left w:w="20" w:type="dxa"/>
              <w:bottom w:w="40" w:type="dxa"/>
              <w:right w:w="20" w:type="dxa"/>
            </w:tcMar>
            <w:vAlign w:val="bottom"/>
          </w:tcPr>
          <w:p w14:paraId="4B9A3C93" w14:textId="77777777" w:rsidR="002A3970" w:rsidRDefault="00C35E63">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4B9A3C9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C95" w14:textId="77777777" w:rsidR="002A3970" w:rsidRDefault="00C35E63">
            <w:pPr>
              <w:jc w:val="right"/>
              <w:textAlignment w:val="center"/>
            </w:pPr>
            <w:r>
              <w:rPr>
                <w:rFonts w:ascii="Times New Roman" w:eastAsia="宋体" w:hAnsi="Times New Roman"/>
                <w:color w:val="000000"/>
                <w:sz w:val="16"/>
                <w:szCs w:val="16"/>
              </w:rPr>
              <w:t>(87)</w:t>
            </w:r>
          </w:p>
        </w:tc>
        <w:tc>
          <w:tcPr>
            <w:tcW w:w="0" w:type="auto"/>
            <w:shd w:val="clear" w:color="auto" w:fill="CCEEFF"/>
            <w:tcMar>
              <w:top w:w="40" w:type="dxa"/>
              <w:left w:w="0" w:type="dxa"/>
              <w:bottom w:w="40" w:type="dxa"/>
              <w:right w:w="20" w:type="dxa"/>
            </w:tcMar>
            <w:vAlign w:val="center"/>
          </w:tcPr>
          <w:p w14:paraId="4B9A3C9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9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C98" w14:textId="77777777" w:rsidR="002A3970" w:rsidRDefault="00C35E63">
            <w:pPr>
              <w:jc w:val="right"/>
              <w:textAlignment w:val="center"/>
            </w:pPr>
            <w:r>
              <w:rPr>
                <w:rFonts w:ascii="Times New Roman" w:eastAsia="宋体" w:hAnsi="Times New Roman"/>
                <w:color w:val="000000"/>
                <w:sz w:val="16"/>
                <w:szCs w:val="16"/>
              </w:rPr>
              <w:t>(1,717)</w:t>
            </w:r>
          </w:p>
        </w:tc>
        <w:tc>
          <w:tcPr>
            <w:tcW w:w="0" w:type="auto"/>
            <w:shd w:val="clear" w:color="auto" w:fill="CCEEFF"/>
            <w:tcMar>
              <w:top w:w="40" w:type="dxa"/>
              <w:left w:w="0" w:type="dxa"/>
              <w:bottom w:w="40" w:type="dxa"/>
              <w:right w:w="20" w:type="dxa"/>
            </w:tcMar>
            <w:vAlign w:val="center"/>
          </w:tcPr>
          <w:p w14:paraId="4B9A3C9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C9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C9B" w14:textId="77777777" w:rsidR="002A3970" w:rsidRDefault="00C35E63">
            <w:pPr>
              <w:jc w:val="right"/>
              <w:textAlignment w:val="center"/>
            </w:pPr>
            <w:r>
              <w:rPr>
                <w:rFonts w:ascii="Times New Roman" w:eastAsia="宋体" w:hAnsi="Times New Roman"/>
                <w:color w:val="000000"/>
                <w:sz w:val="16"/>
                <w:szCs w:val="16"/>
              </w:rPr>
              <w:t>(1,804)</w:t>
            </w:r>
          </w:p>
        </w:tc>
        <w:tc>
          <w:tcPr>
            <w:tcW w:w="0" w:type="auto"/>
            <w:shd w:val="clear" w:color="auto" w:fill="CCEEFF"/>
            <w:tcMar>
              <w:top w:w="40" w:type="dxa"/>
              <w:left w:w="0" w:type="dxa"/>
              <w:bottom w:w="40" w:type="dxa"/>
              <w:right w:w="20" w:type="dxa"/>
            </w:tcMar>
            <w:vAlign w:val="center"/>
          </w:tcPr>
          <w:p w14:paraId="4B9A3C9C" w14:textId="77777777" w:rsidR="002A3970" w:rsidRDefault="002A3970">
            <w:pPr>
              <w:jc w:val="right"/>
              <w:rPr>
                <w:rFonts w:ascii="宋体"/>
              </w:rPr>
            </w:pPr>
          </w:p>
        </w:tc>
      </w:tr>
      <w:tr w:rsidR="002A3970" w14:paraId="4B9A3CAB" w14:textId="77777777">
        <w:tc>
          <w:tcPr>
            <w:tcW w:w="0" w:type="auto"/>
            <w:gridSpan w:val="3"/>
            <w:shd w:val="clear" w:color="auto" w:fill="FFFFFF"/>
            <w:tcMar>
              <w:top w:w="40" w:type="dxa"/>
              <w:left w:w="20" w:type="dxa"/>
              <w:bottom w:w="40" w:type="dxa"/>
              <w:right w:w="20" w:type="dxa"/>
            </w:tcMar>
            <w:vAlign w:val="center"/>
          </w:tcPr>
          <w:p w14:paraId="4B9A3C9E" w14:textId="77777777" w:rsidR="002A3970" w:rsidRDefault="00C35E63">
            <w:pPr>
              <w:textAlignment w:val="center"/>
            </w:pPr>
            <w:r>
              <w:rPr>
                <w:rFonts w:ascii="Times New Roman" w:eastAsia="宋体" w:hAnsi="Times New Roman"/>
                <w:b/>
                <w:bCs/>
                <w:color w:val="000000"/>
                <w:sz w:val="16"/>
                <w:szCs w:val="16"/>
              </w:rPr>
              <w:t>Balances as of October 31, 2022</w:t>
            </w:r>
          </w:p>
        </w:tc>
        <w:tc>
          <w:tcPr>
            <w:tcW w:w="0" w:type="auto"/>
            <w:gridSpan w:val="3"/>
            <w:shd w:val="clear" w:color="auto" w:fill="FFFFFF"/>
            <w:tcMar>
              <w:top w:w="0" w:type="dxa"/>
              <w:left w:w="20" w:type="dxa"/>
              <w:bottom w:w="0" w:type="dxa"/>
              <w:right w:w="20" w:type="dxa"/>
            </w:tcMar>
            <w:vAlign w:val="bottom"/>
          </w:tcPr>
          <w:p w14:paraId="4B9A3C9F"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CA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CA1" w14:textId="77777777" w:rsidR="002A3970" w:rsidRDefault="00C35E63">
            <w:pPr>
              <w:jc w:val="right"/>
              <w:textAlignment w:val="center"/>
            </w:pPr>
            <w:r>
              <w:rPr>
                <w:rFonts w:ascii="Times New Roman" w:eastAsia="宋体" w:hAnsi="Times New Roman"/>
                <w:color w:val="000000"/>
                <w:sz w:val="16"/>
                <w:szCs w:val="16"/>
              </w:rPr>
              <w:t>5,458 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CA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A3"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CA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CA5" w14:textId="77777777" w:rsidR="002A3970" w:rsidRDefault="00C35E63">
            <w:pPr>
              <w:jc w:val="right"/>
              <w:textAlignment w:val="center"/>
            </w:pPr>
            <w:r>
              <w:rPr>
                <w:rFonts w:ascii="Times New Roman" w:eastAsia="宋体" w:hAnsi="Times New Roman"/>
                <w:color w:val="000000"/>
                <w:sz w:val="16"/>
                <w:szCs w:val="16"/>
              </w:rPr>
              <w:t>33,935 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CA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CA7"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CA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CA9" w14:textId="77777777" w:rsidR="002A3970" w:rsidRDefault="00C35E63">
            <w:pPr>
              <w:jc w:val="right"/>
              <w:textAlignment w:val="center"/>
            </w:pPr>
            <w:r>
              <w:rPr>
                <w:rFonts w:ascii="Times New Roman" w:eastAsia="宋体" w:hAnsi="Times New Roman"/>
                <w:color w:val="000000"/>
                <w:sz w:val="16"/>
                <w:szCs w:val="16"/>
              </w:rPr>
              <w:t>39,393 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CAA" w14:textId="77777777" w:rsidR="002A3970" w:rsidRDefault="002A3970">
            <w:pPr>
              <w:jc w:val="right"/>
              <w:rPr>
                <w:rFonts w:ascii="宋体"/>
              </w:rPr>
            </w:pPr>
          </w:p>
        </w:tc>
      </w:tr>
    </w:tbl>
    <w:p w14:paraId="4B9A3CAC" w14:textId="77777777" w:rsidR="002A3970" w:rsidRDefault="00C35E63">
      <w:pPr>
        <w:spacing w:before="100" w:after="180"/>
      </w:pPr>
      <w:r>
        <w:rPr>
          <w:rFonts w:ascii="Times New Roman" w:eastAsia="宋体" w:hAnsi="Times New Roman"/>
          <w:i/>
          <w:iCs/>
          <w:color w:val="000000"/>
          <w:sz w:val="20"/>
          <w:szCs w:val="20"/>
        </w:rPr>
        <w:t>Debt Issuances</w:t>
      </w:r>
    </w:p>
    <w:p w14:paraId="4B9A3CAD" w14:textId="77777777" w:rsidR="002A3970" w:rsidRDefault="00C35E63">
      <w:pPr>
        <w:spacing w:before="100"/>
      </w:pPr>
      <w:r>
        <w:rPr>
          <w:rFonts w:ascii="Times New Roman" w:eastAsia="宋体" w:hAnsi="Times New Roman"/>
          <w:color w:val="000000"/>
          <w:sz w:val="20"/>
          <w:szCs w:val="20"/>
        </w:rPr>
        <w:t>Information on significant long-term debt issued during the nine months ended October 31, 2022, for general corporate purposes, is as follows:</w:t>
      </w:r>
    </w:p>
    <w:tbl>
      <w:tblPr>
        <w:tblW w:w="5000" w:type="pct"/>
        <w:tblCellMar>
          <w:top w:w="15" w:type="dxa"/>
          <w:left w:w="15" w:type="dxa"/>
          <w:bottom w:w="15" w:type="dxa"/>
          <w:right w:w="15" w:type="dxa"/>
        </w:tblCellMar>
        <w:tblLook w:val="04A0" w:firstRow="1" w:lastRow="0" w:firstColumn="1" w:lastColumn="0" w:noHBand="0" w:noVBand="1"/>
      </w:tblPr>
      <w:tblGrid>
        <w:gridCol w:w="52"/>
        <w:gridCol w:w="1830"/>
        <w:gridCol w:w="37"/>
        <w:gridCol w:w="36"/>
        <w:gridCol w:w="36"/>
        <w:gridCol w:w="36"/>
        <w:gridCol w:w="47"/>
        <w:gridCol w:w="1077"/>
        <w:gridCol w:w="36"/>
        <w:gridCol w:w="36"/>
        <w:gridCol w:w="36"/>
        <w:gridCol w:w="36"/>
        <w:gridCol w:w="50"/>
        <w:gridCol w:w="1074"/>
        <w:gridCol w:w="37"/>
        <w:gridCol w:w="36"/>
        <w:gridCol w:w="36"/>
        <w:gridCol w:w="36"/>
        <w:gridCol w:w="52"/>
        <w:gridCol w:w="1096"/>
        <w:gridCol w:w="36"/>
        <w:gridCol w:w="36"/>
        <w:gridCol w:w="36"/>
        <w:gridCol w:w="36"/>
        <w:gridCol w:w="40"/>
        <w:gridCol w:w="1084"/>
        <w:gridCol w:w="36"/>
        <w:gridCol w:w="36"/>
        <w:gridCol w:w="36"/>
        <w:gridCol w:w="36"/>
        <w:gridCol w:w="101"/>
        <w:gridCol w:w="1075"/>
        <w:gridCol w:w="36"/>
      </w:tblGrid>
      <w:tr w:rsidR="002A3970" w14:paraId="4B9A3CCF" w14:textId="77777777">
        <w:tc>
          <w:tcPr>
            <w:tcW w:w="50" w:type="pct"/>
            <w:shd w:val="clear" w:color="auto" w:fill="auto"/>
            <w:vAlign w:val="bottom"/>
          </w:tcPr>
          <w:p w14:paraId="4B9A3CAE" w14:textId="77777777" w:rsidR="002A3970" w:rsidRDefault="002A3970">
            <w:pPr>
              <w:rPr>
                <w:rFonts w:ascii="宋体"/>
              </w:rPr>
            </w:pPr>
          </w:p>
        </w:tc>
        <w:tc>
          <w:tcPr>
            <w:tcW w:w="1114" w:type="pct"/>
            <w:shd w:val="clear" w:color="auto" w:fill="auto"/>
            <w:vAlign w:val="bottom"/>
          </w:tcPr>
          <w:p w14:paraId="4B9A3CAF" w14:textId="77777777" w:rsidR="002A3970" w:rsidRDefault="002A3970">
            <w:pPr>
              <w:rPr>
                <w:rFonts w:ascii="宋体"/>
              </w:rPr>
            </w:pPr>
          </w:p>
        </w:tc>
        <w:tc>
          <w:tcPr>
            <w:tcW w:w="5" w:type="pct"/>
            <w:shd w:val="clear" w:color="auto" w:fill="auto"/>
            <w:vAlign w:val="bottom"/>
          </w:tcPr>
          <w:p w14:paraId="4B9A3CB0" w14:textId="77777777" w:rsidR="002A3970" w:rsidRDefault="002A3970">
            <w:pPr>
              <w:rPr>
                <w:rFonts w:ascii="宋体"/>
              </w:rPr>
            </w:pPr>
          </w:p>
        </w:tc>
        <w:tc>
          <w:tcPr>
            <w:tcW w:w="5" w:type="pct"/>
            <w:shd w:val="clear" w:color="auto" w:fill="auto"/>
            <w:vAlign w:val="bottom"/>
          </w:tcPr>
          <w:p w14:paraId="4B9A3CB1" w14:textId="77777777" w:rsidR="002A3970" w:rsidRDefault="002A3970">
            <w:pPr>
              <w:rPr>
                <w:rFonts w:ascii="宋体"/>
              </w:rPr>
            </w:pPr>
          </w:p>
        </w:tc>
        <w:tc>
          <w:tcPr>
            <w:tcW w:w="26" w:type="pct"/>
            <w:shd w:val="clear" w:color="auto" w:fill="auto"/>
            <w:vAlign w:val="bottom"/>
          </w:tcPr>
          <w:p w14:paraId="4B9A3CB2" w14:textId="77777777" w:rsidR="002A3970" w:rsidRDefault="002A3970">
            <w:pPr>
              <w:rPr>
                <w:rFonts w:ascii="宋体"/>
              </w:rPr>
            </w:pPr>
          </w:p>
        </w:tc>
        <w:tc>
          <w:tcPr>
            <w:tcW w:w="5" w:type="pct"/>
            <w:shd w:val="clear" w:color="auto" w:fill="auto"/>
            <w:vAlign w:val="bottom"/>
          </w:tcPr>
          <w:p w14:paraId="4B9A3CB3" w14:textId="77777777" w:rsidR="002A3970" w:rsidRDefault="002A3970">
            <w:pPr>
              <w:rPr>
                <w:rFonts w:ascii="宋体"/>
              </w:rPr>
            </w:pPr>
          </w:p>
        </w:tc>
        <w:tc>
          <w:tcPr>
            <w:tcW w:w="50" w:type="pct"/>
            <w:shd w:val="clear" w:color="auto" w:fill="auto"/>
            <w:vAlign w:val="bottom"/>
          </w:tcPr>
          <w:p w14:paraId="4B9A3CB4" w14:textId="77777777" w:rsidR="002A3970" w:rsidRDefault="002A3970">
            <w:pPr>
              <w:rPr>
                <w:rFonts w:ascii="宋体"/>
              </w:rPr>
            </w:pPr>
          </w:p>
        </w:tc>
        <w:tc>
          <w:tcPr>
            <w:tcW w:w="675" w:type="pct"/>
            <w:shd w:val="clear" w:color="auto" w:fill="auto"/>
            <w:vAlign w:val="bottom"/>
          </w:tcPr>
          <w:p w14:paraId="4B9A3CB5" w14:textId="77777777" w:rsidR="002A3970" w:rsidRDefault="002A3970">
            <w:pPr>
              <w:rPr>
                <w:rFonts w:ascii="宋体"/>
              </w:rPr>
            </w:pPr>
          </w:p>
        </w:tc>
        <w:tc>
          <w:tcPr>
            <w:tcW w:w="5" w:type="pct"/>
            <w:shd w:val="clear" w:color="auto" w:fill="auto"/>
            <w:vAlign w:val="bottom"/>
          </w:tcPr>
          <w:p w14:paraId="4B9A3CB6" w14:textId="77777777" w:rsidR="002A3970" w:rsidRDefault="002A3970">
            <w:pPr>
              <w:rPr>
                <w:rFonts w:ascii="宋体"/>
              </w:rPr>
            </w:pPr>
          </w:p>
        </w:tc>
        <w:tc>
          <w:tcPr>
            <w:tcW w:w="5" w:type="pct"/>
            <w:shd w:val="clear" w:color="auto" w:fill="auto"/>
            <w:vAlign w:val="bottom"/>
          </w:tcPr>
          <w:p w14:paraId="4B9A3CB7" w14:textId="77777777" w:rsidR="002A3970" w:rsidRDefault="002A3970">
            <w:pPr>
              <w:rPr>
                <w:rFonts w:ascii="宋体"/>
              </w:rPr>
            </w:pPr>
          </w:p>
        </w:tc>
        <w:tc>
          <w:tcPr>
            <w:tcW w:w="26" w:type="pct"/>
            <w:shd w:val="clear" w:color="auto" w:fill="auto"/>
            <w:vAlign w:val="bottom"/>
          </w:tcPr>
          <w:p w14:paraId="4B9A3CB8" w14:textId="77777777" w:rsidR="002A3970" w:rsidRDefault="002A3970">
            <w:pPr>
              <w:rPr>
                <w:rFonts w:ascii="宋体"/>
              </w:rPr>
            </w:pPr>
          </w:p>
        </w:tc>
        <w:tc>
          <w:tcPr>
            <w:tcW w:w="5" w:type="pct"/>
            <w:shd w:val="clear" w:color="auto" w:fill="auto"/>
            <w:vAlign w:val="bottom"/>
          </w:tcPr>
          <w:p w14:paraId="4B9A3CB9" w14:textId="77777777" w:rsidR="002A3970" w:rsidRDefault="002A3970">
            <w:pPr>
              <w:rPr>
                <w:rFonts w:ascii="宋体"/>
              </w:rPr>
            </w:pPr>
          </w:p>
        </w:tc>
        <w:tc>
          <w:tcPr>
            <w:tcW w:w="50" w:type="pct"/>
            <w:shd w:val="clear" w:color="auto" w:fill="auto"/>
            <w:vAlign w:val="bottom"/>
          </w:tcPr>
          <w:p w14:paraId="4B9A3CBA" w14:textId="77777777" w:rsidR="002A3970" w:rsidRDefault="002A3970">
            <w:pPr>
              <w:rPr>
                <w:rFonts w:ascii="宋体"/>
              </w:rPr>
            </w:pPr>
          </w:p>
        </w:tc>
        <w:tc>
          <w:tcPr>
            <w:tcW w:w="675" w:type="pct"/>
            <w:shd w:val="clear" w:color="auto" w:fill="auto"/>
            <w:vAlign w:val="bottom"/>
          </w:tcPr>
          <w:p w14:paraId="4B9A3CBB" w14:textId="77777777" w:rsidR="002A3970" w:rsidRDefault="002A3970">
            <w:pPr>
              <w:rPr>
                <w:rFonts w:ascii="宋体"/>
              </w:rPr>
            </w:pPr>
          </w:p>
        </w:tc>
        <w:tc>
          <w:tcPr>
            <w:tcW w:w="5" w:type="pct"/>
            <w:shd w:val="clear" w:color="auto" w:fill="auto"/>
            <w:vAlign w:val="bottom"/>
          </w:tcPr>
          <w:p w14:paraId="4B9A3CBC" w14:textId="77777777" w:rsidR="002A3970" w:rsidRDefault="002A3970">
            <w:pPr>
              <w:rPr>
                <w:rFonts w:ascii="宋体"/>
              </w:rPr>
            </w:pPr>
          </w:p>
        </w:tc>
        <w:tc>
          <w:tcPr>
            <w:tcW w:w="5" w:type="pct"/>
            <w:shd w:val="clear" w:color="auto" w:fill="auto"/>
            <w:vAlign w:val="bottom"/>
          </w:tcPr>
          <w:p w14:paraId="4B9A3CBD" w14:textId="77777777" w:rsidR="002A3970" w:rsidRDefault="002A3970">
            <w:pPr>
              <w:rPr>
                <w:rFonts w:ascii="宋体"/>
              </w:rPr>
            </w:pPr>
          </w:p>
        </w:tc>
        <w:tc>
          <w:tcPr>
            <w:tcW w:w="19" w:type="pct"/>
            <w:shd w:val="clear" w:color="auto" w:fill="auto"/>
            <w:vAlign w:val="bottom"/>
          </w:tcPr>
          <w:p w14:paraId="4B9A3CBE" w14:textId="77777777" w:rsidR="002A3970" w:rsidRDefault="002A3970">
            <w:pPr>
              <w:rPr>
                <w:rFonts w:ascii="宋体"/>
              </w:rPr>
            </w:pPr>
          </w:p>
        </w:tc>
        <w:tc>
          <w:tcPr>
            <w:tcW w:w="5" w:type="pct"/>
            <w:shd w:val="clear" w:color="auto" w:fill="auto"/>
            <w:vAlign w:val="bottom"/>
          </w:tcPr>
          <w:p w14:paraId="4B9A3CBF" w14:textId="77777777" w:rsidR="002A3970" w:rsidRDefault="002A3970">
            <w:pPr>
              <w:rPr>
                <w:rFonts w:ascii="宋体"/>
              </w:rPr>
            </w:pPr>
          </w:p>
        </w:tc>
        <w:tc>
          <w:tcPr>
            <w:tcW w:w="50" w:type="pct"/>
            <w:shd w:val="clear" w:color="auto" w:fill="auto"/>
            <w:vAlign w:val="bottom"/>
          </w:tcPr>
          <w:p w14:paraId="4B9A3CC0" w14:textId="77777777" w:rsidR="002A3970" w:rsidRDefault="002A3970">
            <w:pPr>
              <w:rPr>
                <w:rFonts w:ascii="宋体"/>
              </w:rPr>
            </w:pPr>
          </w:p>
        </w:tc>
        <w:tc>
          <w:tcPr>
            <w:tcW w:w="675" w:type="pct"/>
            <w:shd w:val="clear" w:color="auto" w:fill="auto"/>
            <w:vAlign w:val="bottom"/>
          </w:tcPr>
          <w:p w14:paraId="4B9A3CC1" w14:textId="77777777" w:rsidR="002A3970" w:rsidRDefault="002A3970">
            <w:pPr>
              <w:rPr>
                <w:rFonts w:ascii="宋体"/>
              </w:rPr>
            </w:pPr>
          </w:p>
        </w:tc>
        <w:tc>
          <w:tcPr>
            <w:tcW w:w="5" w:type="pct"/>
            <w:shd w:val="clear" w:color="auto" w:fill="auto"/>
            <w:vAlign w:val="bottom"/>
          </w:tcPr>
          <w:p w14:paraId="4B9A3CC2" w14:textId="77777777" w:rsidR="002A3970" w:rsidRDefault="002A3970">
            <w:pPr>
              <w:rPr>
                <w:rFonts w:ascii="宋体"/>
              </w:rPr>
            </w:pPr>
          </w:p>
        </w:tc>
        <w:tc>
          <w:tcPr>
            <w:tcW w:w="5" w:type="pct"/>
            <w:shd w:val="clear" w:color="auto" w:fill="auto"/>
            <w:vAlign w:val="bottom"/>
          </w:tcPr>
          <w:p w14:paraId="4B9A3CC3" w14:textId="77777777" w:rsidR="002A3970" w:rsidRDefault="002A3970">
            <w:pPr>
              <w:rPr>
                <w:rFonts w:ascii="宋体"/>
              </w:rPr>
            </w:pPr>
          </w:p>
        </w:tc>
        <w:tc>
          <w:tcPr>
            <w:tcW w:w="26" w:type="pct"/>
            <w:shd w:val="clear" w:color="auto" w:fill="auto"/>
            <w:vAlign w:val="bottom"/>
          </w:tcPr>
          <w:p w14:paraId="4B9A3CC4" w14:textId="77777777" w:rsidR="002A3970" w:rsidRDefault="002A3970">
            <w:pPr>
              <w:rPr>
                <w:rFonts w:ascii="宋体"/>
              </w:rPr>
            </w:pPr>
          </w:p>
        </w:tc>
        <w:tc>
          <w:tcPr>
            <w:tcW w:w="5" w:type="pct"/>
            <w:shd w:val="clear" w:color="auto" w:fill="auto"/>
            <w:vAlign w:val="bottom"/>
          </w:tcPr>
          <w:p w14:paraId="4B9A3CC5" w14:textId="77777777" w:rsidR="002A3970" w:rsidRDefault="002A3970">
            <w:pPr>
              <w:rPr>
                <w:rFonts w:ascii="宋体"/>
              </w:rPr>
            </w:pPr>
          </w:p>
        </w:tc>
        <w:tc>
          <w:tcPr>
            <w:tcW w:w="50" w:type="pct"/>
            <w:shd w:val="clear" w:color="auto" w:fill="auto"/>
            <w:vAlign w:val="bottom"/>
          </w:tcPr>
          <w:p w14:paraId="4B9A3CC6" w14:textId="77777777" w:rsidR="002A3970" w:rsidRDefault="002A3970">
            <w:pPr>
              <w:rPr>
                <w:rFonts w:ascii="宋体"/>
              </w:rPr>
            </w:pPr>
          </w:p>
        </w:tc>
        <w:tc>
          <w:tcPr>
            <w:tcW w:w="675" w:type="pct"/>
            <w:shd w:val="clear" w:color="auto" w:fill="auto"/>
            <w:vAlign w:val="bottom"/>
          </w:tcPr>
          <w:p w14:paraId="4B9A3CC7" w14:textId="77777777" w:rsidR="002A3970" w:rsidRDefault="002A3970">
            <w:pPr>
              <w:rPr>
                <w:rFonts w:ascii="宋体"/>
              </w:rPr>
            </w:pPr>
          </w:p>
        </w:tc>
        <w:tc>
          <w:tcPr>
            <w:tcW w:w="5" w:type="pct"/>
            <w:shd w:val="clear" w:color="auto" w:fill="auto"/>
            <w:vAlign w:val="bottom"/>
          </w:tcPr>
          <w:p w14:paraId="4B9A3CC8" w14:textId="77777777" w:rsidR="002A3970" w:rsidRDefault="002A3970">
            <w:pPr>
              <w:rPr>
                <w:rFonts w:ascii="宋体"/>
              </w:rPr>
            </w:pPr>
          </w:p>
        </w:tc>
        <w:tc>
          <w:tcPr>
            <w:tcW w:w="5" w:type="pct"/>
            <w:shd w:val="clear" w:color="auto" w:fill="auto"/>
            <w:vAlign w:val="bottom"/>
          </w:tcPr>
          <w:p w14:paraId="4B9A3CC9" w14:textId="77777777" w:rsidR="002A3970" w:rsidRDefault="002A3970">
            <w:pPr>
              <w:rPr>
                <w:rFonts w:ascii="宋体"/>
              </w:rPr>
            </w:pPr>
          </w:p>
        </w:tc>
        <w:tc>
          <w:tcPr>
            <w:tcW w:w="26" w:type="pct"/>
            <w:shd w:val="clear" w:color="auto" w:fill="auto"/>
            <w:vAlign w:val="bottom"/>
          </w:tcPr>
          <w:p w14:paraId="4B9A3CCA" w14:textId="77777777" w:rsidR="002A3970" w:rsidRDefault="002A3970">
            <w:pPr>
              <w:rPr>
                <w:rFonts w:ascii="宋体"/>
              </w:rPr>
            </w:pPr>
          </w:p>
        </w:tc>
        <w:tc>
          <w:tcPr>
            <w:tcW w:w="5" w:type="pct"/>
            <w:shd w:val="clear" w:color="auto" w:fill="auto"/>
            <w:vAlign w:val="bottom"/>
          </w:tcPr>
          <w:p w14:paraId="4B9A3CCB" w14:textId="77777777" w:rsidR="002A3970" w:rsidRDefault="002A3970">
            <w:pPr>
              <w:rPr>
                <w:rFonts w:ascii="宋体"/>
              </w:rPr>
            </w:pPr>
          </w:p>
        </w:tc>
        <w:tc>
          <w:tcPr>
            <w:tcW w:w="50" w:type="pct"/>
            <w:shd w:val="clear" w:color="auto" w:fill="auto"/>
            <w:vAlign w:val="bottom"/>
          </w:tcPr>
          <w:p w14:paraId="4B9A3CCC" w14:textId="77777777" w:rsidR="002A3970" w:rsidRDefault="002A3970">
            <w:pPr>
              <w:rPr>
                <w:rFonts w:ascii="宋体"/>
              </w:rPr>
            </w:pPr>
          </w:p>
        </w:tc>
        <w:tc>
          <w:tcPr>
            <w:tcW w:w="676" w:type="pct"/>
            <w:shd w:val="clear" w:color="auto" w:fill="auto"/>
            <w:vAlign w:val="bottom"/>
          </w:tcPr>
          <w:p w14:paraId="4B9A3CCD" w14:textId="77777777" w:rsidR="002A3970" w:rsidRDefault="002A3970">
            <w:pPr>
              <w:rPr>
                <w:rFonts w:ascii="宋体"/>
              </w:rPr>
            </w:pPr>
          </w:p>
        </w:tc>
        <w:tc>
          <w:tcPr>
            <w:tcW w:w="5" w:type="pct"/>
            <w:shd w:val="clear" w:color="auto" w:fill="auto"/>
            <w:vAlign w:val="bottom"/>
          </w:tcPr>
          <w:p w14:paraId="4B9A3CCE" w14:textId="77777777" w:rsidR="002A3970" w:rsidRDefault="002A3970">
            <w:pPr>
              <w:rPr>
                <w:rFonts w:ascii="宋体"/>
              </w:rPr>
            </w:pPr>
          </w:p>
        </w:tc>
      </w:tr>
      <w:tr w:rsidR="002A3970" w14:paraId="4B9A3CDB" w14:textId="77777777">
        <w:tc>
          <w:tcPr>
            <w:tcW w:w="0" w:type="auto"/>
            <w:gridSpan w:val="3"/>
            <w:shd w:val="clear" w:color="auto" w:fill="auto"/>
            <w:tcMar>
              <w:top w:w="40" w:type="dxa"/>
              <w:left w:w="20" w:type="dxa"/>
              <w:bottom w:w="40" w:type="dxa"/>
              <w:right w:w="20" w:type="dxa"/>
            </w:tcMar>
            <w:vAlign w:val="bottom"/>
          </w:tcPr>
          <w:p w14:paraId="4B9A3CD0"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3CD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5"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6"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7"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8"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CDA" w14:textId="77777777" w:rsidR="002A3970" w:rsidRDefault="002A3970">
            <w:pPr>
              <w:rPr>
                <w:rFonts w:ascii="宋体"/>
              </w:rPr>
            </w:pPr>
          </w:p>
        </w:tc>
      </w:tr>
      <w:tr w:rsidR="002A3970" w14:paraId="4B9A3CE7" w14:textId="77777777">
        <w:tc>
          <w:tcPr>
            <w:tcW w:w="0" w:type="auto"/>
            <w:gridSpan w:val="3"/>
            <w:shd w:val="clear" w:color="auto" w:fill="auto"/>
            <w:tcMar>
              <w:top w:w="40" w:type="dxa"/>
              <w:left w:w="20" w:type="dxa"/>
              <w:bottom w:w="40" w:type="dxa"/>
              <w:right w:w="20" w:type="dxa"/>
            </w:tcMar>
            <w:vAlign w:val="bottom"/>
          </w:tcPr>
          <w:p w14:paraId="4B9A3CDC" w14:textId="77777777" w:rsidR="002A3970" w:rsidRDefault="00C35E63">
            <w:pPr>
              <w:textAlignment w:val="bottom"/>
            </w:pPr>
            <w:r>
              <w:rPr>
                <w:rFonts w:ascii="Times New Roman" w:eastAsia="宋体" w:hAnsi="Times New Roman"/>
                <w:b/>
                <w:bCs/>
                <w:color w:val="000000"/>
                <w:sz w:val="16"/>
                <w:szCs w:val="16"/>
              </w:rPr>
              <w:t>Issue Date</w:t>
            </w:r>
          </w:p>
        </w:tc>
        <w:tc>
          <w:tcPr>
            <w:tcW w:w="0" w:type="auto"/>
            <w:gridSpan w:val="3"/>
            <w:shd w:val="clear" w:color="auto" w:fill="auto"/>
            <w:tcMar>
              <w:top w:w="0" w:type="dxa"/>
              <w:left w:w="20" w:type="dxa"/>
              <w:bottom w:w="0" w:type="dxa"/>
              <w:right w:w="20" w:type="dxa"/>
            </w:tcMar>
            <w:vAlign w:val="bottom"/>
          </w:tcPr>
          <w:p w14:paraId="4B9A3CD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DE" w14:textId="77777777" w:rsidR="002A3970" w:rsidRDefault="00C35E63">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vAlign w:val="bottom"/>
          </w:tcPr>
          <w:p w14:paraId="4B9A3CD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E0" w14:textId="77777777" w:rsidR="002A3970" w:rsidRDefault="00C35E63">
            <w:pPr>
              <w:jc w:val="cente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vAlign w:val="bottom"/>
          </w:tcPr>
          <w:p w14:paraId="4B9A3CE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E2" w14:textId="77777777" w:rsidR="002A3970" w:rsidRDefault="00C35E63">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vAlign w:val="bottom"/>
          </w:tcPr>
          <w:p w14:paraId="4B9A3CE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E4" w14:textId="77777777" w:rsidR="002A3970" w:rsidRDefault="00C35E63">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vAlign w:val="bottom"/>
          </w:tcPr>
          <w:p w14:paraId="4B9A3CE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CE6" w14:textId="77777777" w:rsidR="002A3970" w:rsidRDefault="00C35E63">
            <w:pPr>
              <w:jc w:val="center"/>
              <w:textAlignment w:val="bottom"/>
            </w:pPr>
            <w:r>
              <w:rPr>
                <w:rFonts w:ascii="Times New Roman" w:eastAsia="宋体" w:hAnsi="Times New Roman"/>
                <w:b/>
                <w:bCs/>
                <w:color w:val="000000"/>
                <w:sz w:val="16"/>
                <w:szCs w:val="16"/>
              </w:rPr>
              <w:t>Net Proceeds</w:t>
            </w:r>
          </w:p>
        </w:tc>
      </w:tr>
      <w:tr w:rsidR="002A3970" w14:paraId="4B9A3CF5" w14:textId="77777777">
        <w:tc>
          <w:tcPr>
            <w:tcW w:w="0" w:type="auto"/>
            <w:gridSpan w:val="3"/>
            <w:shd w:val="clear" w:color="auto" w:fill="CCEEFF"/>
            <w:tcMar>
              <w:top w:w="40" w:type="dxa"/>
              <w:left w:w="20" w:type="dxa"/>
              <w:bottom w:w="40" w:type="dxa"/>
              <w:right w:w="20" w:type="dxa"/>
            </w:tcMar>
            <w:vAlign w:val="bottom"/>
          </w:tcPr>
          <w:p w14:paraId="4B9A3CE8" w14:textId="77777777" w:rsidR="002A3970" w:rsidRDefault="00C35E63">
            <w:pPr>
              <w:textAlignment w:val="bottom"/>
            </w:pPr>
            <w:r>
              <w:rPr>
                <w:rFonts w:ascii="Times New Roman" w:eastAsia="宋体" w:hAnsi="Times New Roman"/>
                <w:color w:val="000000"/>
                <w:sz w:val="16"/>
                <w:szCs w:val="16"/>
              </w:rPr>
              <w:t>September 9, 2022</w:t>
            </w:r>
          </w:p>
        </w:tc>
        <w:tc>
          <w:tcPr>
            <w:tcW w:w="0" w:type="auto"/>
            <w:gridSpan w:val="3"/>
            <w:shd w:val="clear" w:color="auto" w:fill="CCEEFF"/>
            <w:tcMar>
              <w:top w:w="0" w:type="dxa"/>
              <w:left w:w="20" w:type="dxa"/>
              <w:bottom w:w="0" w:type="dxa"/>
              <w:right w:w="20" w:type="dxa"/>
            </w:tcMar>
            <w:vAlign w:val="bottom"/>
          </w:tcPr>
          <w:p w14:paraId="4B9A3CE9" w14:textId="77777777" w:rsidR="002A3970" w:rsidRDefault="002A397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B9A3CEA" w14:textId="77777777" w:rsidR="002A3970" w:rsidRDefault="00C35E63">
            <w:pPr>
              <w:jc w:val="center"/>
              <w:textAlignment w:val="bottom"/>
            </w:pPr>
            <w:r>
              <w:rPr>
                <w:rFonts w:ascii="Times New Roman" w:eastAsia="宋体" w:hAnsi="Times New Roman"/>
                <w:color w:val="000000"/>
                <w:sz w:val="16"/>
                <w:szCs w:val="16"/>
              </w:rPr>
              <w:t>$1,750</w:t>
            </w:r>
          </w:p>
        </w:tc>
        <w:tc>
          <w:tcPr>
            <w:tcW w:w="0" w:type="auto"/>
            <w:gridSpan w:val="3"/>
            <w:shd w:val="clear" w:color="auto" w:fill="CCEEFF"/>
            <w:tcMar>
              <w:top w:w="0" w:type="dxa"/>
              <w:left w:w="20" w:type="dxa"/>
              <w:bottom w:w="0" w:type="dxa"/>
              <w:right w:w="20" w:type="dxa"/>
            </w:tcMar>
            <w:vAlign w:val="bottom"/>
          </w:tcPr>
          <w:p w14:paraId="4B9A3CEB" w14:textId="77777777" w:rsidR="002A3970" w:rsidRDefault="002A397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B9A3CEC" w14:textId="77777777" w:rsidR="002A3970" w:rsidRDefault="00C35E63">
            <w:pPr>
              <w:jc w:val="center"/>
              <w:textAlignment w:val="bottom"/>
            </w:pPr>
            <w:r>
              <w:rPr>
                <w:rFonts w:ascii="Times New Roman" w:eastAsia="宋体" w:hAnsi="Times New Roman"/>
                <w:color w:val="000000"/>
                <w:sz w:val="16"/>
                <w:szCs w:val="16"/>
              </w:rPr>
              <w:t>September 9, 2025</w:t>
            </w:r>
          </w:p>
        </w:tc>
        <w:tc>
          <w:tcPr>
            <w:tcW w:w="0" w:type="auto"/>
            <w:gridSpan w:val="3"/>
            <w:shd w:val="clear" w:color="auto" w:fill="CCEEFF"/>
            <w:tcMar>
              <w:top w:w="0" w:type="dxa"/>
              <w:left w:w="20" w:type="dxa"/>
              <w:bottom w:w="0" w:type="dxa"/>
              <w:right w:w="20" w:type="dxa"/>
            </w:tcMar>
            <w:vAlign w:val="bottom"/>
          </w:tcPr>
          <w:p w14:paraId="4B9A3CED" w14:textId="77777777" w:rsidR="002A3970" w:rsidRDefault="002A397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B9A3CEE" w14:textId="77777777" w:rsidR="002A3970" w:rsidRDefault="00C35E63">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4B9A3CEF" w14:textId="77777777" w:rsidR="002A3970" w:rsidRDefault="002A397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B9A3CF0" w14:textId="77777777" w:rsidR="002A3970" w:rsidRDefault="00C35E63">
            <w:pPr>
              <w:jc w:val="center"/>
              <w:textAlignment w:val="bottom"/>
            </w:pPr>
            <w:r>
              <w:rPr>
                <w:rFonts w:ascii="Times New Roman" w:eastAsia="宋体" w:hAnsi="Times New Roman"/>
                <w:color w:val="000000"/>
                <w:sz w:val="16"/>
                <w:szCs w:val="16"/>
              </w:rPr>
              <w:t>3.900%</w:t>
            </w:r>
          </w:p>
        </w:tc>
        <w:tc>
          <w:tcPr>
            <w:tcW w:w="0" w:type="auto"/>
            <w:gridSpan w:val="3"/>
            <w:shd w:val="clear" w:color="auto" w:fill="CCEEFF"/>
            <w:tcMar>
              <w:top w:w="0" w:type="dxa"/>
              <w:left w:w="20" w:type="dxa"/>
              <w:bottom w:w="0" w:type="dxa"/>
              <w:right w:w="20" w:type="dxa"/>
            </w:tcMar>
            <w:vAlign w:val="bottom"/>
          </w:tcPr>
          <w:p w14:paraId="4B9A3CF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CF2"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CF3" w14:textId="77777777" w:rsidR="002A3970" w:rsidRDefault="00C35E63">
            <w:pPr>
              <w:jc w:val="right"/>
              <w:textAlignment w:val="bottom"/>
            </w:pPr>
            <w:r>
              <w:rPr>
                <w:rFonts w:ascii="Times New Roman" w:eastAsia="宋体" w:hAnsi="Times New Roman"/>
                <w:color w:val="000000"/>
                <w:sz w:val="16"/>
                <w:szCs w:val="16"/>
              </w:rPr>
              <w:t>1,744 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CF4" w14:textId="77777777" w:rsidR="002A3970" w:rsidRDefault="002A3970">
            <w:pPr>
              <w:jc w:val="right"/>
              <w:rPr>
                <w:rFonts w:ascii="宋体"/>
              </w:rPr>
            </w:pPr>
          </w:p>
        </w:tc>
      </w:tr>
      <w:tr w:rsidR="002A3970" w14:paraId="4B9A3D02" w14:textId="77777777">
        <w:tc>
          <w:tcPr>
            <w:tcW w:w="0" w:type="auto"/>
            <w:gridSpan w:val="3"/>
            <w:shd w:val="clear" w:color="auto" w:fill="FFFFFF"/>
            <w:tcMar>
              <w:top w:w="40" w:type="dxa"/>
              <w:left w:w="20" w:type="dxa"/>
              <w:bottom w:w="40" w:type="dxa"/>
              <w:right w:w="20" w:type="dxa"/>
            </w:tcMar>
            <w:vAlign w:val="bottom"/>
          </w:tcPr>
          <w:p w14:paraId="4B9A3CF6" w14:textId="77777777" w:rsidR="002A3970" w:rsidRDefault="00C35E63">
            <w:pPr>
              <w:textAlignment w:val="bottom"/>
            </w:pPr>
            <w:r>
              <w:rPr>
                <w:rFonts w:ascii="Times New Roman" w:eastAsia="宋体" w:hAnsi="Times New Roman"/>
                <w:color w:val="000000"/>
                <w:sz w:val="16"/>
                <w:szCs w:val="16"/>
              </w:rPr>
              <w:t>September 9, 2022</w:t>
            </w:r>
          </w:p>
        </w:tc>
        <w:tc>
          <w:tcPr>
            <w:tcW w:w="0" w:type="auto"/>
            <w:gridSpan w:val="3"/>
            <w:shd w:val="clear" w:color="auto" w:fill="FFFFFF"/>
            <w:tcMar>
              <w:top w:w="0" w:type="dxa"/>
              <w:left w:w="20" w:type="dxa"/>
              <w:bottom w:w="0" w:type="dxa"/>
              <w:right w:w="20" w:type="dxa"/>
            </w:tcMar>
            <w:vAlign w:val="bottom"/>
          </w:tcPr>
          <w:p w14:paraId="4B9A3CF7"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CF8" w14:textId="77777777" w:rsidR="002A3970" w:rsidRDefault="00C35E63">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4B9A3CF9"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CFA" w14:textId="77777777" w:rsidR="002A3970" w:rsidRDefault="00C35E63">
            <w:pPr>
              <w:jc w:val="center"/>
              <w:textAlignment w:val="bottom"/>
            </w:pPr>
            <w:r>
              <w:rPr>
                <w:rFonts w:ascii="Times New Roman" w:eastAsia="宋体" w:hAnsi="Times New Roman"/>
                <w:color w:val="000000"/>
                <w:sz w:val="16"/>
                <w:szCs w:val="16"/>
              </w:rPr>
              <w:t>September 9, 2027</w:t>
            </w:r>
          </w:p>
        </w:tc>
        <w:tc>
          <w:tcPr>
            <w:tcW w:w="0" w:type="auto"/>
            <w:gridSpan w:val="3"/>
            <w:shd w:val="clear" w:color="auto" w:fill="FFFFFF"/>
            <w:tcMar>
              <w:top w:w="0" w:type="dxa"/>
              <w:left w:w="20" w:type="dxa"/>
              <w:bottom w:w="0" w:type="dxa"/>
              <w:right w:w="20" w:type="dxa"/>
            </w:tcMar>
            <w:vAlign w:val="bottom"/>
          </w:tcPr>
          <w:p w14:paraId="4B9A3CFB"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CFC" w14:textId="77777777" w:rsidR="002A3970" w:rsidRDefault="00C35E63">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4B9A3CFD"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CFE" w14:textId="77777777" w:rsidR="002A3970" w:rsidRDefault="00C35E63">
            <w:pPr>
              <w:jc w:val="center"/>
              <w:textAlignment w:val="bottom"/>
            </w:pPr>
            <w:r>
              <w:rPr>
                <w:rFonts w:ascii="Times New Roman" w:eastAsia="宋体" w:hAnsi="Times New Roman"/>
                <w:color w:val="000000"/>
                <w:sz w:val="16"/>
                <w:szCs w:val="16"/>
              </w:rPr>
              <w:t>3.950%</w:t>
            </w:r>
          </w:p>
        </w:tc>
        <w:tc>
          <w:tcPr>
            <w:tcW w:w="0" w:type="auto"/>
            <w:gridSpan w:val="3"/>
            <w:shd w:val="clear" w:color="auto" w:fill="FFFFFF"/>
            <w:tcMar>
              <w:top w:w="0" w:type="dxa"/>
              <w:left w:w="20" w:type="dxa"/>
              <w:bottom w:w="0" w:type="dxa"/>
              <w:right w:w="20" w:type="dxa"/>
            </w:tcMar>
            <w:vAlign w:val="bottom"/>
          </w:tcPr>
          <w:p w14:paraId="4B9A3CF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D00" w14:textId="77777777" w:rsidR="002A3970" w:rsidRDefault="00C35E63">
            <w:pPr>
              <w:jc w:val="right"/>
              <w:textAlignment w:val="bottom"/>
            </w:pPr>
            <w:r>
              <w:rPr>
                <w:rFonts w:ascii="Times New Roman" w:eastAsia="宋体" w:hAnsi="Times New Roman"/>
                <w:color w:val="000000"/>
                <w:sz w:val="16"/>
                <w:szCs w:val="16"/>
              </w:rPr>
              <w:t>994 </w:t>
            </w:r>
          </w:p>
        </w:tc>
        <w:tc>
          <w:tcPr>
            <w:tcW w:w="0" w:type="auto"/>
            <w:shd w:val="clear" w:color="auto" w:fill="FFFFFF"/>
            <w:tcMar>
              <w:top w:w="40" w:type="dxa"/>
              <w:left w:w="0" w:type="dxa"/>
              <w:bottom w:w="40" w:type="dxa"/>
              <w:right w:w="20" w:type="dxa"/>
            </w:tcMar>
            <w:vAlign w:val="bottom"/>
          </w:tcPr>
          <w:p w14:paraId="4B9A3D01" w14:textId="77777777" w:rsidR="002A3970" w:rsidRDefault="002A3970">
            <w:pPr>
              <w:jc w:val="right"/>
              <w:rPr>
                <w:rFonts w:ascii="宋体"/>
              </w:rPr>
            </w:pPr>
          </w:p>
        </w:tc>
      </w:tr>
      <w:tr w:rsidR="002A3970" w14:paraId="4B9A3D0F" w14:textId="77777777">
        <w:tc>
          <w:tcPr>
            <w:tcW w:w="0" w:type="auto"/>
            <w:gridSpan w:val="3"/>
            <w:shd w:val="clear" w:color="auto" w:fill="CCEEFF"/>
            <w:tcMar>
              <w:top w:w="40" w:type="dxa"/>
              <w:left w:w="20" w:type="dxa"/>
              <w:bottom w:w="40" w:type="dxa"/>
              <w:right w:w="20" w:type="dxa"/>
            </w:tcMar>
            <w:vAlign w:val="bottom"/>
          </w:tcPr>
          <w:p w14:paraId="4B9A3D03" w14:textId="77777777" w:rsidR="002A3970" w:rsidRDefault="00C35E63">
            <w:pPr>
              <w:textAlignment w:val="bottom"/>
            </w:pPr>
            <w:r>
              <w:rPr>
                <w:rFonts w:ascii="Times New Roman" w:eastAsia="宋体" w:hAnsi="Times New Roman"/>
                <w:color w:val="000000"/>
                <w:sz w:val="16"/>
                <w:szCs w:val="16"/>
              </w:rPr>
              <w:t>Septem</w:t>
            </w:r>
            <w:r>
              <w:rPr>
                <w:rFonts w:ascii="Times New Roman" w:eastAsia="宋体" w:hAnsi="Times New Roman"/>
                <w:color w:val="000000"/>
                <w:sz w:val="16"/>
                <w:szCs w:val="16"/>
              </w:rPr>
              <w:t>ber 9, 2022</w:t>
            </w:r>
          </w:p>
        </w:tc>
        <w:tc>
          <w:tcPr>
            <w:tcW w:w="0" w:type="auto"/>
            <w:gridSpan w:val="3"/>
            <w:shd w:val="clear" w:color="auto" w:fill="CCEEFF"/>
            <w:tcMar>
              <w:top w:w="0" w:type="dxa"/>
              <w:left w:w="20" w:type="dxa"/>
              <w:bottom w:w="0" w:type="dxa"/>
              <w:right w:w="20" w:type="dxa"/>
            </w:tcMar>
            <w:vAlign w:val="bottom"/>
          </w:tcPr>
          <w:p w14:paraId="4B9A3D04" w14:textId="77777777" w:rsidR="002A3970" w:rsidRDefault="002A3970">
            <w:pPr>
              <w:rPr>
                <w:rFonts w:ascii="宋体"/>
              </w:rPr>
            </w:pPr>
          </w:p>
        </w:tc>
        <w:tc>
          <w:tcPr>
            <w:tcW w:w="0" w:type="auto"/>
            <w:gridSpan w:val="3"/>
            <w:shd w:val="clear" w:color="auto" w:fill="CCEEFF"/>
            <w:tcMar>
              <w:top w:w="40" w:type="dxa"/>
              <w:left w:w="20" w:type="dxa"/>
              <w:bottom w:w="40" w:type="dxa"/>
              <w:right w:w="20" w:type="dxa"/>
            </w:tcMar>
            <w:vAlign w:val="bottom"/>
          </w:tcPr>
          <w:p w14:paraId="4B9A3D05" w14:textId="77777777" w:rsidR="002A3970" w:rsidRDefault="00C35E63">
            <w:pPr>
              <w:jc w:val="center"/>
              <w:textAlignment w:val="bottom"/>
            </w:pPr>
            <w:r>
              <w:rPr>
                <w:rFonts w:ascii="Times New Roman" w:eastAsia="宋体" w:hAnsi="Times New Roman"/>
                <w:color w:val="000000"/>
                <w:sz w:val="16"/>
                <w:szCs w:val="16"/>
              </w:rPr>
              <w:t>$1,250</w:t>
            </w:r>
          </w:p>
        </w:tc>
        <w:tc>
          <w:tcPr>
            <w:tcW w:w="0" w:type="auto"/>
            <w:gridSpan w:val="3"/>
            <w:shd w:val="clear" w:color="auto" w:fill="CCEEFF"/>
            <w:tcMar>
              <w:top w:w="0" w:type="dxa"/>
              <w:left w:w="20" w:type="dxa"/>
              <w:bottom w:w="0" w:type="dxa"/>
              <w:right w:w="20" w:type="dxa"/>
            </w:tcMar>
            <w:vAlign w:val="bottom"/>
          </w:tcPr>
          <w:p w14:paraId="4B9A3D06" w14:textId="77777777" w:rsidR="002A3970" w:rsidRDefault="002A3970">
            <w:pPr>
              <w:rPr>
                <w:rFonts w:ascii="宋体"/>
              </w:rPr>
            </w:pPr>
          </w:p>
        </w:tc>
        <w:tc>
          <w:tcPr>
            <w:tcW w:w="0" w:type="auto"/>
            <w:gridSpan w:val="3"/>
            <w:shd w:val="clear" w:color="auto" w:fill="CCEEFF"/>
            <w:tcMar>
              <w:top w:w="40" w:type="dxa"/>
              <w:left w:w="20" w:type="dxa"/>
              <w:bottom w:w="40" w:type="dxa"/>
              <w:right w:w="20" w:type="dxa"/>
            </w:tcMar>
            <w:vAlign w:val="bottom"/>
          </w:tcPr>
          <w:p w14:paraId="4B9A3D07" w14:textId="77777777" w:rsidR="002A3970" w:rsidRDefault="00C35E63">
            <w:pPr>
              <w:jc w:val="center"/>
              <w:textAlignment w:val="bottom"/>
            </w:pPr>
            <w:r>
              <w:rPr>
                <w:rFonts w:ascii="Times New Roman" w:eastAsia="宋体" w:hAnsi="Times New Roman"/>
                <w:color w:val="000000"/>
                <w:sz w:val="16"/>
                <w:szCs w:val="16"/>
              </w:rPr>
              <w:t>September 9, 2032</w:t>
            </w:r>
          </w:p>
        </w:tc>
        <w:tc>
          <w:tcPr>
            <w:tcW w:w="0" w:type="auto"/>
            <w:gridSpan w:val="3"/>
            <w:shd w:val="clear" w:color="auto" w:fill="CCEEFF"/>
            <w:tcMar>
              <w:top w:w="0" w:type="dxa"/>
              <w:left w:w="20" w:type="dxa"/>
              <w:bottom w:w="0" w:type="dxa"/>
              <w:right w:w="20" w:type="dxa"/>
            </w:tcMar>
            <w:vAlign w:val="bottom"/>
          </w:tcPr>
          <w:p w14:paraId="4B9A3D08" w14:textId="77777777" w:rsidR="002A3970" w:rsidRDefault="002A3970">
            <w:pPr>
              <w:rPr>
                <w:rFonts w:ascii="宋体"/>
              </w:rPr>
            </w:pPr>
          </w:p>
        </w:tc>
        <w:tc>
          <w:tcPr>
            <w:tcW w:w="0" w:type="auto"/>
            <w:gridSpan w:val="3"/>
            <w:shd w:val="clear" w:color="auto" w:fill="CCEEFF"/>
            <w:tcMar>
              <w:top w:w="40" w:type="dxa"/>
              <w:left w:w="20" w:type="dxa"/>
              <w:bottom w:w="40" w:type="dxa"/>
              <w:right w:w="20" w:type="dxa"/>
            </w:tcMar>
            <w:vAlign w:val="bottom"/>
          </w:tcPr>
          <w:p w14:paraId="4B9A3D09" w14:textId="77777777" w:rsidR="002A3970" w:rsidRDefault="00C35E63">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4B9A3D0A" w14:textId="77777777" w:rsidR="002A3970" w:rsidRDefault="002A3970">
            <w:pPr>
              <w:rPr>
                <w:rFonts w:ascii="宋体"/>
              </w:rPr>
            </w:pPr>
          </w:p>
        </w:tc>
        <w:tc>
          <w:tcPr>
            <w:tcW w:w="0" w:type="auto"/>
            <w:gridSpan w:val="3"/>
            <w:shd w:val="clear" w:color="auto" w:fill="CCEEFF"/>
            <w:tcMar>
              <w:top w:w="40" w:type="dxa"/>
              <w:left w:w="20" w:type="dxa"/>
              <w:bottom w:w="40" w:type="dxa"/>
              <w:right w:w="20" w:type="dxa"/>
            </w:tcMar>
            <w:vAlign w:val="bottom"/>
          </w:tcPr>
          <w:p w14:paraId="4B9A3D0B" w14:textId="77777777" w:rsidR="002A3970" w:rsidRDefault="00C35E63">
            <w:pPr>
              <w:jc w:val="center"/>
              <w:textAlignment w:val="bottom"/>
            </w:pPr>
            <w:r>
              <w:rPr>
                <w:rFonts w:ascii="Times New Roman" w:eastAsia="宋体" w:hAnsi="Times New Roman"/>
                <w:color w:val="000000"/>
                <w:sz w:val="16"/>
                <w:szCs w:val="16"/>
              </w:rPr>
              <w:t>4.150%</w:t>
            </w:r>
          </w:p>
        </w:tc>
        <w:tc>
          <w:tcPr>
            <w:tcW w:w="0" w:type="auto"/>
            <w:gridSpan w:val="3"/>
            <w:shd w:val="clear" w:color="auto" w:fill="CCEEFF"/>
            <w:tcMar>
              <w:top w:w="0" w:type="dxa"/>
              <w:left w:w="20" w:type="dxa"/>
              <w:bottom w:w="0" w:type="dxa"/>
              <w:right w:w="20" w:type="dxa"/>
            </w:tcMar>
            <w:vAlign w:val="bottom"/>
          </w:tcPr>
          <w:p w14:paraId="4B9A3D0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3D0D" w14:textId="77777777" w:rsidR="002A3970" w:rsidRDefault="00C35E63">
            <w:pPr>
              <w:jc w:val="right"/>
              <w:textAlignment w:val="bottom"/>
            </w:pPr>
            <w:r>
              <w:rPr>
                <w:rFonts w:ascii="Times New Roman" w:eastAsia="宋体" w:hAnsi="Times New Roman"/>
                <w:color w:val="000000"/>
                <w:sz w:val="16"/>
                <w:szCs w:val="16"/>
              </w:rPr>
              <w:t>1,239 </w:t>
            </w:r>
          </w:p>
        </w:tc>
        <w:tc>
          <w:tcPr>
            <w:tcW w:w="0" w:type="auto"/>
            <w:shd w:val="clear" w:color="auto" w:fill="CCEEFF"/>
            <w:tcMar>
              <w:top w:w="40" w:type="dxa"/>
              <w:left w:w="0" w:type="dxa"/>
              <w:bottom w:w="40" w:type="dxa"/>
              <w:right w:w="20" w:type="dxa"/>
            </w:tcMar>
            <w:vAlign w:val="bottom"/>
          </w:tcPr>
          <w:p w14:paraId="4B9A3D0E" w14:textId="77777777" w:rsidR="002A3970" w:rsidRDefault="002A3970">
            <w:pPr>
              <w:jc w:val="right"/>
              <w:rPr>
                <w:rFonts w:ascii="宋体"/>
              </w:rPr>
            </w:pPr>
          </w:p>
        </w:tc>
      </w:tr>
      <w:tr w:rsidR="002A3970" w14:paraId="4B9A3D1C" w14:textId="77777777">
        <w:tc>
          <w:tcPr>
            <w:tcW w:w="0" w:type="auto"/>
            <w:gridSpan w:val="3"/>
            <w:shd w:val="clear" w:color="auto" w:fill="FFFFFF"/>
            <w:tcMar>
              <w:top w:w="40" w:type="dxa"/>
              <w:left w:w="20" w:type="dxa"/>
              <w:bottom w:w="40" w:type="dxa"/>
              <w:right w:w="20" w:type="dxa"/>
            </w:tcMar>
            <w:vAlign w:val="bottom"/>
          </w:tcPr>
          <w:p w14:paraId="4B9A3D10" w14:textId="77777777" w:rsidR="002A3970" w:rsidRDefault="00C35E63">
            <w:pPr>
              <w:textAlignment w:val="bottom"/>
            </w:pPr>
            <w:r>
              <w:rPr>
                <w:rFonts w:ascii="Times New Roman" w:eastAsia="宋体" w:hAnsi="Times New Roman"/>
                <w:color w:val="000000"/>
                <w:sz w:val="16"/>
                <w:szCs w:val="16"/>
              </w:rPr>
              <w:t>September 9, 2022</w:t>
            </w:r>
          </w:p>
        </w:tc>
        <w:tc>
          <w:tcPr>
            <w:tcW w:w="0" w:type="auto"/>
            <w:gridSpan w:val="3"/>
            <w:shd w:val="clear" w:color="auto" w:fill="FFFFFF"/>
            <w:tcMar>
              <w:top w:w="0" w:type="dxa"/>
              <w:left w:w="20" w:type="dxa"/>
              <w:bottom w:w="0" w:type="dxa"/>
              <w:right w:w="20" w:type="dxa"/>
            </w:tcMar>
            <w:vAlign w:val="bottom"/>
          </w:tcPr>
          <w:p w14:paraId="4B9A3D11"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D12" w14:textId="77777777" w:rsidR="002A3970" w:rsidRDefault="00C35E63">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4B9A3D13"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D14" w14:textId="77777777" w:rsidR="002A3970" w:rsidRDefault="00C35E63">
            <w:pPr>
              <w:jc w:val="center"/>
              <w:textAlignment w:val="bottom"/>
            </w:pPr>
            <w:r>
              <w:rPr>
                <w:rFonts w:ascii="Times New Roman" w:eastAsia="宋体" w:hAnsi="Times New Roman"/>
                <w:color w:val="000000"/>
                <w:sz w:val="16"/>
                <w:szCs w:val="16"/>
              </w:rPr>
              <w:t>September 9, 2052</w:t>
            </w:r>
          </w:p>
        </w:tc>
        <w:tc>
          <w:tcPr>
            <w:tcW w:w="0" w:type="auto"/>
            <w:gridSpan w:val="3"/>
            <w:shd w:val="clear" w:color="auto" w:fill="FFFFFF"/>
            <w:tcMar>
              <w:top w:w="0" w:type="dxa"/>
              <w:left w:w="20" w:type="dxa"/>
              <w:bottom w:w="0" w:type="dxa"/>
              <w:right w:w="20" w:type="dxa"/>
            </w:tcMar>
            <w:vAlign w:val="bottom"/>
          </w:tcPr>
          <w:p w14:paraId="4B9A3D15"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D16" w14:textId="77777777" w:rsidR="002A3970" w:rsidRDefault="00C35E63">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4B9A3D17" w14:textId="77777777" w:rsidR="002A3970" w:rsidRDefault="002A3970">
            <w:pPr>
              <w:rPr>
                <w:rFonts w:ascii="宋体"/>
              </w:rPr>
            </w:pPr>
          </w:p>
        </w:tc>
        <w:tc>
          <w:tcPr>
            <w:tcW w:w="0" w:type="auto"/>
            <w:gridSpan w:val="3"/>
            <w:shd w:val="clear" w:color="auto" w:fill="FFFFFF"/>
            <w:tcMar>
              <w:top w:w="40" w:type="dxa"/>
              <w:left w:w="20" w:type="dxa"/>
              <w:bottom w:w="40" w:type="dxa"/>
              <w:right w:w="20" w:type="dxa"/>
            </w:tcMar>
            <w:vAlign w:val="bottom"/>
          </w:tcPr>
          <w:p w14:paraId="4B9A3D18" w14:textId="77777777" w:rsidR="002A3970" w:rsidRDefault="00C35E63">
            <w:pPr>
              <w:jc w:val="center"/>
              <w:textAlignment w:val="bottom"/>
            </w:pPr>
            <w:r>
              <w:rPr>
                <w:rFonts w:ascii="Times New Roman" w:eastAsia="宋体" w:hAnsi="Times New Roman"/>
                <w:color w:val="000000"/>
                <w:sz w:val="16"/>
                <w:szCs w:val="16"/>
              </w:rPr>
              <w:t>4.500%</w:t>
            </w:r>
          </w:p>
        </w:tc>
        <w:tc>
          <w:tcPr>
            <w:tcW w:w="0" w:type="auto"/>
            <w:gridSpan w:val="3"/>
            <w:shd w:val="clear" w:color="auto" w:fill="FFFFFF"/>
            <w:tcMar>
              <w:top w:w="0" w:type="dxa"/>
              <w:left w:w="20" w:type="dxa"/>
              <w:bottom w:w="0" w:type="dxa"/>
              <w:right w:w="20" w:type="dxa"/>
            </w:tcMar>
            <w:vAlign w:val="bottom"/>
          </w:tcPr>
          <w:p w14:paraId="4B9A3D1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D1A" w14:textId="77777777" w:rsidR="002A3970" w:rsidRDefault="00C35E63">
            <w:pPr>
              <w:jc w:val="right"/>
              <w:textAlignment w:val="bottom"/>
            </w:pPr>
            <w:r>
              <w:rPr>
                <w:rFonts w:ascii="Times New Roman" w:eastAsia="宋体" w:hAnsi="Times New Roman"/>
                <w:color w:val="000000"/>
                <w:sz w:val="16"/>
                <w:szCs w:val="16"/>
              </w:rPr>
              <w:t>992 </w:t>
            </w:r>
          </w:p>
        </w:tc>
        <w:tc>
          <w:tcPr>
            <w:tcW w:w="0" w:type="auto"/>
            <w:shd w:val="clear" w:color="auto" w:fill="FFFFFF"/>
            <w:tcMar>
              <w:top w:w="40" w:type="dxa"/>
              <w:left w:w="0" w:type="dxa"/>
              <w:bottom w:w="40" w:type="dxa"/>
              <w:right w:w="20" w:type="dxa"/>
            </w:tcMar>
            <w:vAlign w:val="bottom"/>
          </w:tcPr>
          <w:p w14:paraId="4B9A3D1B" w14:textId="77777777" w:rsidR="002A3970" w:rsidRDefault="002A3970">
            <w:pPr>
              <w:jc w:val="right"/>
              <w:rPr>
                <w:rFonts w:ascii="宋体"/>
              </w:rPr>
            </w:pPr>
          </w:p>
        </w:tc>
      </w:tr>
      <w:tr w:rsidR="002A3970" w14:paraId="4B9A3D2A" w14:textId="77777777">
        <w:tc>
          <w:tcPr>
            <w:tcW w:w="0" w:type="auto"/>
            <w:gridSpan w:val="3"/>
            <w:shd w:val="clear" w:color="auto" w:fill="CCEEFF"/>
            <w:tcMar>
              <w:top w:w="40" w:type="dxa"/>
              <w:left w:w="20" w:type="dxa"/>
              <w:bottom w:w="40" w:type="dxa"/>
              <w:right w:w="20" w:type="dxa"/>
            </w:tcMar>
            <w:vAlign w:val="bottom"/>
          </w:tcPr>
          <w:p w14:paraId="4B9A3D1D" w14:textId="77777777" w:rsidR="002A3970" w:rsidRDefault="00C35E63">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4B9A3D1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1F"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0"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1"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3"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5"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3D26"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D27"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D28" w14:textId="77777777" w:rsidR="002A3970" w:rsidRDefault="00C35E63">
            <w:pPr>
              <w:jc w:val="right"/>
              <w:textAlignment w:val="bottom"/>
            </w:pPr>
            <w:r>
              <w:rPr>
                <w:rFonts w:ascii="Times New Roman" w:eastAsia="宋体" w:hAnsi="Times New Roman"/>
                <w:color w:val="000000"/>
                <w:sz w:val="16"/>
                <w:szCs w:val="16"/>
              </w:rPr>
              <w:t>4,969 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D29" w14:textId="77777777" w:rsidR="002A3970" w:rsidRDefault="002A3970">
            <w:pPr>
              <w:jc w:val="right"/>
              <w:rPr>
                <w:rFonts w:ascii="宋体"/>
              </w:rPr>
            </w:pPr>
          </w:p>
        </w:tc>
      </w:tr>
    </w:tbl>
    <w:p w14:paraId="4B9A3D2B" w14:textId="77777777" w:rsidR="002A3970" w:rsidRDefault="00C35E63">
      <w:pPr>
        <w:spacing w:before="100"/>
      </w:pPr>
      <w:r>
        <w:rPr>
          <w:rFonts w:ascii="Times New Roman" w:eastAsia="宋体" w:hAnsi="Times New Roman"/>
          <w:color w:val="000000"/>
          <w:sz w:val="20"/>
          <w:szCs w:val="20"/>
        </w:rPr>
        <w:t xml:space="preserve">These issuances are senior, unsecured notes which rank equally with all other senior, unsecured debt obligations of the Company, and are not convertible or exchangeable. These issuances do not contain any financial covenants and do </w:t>
      </w:r>
      <w:r>
        <w:rPr>
          <w:rFonts w:ascii="Times New Roman" w:eastAsia="宋体" w:hAnsi="Times New Roman"/>
          <w:color w:val="000000"/>
          <w:sz w:val="20"/>
          <w:szCs w:val="20"/>
        </w:rPr>
        <w:t>not restrict the Company's ability to pay dividends or repurchase company stock.</w:t>
      </w:r>
    </w:p>
    <w:p w14:paraId="4B9A3D2C" w14:textId="77777777" w:rsidR="002A3970" w:rsidRDefault="00C35E63">
      <w:pPr>
        <w:spacing w:before="240"/>
      </w:pPr>
      <w:r>
        <w:rPr>
          <w:rFonts w:ascii="Times New Roman" w:eastAsia="宋体" w:hAnsi="Times New Roman"/>
          <w:b/>
          <w:bCs/>
          <w:color w:val="000000"/>
          <w:sz w:val="20"/>
          <w:szCs w:val="20"/>
        </w:rPr>
        <w:t>Note 5. Fair Value Measurements</w:t>
      </w:r>
    </w:p>
    <w:p w14:paraId="4B9A3D2D" w14:textId="77777777" w:rsidR="002A3970" w:rsidRDefault="00C35E63">
      <w:pPr>
        <w:spacing w:before="180"/>
      </w:pPr>
      <w:r>
        <w:rPr>
          <w:rFonts w:ascii="Times New Roman" w:eastAsia="宋体" w:hAnsi="Times New Roman"/>
          <w:color w:val="000000"/>
          <w:sz w:val="20"/>
          <w:szCs w:val="20"/>
        </w:rPr>
        <w:t xml:space="preserve">Assets and liabilities recorded at fair value are measured using the fair value hierarchy, which prioritizes the inputs used in </w:t>
      </w:r>
      <w:r>
        <w:rPr>
          <w:rFonts w:ascii="Times New Roman" w:eastAsia="宋体" w:hAnsi="Times New Roman"/>
          <w:color w:val="000000"/>
          <w:sz w:val="20"/>
          <w:szCs w:val="20"/>
        </w:rPr>
        <w:t>measuring fair value. The levels of the fair value hierarchy are:</w:t>
      </w:r>
    </w:p>
    <w:p w14:paraId="4B9A3D2E" w14:textId="77777777" w:rsidR="002A3970" w:rsidRDefault="00C35E63">
      <w:pPr>
        <w:spacing w:before="100"/>
        <w:ind w:hanging="360"/>
      </w:pPr>
      <w:r>
        <w:rPr>
          <w:rFonts w:ascii="Times New Roman" w:eastAsia="宋体" w:hAnsi="Times New Roman"/>
          <w:color w:val="000000"/>
          <w:sz w:val="20"/>
          <w:szCs w:val="20"/>
        </w:rPr>
        <w:t>•Level 1: observable inputs such as quoted prices in active markets;</w:t>
      </w:r>
    </w:p>
    <w:p w14:paraId="4B9A3D2F" w14:textId="77777777" w:rsidR="002A3970" w:rsidRDefault="00C35E63">
      <w:pPr>
        <w:spacing w:before="100"/>
        <w:ind w:hanging="360"/>
      </w:pPr>
      <w:r>
        <w:rPr>
          <w:rFonts w:ascii="Times New Roman" w:eastAsia="宋体" w:hAnsi="Times New Roman"/>
          <w:color w:val="000000"/>
          <w:sz w:val="20"/>
          <w:szCs w:val="20"/>
        </w:rPr>
        <w:t>•Level 2: inputs other than quoted prices in active markets that are either directly or indirectly observable; and</w:t>
      </w:r>
    </w:p>
    <w:p w14:paraId="4B9A3D30" w14:textId="77777777" w:rsidR="002A3970" w:rsidRDefault="00C35E63">
      <w:pPr>
        <w:spacing w:before="100"/>
        <w:ind w:hanging="360"/>
      </w:pPr>
      <w:r>
        <w:rPr>
          <w:rFonts w:ascii="Times New Roman" w:eastAsia="宋体" w:hAnsi="Times New Roman"/>
          <w:color w:val="000000"/>
          <w:sz w:val="20"/>
          <w:szCs w:val="20"/>
        </w:rPr>
        <w:t>•Level</w:t>
      </w:r>
      <w:r>
        <w:rPr>
          <w:rFonts w:ascii="Times New Roman" w:eastAsia="宋体" w:hAnsi="Times New Roman"/>
          <w:color w:val="000000"/>
          <w:sz w:val="20"/>
          <w:szCs w:val="20"/>
        </w:rPr>
        <w:t xml:space="preserve"> 3: unobservable inputs for which little or no market data exists, therefore requiring the Company to develop its own assumptions.</w:t>
      </w:r>
    </w:p>
    <w:p w14:paraId="4B9A3D31" w14:textId="77777777" w:rsidR="002A3970" w:rsidRDefault="00C35E63">
      <w:pPr>
        <w:jc w:val="center"/>
      </w:pPr>
      <w:r>
        <w:rPr>
          <w:rFonts w:ascii="Times New Roman" w:eastAsia="宋体" w:hAnsi="Times New Roman"/>
          <w:color w:val="000000"/>
          <w:sz w:val="20"/>
          <w:szCs w:val="20"/>
        </w:rPr>
        <w:t>11</w:t>
      </w:r>
    </w:p>
    <w:p w14:paraId="4B9A3D32" w14:textId="77777777" w:rsidR="002A3970" w:rsidRDefault="00C35E63">
      <w:r>
        <w:pict w14:anchorId="4B9A4C20">
          <v:rect id="_x0000_i1035" style="width:415.3pt;height:1.5pt" o:hralign="center" o:hrstd="t" o:hr="t" fillcolor="#a0a0a0" stroked="f"/>
        </w:pict>
      </w:r>
    </w:p>
    <w:p w14:paraId="4B9A3D33" w14:textId="77777777" w:rsidR="002A3970" w:rsidRDefault="00C35E63">
      <w:hyperlink r:id="rId50" w:anchor="i0522a2f6333e456295d59e779af751cb_7" w:history="1">
        <w:r>
          <w:rPr>
            <w:rStyle w:val="a5"/>
            <w:rFonts w:ascii="Times New Roman" w:eastAsia="宋体" w:hAnsi="Times New Roman"/>
            <w:sz w:val="20"/>
            <w:szCs w:val="20"/>
          </w:rPr>
          <w:t>Table of Contents</w:t>
        </w:r>
      </w:hyperlink>
    </w:p>
    <w:p w14:paraId="4B9A3D34" w14:textId="77777777" w:rsidR="002A3970" w:rsidRDefault="00C35E63">
      <w:pPr>
        <w:spacing w:before="100"/>
      </w:pPr>
      <w:r>
        <w:rPr>
          <w:rFonts w:ascii="Times New Roman" w:eastAsia="宋体" w:hAnsi="Times New Roman"/>
          <w:color w:val="000000"/>
          <w:sz w:val="20"/>
          <w:szCs w:val="20"/>
        </w:rPr>
        <w:t>The Company measures the fair value of certain equity investments, including certain equity method investments, on a recurring basis in the accompanying Condensed Consolidated Balance Sheets. The fair value</w:t>
      </w:r>
      <w:r>
        <w:rPr>
          <w:rFonts w:ascii="Times New Roman" w:eastAsia="宋体" w:hAnsi="Times New Roman"/>
          <w:color w:val="000000"/>
          <w:sz w:val="20"/>
          <w:szCs w:val="20"/>
        </w:rPr>
        <w:t xml:space="preserve"> of these investments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65"/>
        <w:gridCol w:w="37"/>
        <w:gridCol w:w="36"/>
        <w:gridCol w:w="36"/>
        <w:gridCol w:w="36"/>
        <w:gridCol w:w="36"/>
        <w:gridCol w:w="36"/>
        <w:gridCol w:w="36"/>
        <w:gridCol w:w="36"/>
        <w:gridCol w:w="36"/>
        <w:gridCol w:w="36"/>
        <w:gridCol w:w="101"/>
        <w:gridCol w:w="877"/>
        <w:gridCol w:w="36"/>
        <w:gridCol w:w="36"/>
        <w:gridCol w:w="36"/>
        <w:gridCol w:w="36"/>
        <w:gridCol w:w="36"/>
        <w:gridCol w:w="100"/>
        <w:gridCol w:w="878"/>
        <w:gridCol w:w="36"/>
      </w:tblGrid>
      <w:tr w:rsidR="002A3970" w14:paraId="4B9A3D4B" w14:textId="77777777">
        <w:tc>
          <w:tcPr>
            <w:tcW w:w="50" w:type="pct"/>
            <w:shd w:val="clear" w:color="auto" w:fill="auto"/>
            <w:vAlign w:val="bottom"/>
          </w:tcPr>
          <w:p w14:paraId="4B9A3D35" w14:textId="77777777" w:rsidR="002A3970" w:rsidRDefault="002A3970">
            <w:pPr>
              <w:rPr>
                <w:rFonts w:ascii="宋体"/>
              </w:rPr>
            </w:pPr>
          </w:p>
        </w:tc>
        <w:tc>
          <w:tcPr>
            <w:tcW w:w="3614" w:type="pct"/>
            <w:shd w:val="clear" w:color="auto" w:fill="auto"/>
            <w:vAlign w:val="bottom"/>
          </w:tcPr>
          <w:p w14:paraId="4B9A3D36" w14:textId="77777777" w:rsidR="002A3970" w:rsidRDefault="002A3970">
            <w:pPr>
              <w:rPr>
                <w:rFonts w:ascii="宋体"/>
              </w:rPr>
            </w:pPr>
          </w:p>
        </w:tc>
        <w:tc>
          <w:tcPr>
            <w:tcW w:w="5" w:type="pct"/>
            <w:shd w:val="clear" w:color="auto" w:fill="auto"/>
            <w:vAlign w:val="bottom"/>
          </w:tcPr>
          <w:p w14:paraId="4B9A3D37" w14:textId="77777777" w:rsidR="002A3970" w:rsidRDefault="002A3970">
            <w:pPr>
              <w:rPr>
                <w:rFonts w:ascii="宋体"/>
              </w:rPr>
            </w:pPr>
          </w:p>
        </w:tc>
        <w:tc>
          <w:tcPr>
            <w:tcW w:w="0" w:type="auto"/>
            <w:shd w:val="clear" w:color="auto" w:fill="auto"/>
            <w:vAlign w:val="bottom"/>
          </w:tcPr>
          <w:p w14:paraId="4B9A3D38" w14:textId="77777777" w:rsidR="002A3970" w:rsidRDefault="002A3970">
            <w:pPr>
              <w:rPr>
                <w:rFonts w:ascii="宋体"/>
                <w:vanish/>
              </w:rPr>
            </w:pPr>
          </w:p>
        </w:tc>
        <w:tc>
          <w:tcPr>
            <w:tcW w:w="0" w:type="auto"/>
            <w:shd w:val="clear" w:color="auto" w:fill="auto"/>
            <w:vAlign w:val="bottom"/>
          </w:tcPr>
          <w:p w14:paraId="4B9A3D39" w14:textId="77777777" w:rsidR="002A3970" w:rsidRDefault="002A3970">
            <w:pPr>
              <w:rPr>
                <w:rFonts w:ascii="宋体"/>
                <w:vanish/>
              </w:rPr>
            </w:pPr>
          </w:p>
        </w:tc>
        <w:tc>
          <w:tcPr>
            <w:tcW w:w="0" w:type="auto"/>
            <w:shd w:val="clear" w:color="auto" w:fill="auto"/>
            <w:vAlign w:val="bottom"/>
          </w:tcPr>
          <w:p w14:paraId="4B9A3D3A" w14:textId="77777777" w:rsidR="002A3970" w:rsidRDefault="002A3970">
            <w:pPr>
              <w:rPr>
                <w:rFonts w:ascii="宋体"/>
                <w:vanish/>
              </w:rPr>
            </w:pPr>
          </w:p>
        </w:tc>
        <w:tc>
          <w:tcPr>
            <w:tcW w:w="0" w:type="auto"/>
            <w:shd w:val="clear" w:color="auto" w:fill="auto"/>
            <w:vAlign w:val="bottom"/>
          </w:tcPr>
          <w:p w14:paraId="4B9A3D3B" w14:textId="77777777" w:rsidR="002A3970" w:rsidRDefault="002A3970">
            <w:pPr>
              <w:rPr>
                <w:rFonts w:ascii="宋体"/>
                <w:vanish/>
              </w:rPr>
            </w:pPr>
          </w:p>
        </w:tc>
        <w:tc>
          <w:tcPr>
            <w:tcW w:w="0" w:type="auto"/>
            <w:shd w:val="clear" w:color="auto" w:fill="auto"/>
            <w:vAlign w:val="bottom"/>
          </w:tcPr>
          <w:p w14:paraId="4B9A3D3C" w14:textId="77777777" w:rsidR="002A3970" w:rsidRDefault="002A3970">
            <w:pPr>
              <w:rPr>
                <w:rFonts w:ascii="宋体"/>
                <w:vanish/>
              </w:rPr>
            </w:pPr>
          </w:p>
        </w:tc>
        <w:tc>
          <w:tcPr>
            <w:tcW w:w="0" w:type="auto"/>
            <w:shd w:val="clear" w:color="auto" w:fill="auto"/>
            <w:vAlign w:val="bottom"/>
          </w:tcPr>
          <w:p w14:paraId="4B9A3D3D" w14:textId="77777777" w:rsidR="002A3970" w:rsidRDefault="002A3970">
            <w:pPr>
              <w:rPr>
                <w:rFonts w:ascii="宋体"/>
                <w:vanish/>
              </w:rPr>
            </w:pPr>
          </w:p>
        </w:tc>
        <w:tc>
          <w:tcPr>
            <w:tcW w:w="5" w:type="pct"/>
            <w:shd w:val="clear" w:color="auto" w:fill="auto"/>
            <w:vAlign w:val="bottom"/>
          </w:tcPr>
          <w:p w14:paraId="4B9A3D3E" w14:textId="77777777" w:rsidR="002A3970" w:rsidRDefault="002A3970">
            <w:pPr>
              <w:rPr>
                <w:rFonts w:ascii="宋体"/>
              </w:rPr>
            </w:pPr>
          </w:p>
        </w:tc>
        <w:tc>
          <w:tcPr>
            <w:tcW w:w="19" w:type="pct"/>
            <w:shd w:val="clear" w:color="auto" w:fill="auto"/>
            <w:vAlign w:val="bottom"/>
          </w:tcPr>
          <w:p w14:paraId="4B9A3D3F" w14:textId="77777777" w:rsidR="002A3970" w:rsidRDefault="002A3970">
            <w:pPr>
              <w:rPr>
                <w:rFonts w:ascii="宋体"/>
              </w:rPr>
            </w:pPr>
          </w:p>
        </w:tc>
        <w:tc>
          <w:tcPr>
            <w:tcW w:w="5" w:type="pct"/>
            <w:shd w:val="clear" w:color="auto" w:fill="auto"/>
            <w:vAlign w:val="bottom"/>
          </w:tcPr>
          <w:p w14:paraId="4B9A3D40" w14:textId="77777777" w:rsidR="002A3970" w:rsidRDefault="002A3970">
            <w:pPr>
              <w:rPr>
                <w:rFonts w:ascii="宋体"/>
              </w:rPr>
            </w:pPr>
          </w:p>
        </w:tc>
        <w:tc>
          <w:tcPr>
            <w:tcW w:w="50" w:type="pct"/>
            <w:shd w:val="clear" w:color="auto" w:fill="auto"/>
            <w:vAlign w:val="bottom"/>
          </w:tcPr>
          <w:p w14:paraId="4B9A3D41" w14:textId="77777777" w:rsidR="002A3970" w:rsidRDefault="002A3970">
            <w:pPr>
              <w:rPr>
                <w:rFonts w:ascii="宋体"/>
              </w:rPr>
            </w:pPr>
          </w:p>
        </w:tc>
        <w:tc>
          <w:tcPr>
            <w:tcW w:w="580" w:type="pct"/>
            <w:shd w:val="clear" w:color="auto" w:fill="auto"/>
            <w:vAlign w:val="bottom"/>
          </w:tcPr>
          <w:p w14:paraId="4B9A3D42" w14:textId="77777777" w:rsidR="002A3970" w:rsidRDefault="002A3970">
            <w:pPr>
              <w:rPr>
                <w:rFonts w:ascii="宋体"/>
              </w:rPr>
            </w:pPr>
          </w:p>
        </w:tc>
        <w:tc>
          <w:tcPr>
            <w:tcW w:w="5" w:type="pct"/>
            <w:shd w:val="clear" w:color="auto" w:fill="auto"/>
            <w:vAlign w:val="bottom"/>
          </w:tcPr>
          <w:p w14:paraId="4B9A3D43" w14:textId="77777777" w:rsidR="002A3970" w:rsidRDefault="002A3970">
            <w:pPr>
              <w:rPr>
                <w:rFonts w:ascii="宋体"/>
              </w:rPr>
            </w:pPr>
          </w:p>
        </w:tc>
        <w:tc>
          <w:tcPr>
            <w:tcW w:w="5" w:type="pct"/>
            <w:shd w:val="clear" w:color="auto" w:fill="auto"/>
            <w:vAlign w:val="bottom"/>
          </w:tcPr>
          <w:p w14:paraId="4B9A3D44" w14:textId="77777777" w:rsidR="002A3970" w:rsidRDefault="002A3970">
            <w:pPr>
              <w:rPr>
                <w:rFonts w:ascii="宋体"/>
              </w:rPr>
            </w:pPr>
          </w:p>
        </w:tc>
        <w:tc>
          <w:tcPr>
            <w:tcW w:w="19" w:type="pct"/>
            <w:shd w:val="clear" w:color="auto" w:fill="auto"/>
            <w:vAlign w:val="bottom"/>
          </w:tcPr>
          <w:p w14:paraId="4B9A3D45" w14:textId="77777777" w:rsidR="002A3970" w:rsidRDefault="002A3970">
            <w:pPr>
              <w:rPr>
                <w:rFonts w:ascii="宋体"/>
              </w:rPr>
            </w:pPr>
          </w:p>
        </w:tc>
        <w:tc>
          <w:tcPr>
            <w:tcW w:w="5" w:type="pct"/>
            <w:shd w:val="clear" w:color="auto" w:fill="auto"/>
            <w:vAlign w:val="bottom"/>
          </w:tcPr>
          <w:p w14:paraId="4B9A3D46" w14:textId="77777777" w:rsidR="002A3970" w:rsidRDefault="002A3970">
            <w:pPr>
              <w:rPr>
                <w:rFonts w:ascii="宋体"/>
              </w:rPr>
            </w:pPr>
          </w:p>
        </w:tc>
        <w:tc>
          <w:tcPr>
            <w:tcW w:w="0" w:type="auto"/>
            <w:shd w:val="clear" w:color="auto" w:fill="auto"/>
            <w:vAlign w:val="bottom"/>
          </w:tcPr>
          <w:p w14:paraId="4B9A3D47" w14:textId="77777777" w:rsidR="002A3970" w:rsidRDefault="002A3970">
            <w:pPr>
              <w:rPr>
                <w:rFonts w:ascii="宋体"/>
                <w:vanish/>
              </w:rPr>
            </w:pPr>
          </w:p>
        </w:tc>
        <w:tc>
          <w:tcPr>
            <w:tcW w:w="50" w:type="pct"/>
            <w:shd w:val="clear" w:color="auto" w:fill="auto"/>
            <w:vAlign w:val="bottom"/>
          </w:tcPr>
          <w:p w14:paraId="4B9A3D48" w14:textId="77777777" w:rsidR="002A3970" w:rsidRDefault="002A3970">
            <w:pPr>
              <w:rPr>
                <w:rFonts w:ascii="宋体"/>
              </w:rPr>
            </w:pPr>
          </w:p>
        </w:tc>
        <w:tc>
          <w:tcPr>
            <w:tcW w:w="581" w:type="pct"/>
            <w:shd w:val="clear" w:color="auto" w:fill="auto"/>
            <w:vAlign w:val="bottom"/>
          </w:tcPr>
          <w:p w14:paraId="4B9A3D49" w14:textId="77777777" w:rsidR="002A3970" w:rsidRDefault="002A3970">
            <w:pPr>
              <w:rPr>
                <w:rFonts w:ascii="宋体"/>
              </w:rPr>
            </w:pPr>
          </w:p>
        </w:tc>
        <w:tc>
          <w:tcPr>
            <w:tcW w:w="5" w:type="pct"/>
            <w:shd w:val="clear" w:color="auto" w:fill="auto"/>
            <w:vAlign w:val="bottom"/>
          </w:tcPr>
          <w:p w14:paraId="4B9A3D4A" w14:textId="77777777" w:rsidR="002A3970" w:rsidRDefault="002A3970">
            <w:pPr>
              <w:rPr>
                <w:rFonts w:ascii="宋体"/>
              </w:rPr>
            </w:pPr>
          </w:p>
        </w:tc>
      </w:tr>
      <w:tr w:rsidR="002A3970" w14:paraId="4B9A3D58" w14:textId="77777777">
        <w:tc>
          <w:tcPr>
            <w:tcW w:w="0" w:type="auto"/>
            <w:gridSpan w:val="3"/>
            <w:shd w:val="clear" w:color="auto" w:fill="auto"/>
            <w:tcMar>
              <w:top w:w="40" w:type="dxa"/>
              <w:left w:w="20" w:type="dxa"/>
              <w:bottom w:w="40" w:type="dxa"/>
              <w:right w:w="20" w:type="dxa"/>
            </w:tcMar>
            <w:vAlign w:val="bottom"/>
          </w:tcPr>
          <w:p w14:paraId="4B9A3D4C"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shd w:val="clear" w:color="auto" w:fill="auto"/>
            <w:vAlign w:val="bottom"/>
          </w:tcPr>
          <w:p w14:paraId="4B9A3D4D" w14:textId="77777777" w:rsidR="002A3970" w:rsidRDefault="002A3970">
            <w:pPr>
              <w:rPr>
                <w:rFonts w:ascii="宋体"/>
                <w:vanish/>
              </w:rPr>
            </w:pPr>
          </w:p>
        </w:tc>
        <w:tc>
          <w:tcPr>
            <w:tcW w:w="0" w:type="auto"/>
            <w:shd w:val="clear" w:color="auto" w:fill="auto"/>
            <w:vAlign w:val="bottom"/>
          </w:tcPr>
          <w:p w14:paraId="4B9A3D4E" w14:textId="77777777" w:rsidR="002A3970" w:rsidRDefault="002A3970">
            <w:pPr>
              <w:rPr>
                <w:rFonts w:ascii="宋体"/>
                <w:vanish/>
              </w:rPr>
            </w:pPr>
          </w:p>
        </w:tc>
        <w:tc>
          <w:tcPr>
            <w:tcW w:w="0" w:type="auto"/>
            <w:shd w:val="clear" w:color="auto" w:fill="auto"/>
            <w:vAlign w:val="bottom"/>
          </w:tcPr>
          <w:p w14:paraId="4B9A3D4F" w14:textId="77777777" w:rsidR="002A3970" w:rsidRDefault="002A3970">
            <w:pPr>
              <w:rPr>
                <w:rFonts w:ascii="宋体"/>
                <w:vanish/>
              </w:rPr>
            </w:pPr>
          </w:p>
        </w:tc>
        <w:tc>
          <w:tcPr>
            <w:tcW w:w="0" w:type="auto"/>
            <w:shd w:val="clear" w:color="auto" w:fill="auto"/>
            <w:vAlign w:val="bottom"/>
          </w:tcPr>
          <w:p w14:paraId="4B9A3D50" w14:textId="77777777" w:rsidR="002A3970" w:rsidRDefault="002A3970">
            <w:pPr>
              <w:rPr>
                <w:rFonts w:ascii="宋体"/>
                <w:vanish/>
              </w:rPr>
            </w:pPr>
          </w:p>
        </w:tc>
        <w:tc>
          <w:tcPr>
            <w:tcW w:w="0" w:type="auto"/>
            <w:shd w:val="clear" w:color="auto" w:fill="auto"/>
            <w:vAlign w:val="bottom"/>
          </w:tcPr>
          <w:p w14:paraId="4B9A3D51" w14:textId="77777777" w:rsidR="002A3970" w:rsidRDefault="002A3970">
            <w:pPr>
              <w:rPr>
                <w:rFonts w:ascii="宋体"/>
                <w:vanish/>
              </w:rPr>
            </w:pPr>
          </w:p>
        </w:tc>
        <w:tc>
          <w:tcPr>
            <w:tcW w:w="0" w:type="auto"/>
            <w:shd w:val="clear" w:color="auto" w:fill="auto"/>
            <w:vAlign w:val="bottom"/>
          </w:tcPr>
          <w:p w14:paraId="4B9A3D52" w14:textId="77777777" w:rsidR="002A3970" w:rsidRDefault="002A3970">
            <w:pPr>
              <w:rPr>
                <w:rFonts w:ascii="宋体"/>
                <w:vanish/>
              </w:rPr>
            </w:pPr>
          </w:p>
        </w:tc>
        <w:tc>
          <w:tcPr>
            <w:tcW w:w="0" w:type="auto"/>
            <w:gridSpan w:val="3"/>
            <w:shd w:val="clear" w:color="auto" w:fill="auto"/>
            <w:tcMar>
              <w:top w:w="0" w:type="dxa"/>
              <w:left w:w="20" w:type="dxa"/>
              <w:bottom w:w="0" w:type="dxa"/>
              <w:right w:w="20" w:type="dxa"/>
            </w:tcMar>
            <w:vAlign w:val="bottom"/>
          </w:tcPr>
          <w:p w14:paraId="4B9A3D5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D54" w14:textId="77777777" w:rsidR="002A3970" w:rsidRDefault="00C35E63">
            <w:pPr>
              <w:jc w:val="center"/>
              <w:textAlignment w:val="bottom"/>
            </w:pPr>
            <w:r>
              <w:rPr>
                <w:rFonts w:ascii="Times New Roman" w:eastAsia="宋体" w:hAnsi="Times New Roman"/>
                <w:b/>
                <w:bCs/>
                <w:color w:val="000000"/>
                <w:sz w:val="16"/>
                <w:szCs w:val="16"/>
              </w:rPr>
              <w:t>Fair Value as of October 31, 2022</w:t>
            </w:r>
          </w:p>
        </w:tc>
        <w:tc>
          <w:tcPr>
            <w:tcW w:w="0" w:type="auto"/>
            <w:gridSpan w:val="3"/>
            <w:shd w:val="clear" w:color="auto" w:fill="auto"/>
            <w:tcMar>
              <w:top w:w="0" w:type="dxa"/>
              <w:left w:w="20" w:type="dxa"/>
              <w:bottom w:w="0" w:type="dxa"/>
              <w:right w:w="20" w:type="dxa"/>
            </w:tcMar>
            <w:vAlign w:val="bottom"/>
          </w:tcPr>
          <w:p w14:paraId="4B9A3D55" w14:textId="77777777" w:rsidR="002A3970" w:rsidRDefault="002A3970">
            <w:pPr>
              <w:rPr>
                <w:rFonts w:ascii="宋体"/>
              </w:rPr>
            </w:pPr>
          </w:p>
        </w:tc>
        <w:tc>
          <w:tcPr>
            <w:tcW w:w="0" w:type="auto"/>
            <w:shd w:val="clear" w:color="auto" w:fill="auto"/>
            <w:vAlign w:val="bottom"/>
          </w:tcPr>
          <w:p w14:paraId="4B9A3D56" w14:textId="77777777" w:rsidR="002A3970" w:rsidRDefault="002A3970">
            <w:pPr>
              <w:rPr>
                <w:rFonts w:ascii="宋体"/>
                <w:vanish/>
              </w:rPr>
            </w:pPr>
          </w:p>
        </w:tc>
        <w:tc>
          <w:tcPr>
            <w:tcW w:w="0" w:type="auto"/>
            <w:gridSpan w:val="3"/>
            <w:shd w:val="clear" w:color="auto" w:fill="auto"/>
            <w:tcMar>
              <w:top w:w="40" w:type="dxa"/>
              <w:left w:w="20" w:type="dxa"/>
              <w:bottom w:w="40" w:type="dxa"/>
              <w:right w:w="20" w:type="dxa"/>
            </w:tcMar>
            <w:vAlign w:val="bottom"/>
          </w:tcPr>
          <w:p w14:paraId="4B9A3D57" w14:textId="77777777" w:rsidR="002A3970" w:rsidRDefault="00C35E63">
            <w:pPr>
              <w:jc w:val="center"/>
              <w:textAlignment w:val="bottom"/>
            </w:pPr>
            <w:r>
              <w:rPr>
                <w:rFonts w:ascii="Times New Roman" w:eastAsia="宋体" w:hAnsi="Times New Roman"/>
                <w:b/>
                <w:bCs/>
                <w:color w:val="000000"/>
                <w:sz w:val="16"/>
                <w:szCs w:val="16"/>
              </w:rPr>
              <w:t>Fair Value as of January 31, 2022</w:t>
            </w:r>
          </w:p>
        </w:tc>
      </w:tr>
      <w:tr w:rsidR="002A3970" w14:paraId="4B9A3D69" w14:textId="77777777">
        <w:tc>
          <w:tcPr>
            <w:tcW w:w="0" w:type="auto"/>
            <w:gridSpan w:val="3"/>
            <w:shd w:val="clear" w:color="auto" w:fill="CCEEFF"/>
            <w:tcMar>
              <w:top w:w="40" w:type="dxa"/>
              <w:left w:w="20" w:type="dxa"/>
              <w:bottom w:w="40" w:type="dxa"/>
              <w:right w:w="20" w:type="dxa"/>
            </w:tcMar>
            <w:vAlign w:val="bottom"/>
          </w:tcPr>
          <w:p w14:paraId="4B9A3D59" w14:textId="77777777" w:rsidR="002A3970" w:rsidRDefault="00C35E63">
            <w:pPr>
              <w:textAlignment w:val="bottom"/>
            </w:pPr>
            <w:r>
              <w:rPr>
                <w:rFonts w:ascii="Times New Roman" w:eastAsia="宋体" w:hAnsi="Times New Roman"/>
                <w:color w:val="000000"/>
                <w:sz w:val="16"/>
                <w:szCs w:val="16"/>
              </w:rPr>
              <w:t>Equity investments measured using Level 1 inputs</w:t>
            </w:r>
          </w:p>
        </w:tc>
        <w:tc>
          <w:tcPr>
            <w:tcW w:w="0" w:type="auto"/>
            <w:shd w:val="clear" w:color="auto" w:fill="auto"/>
            <w:vAlign w:val="bottom"/>
          </w:tcPr>
          <w:p w14:paraId="4B9A3D5A" w14:textId="77777777" w:rsidR="002A3970" w:rsidRDefault="002A3970">
            <w:pPr>
              <w:rPr>
                <w:rFonts w:ascii="宋体"/>
                <w:vanish/>
              </w:rPr>
            </w:pPr>
          </w:p>
        </w:tc>
        <w:tc>
          <w:tcPr>
            <w:tcW w:w="0" w:type="auto"/>
            <w:shd w:val="clear" w:color="auto" w:fill="auto"/>
            <w:vAlign w:val="bottom"/>
          </w:tcPr>
          <w:p w14:paraId="4B9A3D5B" w14:textId="77777777" w:rsidR="002A3970" w:rsidRDefault="002A3970">
            <w:pPr>
              <w:rPr>
                <w:rFonts w:ascii="宋体"/>
                <w:vanish/>
              </w:rPr>
            </w:pPr>
          </w:p>
        </w:tc>
        <w:tc>
          <w:tcPr>
            <w:tcW w:w="0" w:type="auto"/>
            <w:shd w:val="clear" w:color="auto" w:fill="auto"/>
            <w:vAlign w:val="bottom"/>
          </w:tcPr>
          <w:p w14:paraId="4B9A3D5C" w14:textId="77777777" w:rsidR="002A3970" w:rsidRDefault="002A3970">
            <w:pPr>
              <w:rPr>
                <w:rFonts w:ascii="宋体"/>
                <w:vanish/>
              </w:rPr>
            </w:pPr>
          </w:p>
        </w:tc>
        <w:tc>
          <w:tcPr>
            <w:tcW w:w="0" w:type="auto"/>
            <w:shd w:val="clear" w:color="auto" w:fill="auto"/>
            <w:vAlign w:val="bottom"/>
          </w:tcPr>
          <w:p w14:paraId="4B9A3D5D" w14:textId="77777777" w:rsidR="002A3970" w:rsidRDefault="002A3970">
            <w:pPr>
              <w:rPr>
                <w:rFonts w:ascii="宋体"/>
                <w:vanish/>
              </w:rPr>
            </w:pPr>
          </w:p>
        </w:tc>
        <w:tc>
          <w:tcPr>
            <w:tcW w:w="0" w:type="auto"/>
            <w:shd w:val="clear" w:color="auto" w:fill="auto"/>
            <w:vAlign w:val="bottom"/>
          </w:tcPr>
          <w:p w14:paraId="4B9A3D5E" w14:textId="77777777" w:rsidR="002A3970" w:rsidRDefault="002A3970">
            <w:pPr>
              <w:rPr>
                <w:rFonts w:ascii="宋体"/>
                <w:vanish/>
              </w:rPr>
            </w:pPr>
          </w:p>
        </w:tc>
        <w:tc>
          <w:tcPr>
            <w:tcW w:w="0" w:type="auto"/>
            <w:shd w:val="clear" w:color="auto" w:fill="auto"/>
            <w:vAlign w:val="bottom"/>
          </w:tcPr>
          <w:p w14:paraId="4B9A3D5F" w14:textId="77777777" w:rsidR="002A3970" w:rsidRDefault="002A3970">
            <w:pPr>
              <w:rPr>
                <w:rFonts w:ascii="宋体"/>
                <w:vanish/>
              </w:rPr>
            </w:pPr>
          </w:p>
        </w:tc>
        <w:tc>
          <w:tcPr>
            <w:tcW w:w="0" w:type="auto"/>
            <w:gridSpan w:val="3"/>
            <w:shd w:val="clear" w:color="auto" w:fill="CCEEFF"/>
            <w:tcMar>
              <w:top w:w="0" w:type="dxa"/>
              <w:left w:w="20" w:type="dxa"/>
              <w:bottom w:w="0" w:type="dxa"/>
              <w:right w:w="20" w:type="dxa"/>
            </w:tcMar>
            <w:vAlign w:val="bottom"/>
          </w:tcPr>
          <w:p w14:paraId="4B9A3D6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D61"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D62" w14:textId="77777777" w:rsidR="002A3970" w:rsidRDefault="00C35E63">
            <w:pPr>
              <w:jc w:val="right"/>
              <w:textAlignment w:val="bottom"/>
            </w:pPr>
            <w:r>
              <w:rPr>
                <w:rFonts w:ascii="Times New Roman" w:eastAsia="宋体" w:hAnsi="Times New Roman"/>
                <w:color w:val="000000"/>
                <w:sz w:val="16"/>
                <w:szCs w:val="16"/>
              </w:rPr>
              <w:t>3,432 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D6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D64" w14:textId="77777777" w:rsidR="002A3970" w:rsidRDefault="002A3970">
            <w:pPr>
              <w:rPr>
                <w:rFonts w:ascii="宋体"/>
              </w:rPr>
            </w:pPr>
          </w:p>
        </w:tc>
        <w:tc>
          <w:tcPr>
            <w:tcW w:w="0" w:type="auto"/>
            <w:shd w:val="clear" w:color="auto" w:fill="auto"/>
            <w:vAlign w:val="bottom"/>
          </w:tcPr>
          <w:p w14:paraId="4B9A3D65" w14:textId="77777777" w:rsidR="002A3970" w:rsidRDefault="002A3970">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3D66"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3D67" w14:textId="77777777" w:rsidR="002A3970" w:rsidRDefault="00C35E63">
            <w:pPr>
              <w:jc w:val="right"/>
              <w:textAlignment w:val="bottom"/>
            </w:pPr>
            <w:r>
              <w:rPr>
                <w:rFonts w:ascii="Times New Roman" w:eastAsia="宋体" w:hAnsi="Times New Roman"/>
                <w:color w:val="000000"/>
                <w:sz w:val="16"/>
                <w:szCs w:val="16"/>
              </w:rPr>
              <w:t>6,069 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3D68" w14:textId="77777777" w:rsidR="002A3970" w:rsidRDefault="002A3970">
            <w:pPr>
              <w:jc w:val="right"/>
              <w:rPr>
                <w:rFonts w:ascii="宋体"/>
              </w:rPr>
            </w:pPr>
          </w:p>
        </w:tc>
      </w:tr>
      <w:tr w:rsidR="002A3970" w14:paraId="4B9A3D78" w14:textId="77777777">
        <w:tc>
          <w:tcPr>
            <w:tcW w:w="0" w:type="auto"/>
            <w:gridSpan w:val="3"/>
            <w:shd w:val="clear" w:color="auto" w:fill="FFFFFF"/>
            <w:tcMar>
              <w:top w:w="40" w:type="dxa"/>
              <w:left w:w="20" w:type="dxa"/>
              <w:bottom w:w="40" w:type="dxa"/>
              <w:right w:w="20" w:type="dxa"/>
            </w:tcMar>
            <w:vAlign w:val="bottom"/>
          </w:tcPr>
          <w:p w14:paraId="4B9A3D6A" w14:textId="77777777" w:rsidR="002A3970" w:rsidRDefault="00C35E63">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vAlign w:val="bottom"/>
          </w:tcPr>
          <w:p w14:paraId="4B9A3D6B" w14:textId="77777777" w:rsidR="002A3970" w:rsidRDefault="002A3970">
            <w:pPr>
              <w:rPr>
                <w:rFonts w:ascii="宋体"/>
                <w:vanish/>
              </w:rPr>
            </w:pPr>
          </w:p>
        </w:tc>
        <w:tc>
          <w:tcPr>
            <w:tcW w:w="0" w:type="auto"/>
            <w:shd w:val="clear" w:color="auto" w:fill="auto"/>
            <w:vAlign w:val="bottom"/>
          </w:tcPr>
          <w:p w14:paraId="4B9A3D6C" w14:textId="77777777" w:rsidR="002A3970" w:rsidRDefault="002A3970">
            <w:pPr>
              <w:rPr>
                <w:rFonts w:ascii="宋体"/>
                <w:vanish/>
              </w:rPr>
            </w:pPr>
          </w:p>
        </w:tc>
        <w:tc>
          <w:tcPr>
            <w:tcW w:w="0" w:type="auto"/>
            <w:shd w:val="clear" w:color="auto" w:fill="auto"/>
            <w:vAlign w:val="bottom"/>
          </w:tcPr>
          <w:p w14:paraId="4B9A3D6D" w14:textId="77777777" w:rsidR="002A3970" w:rsidRDefault="002A3970">
            <w:pPr>
              <w:rPr>
                <w:rFonts w:ascii="宋体"/>
                <w:vanish/>
              </w:rPr>
            </w:pPr>
          </w:p>
        </w:tc>
        <w:tc>
          <w:tcPr>
            <w:tcW w:w="0" w:type="auto"/>
            <w:shd w:val="clear" w:color="auto" w:fill="auto"/>
            <w:vAlign w:val="bottom"/>
          </w:tcPr>
          <w:p w14:paraId="4B9A3D6E" w14:textId="77777777" w:rsidR="002A3970" w:rsidRDefault="002A3970">
            <w:pPr>
              <w:rPr>
                <w:rFonts w:ascii="宋体"/>
                <w:vanish/>
              </w:rPr>
            </w:pPr>
          </w:p>
        </w:tc>
        <w:tc>
          <w:tcPr>
            <w:tcW w:w="0" w:type="auto"/>
            <w:shd w:val="clear" w:color="auto" w:fill="auto"/>
            <w:vAlign w:val="bottom"/>
          </w:tcPr>
          <w:p w14:paraId="4B9A3D6F" w14:textId="77777777" w:rsidR="002A3970" w:rsidRDefault="002A3970">
            <w:pPr>
              <w:rPr>
                <w:rFonts w:ascii="宋体"/>
                <w:vanish/>
              </w:rPr>
            </w:pPr>
          </w:p>
        </w:tc>
        <w:tc>
          <w:tcPr>
            <w:tcW w:w="0" w:type="auto"/>
            <w:shd w:val="clear" w:color="auto" w:fill="auto"/>
            <w:vAlign w:val="bottom"/>
          </w:tcPr>
          <w:p w14:paraId="4B9A3D70" w14:textId="77777777" w:rsidR="002A3970" w:rsidRDefault="002A3970">
            <w:pPr>
              <w:rPr>
                <w:rFonts w:ascii="宋体"/>
                <w:vanish/>
              </w:rPr>
            </w:pPr>
          </w:p>
        </w:tc>
        <w:tc>
          <w:tcPr>
            <w:tcW w:w="0" w:type="auto"/>
            <w:gridSpan w:val="3"/>
            <w:shd w:val="clear" w:color="auto" w:fill="FFFFFF"/>
            <w:tcMar>
              <w:top w:w="0" w:type="dxa"/>
              <w:left w:w="20" w:type="dxa"/>
              <w:bottom w:w="0" w:type="dxa"/>
              <w:right w:w="20" w:type="dxa"/>
            </w:tcMar>
            <w:vAlign w:val="bottom"/>
          </w:tcPr>
          <w:p w14:paraId="4B9A3D7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3D72" w14:textId="77777777" w:rsidR="002A3970" w:rsidRDefault="00C35E63">
            <w:pPr>
              <w:jc w:val="right"/>
              <w:textAlignment w:val="bottom"/>
            </w:pPr>
            <w:r>
              <w:rPr>
                <w:rFonts w:ascii="Times New Roman" w:eastAsia="宋体" w:hAnsi="Times New Roman"/>
                <w:color w:val="000000"/>
                <w:sz w:val="16"/>
                <w:szCs w:val="16"/>
              </w:rPr>
              <w:t>3,659 </w:t>
            </w:r>
          </w:p>
        </w:tc>
        <w:tc>
          <w:tcPr>
            <w:tcW w:w="0" w:type="auto"/>
            <w:shd w:val="clear" w:color="auto" w:fill="FFFFFF"/>
            <w:tcMar>
              <w:top w:w="40" w:type="dxa"/>
              <w:left w:w="0" w:type="dxa"/>
              <w:bottom w:w="40" w:type="dxa"/>
              <w:right w:w="20" w:type="dxa"/>
            </w:tcMar>
            <w:vAlign w:val="bottom"/>
          </w:tcPr>
          <w:p w14:paraId="4B9A3D7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D74" w14:textId="77777777" w:rsidR="002A3970" w:rsidRDefault="002A3970">
            <w:pPr>
              <w:rPr>
                <w:rFonts w:ascii="宋体"/>
              </w:rPr>
            </w:pPr>
          </w:p>
        </w:tc>
        <w:tc>
          <w:tcPr>
            <w:tcW w:w="0" w:type="auto"/>
            <w:shd w:val="clear" w:color="auto" w:fill="auto"/>
            <w:vAlign w:val="bottom"/>
          </w:tcPr>
          <w:p w14:paraId="4B9A3D75" w14:textId="77777777" w:rsidR="002A3970" w:rsidRDefault="002A3970">
            <w:pPr>
              <w:rPr>
                <w:rFonts w:ascii="宋体"/>
                <w:vanish/>
              </w:rPr>
            </w:pPr>
          </w:p>
        </w:tc>
        <w:tc>
          <w:tcPr>
            <w:tcW w:w="0" w:type="auto"/>
            <w:gridSpan w:val="2"/>
            <w:shd w:val="clear" w:color="auto" w:fill="FFFFFF"/>
            <w:tcMar>
              <w:top w:w="40" w:type="dxa"/>
              <w:left w:w="20" w:type="dxa"/>
              <w:bottom w:w="40" w:type="dxa"/>
              <w:right w:w="0" w:type="dxa"/>
            </w:tcMar>
            <w:vAlign w:val="bottom"/>
          </w:tcPr>
          <w:p w14:paraId="4B9A3D76" w14:textId="77777777" w:rsidR="002A3970" w:rsidRDefault="00C35E63">
            <w:pPr>
              <w:jc w:val="right"/>
              <w:textAlignment w:val="bottom"/>
            </w:pPr>
            <w:r>
              <w:rPr>
                <w:rFonts w:ascii="Times New Roman" w:eastAsia="宋体" w:hAnsi="Times New Roman"/>
                <w:color w:val="000000"/>
                <w:sz w:val="16"/>
                <w:szCs w:val="16"/>
              </w:rPr>
              <w:t>5,819 </w:t>
            </w:r>
          </w:p>
        </w:tc>
        <w:tc>
          <w:tcPr>
            <w:tcW w:w="0" w:type="auto"/>
            <w:shd w:val="clear" w:color="auto" w:fill="FFFFFF"/>
            <w:tcMar>
              <w:top w:w="40" w:type="dxa"/>
              <w:left w:w="0" w:type="dxa"/>
              <w:bottom w:w="40" w:type="dxa"/>
              <w:right w:w="20" w:type="dxa"/>
            </w:tcMar>
            <w:vAlign w:val="bottom"/>
          </w:tcPr>
          <w:p w14:paraId="4B9A3D77" w14:textId="77777777" w:rsidR="002A3970" w:rsidRDefault="002A3970">
            <w:pPr>
              <w:jc w:val="right"/>
              <w:rPr>
                <w:rFonts w:ascii="宋体"/>
              </w:rPr>
            </w:pPr>
          </w:p>
        </w:tc>
      </w:tr>
      <w:tr w:rsidR="002A3970" w14:paraId="4B9A3D85" w14:textId="77777777">
        <w:trPr>
          <w:hidden/>
        </w:trPr>
        <w:tc>
          <w:tcPr>
            <w:tcW w:w="0" w:type="auto"/>
            <w:gridSpan w:val="3"/>
            <w:shd w:val="clear" w:color="auto" w:fill="auto"/>
            <w:vAlign w:val="bottom"/>
          </w:tcPr>
          <w:p w14:paraId="4B9A3D79" w14:textId="77777777" w:rsidR="002A3970" w:rsidRDefault="002A3970">
            <w:pPr>
              <w:rPr>
                <w:rFonts w:ascii="宋体"/>
                <w:vanish/>
              </w:rPr>
            </w:pPr>
          </w:p>
        </w:tc>
        <w:tc>
          <w:tcPr>
            <w:tcW w:w="0" w:type="auto"/>
            <w:shd w:val="clear" w:color="auto" w:fill="auto"/>
            <w:vAlign w:val="bottom"/>
          </w:tcPr>
          <w:p w14:paraId="4B9A3D7A" w14:textId="77777777" w:rsidR="002A3970" w:rsidRDefault="002A3970">
            <w:pPr>
              <w:rPr>
                <w:rFonts w:ascii="宋体"/>
                <w:vanish/>
              </w:rPr>
            </w:pPr>
          </w:p>
        </w:tc>
        <w:tc>
          <w:tcPr>
            <w:tcW w:w="0" w:type="auto"/>
            <w:shd w:val="clear" w:color="auto" w:fill="auto"/>
            <w:vAlign w:val="bottom"/>
          </w:tcPr>
          <w:p w14:paraId="4B9A3D7B" w14:textId="77777777" w:rsidR="002A3970" w:rsidRDefault="002A3970">
            <w:pPr>
              <w:rPr>
                <w:rFonts w:ascii="宋体"/>
                <w:vanish/>
              </w:rPr>
            </w:pPr>
          </w:p>
        </w:tc>
        <w:tc>
          <w:tcPr>
            <w:tcW w:w="0" w:type="auto"/>
            <w:shd w:val="clear" w:color="auto" w:fill="auto"/>
            <w:vAlign w:val="bottom"/>
          </w:tcPr>
          <w:p w14:paraId="4B9A3D7C" w14:textId="77777777" w:rsidR="002A3970" w:rsidRDefault="002A3970">
            <w:pPr>
              <w:rPr>
                <w:rFonts w:ascii="宋体"/>
                <w:vanish/>
              </w:rPr>
            </w:pPr>
          </w:p>
        </w:tc>
        <w:tc>
          <w:tcPr>
            <w:tcW w:w="0" w:type="auto"/>
            <w:shd w:val="clear" w:color="auto" w:fill="auto"/>
            <w:vAlign w:val="bottom"/>
          </w:tcPr>
          <w:p w14:paraId="4B9A3D7D" w14:textId="77777777" w:rsidR="002A3970" w:rsidRDefault="002A3970">
            <w:pPr>
              <w:rPr>
                <w:rFonts w:ascii="宋体"/>
                <w:vanish/>
              </w:rPr>
            </w:pPr>
          </w:p>
        </w:tc>
        <w:tc>
          <w:tcPr>
            <w:tcW w:w="0" w:type="auto"/>
            <w:shd w:val="clear" w:color="auto" w:fill="auto"/>
            <w:vAlign w:val="bottom"/>
          </w:tcPr>
          <w:p w14:paraId="4B9A3D7E" w14:textId="77777777" w:rsidR="002A3970" w:rsidRDefault="002A3970">
            <w:pPr>
              <w:rPr>
                <w:rFonts w:ascii="宋体"/>
                <w:vanish/>
              </w:rPr>
            </w:pPr>
          </w:p>
        </w:tc>
        <w:tc>
          <w:tcPr>
            <w:tcW w:w="0" w:type="auto"/>
            <w:shd w:val="clear" w:color="auto" w:fill="auto"/>
            <w:vAlign w:val="bottom"/>
          </w:tcPr>
          <w:p w14:paraId="4B9A3D7F" w14:textId="77777777" w:rsidR="002A3970" w:rsidRDefault="002A3970">
            <w:pPr>
              <w:rPr>
                <w:rFonts w:ascii="宋体"/>
                <w:vanish/>
              </w:rPr>
            </w:pPr>
          </w:p>
        </w:tc>
        <w:tc>
          <w:tcPr>
            <w:tcW w:w="0" w:type="auto"/>
            <w:gridSpan w:val="3"/>
            <w:shd w:val="clear" w:color="auto" w:fill="auto"/>
            <w:vAlign w:val="bottom"/>
          </w:tcPr>
          <w:p w14:paraId="4B9A3D80" w14:textId="77777777" w:rsidR="002A3970" w:rsidRDefault="002A3970">
            <w:pPr>
              <w:rPr>
                <w:rFonts w:ascii="宋体"/>
                <w:vanish/>
              </w:rPr>
            </w:pPr>
          </w:p>
        </w:tc>
        <w:tc>
          <w:tcPr>
            <w:tcW w:w="0" w:type="auto"/>
            <w:gridSpan w:val="3"/>
            <w:shd w:val="clear" w:color="auto" w:fill="auto"/>
            <w:vAlign w:val="bottom"/>
          </w:tcPr>
          <w:p w14:paraId="4B9A3D81" w14:textId="77777777" w:rsidR="002A3970" w:rsidRDefault="002A3970">
            <w:pPr>
              <w:rPr>
                <w:rFonts w:ascii="宋体"/>
                <w:vanish/>
              </w:rPr>
            </w:pPr>
          </w:p>
        </w:tc>
        <w:tc>
          <w:tcPr>
            <w:tcW w:w="0" w:type="auto"/>
            <w:gridSpan w:val="3"/>
            <w:shd w:val="clear" w:color="auto" w:fill="auto"/>
            <w:vAlign w:val="bottom"/>
          </w:tcPr>
          <w:p w14:paraId="4B9A3D82" w14:textId="77777777" w:rsidR="002A3970" w:rsidRDefault="002A3970">
            <w:pPr>
              <w:rPr>
                <w:rFonts w:ascii="宋体"/>
                <w:vanish/>
              </w:rPr>
            </w:pPr>
          </w:p>
        </w:tc>
        <w:tc>
          <w:tcPr>
            <w:tcW w:w="0" w:type="auto"/>
            <w:shd w:val="clear" w:color="auto" w:fill="auto"/>
            <w:vAlign w:val="bottom"/>
          </w:tcPr>
          <w:p w14:paraId="4B9A3D83" w14:textId="77777777" w:rsidR="002A3970" w:rsidRDefault="002A3970">
            <w:pPr>
              <w:rPr>
                <w:rFonts w:ascii="宋体"/>
                <w:vanish/>
              </w:rPr>
            </w:pPr>
          </w:p>
        </w:tc>
        <w:tc>
          <w:tcPr>
            <w:tcW w:w="0" w:type="auto"/>
            <w:gridSpan w:val="3"/>
            <w:shd w:val="clear" w:color="auto" w:fill="auto"/>
            <w:vAlign w:val="bottom"/>
          </w:tcPr>
          <w:p w14:paraId="4B9A3D84" w14:textId="77777777" w:rsidR="002A3970" w:rsidRDefault="002A3970">
            <w:pPr>
              <w:rPr>
                <w:rFonts w:ascii="宋体"/>
                <w:vanish/>
              </w:rPr>
            </w:pPr>
          </w:p>
        </w:tc>
      </w:tr>
      <w:tr w:rsidR="002A3970" w14:paraId="4B9A3D96" w14:textId="77777777">
        <w:tc>
          <w:tcPr>
            <w:tcW w:w="0" w:type="auto"/>
            <w:gridSpan w:val="3"/>
            <w:shd w:val="clear" w:color="auto" w:fill="CCEEFF"/>
            <w:tcMar>
              <w:top w:w="40" w:type="dxa"/>
              <w:left w:w="20" w:type="dxa"/>
              <w:bottom w:w="40" w:type="dxa"/>
              <w:right w:w="20" w:type="dxa"/>
            </w:tcMar>
          </w:tcPr>
          <w:p w14:paraId="4B9A3D86" w14:textId="77777777" w:rsidR="002A3970" w:rsidRDefault="00C35E63">
            <w:pPr>
              <w:textAlignment w:val="top"/>
            </w:pPr>
            <w:r>
              <w:rPr>
                <w:rFonts w:ascii="Times New Roman" w:eastAsia="宋体" w:hAnsi="Times New Roman"/>
                <w:b/>
                <w:bCs/>
                <w:color w:val="000000"/>
                <w:sz w:val="16"/>
                <w:szCs w:val="16"/>
              </w:rPr>
              <w:t>Total</w:t>
            </w:r>
          </w:p>
        </w:tc>
        <w:tc>
          <w:tcPr>
            <w:tcW w:w="0" w:type="auto"/>
            <w:shd w:val="clear" w:color="auto" w:fill="auto"/>
            <w:vAlign w:val="bottom"/>
          </w:tcPr>
          <w:p w14:paraId="4B9A3D87" w14:textId="77777777" w:rsidR="002A3970" w:rsidRDefault="002A3970">
            <w:pPr>
              <w:rPr>
                <w:rFonts w:ascii="宋体"/>
                <w:vanish/>
              </w:rPr>
            </w:pPr>
          </w:p>
        </w:tc>
        <w:tc>
          <w:tcPr>
            <w:tcW w:w="0" w:type="auto"/>
            <w:shd w:val="clear" w:color="auto" w:fill="auto"/>
            <w:vAlign w:val="bottom"/>
          </w:tcPr>
          <w:p w14:paraId="4B9A3D88" w14:textId="77777777" w:rsidR="002A3970" w:rsidRDefault="002A3970">
            <w:pPr>
              <w:rPr>
                <w:rFonts w:ascii="宋体"/>
                <w:vanish/>
              </w:rPr>
            </w:pPr>
          </w:p>
        </w:tc>
        <w:tc>
          <w:tcPr>
            <w:tcW w:w="0" w:type="auto"/>
            <w:shd w:val="clear" w:color="auto" w:fill="auto"/>
            <w:vAlign w:val="bottom"/>
          </w:tcPr>
          <w:p w14:paraId="4B9A3D89" w14:textId="77777777" w:rsidR="002A3970" w:rsidRDefault="002A3970">
            <w:pPr>
              <w:rPr>
                <w:rFonts w:ascii="宋体"/>
                <w:vanish/>
              </w:rPr>
            </w:pPr>
          </w:p>
        </w:tc>
        <w:tc>
          <w:tcPr>
            <w:tcW w:w="0" w:type="auto"/>
            <w:shd w:val="clear" w:color="auto" w:fill="auto"/>
            <w:vAlign w:val="bottom"/>
          </w:tcPr>
          <w:p w14:paraId="4B9A3D8A" w14:textId="77777777" w:rsidR="002A3970" w:rsidRDefault="002A3970">
            <w:pPr>
              <w:rPr>
                <w:rFonts w:ascii="宋体"/>
                <w:vanish/>
              </w:rPr>
            </w:pPr>
          </w:p>
        </w:tc>
        <w:tc>
          <w:tcPr>
            <w:tcW w:w="0" w:type="auto"/>
            <w:shd w:val="clear" w:color="auto" w:fill="auto"/>
            <w:vAlign w:val="bottom"/>
          </w:tcPr>
          <w:p w14:paraId="4B9A3D8B" w14:textId="77777777" w:rsidR="002A3970" w:rsidRDefault="002A3970">
            <w:pPr>
              <w:rPr>
                <w:rFonts w:ascii="宋体"/>
                <w:vanish/>
              </w:rPr>
            </w:pPr>
          </w:p>
        </w:tc>
        <w:tc>
          <w:tcPr>
            <w:tcW w:w="0" w:type="auto"/>
            <w:shd w:val="clear" w:color="auto" w:fill="auto"/>
            <w:vAlign w:val="bottom"/>
          </w:tcPr>
          <w:p w14:paraId="4B9A3D8C" w14:textId="77777777" w:rsidR="002A3970" w:rsidRDefault="002A3970">
            <w:pPr>
              <w:rPr>
                <w:rFonts w:ascii="宋体"/>
                <w:vanish/>
              </w:rPr>
            </w:pPr>
          </w:p>
        </w:tc>
        <w:tc>
          <w:tcPr>
            <w:tcW w:w="0" w:type="auto"/>
            <w:gridSpan w:val="3"/>
            <w:shd w:val="clear" w:color="auto" w:fill="CCEEFF"/>
            <w:tcMar>
              <w:top w:w="0" w:type="dxa"/>
              <w:left w:w="20" w:type="dxa"/>
              <w:bottom w:w="0" w:type="dxa"/>
              <w:right w:w="20" w:type="dxa"/>
            </w:tcMar>
            <w:vAlign w:val="bottom"/>
          </w:tcPr>
          <w:p w14:paraId="4B9A3D8D"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D8E"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D8F" w14:textId="77777777" w:rsidR="002A3970" w:rsidRDefault="00C35E63">
            <w:pPr>
              <w:jc w:val="right"/>
              <w:textAlignment w:val="bottom"/>
            </w:pPr>
            <w:r>
              <w:rPr>
                <w:rFonts w:ascii="Times New Roman" w:eastAsia="宋体" w:hAnsi="Times New Roman"/>
                <w:color w:val="000000"/>
                <w:sz w:val="16"/>
                <w:szCs w:val="16"/>
              </w:rPr>
              <w:t>7,091 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D9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D91" w14:textId="77777777" w:rsidR="002A3970" w:rsidRDefault="002A3970">
            <w:pPr>
              <w:rPr>
                <w:rFonts w:ascii="宋体"/>
              </w:rPr>
            </w:pPr>
          </w:p>
        </w:tc>
        <w:tc>
          <w:tcPr>
            <w:tcW w:w="0" w:type="auto"/>
            <w:shd w:val="clear" w:color="auto" w:fill="auto"/>
            <w:vAlign w:val="bottom"/>
          </w:tcPr>
          <w:p w14:paraId="4B9A3D92" w14:textId="77777777" w:rsidR="002A3970" w:rsidRDefault="002A3970">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3D93"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3D94" w14:textId="77777777" w:rsidR="002A3970" w:rsidRDefault="00C35E63">
            <w:pPr>
              <w:jc w:val="right"/>
              <w:textAlignment w:val="bottom"/>
            </w:pPr>
            <w:r>
              <w:rPr>
                <w:rFonts w:ascii="Times New Roman" w:eastAsia="宋体" w:hAnsi="Times New Roman"/>
                <w:color w:val="000000"/>
                <w:sz w:val="16"/>
                <w:szCs w:val="16"/>
              </w:rPr>
              <w:t>11,888 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3D95" w14:textId="77777777" w:rsidR="002A3970" w:rsidRDefault="002A3970">
            <w:pPr>
              <w:jc w:val="right"/>
              <w:rPr>
                <w:rFonts w:ascii="宋体"/>
              </w:rPr>
            </w:pPr>
          </w:p>
        </w:tc>
      </w:tr>
    </w:tbl>
    <w:p w14:paraId="4B9A3D97" w14:textId="77777777" w:rsidR="002A3970" w:rsidRDefault="00C35E63">
      <w:pPr>
        <w:spacing w:before="100"/>
      </w:pPr>
      <w:r>
        <w:rPr>
          <w:rFonts w:ascii="Times New Roman" w:eastAsia="宋体" w:hAnsi="Times New Roman"/>
          <w:i/>
          <w:iCs/>
          <w:color w:val="000000"/>
          <w:sz w:val="20"/>
          <w:szCs w:val="20"/>
        </w:rPr>
        <w:t>Derivatives</w:t>
      </w:r>
    </w:p>
    <w:p w14:paraId="4B9A3D98" w14:textId="77777777" w:rsidR="002A3970" w:rsidRDefault="00C35E63">
      <w:pPr>
        <w:spacing w:before="100"/>
      </w:pPr>
      <w:r>
        <w:rPr>
          <w:rFonts w:ascii="Times New Roman" w:eastAsia="宋体" w:hAnsi="Times New Roman"/>
          <w:color w:val="000000"/>
          <w:sz w:val="20"/>
          <w:szCs w:val="20"/>
        </w:rPr>
        <w:t>The Company also has derivatives recorded at fair value. Derivative fair values are the estimated amounts the Company would receive or pay upon termination of the related derivative agreements as of the reporting dates. The</w:t>
      </w:r>
      <w:r>
        <w:rPr>
          <w:rFonts w:ascii="Times New Roman" w:eastAsia="宋体" w:hAnsi="Times New Roman"/>
          <w:color w:val="000000"/>
          <w:sz w:val="20"/>
          <w:szCs w:val="20"/>
        </w:rPr>
        <w:t xml:space="preserve"> fair values have been measured using the income approach and Level 2 inputs, which include the relevant interest rate and foreign currency forward curves. As of October 31, 2022 and January 31, 2022, the notional amounts and fair values of these derivativ</w:t>
      </w:r>
      <w:r>
        <w:rPr>
          <w:rFonts w:ascii="Times New Roman" w:eastAsia="宋体" w:hAnsi="Times New Roman"/>
          <w:color w:val="000000"/>
          <w:sz w:val="20"/>
          <w:szCs w:val="20"/>
        </w:rPr>
        <w: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6"/>
        <w:gridCol w:w="36"/>
        <w:gridCol w:w="36"/>
        <w:gridCol w:w="36"/>
        <w:gridCol w:w="100"/>
        <w:gridCol w:w="467"/>
        <w:gridCol w:w="36"/>
        <w:gridCol w:w="37"/>
        <w:gridCol w:w="144"/>
        <w:gridCol w:w="36"/>
        <w:gridCol w:w="101"/>
        <w:gridCol w:w="534"/>
        <w:gridCol w:w="36"/>
        <w:gridCol w:w="36"/>
        <w:gridCol w:w="36"/>
        <w:gridCol w:w="36"/>
        <w:gridCol w:w="100"/>
        <w:gridCol w:w="492"/>
        <w:gridCol w:w="36"/>
        <w:gridCol w:w="37"/>
        <w:gridCol w:w="144"/>
        <w:gridCol w:w="36"/>
      </w:tblGrid>
      <w:tr w:rsidR="002A3970" w14:paraId="4B9A3DB4" w14:textId="77777777">
        <w:tc>
          <w:tcPr>
            <w:tcW w:w="50" w:type="pct"/>
            <w:shd w:val="clear" w:color="auto" w:fill="auto"/>
            <w:vAlign w:val="bottom"/>
          </w:tcPr>
          <w:p w14:paraId="4B9A3D99" w14:textId="77777777" w:rsidR="002A3970" w:rsidRDefault="002A3970">
            <w:pPr>
              <w:rPr>
                <w:rFonts w:ascii="宋体"/>
              </w:rPr>
            </w:pPr>
          </w:p>
        </w:tc>
        <w:tc>
          <w:tcPr>
            <w:tcW w:w="3051" w:type="pct"/>
            <w:shd w:val="clear" w:color="auto" w:fill="auto"/>
            <w:vAlign w:val="bottom"/>
          </w:tcPr>
          <w:p w14:paraId="4B9A3D9A" w14:textId="77777777" w:rsidR="002A3970" w:rsidRDefault="002A3970">
            <w:pPr>
              <w:rPr>
                <w:rFonts w:ascii="宋体"/>
              </w:rPr>
            </w:pPr>
          </w:p>
        </w:tc>
        <w:tc>
          <w:tcPr>
            <w:tcW w:w="5" w:type="pct"/>
            <w:shd w:val="clear" w:color="auto" w:fill="auto"/>
            <w:vAlign w:val="bottom"/>
          </w:tcPr>
          <w:p w14:paraId="4B9A3D9B" w14:textId="77777777" w:rsidR="002A3970" w:rsidRDefault="002A3970">
            <w:pPr>
              <w:rPr>
                <w:rFonts w:ascii="宋体"/>
              </w:rPr>
            </w:pPr>
          </w:p>
        </w:tc>
        <w:tc>
          <w:tcPr>
            <w:tcW w:w="50" w:type="pct"/>
            <w:shd w:val="clear" w:color="auto" w:fill="auto"/>
            <w:vAlign w:val="bottom"/>
          </w:tcPr>
          <w:p w14:paraId="4B9A3D9C" w14:textId="77777777" w:rsidR="002A3970" w:rsidRDefault="002A3970">
            <w:pPr>
              <w:rPr>
                <w:rFonts w:ascii="宋体"/>
              </w:rPr>
            </w:pPr>
          </w:p>
        </w:tc>
        <w:tc>
          <w:tcPr>
            <w:tcW w:w="332" w:type="pct"/>
            <w:shd w:val="clear" w:color="auto" w:fill="auto"/>
            <w:vAlign w:val="bottom"/>
          </w:tcPr>
          <w:p w14:paraId="4B9A3D9D" w14:textId="77777777" w:rsidR="002A3970" w:rsidRDefault="002A3970">
            <w:pPr>
              <w:rPr>
                <w:rFonts w:ascii="宋体"/>
              </w:rPr>
            </w:pPr>
          </w:p>
        </w:tc>
        <w:tc>
          <w:tcPr>
            <w:tcW w:w="5" w:type="pct"/>
            <w:shd w:val="clear" w:color="auto" w:fill="auto"/>
            <w:vAlign w:val="bottom"/>
          </w:tcPr>
          <w:p w14:paraId="4B9A3D9E" w14:textId="77777777" w:rsidR="002A3970" w:rsidRDefault="002A3970">
            <w:pPr>
              <w:rPr>
                <w:rFonts w:ascii="宋体"/>
              </w:rPr>
            </w:pPr>
          </w:p>
        </w:tc>
        <w:tc>
          <w:tcPr>
            <w:tcW w:w="5" w:type="pct"/>
            <w:shd w:val="clear" w:color="auto" w:fill="auto"/>
            <w:vAlign w:val="bottom"/>
          </w:tcPr>
          <w:p w14:paraId="4B9A3D9F" w14:textId="77777777" w:rsidR="002A3970" w:rsidRDefault="002A3970">
            <w:pPr>
              <w:rPr>
                <w:rFonts w:ascii="宋体"/>
              </w:rPr>
            </w:pPr>
          </w:p>
        </w:tc>
        <w:tc>
          <w:tcPr>
            <w:tcW w:w="26" w:type="pct"/>
            <w:shd w:val="clear" w:color="auto" w:fill="auto"/>
            <w:vAlign w:val="bottom"/>
          </w:tcPr>
          <w:p w14:paraId="4B9A3DA0" w14:textId="77777777" w:rsidR="002A3970" w:rsidRDefault="002A3970">
            <w:pPr>
              <w:rPr>
                <w:rFonts w:ascii="宋体"/>
              </w:rPr>
            </w:pPr>
          </w:p>
        </w:tc>
        <w:tc>
          <w:tcPr>
            <w:tcW w:w="5" w:type="pct"/>
            <w:shd w:val="clear" w:color="auto" w:fill="auto"/>
            <w:vAlign w:val="bottom"/>
          </w:tcPr>
          <w:p w14:paraId="4B9A3DA1" w14:textId="77777777" w:rsidR="002A3970" w:rsidRDefault="002A3970">
            <w:pPr>
              <w:rPr>
                <w:rFonts w:ascii="宋体"/>
              </w:rPr>
            </w:pPr>
          </w:p>
        </w:tc>
        <w:tc>
          <w:tcPr>
            <w:tcW w:w="50" w:type="pct"/>
            <w:shd w:val="clear" w:color="auto" w:fill="auto"/>
            <w:vAlign w:val="bottom"/>
          </w:tcPr>
          <w:p w14:paraId="4B9A3DA2" w14:textId="77777777" w:rsidR="002A3970" w:rsidRDefault="002A3970">
            <w:pPr>
              <w:rPr>
                <w:rFonts w:ascii="宋体"/>
              </w:rPr>
            </w:pPr>
          </w:p>
        </w:tc>
        <w:tc>
          <w:tcPr>
            <w:tcW w:w="354" w:type="pct"/>
            <w:shd w:val="clear" w:color="auto" w:fill="auto"/>
            <w:vAlign w:val="bottom"/>
          </w:tcPr>
          <w:p w14:paraId="4B9A3DA3" w14:textId="77777777" w:rsidR="002A3970" w:rsidRDefault="002A3970">
            <w:pPr>
              <w:rPr>
                <w:rFonts w:ascii="宋体"/>
              </w:rPr>
            </w:pPr>
          </w:p>
        </w:tc>
        <w:tc>
          <w:tcPr>
            <w:tcW w:w="5" w:type="pct"/>
            <w:shd w:val="clear" w:color="auto" w:fill="auto"/>
            <w:vAlign w:val="bottom"/>
          </w:tcPr>
          <w:p w14:paraId="4B9A3DA4" w14:textId="77777777" w:rsidR="002A3970" w:rsidRDefault="002A3970">
            <w:pPr>
              <w:rPr>
                <w:rFonts w:ascii="宋体"/>
              </w:rPr>
            </w:pPr>
          </w:p>
        </w:tc>
        <w:tc>
          <w:tcPr>
            <w:tcW w:w="5" w:type="pct"/>
            <w:shd w:val="clear" w:color="auto" w:fill="auto"/>
            <w:vAlign w:val="bottom"/>
          </w:tcPr>
          <w:p w14:paraId="4B9A3DA5" w14:textId="77777777" w:rsidR="002A3970" w:rsidRDefault="002A3970">
            <w:pPr>
              <w:rPr>
                <w:rFonts w:ascii="宋体"/>
              </w:rPr>
            </w:pPr>
          </w:p>
        </w:tc>
        <w:tc>
          <w:tcPr>
            <w:tcW w:w="106" w:type="pct"/>
            <w:shd w:val="clear" w:color="auto" w:fill="auto"/>
            <w:vAlign w:val="bottom"/>
          </w:tcPr>
          <w:p w14:paraId="4B9A3DA6" w14:textId="77777777" w:rsidR="002A3970" w:rsidRDefault="002A3970">
            <w:pPr>
              <w:rPr>
                <w:rFonts w:ascii="宋体"/>
              </w:rPr>
            </w:pPr>
          </w:p>
        </w:tc>
        <w:tc>
          <w:tcPr>
            <w:tcW w:w="5" w:type="pct"/>
            <w:shd w:val="clear" w:color="auto" w:fill="auto"/>
            <w:vAlign w:val="bottom"/>
          </w:tcPr>
          <w:p w14:paraId="4B9A3DA7" w14:textId="77777777" w:rsidR="002A3970" w:rsidRDefault="002A3970">
            <w:pPr>
              <w:rPr>
                <w:rFonts w:ascii="宋体"/>
              </w:rPr>
            </w:pPr>
          </w:p>
        </w:tc>
        <w:tc>
          <w:tcPr>
            <w:tcW w:w="50" w:type="pct"/>
            <w:shd w:val="clear" w:color="auto" w:fill="auto"/>
            <w:vAlign w:val="bottom"/>
          </w:tcPr>
          <w:p w14:paraId="4B9A3DA8" w14:textId="77777777" w:rsidR="002A3970" w:rsidRDefault="002A3970">
            <w:pPr>
              <w:rPr>
                <w:rFonts w:ascii="宋体"/>
              </w:rPr>
            </w:pPr>
          </w:p>
        </w:tc>
        <w:tc>
          <w:tcPr>
            <w:tcW w:w="317" w:type="pct"/>
            <w:shd w:val="clear" w:color="auto" w:fill="auto"/>
            <w:vAlign w:val="bottom"/>
          </w:tcPr>
          <w:p w14:paraId="4B9A3DA9" w14:textId="77777777" w:rsidR="002A3970" w:rsidRDefault="002A3970">
            <w:pPr>
              <w:rPr>
                <w:rFonts w:ascii="宋体"/>
              </w:rPr>
            </w:pPr>
          </w:p>
        </w:tc>
        <w:tc>
          <w:tcPr>
            <w:tcW w:w="5" w:type="pct"/>
            <w:shd w:val="clear" w:color="auto" w:fill="auto"/>
            <w:vAlign w:val="bottom"/>
          </w:tcPr>
          <w:p w14:paraId="4B9A3DAA" w14:textId="77777777" w:rsidR="002A3970" w:rsidRDefault="002A3970">
            <w:pPr>
              <w:rPr>
                <w:rFonts w:ascii="宋体"/>
              </w:rPr>
            </w:pPr>
          </w:p>
        </w:tc>
        <w:tc>
          <w:tcPr>
            <w:tcW w:w="5" w:type="pct"/>
            <w:shd w:val="clear" w:color="auto" w:fill="auto"/>
            <w:vAlign w:val="bottom"/>
          </w:tcPr>
          <w:p w14:paraId="4B9A3DAB" w14:textId="77777777" w:rsidR="002A3970" w:rsidRDefault="002A3970">
            <w:pPr>
              <w:rPr>
                <w:rFonts w:ascii="宋体"/>
              </w:rPr>
            </w:pPr>
          </w:p>
        </w:tc>
        <w:tc>
          <w:tcPr>
            <w:tcW w:w="26" w:type="pct"/>
            <w:shd w:val="clear" w:color="auto" w:fill="auto"/>
            <w:vAlign w:val="bottom"/>
          </w:tcPr>
          <w:p w14:paraId="4B9A3DAC" w14:textId="77777777" w:rsidR="002A3970" w:rsidRDefault="002A3970">
            <w:pPr>
              <w:rPr>
                <w:rFonts w:ascii="宋体"/>
              </w:rPr>
            </w:pPr>
          </w:p>
        </w:tc>
        <w:tc>
          <w:tcPr>
            <w:tcW w:w="5" w:type="pct"/>
            <w:shd w:val="clear" w:color="auto" w:fill="auto"/>
            <w:vAlign w:val="bottom"/>
          </w:tcPr>
          <w:p w14:paraId="4B9A3DAD" w14:textId="77777777" w:rsidR="002A3970" w:rsidRDefault="002A3970">
            <w:pPr>
              <w:rPr>
                <w:rFonts w:ascii="宋体"/>
              </w:rPr>
            </w:pPr>
          </w:p>
        </w:tc>
        <w:tc>
          <w:tcPr>
            <w:tcW w:w="50" w:type="pct"/>
            <w:shd w:val="clear" w:color="auto" w:fill="auto"/>
            <w:vAlign w:val="bottom"/>
          </w:tcPr>
          <w:p w14:paraId="4B9A3DAE" w14:textId="77777777" w:rsidR="002A3970" w:rsidRDefault="002A3970">
            <w:pPr>
              <w:rPr>
                <w:rFonts w:ascii="宋体"/>
              </w:rPr>
            </w:pPr>
          </w:p>
        </w:tc>
        <w:tc>
          <w:tcPr>
            <w:tcW w:w="361" w:type="pct"/>
            <w:shd w:val="clear" w:color="auto" w:fill="auto"/>
            <w:vAlign w:val="bottom"/>
          </w:tcPr>
          <w:p w14:paraId="4B9A3DAF" w14:textId="77777777" w:rsidR="002A3970" w:rsidRDefault="002A3970">
            <w:pPr>
              <w:rPr>
                <w:rFonts w:ascii="宋体"/>
              </w:rPr>
            </w:pPr>
          </w:p>
        </w:tc>
        <w:tc>
          <w:tcPr>
            <w:tcW w:w="5" w:type="pct"/>
            <w:shd w:val="clear" w:color="auto" w:fill="auto"/>
            <w:vAlign w:val="bottom"/>
          </w:tcPr>
          <w:p w14:paraId="4B9A3DB0" w14:textId="77777777" w:rsidR="002A3970" w:rsidRDefault="002A3970">
            <w:pPr>
              <w:rPr>
                <w:rFonts w:ascii="宋体"/>
              </w:rPr>
            </w:pPr>
          </w:p>
        </w:tc>
        <w:tc>
          <w:tcPr>
            <w:tcW w:w="5" w:type="pct"/>
            <w:shd w:val="clear" w:color="auto" w:fill="auto"/>
            <w:vAlign w:val="bottom"/>
          </w:tcPr>
          <w:p w14:paraId="4B9A3DB1" w14:textId="77777777" w:rsidR="002A3970" w:rsidRDefault="002A3970">
            <w:pPr>
              <w:rPr>
                <w:rFonts w:ascii="宋体"/>
              </w:rPr>
            </w:pPr>
          </w:p>
        </w:tc>
        <w:tc>
          <w:tcPr>
            <w:tcW w:w="107" w:type="pct"/>
            <w:shd w:val="clear" w:color="auto" w:fill="auto"/>
            <w:vAlign w:val="bottom"/>
          </w:tcPr>
          <w:p w14:paraId="4B9A3DB2" w14:textId="77777777" w:rsidR="002A3970" w:rsidRDefault="002A3970">
            <w:pPr>
              <w:rPr>
                <w:rFonts w:ascii="宋体"/>
              </w:rPr>
            </w:pPr>
          </w:p>
        </w:tc>
        <w:tc>
          <w:tcPr>
            <w:tcW w:w="5" w:type="pct"/>
            <w:shd w:val="clear" w:color="auto" w:fill="auto"/>
            <w:vAlign w:val="bottom"/>
          </w:tcPr>
          <w:p w14:paraId="4B9A3DB3" w14:textId="77777777" w:rsidR="002A3970" w:rsidRDefault="002A3970">
            <w:pPr>
              <w:rPr>
                <w:rFonts w:ascii="宋体"/>
              </w:rPr>
            </w:pPr>
          </w:p>
        </w:tc>
      </w:tr>
      <w:tr w:rsidR="002A3970" w14:paraId="4B9A3DBA" w14:textId="77777777">
        <w:tc>
          <w:tcPr>
            <w:tcW w:w="0" w:type="auto"/>
            <w:gridSpan w:val="3"/>
            <w:shd w:val="clear" w:color="auto" w:fill="auto"/>
            <w:tcMar>
              <w:top w:w="40" w:type="dxa"/>
              <w:left w:w="20" w:type="dxa"/>
              <w:bottom w:w="40" w:type="dxa"/>
              <w:right w:w="20" w:type="dxa"/>
            </w:tcMar>
            <w:vAlign w:val="bottom"/>
          </w:tcPr>
          <w:p w14:paraId="4B9A3DB5" w14:textId="77777777" w:rsidR="002A3970" w:rsidRDefault="00C35E63">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B9A3DB6" w14:textId="77777777" w:rsidR="002A3970" w:rsidRDefault="00C35E63">
            <w:pPr>
              <w:jc w:val="center"/>
              <w:textAlignment w:val="bottom"/>
            </w:pPr>
            <w:r>
              <w:rPr>
                <w:rFonts w:ascii="Times New Roman" w:eastAsia="宋体" w:hAnsi="Times New Roman"/>
                <w:b/>
                <w:bCs/>
                <w:color w:val="000000"/>
                <w:sz w:val="16"/>
                <w:szCs w:val="16"/>
              </w:rPr>
              <w:t>October 31, 2022</w:t>
            </w:r>
          </w:p>
        </w:tc>
        <w:tc>
          <w:tcPr>
            <w:tcW w:w="0" w:type="auto"/>
            <w:gridSpan w:val="3"/>
            <w:shd w:val="clear" w:color="auto" w:fill="auto"/>
            <w:tcMar>
              <w:top w:w="0" w:type="dxa"/>
              <w:left w:w="20" w:type="dxa"/>
              <w:bottom w:w="0" w:type="dxa"/>
              <w:right w:w="20" w:type="dxa"/>
            </w:tcMar>
            <w:vAlign w:val="bottom"/>
          </w:tcPr>
          <w:p w14:paraId="4B9A3DB7"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DB8" w14:textId="77777777" w:rsidR="002A3970" w:rsidRDefault="00C35E63">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4B9A3DB9" w14:textId="77777777" w:rsidR="002A3970" w:rsidRDefault="002A3970">
            <w:pPr>
              <w:rPr>
                <w:rFonts w:ascii="宋体"/>
              </w:rPr>
            </w:pPr>
          </w:p>
        </w:tc>
      </w:tr>
      <w:tr w:rsidR="002A3970" w14:paraId="4B9A3DC4" w14:textId="77777777">
        <w:tc>
          <w:tcPr>
            <w:tcW w:w="0" w:type="auto"/>
            <w:gridSpan w:val="3"/>
            <w:shd w:val="clear" w:color="auto" w:fill="auto"/>
            <w:tcMar>
              <w:top w:w="40" w:type="dxa"/>
              <w:left w:w="20" w:type="dxa"/>
              <w:bottom w:w="40" w:type="dxa"/>
              <w:right w:w="20" w:type="dxa"/>
            </w:tcMar>
            <w:vAlign w:val="bottom"/>
          </w:tcPr>
          <w:p w14:paraId="4B9A3DBB"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DBC" w14:textId="77777777" w:rsidR="002A3970" w:rsidRDefault="00C35E63">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DBD"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DBE" w14:textId="77777777" w:rsidR="002A3970" w:rsidRDefault="00C35E63">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B9A3DBF"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DC0" w14:textId="77777777" w:rsidR="002A3970" w:rsidRDefault="00C35E63">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DC1"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DC2" w14:textId="77777777" w:rsidR="002A3970" w:rsidRDefault="00C35E63">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B9A3DC3" w14:textId="77777777" w:rsidR="002A3970" w:rsidRDefault="002A3970">
            <w:pPr>
              <w:rPr>
                <w:rFonts w:ascii="宋体"/>
              </w:rPr>
            </w:pPr>
          </w:p>
        </w:tc>
      </w:tr>
      <w:tr w:rsidR="002A3970" w14:paraId="4B9A3DD6" w14:textId="77777777">
        <w:tc>
          <w:tcPr>
            <w:tcW w:w="0" w:type="auto"/>
            <w:gridSpan w:val="3"/>
            <w:shd w:val="clear" w:color="auto" w:fill="CCEEFF"/>
            <w:tcMar>
              <w:top w:w="40" w:type="dxa"/>
              <w:left w:w="20" w:type="dxa"/>
              <w:bottom w:w="40" w:type="dxa"/>
              <w:right w:w="20" w:type="dxa"/>
            </w:tcMar>
            <w:vAlign w:val="center"/>
          </w:tcPr>
          <w:p w14:paraId="4B9A3DC5" w14:textId="77777777" w:rsidR="002A3970" w:rsidRDefault="00C35E63">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4B9A3DC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DC7" w14:textId="77777777" w:rsidR="002A3970" w:rsidRDefault="00C35E63">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DC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DC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DC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DCB" w14:textId="77777777" w:rsidR="002A3970" w:rsidRDefault="00C35E63">
            <w:pPr>
              <w:jc w:val="right"/>
              <w:textAlignment w:val="center"/>
            </w:pPr>
            <w:r>
              <w:rPr>
                <w:rFonts w:ascii="Times New Roman" w:eastAsia="宋体" w:hAnsi="Times New Roman"/>
                <w:color w:val="000000"/>
                <w:sz w:val="16"/>
                <w:szCs w:val="16"/>
              </w:rPr>
              <w:t>(869)</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DCC" w14:textId="77777777" w:rsidR="002A3970" w:rsidRDefault="002A3970">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B9A3DCD" w14:textId="77777777" w:rsidR="002A3970" w:rsidRDefault="00C35E63">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4B9A3DC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DCF" w14:textId="77777777" w:rsidR="002A3970" w:rsidRDefault="00C35E63">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DD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DD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DD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DD3" w14:textId="77777777" w:rsidR="002A3970" w:rsidRDefault="00C35E63">
            <w:pPr>
              <w:jc w:val="right"/>
              <w:textAlignment w:val="center"/>
            </w:pPr>
            <w:r>
              <w:rPr>
                <w:rFonts w:ascii="Times New Roman" w:eastAsia="宋体" w:hAnsi="Times New Roman"/>
                <w:color w:val="000000"/>
                <w:sz w:val="16"/>
                <w:szCs w:val="16"/>
              </w:rPr>
              <w:t>(47)</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DD4" w14:textId="77777777" w:rsidR="002A3970" w:rsidRDefault="002A3970">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B9A3DD5" w14:textId="77777777" w:rsidR="002A3970" w:rsidRDefault="00C35E63">
            <w:pPr>
              <w:textAlignment w:val="center"/>
            </w:pPr>
            <w:r>
              <w:rPr>
                <w:rFonts w:ascii="Times New Roman" w:eastAsia="宋体" w:hAnsi="Times New Roman"/>
                <w:color w:val="000000"/>
                <w:sz w:val="10"/>
                <w:szCs w:val="10"/>
              </w:rPr>
              <w:t>(1)</w:t>
            </w:r>
          </w:p>
        </w:tc>
      </w:tr>
      <w:tr w:rsidR="002A3970" w14:paraId="4B9A3DE0" w14:textId="77777777">
        <w:trPr>
          <w:hidden/>
        </w:trPr>
        <w:tc>
          <w:tcPr>
            <w:tcW w:w="0" w:type="auto"/>
            <w:gridSpan w:val="3"/>
            <w:shd w:val="clear" w:color="auto" w:fill="auto"/>
            <w:vAlign w:val="bottom"/>
          </w:tcPr>
          <w:p w14:paraId="4B9A3DD7" w14:textId="77777777" w:rsidR="002A3970" w:rsidRDefault="002A3970">
            <w:pPr>
              <w:rPr>
                <w:rFonts w:ascii="宋体"/>
                <w:vanish/>
              </w:rPr>
            </w:pPr>
          </w:p>
        </w:tc>
        <w:tc>
          <w:tcPr>
            <w:tcW w:w="0" w:type="auto"/>
            <w:gridSpan w:val="3"/>
            <w:shd w:val="clear" w:color="auto" w:fill="auto"/>
            <w:vAlign w:val="bottom"/>
          </w:tcPr>
          <w:p w14:paraId="4B9A3DD8" w14:textId="77777777" w:rsidR="002A3970" w:rsidRDefault="002A3970">
            <w:pPr>
              <w:rPr>
                <w:rFonts w:ascii="宋体"/>
                <w:vanish/>
              </w:rPr>
            </w:pPr>
          </w:p>
        </w:tc>
        <w:tc>
          <w:tcPr>
            <w:tcW w:w="0" w:type="auto"/>
            <w:gridSpan w:val="3"/>
            <w:shd w:val="clear" w:color="auto" w:fill="auto"/>
            <w:vAlign w:val="bottom"/>
          </w:tcPr>
          <w:p w14:paraId="4B9A3DD9" w14:textId="77777777" w:rsidR="002A3970" w:rsidRDefault="002A3970">
            <w:pPr>
              <w:rPr>
                <w:rFonts w:ascii="宋体"/>
                <w:vanish/>
              </w:rPr>
            </w:pPr>
          </w:p>
        </w:tc>
        <w:tc>
          <w:tcPr>
            <w:tcW w:w="0" w:type="auto"/>
            <w:gridSpan w:val="3"/>
            <w:shd w:val="clear" w:color="auto" w:fill="auto"/>
            <w:vAlign w:val="bottom"/>
          </w:tcPr>
          <w:p w14:paraId="4B9A3DDA" w14:textId="77777777" w:rsidR="002A3970" w:rsidRDefault="002A3970">
            <w:pPr>
              <w:rPr>
                <w:rFonts w:ascii="宋体"/>
                <w:vanish/>
              </w:rPr>
            </w:pPr>
          </w:p>
        </w:tc>
        <w:tc>
          <w:tcPr>
            <w:tcW w:w="0" w:type="auto"/>
            <w:gridSpan w:val="3"/>
            <w:shd w:val="clear" w:color="auto" w:fill="auto"/>
            <w:vAlign w:val="bottom"/>
          </w:tcPr>
          <w:p w14:paraId="4B9A3DDB" w14:textId="77777777" w:rsidR="002A3970" w:rsidRDefault="002A3970">
            <w:pPr>
              <w:rPr>
                <w:rFonts w:ascii="宋体"/>
                <w:vanish/>
              </w:rPr>
            </w:pPr>
          </w:p>
        </w:tc>
        <w:tc>
          <w:tcPr>
            <w:tcW w:w="0" w:type="auto"/>
            <w:gridSpan w:val="3"/>
            <w:shd w:val="clear" w:color="auto" w:fill="auto"/>
            <w:vAlign w:val="bottom"/>
          </w:tcPr>
          <w:p w14:paraId="4B9A3DDC" w14:textId="77777777" w:rsidR="002A3970" w:rsidRDefault="002A3970">
            <w:pPr>
              <w:rPr>
                <w:rFonts w:ascii="宋体"/>
                <w:vanish/>
              </w:rPr>
            </w:pPr>
          </w:p>
        </w:tc>
        <w:tc>
          <w:tcPr>
            <w:tcW w:w="0" w:type="auto"/>
            <w:gridSpan w:val="3"/>
            <w:shd w:val="clear" w:color="auto" w:fill="auto"/>
            <w:vAlign w:val="bottom"/>
          </w:tcPr>
          <w:p w14:paraId="4B9A3DDD" w14:textId="77777777" w:rsidR="002A3970" w:rsidRDefault="002A3970">
            <w:pPr>
              <w:rPr>
                <w:rFonts w:ascii="宋体"/>
                <w:vanish/>
              </w:rPr>
            </w:pPr>
          </w:p>
        </w:tc>
        <w:tc>
          <w:tcPr>
            <w:tcW w:w="0" w:type="auto"/>
            <w:gridSpan w:val="3"/>
            <w:shd w:val="clear" w:color="auto" w:fill="auto"/>
            <w:vAlign w:val="bottom"/>
          </w:tcPr>
          <w:p w14:paraId="4B9A3DDE" w14:textId="77777777" w:rsidR="002A3970" w:rsidRDefault="002A3970">
            <w:pPr>
              <w:rPr>
                <w:rFonts w:ascii="宋体"/>
                <w:vanish/>
              </w:rPr>
            </w:pPr>
          </w:p>
        </w:tc>
        <w:tc>
          <w:tcPr>
            <w:tcW w:w="0" w:type="auto"/>
            <w:gridSpan w:val="3"/>
            <w:shd w:val="clear" w:color="auto" w:fill="auto"/>
            <w:vAlign w:val="bottom"/>
          </w:tcPr>
          <w:p w14:paraId="4B9A3DDF" w14:textId="77777777" w:rsidR="002A3970" w:rsidRDefault="002A3970">
            <w:pPr>
              <w:rPr>
                <w:rFonts w:ascii="宋体"/>
                <w:vanish/>
              </w:rPr>
            </w:pPr>
          </w:p>
        </w:tc>
      </w:tr>
      <w:tr w:rsidR="002A3970" w14:paraId="4B9A3DEE" w14:textId="77777777">
        <w:tc>
          <w:tcPr>
            <w:tcW w:w="0" w:type="auto"/>
            <w:gridSpan w:val="3"/>
            <w:shd w:val="clear" w:color="auto" w:fill="FFFFFF"/>
            <w:tcMar>
              <w:top w:w="40" w:type="dxa"/>
              <w:left w:w="20" w:type="dxa"/>
              <w:bottom w:w="40" w:type="dxa"/>
              <w:right w:w="20" w:type="dxa"/>
            </w:tcMar>
            <w:vAlign w:val="center"/>
          </w:tcPr>
          <w:p w14:paraId="4B9A3DE1" w14:textId="77777777" w:rsidR="002A3970" w:rsidRDefault="00C35E63">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FFFFFF"/>
            <w:tcMar>
              <w:top w:w="40" w:type="dxa"/>
              <w:left w:w="20" w:type="dxa"/>
              <w:bottom w:w="40" w:type="dxa"/>
              <w:right w:w="0" w:type="dxa"/>
            </w:tcMar>
            <w:vAlign w:val="center"/>
          </w:tcPr>
          <w:p w14:paraId="4B9A3DE2" w14:textId="77777777" w:rsidR="002A3970" w:rsidRDefault="00C35E63">
            <w:pPr>
              <w:jc w:val="right"/>
              <w:textAlignment w:val="center"/>
            </w:pPr>
            <w:r>
              <w:rPr>
                <w:rFonts w:ascii="Times New Roman" w:eastAsia="宋体" w:hAnsi="Times New Roman"/>
                <w:color w:val="000000"/>
                <w:sz w:val="16"/>
                <w:szCs w:val="16"/>
              </w:rPr>
              <w:t>5,435 </w:t>
            </w:r>
          </w:p>
        </w:tc>
        <w:tc>
          <w:tcPr>
            <w:tcW w:w="0" w:type="auto"/>
            <w:shd w:val="clear" w:color="auto" w:fill="FFFFFF"/>
            <w:tcMar>
              <w:top w:w="40" w:type="dxa"/>
              <w:left w:w="0" w:type="dxa"/>
              <w:bottom w:w="40" w:type="dxa"/>
              <w:right w:w="20" w:type="dxa"/>
            </w:tcMar>
            <w:vAlign w:val="center"/>
          </w:tcPr>
          <w:p w14:paraId="4B9A3DE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DE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DE5" w14:textId="77777777" w:rsidR="002A3970" w:rsidRDefault="00C35E63">
            <w:pPr>
              <w:jc w:val="right"/>
              <w:textAlignment w:val="center"/>
            </w:pPr>
            <w:r>
              <w:rPr>
                <w:rFonts w:ascii="Times New Roman" w:eastAsia="宋体" w:hAnsi="Times New Roman"/>
                <w:color w:val="000000"/>
                <w:sz w:val="16"/>
                <w:szCs w:val="16"/>
              </w:rPr>
              <w:t>(1,763)</w:t>
            </w:r>
          </w:p>
        </w:tc>
        <w:tc>
          <w:tcPr>
            <w:tcW w:w="0" w:type="auto"/>
            <w:shd w:val="clear" w:color="auto" w:fill="FFFFFF"/>
            <w:tcMar>
              <w:top w:w="40" w:type="dxa"/>
              <w:left w:w="0" w:type="dxa"/>
              <w:bottom w:w="40" w:type="dxa"/>
              <w:right w:w="20" w:type="dxa"/>
            </w:tcMar>
            <w:vAlign w:val="center"/>
          </w:tcPr>
          <w:p w14:paraId="4B9A3DE6" w14:textId="77777777" w:rsidR="002A3970" w:rsidRDefault="002A3970">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B9A3DE7" w14:textId="77777777" w:rsidR="002A3970" w:rsidRDefault="00C35E63">
            <w:pPr>
              <w:textAlignment w:val="center"/>
            </w:pPr>
            <w:r>
              <w:rPr>
                <w:rFonts w:ascii="Times New Roman" w:eastAsia="宋体" w:hAnsi="Times New Roman"/>
                <w:color w:val="000000"/>
                <w:sz w:val="10"/>
                <w:szCs w:val="10"/>
              </w:rPr>
              <w:t>(1)</w:t>
            </w:r>
          </w:p>
        </w:tc>
        <w:tc>
          <w:tcPr>
            <w:tcW w:w="0" w:type="auto"/>
            <w:gridSpan w:val="2"/>
            <w:shd w:val="clear" w:color="auto" w:fill="FFFFFF"/>
            <w:tcMar>
              <w:top w:w="40" w:type="dxa"/>
              <w:left w:w="20" w:type="dxa"/>
              <w:bottom w:w="40" w:type="dxa"/>
              <w:right w:w="0" w:type="dxa"/>
            </w:tcMar>
            <w:vAlign w:val="center"/>
          </w:tcPr>
          <w:p w14:paraId="4B9A3DE8" w14:textId="77777777" w:rsidR="002A3970" w:rsidRDefault="00C35E63">
            <w:pPr>
              <w:jc w:val="right"/>
              <w:textAlignment w:val="center"/>
            </w:pPr>
            <w:r>
              <w:rPr>
                <w:rFonts w:ascii="Times New Roman" w:eastAsia="宋体" w:hAnsi="Times New Roman"/>
                <w:color w:val="000000"/>
                <w:sz w:val="16"/>
                <w:szCs w:val="16"/>
              </w:rPr>
              <w:t>7,855 </w:t>
            </w:r>
          </w:p>
        </w:tc>
        <w:tc>
          <w:tcPr>
            <w:tcW w:w="0" w:type="auto"/>
            <w:shd w:val="clear" w:color="auto" w:fill="FFFFFF"/>
            <w:tcMar>
              <w:top w:w="40" w:type="dxa"/>
              <w:left w:w="0" w:type="dxa"/>
              <w:bottom w:w="40" w:type="dxa"/>
              <w:right w:w="20" w:type="dxa"/>
            </w:tcMar>
            <w:vAlign w:val="center"/>
          </w:tcPr>
          <w:p w14:paraId="4B9A3DE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DE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DEB" w14:textId="77777777" w:rsidR="002A3970" w:rsidRDefault="00C35E63">
            <w:pPr>
              <w:jc w:val="right"/>
              <w:textAlignment w:val="center"/>
            </w:pPr>
            <w:r>
              <w:rPr>
                <w:rFonts w:ascii="Times New Roman" w:eastAsia="宋体" w:hAnsi="Times New Roman"/>
                <w:color w:val="000000"/>
                <w:sz w:val="16"/>
                <w:szCs w:val="16"/>
              </w:rPr>
              <w:t>(1,048)</w:t>
            </w:r>
          </w:p>
        </w:tc>
        <w:tc>
          <w:tcPr>
            <w:tcW w:w="0" w:type="auto"/>
            <w:shd w:val="clear" w:color="auto" w:fill="FFFFFF"/>
            <w:tcMar>
              <w:top w:w="40" w:type="dxa"/>
              <w:left w:w="0" w:type="dxa"/>
              <w:bottom w:w="40" w:type="dxa"/>
              <w:right w:w="20" w:type="dxa"/>
            </w:tcMar>
            <w:vAlign w:val="center"/>
          </w:tcPr>
          <w:p w14:paraId="4B9A3DEC" w14:textId="77777777" w:rsidR="002A3970" w:rsidRDefault="002A3970">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B9A3DED" w14:textId="77777777" w:rsidR="002A3970" w:rsidRDefault="00C35E63">
            <w:pPr>
              <w:textAlignment w:val="center"/>
            </w:pPr>
            <w:r>
              <w:rPr>
                <w:rFonts w:ascii="Times New Roman" w:eastAsia="宋体" w:hAnsi="Times New Roman"/>
                <w:color w:val="000000"/>
                <w:sz w:val="10"/>
                <w:szCs w:val="10"/>
              </w:rPr>
              <w:t>(1)</w:t>
            </w:r>
          </w:p>
        </w:tc>
      </w:tr>
      <w:tr w:rsidR="002A3970" w14:paraId="4B9A3DF8" w14:textId="77777777">
        <w:trPr>
          <w:hidden/>
        </w:trPr>
        <w:tc>
          <w:tcPr>
            <w:tcW w:w="0" w:type="auto"/>
            <w:gridSpan w:val="3"/>
            <w:shd w:val="clear" w:color="auto" w:fill="auto"/>
            <w:vAlign w:val="bottom"/>
          </w:tcPr>
          <w:p w14:paraId="4B9A3DEF" w14:textId="77777777" w:rsidR="002A3970" w:rsidRDefault="002A3970">
            <w:pPr>
              <w:rPr>
                <w:rFonts w:ascii="宋体"/>
                <w:vanish/>
              </w:rPr>
            </w:pPr>
          </w:p>
        </w:tc>
        <w:tc>
          <w:tcPr>
            <w:tcW w:w="0" w:type="auto"/>
            <w:gridSpan w:val="3"/>
            <w:shd w:val="clear" w:color="auto" w:fill="auto"/>
            <w:vAlign w:val="bottom"/>
          </w:tcPr>
          <w:p w14:paraId="4B9A3DF0" w14:textId="77777777" w:rsidR="002A3970" w:rsidRDefault="002A3970">
            <w:pPr>
              <w:rPr>
                <w:rFonts w:ascii="宋体"/>
                <w:vanish/>
              </w:rPr>
            </w:pPr>
          </w:p>
        </w:tc>
        <w:tc>
          <w:tcPr>
            <w:tcW w:w="0" w:type="auto"/>
            <w:gridSpan w:val="3"/>
            <w:shd w:val="clear" w:color="auto" w:fill="auto"/>
            <w:vAlign w:val="bottom"/>
          </w:tcPr>
          <w:p w14:paraId="4B9A3DF1" w14:textId="77777777" w:rsidR="002A3970" w:rsidRDefault="002A3970">
            <w:pPr>
              <w:rPr>
                <w:rFonts w:ascii="宋体"/>
                <w:vanish/>
              </w:rPr>
            </w:pPr>
          </w:p>
        </w:tc>
        <w:tc>
          <w:tcPr>
            <w:tcW w:w="0" w:type="auto"/>
            <w:gridSpan w:val="3"/>
            <w:shd w:val="clear" w:color="auto" w:fill="auto"/>
            <w:vAlign w:val="bottom"/>
          </w:tcPr>
          <w:p w14:paraId="4B9A3DF2" w14:textId="77777777" w:rsidR="002A3970" w:rsidRDefault="002A3970">
            <w:pPr>
              <w:rPr>
                <w:rFonts w:ascii="宋体"/>
                <w:vanish/>
              </w:rPr>
            </w:pPr>
          </w:p>
        </w:tc>
        <w:tc>
          <w:tcPr>
            <w:tcW w:w="0" w:type="auto"/>
            <w:gridSpan w:val="3"/>
            <w:shd w:val="clear" w:color="auto" w:fill="auto"/>
            <w:vAlign w:val="bottom"/>
          </w:tcPr>
          <w:p w14:paraId="4B9A3DF3" w14:textId="77777777" w:rsidR="002A3970" w:rsidRDefault="002A3970">
            <w:pPr>
              <w:rPr>
                <w:rFonts w:ascii="宋体"/>
                <w:vanish/>
              </w:rPr>
            </w:pPr>
          </w:p>
        </w:tc>
        <w:tc>
          <w:tcPr>
            <w:tcW w:w="0" w:type="auto"/>
            <w:gridSpan w:val="3"/>
            <w:shd w:val="clear" w:color="auto" w:fill="auto"/>
            <w:vAlign w:val="bottom"/>
          </w:tcPr>
          <w:p w14:paraId="4B9A3DF4" w14:textId="77777777" w:rsidR="002A3970" w:rsidRDefault="002A3970">
            <w:pPr>
              <w:rPr>
                <w:rFonts w:ascii="宋体"/>
                <w:vanish/>
              </w:rPr>
            </w:pPr>
          </w:p>
        </w:tc>
        <w:tc>
          <w:tcPr>
            <w:tcW w:w="0" w:type="auto"/>
            <w:gridSpan w:val="3"/>
            <w:shd w:val="clear" w:color="auto" w:fill="auto"/>
            <w:vAlign w:val="bottom"/>
          </w:tcPr>
          <w:p w14:paraId="4B9A3DF5" w14:textId="77777777" w:rsidR="002A3970" w:rsidRDefault="002A3970">
            <w:pPr>
              <w:rPr>
                <w:rFonts w:ascii="宋体"/>
                <w:vanish/>
              </w:rPr>
            </w:pPr>
          </w:p>
        </w:tc>
        <w:tc>
          <w:tcPr>
            <w:tcW w:w="0" w:type="auto"/>
            <w:gridSpan w:val="3"/>
            <w:shd w:val="clear" w:color="auto" w:fill="auto"/>
            <w:vAlign w:val="bottom"/>
          </w:tcPr>
          <w:p w14:paraId="4B9A3DF6" w14:textId="77777777" w:rsidR="002A3970" w:rsidRDefault="002A3970">
            <w:pPr>
              <w:rPr>
                <w:rFonts w:ascii="宋体"/>
                <w:vanish/>
              </w:rPr>
            </w:pPr>
          </w:p>
        </w:tc>
        <w:tc>
          <w:tcPr>
            <w:tcW w:w="0" w:type="auto"/>
            <w:gridSpan w:val="3"/>
            <w:shd w:val="clear" w:color="auto" w:fill="auto"/>
            <w:vAlign w:val="bottom"/>
          </w:tcPr>
          <w:p w14:paraId="4B9A3DF7" w14:textId="77777777" w:rsidR="002A3970" w:rsidRDefault="002A3970">
            <w:pPr>
              <w:rPr>
                <w:rFonts w:ascii="宋体"/>
                <w:vanish/>
              </w:rPr>
            </w:pPr>
          </w:p>
        </w:tc>
      </w:tr>
      <w:tr w:rsidR="002A3970" w14:paraId="4B9A3E0A" w14:textId="77777777">
        <w:tc>
          <w:tcPr>
            <w:tcW w:w="0" w:type="auto"/>
            <w:gridSpan w:val="3"/>
            <w:shd w:val="clear" w:color="auto" w:fill="CCEEFF"/>
            <w:tcMar>
              <w:top w:w="40" w:type="dxa"/>
              <w:left w:w="20" w:type="dxa"/>
              <w:bottom w:w="40" w:type="dxa"/>
              <w:right w:w="20" w:type="dxa"/>
            </w:tcMar>
            <w:vAlign w:val="center"/>
          </w:tcPr>
          <w:p w14:paraId="4B9A3DF9" w14:textId="77777777" w:rsidR="002A3970" w:rsidRDefault="00C35E63">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DF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DFB" w14:textId="77777777" w:rsidR="002A3970" w:rsidRDefault="00C35E63">
            <w:pPr>
              <w:jc w:val="right"/>
              <w:textAlignment w:val="center"/>
            </w:pPr>
            <w:r>
              <w:rPr>
                <w:rFonts w:ascii="Times New Roman" w:eastAsia="宋体" w:hAnsi="Times New Roman"/>
                <w:color w:val="000000"/>
                <w:sz w:val="16"/>
                <w:szCs w:val="16"/>
              </w:rPr>
              <w:t>13,456 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DF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DFD"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DF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DFF" w14:textId="77777777" w:rsidR="002A3970" w:rsidRDefault="00C35E63">
            <w:pPr>
              <w:jc w:val="right"/>
              <w:textAlignment w:val="center"/>
            </w:pPr>
            <w:r>
              <w:rPr>
                <w:rFonts w:ascii="Times New Roman" w:eastAsia="宋体" w:hAnsi="Times New Roman"/>
                <w:color w:val="000000"/>
                <w:sz w:val="16"/>
                <w:szCs w:val="16"/>
              </w:rPr>
              <w:t>(2,632)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E0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01"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E0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E03" w14:textId="77777777" w:rsidR="002A3970" w:rsidRDefault="00C35E63">
            <w:pPr>
              <w:jc w:val="right"/>
              <w:textAlignment w:val="center"/>
            </w:pPr>
            <w:r>
              <w:rPr>
                <w:rFonts w:ascii="Times New Roman" w:eastAsia="宋体" w:hAnsi="Times New Roman"/>
                <w:color w:val="000000"/>
                <w:sz w:val="16"/>
                <w:szCs w:val="16"/>
              </w:rPr>
              <w:t>15,876 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E0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05"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E0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E07" w14:textId="77777777" w:rsidR="002A3970" w:rsidRDefault="00C35E63">
            <w:pPr>
              <w:jc w:val="right"/>
              <w:textAlignment w:val="center"/>
            </w:pPr>
            <w:r>
              <w:rPr>
                <w:rFonts w:ascii="Times New Roman" w:eastAsia="宋体" w:hAnsi="Times New Roman"/>
                <w:color w:val="000000"/>
                <w:sz w:val="16"/>
                <w:szCs w:val="16"/>
              </w:rPr>
              <w:t>(1,095)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E0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09" w14:textId="77777777" w:rsidR="002A3970" w:rsidRDefault="002A3970">
            <w:pPr>
              <w:rPr>
                <w:rFonts w:ascii="宋体"/>
              </w:rPr>
            </w:pPr>
          </w:p>
        </w:tc>
      </w:tr>
    </w:tbl>
    <w:p w14:paraId="4B9A3E0B" w14:textId="77777777" w:rsidR="002A3970" w:rsidRDefault="00C35E63">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primarily in deferred income taxes and other within the Com</w:t>
      </w:r>
      <w:r>
        <w:rPr>
          <w:rFonts w:ascii="Times New Roman" w:eastAsia="宋体" w:hAnsi="Times New Roman"/>
          <w:color w:val="000000"/>
          <w:sz w:val="16"/>
          <w:szCs w:val="16"/>
        </w:rPr>
        <w:t>pany's Condensed Consolidated Balance Sheets.</w:t>
      </w:r>
    </w:p>
    <w:p w14:paraId="4B9A3E0C" w14:textId="77777777" w:rsidR="002A3970" w:rsidRDefault="00C35E63">
      <w:pPr>
        <w:spacing w:before="180"/>
      </w:pPr>
      <w:r>
        <w:rPr>
          <w:rFonts w:ascii="Times New Roman" w:eastAsia="宋体" w:hAnsi="Times New Roman"/>
          <w:i/>
          <w:iCs/>
          <w:color w:val="000000"/>
          <w:sz w:val="20"/>
          <w:szCs w:val="20"/>
        </w:rPr>
        <w:t>Nonrecurring Fair Value Measurements</w:t>
      </w:r>
    </w:p>
    <w:p w14:paraId="4B9A3E0D" w14:textId="77777777" w:rsidR="002A3970" w:rsidRDefault="00C35E63">
      <w:pPr>
        <w:spacing w:before="100"/>
      </w:pPr>
      <w:r>
        <w:rPr>
          <w:rFonts w:ascii="Times New Roman" w:eastAsia="宋体" w:hAnsi="Times New Roman"/>
          <w:color w:val="000000"/>
          <w:sz w:val="20"/>
          <w:szCs w:val="20"/>
        </w:rPr>
        <w:t>In addition to assets and liabilities recorded at fair value on a recurring basis, the Company's assets and liabilities are also subject to nonrecurring fair value measureme</w:t>
      </w:r>
      <w:r>
        <w:rPr>
          <w:rFonts w:ascii="Times New Roman" w:eastAsia="宋体" w:hAnsi="Times New Roman"/>
          <w:color w:val="000000"/>
          <w:sz w:val="20"/>
          <w:szCs w:val="20"/>
        </w:rPr>
        <w:t>nts. Generally, assets are recorded at fair value on a nonrecurring basis as a result of impairment charges. The Company did not have any material assets or liabilities resulting in nonrecurring fair value measurements as of October 31, 2022 in the Company</w:t>
      </w:r>
      <w:r>
        <w:rPr>
          <w:rFonts w:ascii="Times New Roman" w:eastAsia="宋体" w:hAnsi="Times New Roman"/>
          <w:color w:val="000000"/>
          <w:sz w:val="20"/>
          <w:szCs w:val="20"/>
        </w:rPr>
        <w:t>'s Condensed Consolidated Balance Sheets.</w:t>
      </w:r>
    </w:p>
    <w:p w14:paraId="4B9A3E0E" w14:textId="77777777" w:rsidR="002A3970" w:rsidRDefault="00C35E63">
      <w:pPr>
        <w:spacing w:before="100"/>
      </w:pPr>
      <w:r>
        <w:rPr>
          <w:rFonts w:ascii="Times New Roman" w:eastAsia="宋体" w:hAnsi="Times New Roman"/>
          <w:i/>
          <w:iCs/>
          <w:color w:val="000000"/>
          <w:sz w:val="20"/>
          <w:szCs w:val="20"/>
        </w:rPr>
        <w:t>Other Fair Value Disclosures</w:t>
      </w:r>
    </w:p>
    <w:p w14:paraId="4B9A3E0F" w14:textId="77777777" w:rsidR="002A3970" w:rsidRDefault="00C35E63">
      <w:pPr>
        <w:spacing w:before="100"/>
      </w:pPr>
      <w:r>
        <w:rPr>
          <w:rFonts w:ascii="Times New Roman" w:eastAsia="宋体" w:hAnsi="Times New Roman"/>
          <w:color w:val="000000"/>
          <w:sz w:val="20"/>
          <w:szCs w:val="20"/>
        </w:rPr>
        <w:t xml:space="preserve">The Company records cash and cash equivalents, restricted cash, and short-term borrowings at cost. The carrying values of these instruments approximate their fair value due to their short-term maturities. </w:t>
      </w:r>
    </w:p>
    <w:p w14:paraId="4B9A3E10" w14:textId="77777777" w:rsidR="002A3970" w:rsidRDefault="00C35E63">
      <w:pPr>
        <w:spacing w:before="100"/>
      </w:pPr>
      <w:r>
        <w:rPr>
          <w:rFonts w:ascii="Times New Roman" w:eastAsia="宋体" w:hAnsi="Times New Roman"/>
          <w:color w:val="000000"/>
          <w:sz w:val="20"/>
          <w:szCs w:val="20"/>
        </w:rPr>
        <w:t>The Company's long-term debt is also recorded at c</w:t>
      </w:r>
      <w:r>
        <w:rPr>
          <w:rFonts w:ascii="Times New Roman" w:eastAsia="宋体" w:hAnsi="Times New Roman"/>
          <w:color w:val="000000"/>
          <w:sz w:val="20"/>
          <w:szCs w:val="20"/>
        </w:rPr>
        <w:t>ost. The fair value is estimated using Level 2 inputs based on the Company's current incremental borrowing rate for similar types of borrowing arrangements. The carrying value and fair value of the Company's long-term debt as of October 31, 2022 and Januar</w:t>
      </w:r>
      <w:r>
        <w:rPr>
          <w:rFonts w:ascii="Times New Roman" w:eastAsia="宋体" w:hAnsi="Times New Roman"/>
          <w:color w:val="000000"/>
          <w:sz w:val="20"/>
          <w:szCs w:val="20"/>
        </w:rPr>
        <w:t>y 31, 2022,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2A3970" w14:paraId="4B9A3E2C" w14:textId="77777777">
        <w:tc>
          <w:tcPr>
            <w:tcW w:w="50" w:type="pct"/>
            <w:shd w:val="clear" w:color="auto" w:fill="auto"/>
            <w:vAlign w:val="bottom"/>
          </w:tcPr>
          <w:p w14:paraId="4B9A3E11" w14:textId="77777777" w:rsidR="002A3970" w:rsidRDefault="002A3970">
            <w:pPr>
              <w:rPr>
                <w:rFonts w:ascii="宋体"/>
              </w:rPr>
            </w:pPr>
          </w:p>
        </w:tc>
        <w:tc>
          <w:tcPr>
            <w:tcW w:w="2455" w:type="pct"/>
            <w:shd w:val="clear" w:color="auto" w:fill="auto"/>
            <w:vAlign w:val="bottom"/>
          </w:tcPr>
          <w:p w14:paraId="4B9A3E12" w14:textId="77777777" w:rsidR="002A3970" w:rsidRDefault="002A3970">
            <w:pPr>
              <w:rPr>
                <w:rFonts w:ascii="宋体"/>
              </w:rPr>
            </w:pPr>
          </w:p>
        </w:tc>
        <w:tc>
          <w:tcPr>
            <w:tcW w:w="5" w:type="pct"/>
            <w:shd w:val="clear" w:color="auto" w:fill="auto"/>
            <w:vAlign w:val="bottom"/>
          </w:tcPr>
          <w:p w14:paraId="4B9A3E13" w14:textId="77777777" w:rsidR="002A3970" w:rsidRDefault="002A3970">
            <w:pPr>
              <w:rPr>
                <w:rFonts w:ascii="宋体"/>
              </w:rPr>
            </w:pPr>
          </w:p>
        </w:tc>
        <w:tc>
          <w:tcPr>
            <w:tcW w:w="5" w:type="pct"/>
            <w:shd w:val="clear" w:color="auto" w:fill="auto"/>
            <w:vAlign w:val="bottom"/>
          </w:tcPr>
          <w:p w14:paraId="4B9A3E14" w14:textId="77777777" w:rsidR="002A3970" w:rsidRDefault="002A3970">
            <w:pPr>
              <w:rPr>
                <w:rFonts w:ascii="宋体"/>
              </w:rPr>
            </w:pPr>
          </w:p>
        </w:tc>
        <w:tc>
          <w:tcPr>
            <w:tcW w:w="26" w:type="pct"/>
            <w:shd w:val="clear" w:color="auto" w:fill="auto"/>
            <w:vAlign w:val="bottom"/>
          </w:tcPr>
          <w:p w14:paraId="4B9A3E15" w14:textId="77777777" w:rsidR="002A3970" w:rsidRDefault="002A3970">
            <w:pPr>
              <w:rPr>
                <w:rFonts w:ascii="宋体"/>
              </w:rPr>
            </w:pPr>
          </w:p>
        </w:tc>
        <w:tc>
          <w:tcPr>
            <w:tcW w:w="5" w:type="pct"/>
            <w:shd w:val="clear" w:color="auto" w:fill="auto"/>
            <w:vAlign w:val="bottom"/>
          </w:tcPr>
          <w:p w14:paraId="4B9A3E16" w14:textId="77777777" w:rsidR="002A3970" w:rsidRDefault="002A3970">
            <w:pPr>
              <w:rPr>
                <w:rFonts w:ascii="宋体"/>
              </w:rPr>
            </w:pPr>
          </w:p>
        </w:tc>
        <w:tc>
          <w:tcPr>
            <w:tcW w:w="50" w:type="pct"/>
            <w:shd w:val="clear" w:color="auto" w:fill="auto"/>
            <w:vAlign w:val="bottom"/>
          </w:tcPr>
          <w:p w14:paraId="4B9A3E17" w14:textId="77777777" w:rsidR="002A3970" w:rsidRDefault="002A3970">
            <w:pPr>
              <w:rPr>
                <w:rFonts w:ascii="宋体"/>
              </w:rPr>
            </w:pPr>
          </w:p>
        </w:tc>
        <w:tc>
          <w:tcPr>
            <w:tcW w:w="530" w:type="pct"/>
            <w:shd w:val="clear" w:color="auto" w:fill="auto"/>
            <w:vAlign w:val="bottom"/>
          </w:tcPr>
          <w:p w14:paraId="4B9A3E18" w14:textId="77777777" w:rsidR="002A3970" w:rsidRDefault="002A3970">
            <w:pPr>
              <w:rPr>
                <w:rFonts w:ascii="宋体"/>
              </w:rPr>
            </w:pPr>
          </w:p>
        </w:tc>
        <w:tc>
          <w:tcPr>
            <w:tcW w:w="5" w:type="pct"/>
            <w:shd w:val="clear" w:color="auto" w:fill="auto"/>
            <w:vAlign w:val="bottom"/>
          </w:tcPr>
          <w:p w14:paraId="4B9A3E19" w14:textId="77777777" w:rsidR="002A3970" w:rsidRDefault="002A3970">
            <w:pPr>
              <w:rPr>
                <w:rFonts w:ascii="宋体"/>
              </w:rPr>
            </w:pPr>
          </w:p>
        </w:tc>
        <w:tc>
          <w:tcPr>
            <w:tcW w:w="5" w:type="pct"/>
            <w:shd w:val="clear" w:color="auto" w:fill="auto"/>
            <w:vAlign w:val="bottom"/>
          </w:tcPr>
          <w:p w14:paraId="4B9A3E1A" w14:textId="77777777" w:rsidR="002A3970" w:rsidRDefault="002A3970">
            <w:pPr>
              <w:rPr>
                <w:rFonts w:ascii="宋体"/>
              </w:rPr>
            </w:pPr>
          </w:p>
        </w:tc>
        <w:tc>
          <w:tcPr>
            <w:tcW w:w="26" w:type="pct"/>
            <w:shd w:val="clear" w:color="auto" w:fill="auto"/>
            <w:vAlign w:val="bottom"/>
          </w:tcPr>
          <w:p w14:paraId="4B9A3E1B" w14:textId="77777777" w:rsidR="002A3970" w:rsidRDefault="002A3970">
            <w:pPr>
              <w:rPr>
                <w:rFonts w:ascii="宋体"/>
              </w:rPr>
            </w:pPr>
          </w:p>
        </w:tc>
        <w:tc>
          <w:tcPr>
            <w:tcW w:w="5" w:type="pct"/>
            <w:shd w:val="clear" w:color="auto" w:fill="auto"/>
            <w:vAlign w:val="bottom"/>
          </w:tcPr>
          <w:p w14:paraId="4B9A3E1C" w14:textId="77777777" w:rsidR="002A3970" w:rsidRDefault="002A3970">
            <w:pPr>
              <w:rPr>
                <w:rFonts w:ascii="宋体"/>
              </w:rPr>
            </w:pPr>
          </w:p>
        </w:tc>
        <w:tc>
          <w:tcPr>
            <w:tcW w:w="50" w:type="pct"/>
            <w:shd w:val="clear" w:color="auto" w:fill="auto"/>
            <w:vAlign w:val="bottom"/>
          </w:tcPr>
          <w:p w14:paraId="4B9A3E1D" w14:textId="77777777" w:rsidR="002A3970" w:rsidRDefault="002A3970">
            <w:pPr>
              <w:rPr>
                <w:rFonts w:ascii="宋体"/>
              </w:rPr>
            </w:pPr>
          </w:p>
        </w:tc>
        <w:tc>
          <w:tcPr>
            <w:tcW w:w="530" w:type="pct"/>
            <w:shd w:val="clear" w:color="auto" w:fill="auto"/>
            <w:vAlign w:val="bottom"/>
          </w:tcPr>
          <w:p w14:paraId="4B9A3E1E" w14:textId="77777777" w:rsidR="002A3970" w:rsidRDefault="002A3970">
            <w:pPr>
              <w:rPr>
                <w:rFonts w:ascii="宋体"/>
              </w:rPr>
            </w:pPr>
          </w:p>
        </w:tc>
        <w:tc>
          <w:tcPr>
            <w:tcW w:w="5" w:type="pct"/>
            <w:shd w:val="clear" w:color="auto" w:fill="auto"/>
            <w:vAlign w:val="bottom"/>
          </w:tcPr>
          <w:p w14:paraId="4B9A3E1F" w14:textId="77777777" w:rsidR="002A3970" w:rsidRDefault="002A3970">
            <w:pPr>
              <w:rPr>
                <w:rFonts w:ascii="宋体"/>
              </w:rPr>
            </w:pPr>
          </w:p>
        </w:tc>
        <w:tc>
          <w:tcPr>
            <w:tcW w:w="5" w:type="pct"/>
            <w:shd w:val="clear" w:color="auto" w:fill="auto"/>
            <w:vAlign w:val="bottom"/>
          </w:tcPr>
          <w:p w14:paraId="4B9A3E20" w14:textId="77777777" w:rsidR="002A3970" w:rsidRDefault="002A3970">
            <w:pPr>
              <w:rPr>
                <w:rFonts w:ascii="宋体"/>
              </w:rPr>
            </w:pPr>
          </w:p>
        </w:tc>
        <w:tc>
          <w:tcPr>
            <w:tcW w:w="26" w:type="pct"/>
            <w:shd w:val="clear" w:color="auto" w:fill="auto"/>
            <w:vAlign w:val="bottom"/>
          </w:tcPr>
          <w:p w14:paraId="4B9A3E21" w14:textId="77777777" w:rsidR="002A3970" w:rsidRDefault="002A3970">
            <w:pPr>
              <w:rPr>
                <w:rFonts w:ascii="宋体"/>
              </w:rPr>
            </w:pPr>
          </w:p>
        </w:tc>
        <w:tc>
          <w:tcPr>
            <w:tcW w:w="5" w:type="pct"/>
            <w:shd w:val="clear" w:color="auto" w:fill="auto"/>
            <w:vAlign w:val="bottom"/>
          </w:tcPr>
          <w:p w14:paraId="4B9A3E22" w14:textId="77777777" w:rsidR="002A3970" w:rsidRDefault="002A3970">
            <w:pPr>
              <w:rPr>
                <w:rFonts w:ascii="宋体"/>
              </w:rPr>
            </w:pPr>
          </w:p>
        </w:tc>
        <w:tc>
          <w:tcPr>
            <w:tcW w:w="50" w:type="pct"/>
            <w:shd w:val="clear" w:color="auto" w:fill="auto"/>
            <w:vAlign w:val="bottom"/>
          </w:tcPr>
          <w:p w14:paraId="4B9A3E23" w14:textId="77777777" w:rsidR="002A3970" w:rsidRDefault="002A3970">
            <w:pPr>
              <w:rPr>
                <w:rFonts w:ascii="宋体"/>
              </w:rPr>
            </w:pPr>
          </w:p>
        </w:tc>
        <w:tc>
          <w:tcPr>
            <w:tcW w:w="530" w:type="pct"/>
            <w:shd w:val="clear" w:color="auto" w:fill="auto"/>
            <w:vAlign w:val="bottom"/>
          </w:tcPr>
          <w:p w14:paraId="4B9A3E24" w14:textId="77777777" w:rsidR="002A3970" w:rsidRDefault="002A3970">
            <w:pPr>
              <w:rPr>
                <w:rFonts w:ascii="宋体"/>
              </w:rPr>
            </w:pPr>
          </w:p>
        </w:tc>
        <w:tc>
          <w:tcPr>
            <w:tcW w:w="5" w:type="pct"/>
            <w:shd w:val="clear" w:color="auto" w:fill="auto"/>
            <w:vAlign w:val="bottom"/>
          </w:tcPr>
          <w:p w14:paraId="4B9A3E25" w14:textId="77777777" w:rsidR="002A3970" w:rsidRDefault="002A3970">
            <w:pPr>
              <w:rPr>
                <w:rFonts w:ascii="宋体"/>
              </w:rPr>
            </w:pPr>
          </w:p>
        </w:tc>
        <w:tc>
          <w:tcPr>
            <w:tcW w:w="5" w:type="pct"/>
            <w:shd w:val="clear" w:color="auto" w:fill="auto"/>
            <w:vAlign w:val="bottom"/>
          </w:tcPr>
          <w:p w14:paraId="4B9A3E26" w14:textId="77777777" w:rsidR="002A3970" w:rsidRDefault="002A3970">
            <w:pPr>
              <w:rPr>
                <w:rFonts w:ascii="宋体"/>
              </w:rPr>
            </w:pPr>
          </w:p>
        </w:tc>
        <w:tc>
          <w:tcPr>
            <w:tcW w:w="26" w:type="pct"/>
            <w:shd w:val="clear" w:color="auto" w:fill="auto"/>
            <w:vAlign w:val="bottom"/>
          </w:tcPr>
          <w:p w14:paraId="4B9A3E27" w14:textId="77777777" w:rsidR="002A3970" w:rsidRDefault="002A3970">
            <w:pPr>
              <w:rPr>
                <w:rFonts w:ascii="宋体"/>
              </w:rPr>
            </w:pPr>
          </w:p>
        </w:tc>
        <w:tc>
          <w:tcPr>
            <w:tcW w:w="5" w:type="pct"/>
            <w:shd w:val="clear" w:color="auto" w:fill="auto"/>
            <w:vAlign w:val="bottom"/>
          </w:tcPr>
          <w:p w14:paraId="4B9A3E28" w14:textId="77777777" w:rsidR="002A3970" w:rsidRDefault="002A3970">
            <w:pPr>
              <w:rPr>
                <w:rFonts w:ascii="宋体"/>
              </w:rPr>
            </w:pPr>
          </w:p>
        </w:tc>
        <w:tc>
          <w:tcPr>
            <w:tcW w:w="50" w:type="pct"/>
            <w:shd w:val="clear" w:color="auto" w:fill="auto"/>
            <w:vAlign w:val="bottom"/>
          </w:tcPr>
          <w:p w14:paraId="4B9A3E29" w14:textId="77777777" w:rsidR="002A3970" w:rsidRDefault="002A3970">
            <w:pPr>
              <w:rPr>
                <w:rFonts w:ascii="宋体"/>
              </w:rPr>
            </w:pPr>
          </w:p>
        </w:tc>
        <w:tc>
          <w:tcPr>
            <w:tcW w:w="530" w:type="pct"/>
            <w:shd w:val="clear" w:color="auto" w:fill="auto"/>
            <w:vAlign w:val="bottom"/>
          </w:tcPr>
          <w:p w14:paraId="4B9A3E2A" w14:textId="77777777" w:rsidR="002A3970" w:rsidRDefault="002A3970">
            <w:pPr>
              <w:rPr>
                <w:rFonts w:ascii="宋体"/>
              </w:rPr>
            </w:pPr>
          </w:p>
        </w:tc>
        <w:tc>
          <w:tcPr>
            <w:tcW w:w="5" w:type="pct"/>
            <w:shd w:val="clear" w:color="auto" w:fill="auto"/>
            <w:vAlign w:val="bottom"/>
          </w:tcPr>
          <w:p w14:paraId="4B9A3E2B" w14:textId="77777777" w:rsidR="002A3970" w:rsidRDefault="002A3970">
            <w:pPr>
              <w:rPr>
                <w:rFonts w:ascii="宋体"/>
              </w:rPr>
            </w:pPr>
          </w:p>
        </w:tc>
      </w:tr>
      <w:tr w:rsidR="002A3970" w14:paraId="4B9A3E32" w14:textId="77777777">
        <w:tc>
          <w:tcPr>
            <w:tcW w:w="0" w:type="auto"/>
            <w:gridSpan w:val="3"/>
            <w:shd w:val="clear" w:color="auto" w:fill="auto"/>
            <w:tcMar>
              <w:top w:w="40" w:type="dxa"/>
              <w:left w:w="20" w:type="dxa"/>
              <w:bottom w:w="40" w:type="dxa"/>
              <w:right w:w="20" w:type="dxa"/>
            </w:tcMar>
            <w:vAlign w:val="bottom"/>
          </w:tcPr>
          <w:p w14:paraId="4B9A3E2D"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3E2E"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E2F" w14:textId="77777777" w:rsidR="002A3970" w:rsidRDefault="00C35E63">
            <w:pPr>
              <w:jc w:val="center"/>
              <w:textAlignment w:val="bottom"/>
            </w:pPr>
            <w:r>
              <w:rPr>
                <w:rFonts w:ascii="Times New Roman" w:eastAsia="宋体" w:hAnsi="Times New Roman"/>
                <w:b/>
                <w:bCs/>
                <w:color w:val="000000"/>
                <w:sz w:val="16"/>
                <w:szCs w:val="16"/>
              </w:rPr>
              <w:t>October 31, 2022</w:t>
            </w:r>
          </w:p>
        </w:tc>
        <w:tc>
          <w:tcPr>
            <w:tcW w:w="0" w:type="auto"/>
            <w:gridSpan w:val="3"/>
            <w:shd w:val="clear" w:color="auto" w:fill="auto"/>
            <w:tcMar>
              <w:top w:w="0" w:type="dxa"/>
              <w:left w:w="20" w:type="dxa"/>
              <w:bottom w:w="0" w:type="dxa"/>
              <w:right w:w="20" w:type="dxa"/>
            </w:tcMar>
            <w:vAlign w:val="bottom"/>
          </w:tcPr>
          <w:p w14:paraId="4B9A3E30"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E31" w14:textId="77777777" w:rsidR="002A3970" w:rsidRDefault="00C35E63">
            <w:pPr>
              <w:jc w:val="center"/>
              <w:textAlignment w:val="bottom"/>
            </w:pPr>
            <w:r>
              <w:rPr>
                <w:rFonts w:ascii="Times New Roman" w:eastAsia="宋体" w:hAnsi="Times New Roman"/>
                <w:b/>
                <w:bCs/>
                <w:color w:val="000000"/>
                <w:sz w:val="16"/>
                <w:szCs w:val="16"/>
              </w:rPr>
              <w:t>January 31, 2022</w:t>
            </w:r>
          </w:p>
        </w:tc>
      </w:tr>
      <w:tr w:rsidR="002A3970" w14:paraId="4B9A3E3C" w14:textId="77777777">
        <w:tc>
          <w:tcPr>
            <w:tcW w:w="0" w:type="auto"/>
            <w:gridSpan w:val="3"/>
            <w:shd w:val="clear" w:color="auto" w:fill="auto"/>
            <w:tcMar>
              <w:top w:w="40" w:type="dxa"/>
              <w:left w:w="20" w:type="dxa"/>
              <w:bottom w:w="40" w:type="dxa"/>
              <w:right w:w="20" w:type="dxa"/>
            </w:tcMar>
            <w:vAlign w:val="bottom"/>
          </w:tcPr>
          <w:p w14:paraId="4B9A3E33"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3E34"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E35" w14:textId="77777777" w:rsidR="002A3970" w:rsidRDefault="00C35E63">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E36"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E37" w14:textId="77777777" w:rsidR="002A3970" w:rsidRDefault="00C35E63">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B9A3E38"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E39" w14:textId="77777777" w:rsidR="002A3970" w:rsidRDefault="00C35E63">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E3A"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3E3B" w14:textId="77777777" w:rsidR="002A3970" w:rsidRDefault="00C35E63">
            <w:pPr>
              <w:jc w:val="center"/>
              <w:textAlignment w:val="bottom"/>
            </w:pPr>
            <w:r>
              <w:rPr>
                <w:rFonts w:ascii="Times New Roman" w:eastAsia="宋体" w:hAnsi="Times New Roman"/>
                <w:b/>
                <w:bCs/>
                <w:color w:val="000000"/>
                <w:sz w:val="16"/>
                <w:szCs w:val="16"/>
              </w:rPr>
              <w:t>Fair Value</w:t>
            </w:r>
          </w:p>
        </w:tc>
      </w:tr>
      <w:tr w:rsidR="002A3970" w14:paraId="4B9A3E4E" w14:textId="77777777">
        <w:tc>
          <w:tcPr>
            <w:tcW w:w="0" w:type="auto"/>
            <w:gridSpan w:val="3"/>
            <w:shd w:val="clear" w:color="auto" w:fill="CCEEFF"/>
            <w:tcMar>
              <w:top w:w="40" w:type="dxa"/>
              <w:left w:w="20" w:type="dxa"/>
              <w:bottom w:w="40" w:type="dxa"/>
              <w:right w:w="20" w:type="dxa"/>
            </w:tcMar>
            <w:vAlign w:val="center"/>
          </w:tcPr>
          <w:p w14:paraId="4B9A3E3D" w14:textId="77777777" w:rsidR="002A3970" w:rsidRDefault="00C35E63">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bottom"/>
          </w:tcPr>
          <w:p w14:paraId="4B9A3E3E"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E3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E40" w14:textId="77777777" w:rsidR="002A3970" w:rsidRDefault="00C35E63">
            <w:pPr>
              <w:jc w:val="right"/>
              <w:textAlignment w:val="center"/>
            </w:pPr>
            <w:r>
              <w:rPr>
                <w:rFonts w:ascii="Times New Roman" w:eastAsia="宋体" w:hAnsi="Times New Roman"/>
                <w:color w:val="000000"/>
                <w:sz w:val="16"/>
                <w:szCs w:val="16"/>
              </w:rPr>
              <w:t>39,393 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E4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42"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E43"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E44" w14:textId="77777777" w:rsidR="002A3970" w:rsidRDefault="00C35E63">
            <w:pPr>
              <w:jc w:val="right"/>
              <w:textAlignment w:val="center"/>
            </w:pPr>
            <w:r>
              <w:rPr>
                <w:rFonts w:ascii="Times New Roman" w:eastAsia="宋体" w:hAnsi="Times New Roman"/>
                <w:color w:val="000000"/>
                <w:sz w:val="16"/>
                <w:szCs w:val="16"/>
              </w:rPr>
              <w:t>36,884 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E4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46"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E47"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E48" w14:textId="77777777" w:rsidR="002A3970" w:rsidRDefault="00C35E63">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E4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4A"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3E4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3E4C" w14:textId="77777777" w:rsidR="002A3970" w:rsidRDefault="00C35E63">
            <w:pPr>
              <w:jc w:val="right"/>
              <w:textAlignment w:val="center"/>
            </w:pPr>
            <w:r>
              <w:rPr>
                <w:rFonts w:ascii="Times New Roman" w:eastAsia="宋体" w:hAnsi="Times New Roman"/>
                <w:color w:val="000000"/>
                <w:sz w:val="16"/>
                <w:szCs w:val="16"/>
              </w:rPr>
              <w:t>42,381 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E4D" w14:textId="77777777" w:rsidR="002A3970" w:rsidRDefault="002A3970">
            <w:pPr>
              <w:jc w:val="right"/>
              <w:rPr>
                <w:rFonts w:ascii="宋体"/>
              </w:rPr>
            </w:pPr>
          </w:p>
        </w:tc>
      </w:tr>
    </w:tbl>
    <w:p w14:paraId="4B9A3E4F" w14:textId="77777777" w:rsidR="002A3970" w:rsidRDefault="00C35E63">
      <w:pPr>
        <w:spacing w:before="240"/>
      </w:pPr>
      <w:r>
        <w:rPr>
          <w:rFonts w:ascii="Times New Roman" w:eastAsia="宋体" w:hAnsi="Times New Roman"/>
          <w:b/>
          <w:bCs/>
          <w:color w:val="000000"/>
          <w:sz w:val="20"/>
          <w:szCs w:val="20"/>
        </w:rPr>
        <w:t>Note 6. Contingencies</w:t>
      </w:r>
    </w:p>
    <w:p w14:paraId="4B9A3E50" w14:textId="77777777" w:rsidR="002A3970" w:rsidRDefault="00C35E63">
      <w:pPr>
        <w:spacing w:before="180"/>
      </w:pPr>
      <w:r>
        <w:rPr>
          <w:rFonts w:ascii="Times New Roman" w:eastAsia="宋体" w:hAnsi="Times New Roman"/>
          <w:b/>
          <w:bCs/>
          <w:i/>
          <w:iCs/>
          <w:color w:val="000000"/>
          <w:sz w:val="20"/>
          <w:szCs w:val="20"/>
        </w:rPr>
        <w:t>Legal Proceedings</w:t>
      </w:r>
    </w:p>
    <w:p w14:paraId="4B9A3E51" w14:textId="77777777" w:rsidR="002A3970" w:rsidRDefault="00C35E63">
      <w:pPr>
        <w:spacing w:before="100"/>
      </w:pPr>
      <w:r>
        <w:rPr>
          <w:rFonts w:ascii="Times New Roman" w:eastAsia="宋体" w:hAnsi="Times New Roman"/>
          <w:color w:val="000000"/>
          <w:sz w:val="20"/>
          <w:szCs w:val="20"/>
        </w:rPr>
        <w:t xml:space="preserve">The Company is involved in a </w:t>
      </w:r>
      <w:r>
        <w:rPr>
          <w:rFonts w:ascii="Times New Roman" w:eastAsia="宋体" w:hAnsi="Times New Roman"/>
          <w:color w:val="000000"/>
          <w:sz w:val="20"/>
          <w:szCs w:val="20"/>
        </w:rPr>
        <w:t>number of legal proceedings and certain regulatory matters. The Company has made accruals with respect to these matters, where appropriate, which are reflected in the Company's Condensed Consolidated Financial Statements. For some matters, a liability is n</w:t>
      </w:r>
      <w:r>
        <w:rPr>
          <w:rFonts w:ascii="Times New Roman" w:eastAsia="宋体" w:hAnsi="Times New Roman"/>
          <w:color w:val="000000"/>
          <w:sz w:val="20"/>
          <w:szCs w:val="20"/>
        </w:rPr>
        <w:t>ot probable or the amount cannot be reasonably estimated and therefore an accrual has not been recorded. However, where a liability is reasonably possible and may be material, such matters have been disclosed. The Company may enter into discussions regardi</w:t>
      </w:r>
      <w:r>
        <w:rPr>
          <w:rFonts w:ascii="Times New Roman" w:eastAsia="宋体" w:hAnsi="Times New Roman"/>
          <w:color w:val="000000"/>
          <w:sz w:val="20"/>
          <w:szCs w:val="20"/>
        </w:rPr>
        <w:t>ng settlement of these matters, and may enter into settlement agreements, if it believes settlement is in the best interest of the Company and its shareholders.</w:t>
      </w:r>
    </w:p>
    <w:p w14:paraId="4B9A3E52" w14:textId="77777777" w:rsidR="002A3970" w:rsidRDefault="00C35E63">
      <w:pPr>
        <w:spacing w:before="100"/>
      </w:pPr>
      <w:r>
        <w:rPr>
          <w:rFonts w:ascii="Times New Roman" w:eastAsia="宋体" w:hAnsi="Times New Roman"/>
          <w:color w:val="000000"/>
          <w:sz w:val="20"/>
          <w:szCs w:val="20"/>
        </w:rPr>
        <w:t>Unless stated otherwise, the matters discussed below, if decided adversely to or settled by the</w:t>
      </w:r>
      <w:r>
        <w:rPr>
          <w:rFonts w:ascii="Times New Roman" w:eastAsia="宋体" w:hAnsi="Times New Roman"/>
          <w:color w:val="000000"/>
          <w:sz w:val="20"/>
          <w:szCs w:val="20"/>
        </w:rPr>
        <w:t xml:space="preserve"> Company, individually or in the aggregate, may result in a liability material to the Company's financial position, results of operations, or cash flows.</w:t>
      </w:r>
    </w:p>
    <w:p w14:paraId="4B9A3E53" w14:textId="77777777" w:rsidR="002A3970" w:rsidRDefault="00C35E63">
      <w:pPr>
        <w:jc w:val="center"/>
      </w:pPr>
      <w:r>
        <w:rPr>
          <w:rFonts w:ascii="Times New Roman" w:eastAsia="宋体" w:hAnsi="Times New Roman"/>
          <w:color w:val="000000"/>
          <w:sz w:val="20"/>
          <w:szCs w:val="20"/>
        </w:rPr>
        <w:t>12</w:t>
      </w:r>
    </w:p>
    <w:p w14:paraId="4B9A3E54" w14:textId="77777777" w:rsidR="002A3970" w:rsidRDefault="00C35E63">
      <w:r>
        <w:pict w14:anchorId="4B9A4C21">
          <v:rect id="_x0000_i1036" style="width:415.3pt;height:1.5pt" o:hralign="center" o:hrstd="t" o:hr="t" fillcolor="#a0a0a0" stroked="f"/>
        </w:pict>
      </w:r>
    </w:p>
    <w:p w14:paraId="4B9A3E55" w14:textId="77777777" w:rsidR="002A3970" w:rsidRDefault="00C35E63">
      <w:hyperlink r:id="rId51" w:anchor="i0522a2f6333e456295d59e779af751cb_7" w:history="1">
        <w:r>
          <w:rPr>
            <w:rStyle w:val="a5"/>
            <w:rFonts w:ascii="Times New Roman" w:eastAsia="宋体" w:hAnsi="Times New Roman"/>
            <w:sz w:val="20"/>
            <w:szCs w:val="20"/>
          </w:rPr>
          <w:t>Table of Contents</w:t>
        </w:r>
      </w:hyperlink>
    </w:p>
    <w:p w14:paraId="4B9A3E56" w14:textId="77777777" w:rsidR="002A3970" w:rsidRDefault="002A3970">
      <w:pPr>
        <w:spacing w:before="180"/>
      </w:pPr>
    </w:p>
    <w:p w14:paraId="4B9A3E57" w14:textId="77777777" w:rsidR="002A3970" w:rsidRDefault="00C35E63">
      <w:pPr>
        <w:spacing w:before="180"/>
      </w:pPr>
      <w:r>
        <w:rPr>
          <w:rFonts w:ascii="Times New Roman" w:eastAsia="宋体" w:hAnsi="Times New Roman"/>
          <w:i/>
          <w:iCs/>
          <w:color w:val="000000"/>
          <w:sz w:val="20"/>
          <w:szCs w:val="20"/>
        </w:rPr>
        <w:t xml:space="preserve">Opioids Litigation </w:t>
      </w:r>
    </w:p>
    <w:p w14:paraId="4B9A3E58" w14:textId="77777777" w:rsidR="002A3970" w:rsidRDefault="00C35E63">
      <w:pPr>
        <w:spacing w:before="100"/>
      </w:pPr>
      <w:r>
        <w:rPr>
          <w:rFonts w:ascii="Times New Roman" w:eastAsia="宋体" w:hAnsi="Times New Roman"/>
          <w:i/>
          <w:iCs/>
          <w:color w:val="000000"/>
          <w:sz w:val="20"/>
          <w:szCs w:val="20"/>
          <w:u w:val="single"/>
        </w:rPr>
        <w:t>General</w:t>
      </w:r>
    </w:p>
    <w:p w14:paraId="4B9A3E59" w14:textId="77777777" w:rsidR="002A3970" w:rsidRDefault="00C35E63">
      <w:pPr>
        <w:spacing w:before="100"/>
      </w:pPr>
      <w:r>
        <w:rPr>
          <w:rFonts w:ascii="Times New Roman" w:eastAsia="宋体" w:hAnsi="Times New Roman"/>
          <w:color w:val="000000"/>
          <w:sz w:val="20"/>
          <w:szCs w:val="20"/>
        </w:rPr>
        <w:t>During the three months ended October 31, 2022, the Compa</w:t>
      </w:r>
      <w:r>
        <w:rPr>
          <w:rFonts w:ascii="Times New Roman" w:eastAsia="宋体" w:hAnsi="Times New Roman"/>
          <w:color w:val="000000"/>
          <w:sz w:val="20"/>
          <w:szCs w:val="20"/>
        </w:rPr>
        <w:t>ny accrued a liability for approximately $3.3 billion for the Settlement Framework (described below) and other previously agreed state and tribal settlements. Because loss contingencies are inherently unpredictable and unfavorable developments or resolutio</w:t>
      </w:r>
      <w:r>
        <w:rPr>
          <w:rFonts w:ascii="Times New Roman" w:eastAsia="宋体" w:hAnsi="Times New Roman"/>
          <w:color w:val="000000"/>
          <w:sz w:val="20"/>
          <w:szCs w:val="20"/>
        </w:rPr>
        <w:t>ns can occur, the assessment is highly subjective and requires judgments about future events. Moreover, the Settlement Framework is in its early phases and there is no assurance that a sufficient number of necessary parties will participate in the Settleme</w:t>
      </w:r>
      <w:r>
        <w:rPr>
          <w:rFonts w:ascii="Times New Roman" w:eastAsia="宋体" w:hAnsi="Times New Roman"/>
          <w:color w:val="000000"/>
          <w:sz w:val="20"/>
          <w:szCs w:val="20"/>
        </w:rPr>
        <w:t>nt Framework for it to become effective. The amount of ultimate loss may differ materially from this accrual. As to any opioid related litigation that is not covered or otherwise extinguished by the Settlement Framework, the Company cannot reasonably estim</w:t>
      </w:r>
      <w:r>
        <w:rPr>
          <w:rFonts w:ascii="Times New Roman" w:eastAsia="宋体" w:hAnsi="Times New Roman"/>
          <w:color w:val="000000"/>
          <w:sz w:val="20"/>
          <w:szCs w:val="20"/>
        </w:rPr>
        <w:t>ate any loss or range of loss that may arise from those matters and intends to vigorously defend those litigation matters. Accordingly, the Company can provide no assurance as to the scope and outcome of those matters and no assurance as to whether its bus</w:t>
      </w:r>
      <w:r>
        <w:rPr>
          <w:rFonts w:ascii="Times New Roman" w:eastAsia="宋体" w:hAnsi="Times New Roman"/>
          <w:color w:val="000000"/>
          <w:sz w:val="20"/>
          <w:szCs w:val="20"/>
        </w:rPr>
        <w:t xml:space="preserve">iness, financial position, results of operations or cash flows will not be materially adversely affected. </w:t>
      </w:r>
    </w:p>
    <w:p w14:paraId="4B9A3E5A" w14:textId="77777777" w:rsidR="002A3970" w:rsidRDefault="00C35E63">
      <w:pPr>
        <w:spacing w:before="100"/>
      </w:pPr>
      <w:r>
        <w:rPr>
          <w:rFonts w:ascii="Times New Roman" w:eastAsia="宋体" w:hAnsi="Times New Roman"/>
          <w:i/>
          <w:iCs/>
          <w:color w:val="000000"/>
          <w:sz w:val="20"/>
          <w:szCs w:val="20"/>
          <w:u w:val="single"/>
        </w:rPr>
        <w:t>Multidistrict and State or Local Opioid Related Litigation</w:t>
      </w:r>
    </w:p>
    <w:p w14:paraId="4B9A3E5B" w14:textId="77777777" w:rsidR="002A3970" w:rsidRDefault="00C35E63">
      <w:pPr>
        <w:spacing w:before="100"/>
      </w:pPr>
      <w:r>
        <w:rPr>
          <w:rFonts w:ascii="Times New Roman" w:eastAsia="宋体" w:hAnsi="Times New Roman"/>
          <w:color w:val="000000"/>
          <w:sz w:val="20"/>
          <w:szCs w:val="20"/>
        </w:rPr>
        <w:t>In December 2017, the United States Judicial Panel on Multidistrict Litigation consolidate</w:t>
      </w:r>
      <w:r>
        <w:rPr>
          <w:rFonts w:ascii="Times New Roman" w:eastAsia="宋体" w:hAnsi="Times New Roman"/>
          <w:color w:val="000000"/>
          <w:sz w:val="20"/>
          <w:szCs w:val="20"/>
        </w:rPr>
        <w:t>d numerous lawsuits filed against a wide array of defendants by various plaintiffs, including counties, cities, healthcare providers, Native American tribes, individuals, and third-party payers, asserting claims generally concerning the impacts of widespre</w:t>
      </w:r>
      <w:r>
        <w:rPr>
          <w:rFonts w:ascii="Times New Roman" w:eastAsia="宋体" w:hAnsi="Times New Roman"/>
          <w:color w:val="000000"/>
          <w:sz w:val="20"/>
          <w:szCs w:val="20"/>
        </w:rPr>
        <w:t xml:space="preserve">ad opioid abuse. The consolidated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(the "MDL") and is pending in the U.S. District Court for the Northern District of Ohio. The Company is named as a defendant</w:t>
      </w:r>
      <w:r>
        <w:rPr>
          <w:rFonts w:ascii="Times New Roman" w:eastAsia="宋体" w:hAnsi="Times New Roman"/>
          <w:color w:val="000000"/>
          <w:sz w:val="20"/>
          <w:szCs w:val="20"/>
        </w:rPr>
        <w:t xml:space="preserve"> in some of the cases included in the MDL. The liability phase of a single, two-county trial in one of the MDL cases resulted in a jury verdict on November 23, 2021, finding in favor of the plaintiffs as to the liability of all defendants, including the Co</w:t>
      </w:r>
      <w:r>
        <w:rPr>
          <w:rFonts w:ascii="Times New Roman" w:eastAsia="宋体" w:hAnsi="Times New Roman"/>
          <w:color w:val="000000"/>
          <w:sz w:val="20"/>
          <w:szCs w:val="20"/>
        </w:rPr>
        <w:t>mpany. The abatement phase of the single, two-county trial resulted in a judgment on August 17, 2022, that ordered all three defendants, including the Company, to pay an aggregate amount of approximately $651 million over fifteen years, on a joint and seve</w:t>
      </w:r>
      <w:r>
        <w:rPr>
          <w:rFonts w:ascii="Times New Roman" w:eastAsia="宋体" w:hAnsi="Times New Roman"/>
          <w:color w:val="000000"/>
          <w:sz w:val="20"/>
          <w:szCs w:val="20"/>
        </w:rPr>
        <w:t>ral liability basis, and granted the plaintiffs injunctive relief. On September 7, 2022, the Company filed an appeal with the Sixth Circuit Court of Appeals as to both liability and abatement. The monetary aspect of the judgment is stayed pending appeal, a</w:t>
      </w:r>
      <w:r>
        <w:rPr>
          <w:rFonts w:ascii="Times New Roman" w:eastAsia="宋体" w:hAnsi="Times New Roman"/>
          <w:color w:val="000000"/>
          <w:sz w:val="20"/>
          <w:szCs w:val="20"/>
        </w:rPr>
        <w:t>nd the injunctive aspect of the judgment has been stayed until December 15, 2022. The MDL has designated five additional single-county cases as bellwethers to proceed through discovery; however, these five counties ultimately may elect to participate in th</w:t>
      </w:r>
      <w:r>
        <w:rPr>
          <w:rFonts w:ascii="Times New Roman" w:eastAsia="宋体" w:hAnsi="Times New Roman"/>
          <w:color w:val="000000"/>
          <w:sz w:val="20"/>
          <w:szCs w:val="20"/>
        </w:rPr>
        <w:t>e Settlement Framework described further below.</w:t>
      </w:r>
    </w:p>
    <w:p w14:paraId="4B9A3E5C" w14:textId="77777777" w:rsidR="002A3970" w:rsidRDefault="00C35E63">
      <w:pPr>
        <w:spacing w:before="100"/>
      </w:pPr>
      <w:r>
        <w:rPr>
          <w:rFonts w:ascii="Times New Roman" w:eastAsia="宋体" w:hAnsi="Times New Roman"/>
          <w:color w:val="000000"/>
          <w:sz w:val="20"/>
          <w:szCs w:val="20"/>
        </w:rPr>
        <w:t xml:space="preserve">Similar cases that name the Company have also been filed in state courts by state, local, and tribal governments; healthcare providers; and other plaintiffs. Plaintiffs in these state court cases and in </w:t>
      </w:r>
      <w:r>
        <w:rPr>
          <w:rFonts w:ascii="Times New Roman" w:eastAsia="宋体" w:hAnsi="Times New Roman"/>
          <w:color w:val="000000"/>
          <w:sz w:val="20"/>
          <w:szCs w:val="20"/>
        </w:rPr>
        <w:t>the MDL are seeking compensatory and punitive damages, as well as injunctive relief including abatement. The Company has also been responding to subpoenas, information requests, and investigations from governmental entities related to nationwide controlled</w:t>
      </w:r>
      <w:r>
        <w:rPr>
          <w:rFonts w:ascii="Times New Roman" w:eastAsia="宋体" w:hAnsi="Times New Roman"/>
          <w:color w:val="000000"/>
          <w:sz w:val="20"/>
          <w:szCs w:val="20"/>
        </w:rPr>
        <w:t xml:space="preserve"> substance dispensing and distribution practices involving opioids.</w:t>
      </w:r>
    </w:p>
    <w:p w14:paraId="4B9A3E5D" w14:textId="77777777" w:rsidR="002A3970" w:rsidRDefault="00C35E63">
      <w:pPr>
        <w:spacing w:before="100"/>
      </w:pPr>
      <w:r>
        <w:rPr>
          <w:rFonts w:ascii="Times New Roman" w:eastAsia="宋体" w:hAnsi="Times New Roman"/>
          <w:i/>
          <w:iCs/>
          <w:color w:val="000000"/>
          <w:sz w:val="20"/>
          <w:szCs w:val="20"/>
          <w:u w:val="single"/>
        </w:rPr>
        <w:t>Settlement Framework</w:t>
      </w:r>
    </w:p>
    <w:p w14:paraId="4B9A3E5E" w14:textId="77777777" w:rsidR="002A3970" w:rsidRDefault="00C35E63">
      <w:pPr>
        <w:spacing w:before="100"/>
      </w:pPr>
      <w:r>
        <w:rPr>
          <w:rFonts w:ascii="Times New Roman" w:eastAsia="宋体" w:hAnsi="Times New Roman"/>
          <w:color w:val="000000"/>
          <w:sz w:val="20"/>
          <w:szCs w:val="20"/>
        </w:rPr>
        <w:t>On November 15, 2022, the Company announced it had agreed to financial amounts and payment terms to resolve substantially all opioids-related lawsuits filed against th</w:t>
      </w:r>
      <w:r>
        <w:rPr>
          <w:rFonts w:ascii="Times New Roman" w:eastAsia="宋体" w:hAnsi="Times New Roman"/>
          <w:color w:val="000000"/>
          <w:sz w:val="20"/>
          <w:szCs w:val="20"/>
        </w:rPr>
        <w:t xml:space="preserve">e Company by states, political subdivisions, and Native American tribes whether as part of the MDL (excluding, however, the single, two-county trial pending appeal in the Sixth Circuit Court of Appeals) or other state court cases, as well as all potential </w:t>
      </w:r>
      <w:r>
        <w:rPr>
          <w:rFonts w:ascii="Times New Roman" w:eastAsia="宋体" w:hAnsi="Times New Roman"/>
          <w:color w:val="000000"/>
          <w:sz w:val="20"/>
          <w:szCs w:val="20"/>
        </w:rPr>
        <w:t>claims that could be made against the Company by states, political subdivisions, and Native American tribes for up to approximately $3.1 billion (the "Settlement Amount"), which includes amounts for remediation of alleged harms as well as attorneys' fees a</w:t>
      </w:r>
      <w:r>
        <w:rPr>
          <w:rFonts w:ascii="Times New Roman" w:eastAsia="宋体" w:hAnsi="Times New Roman"/>
          <w:color w:val="000000"/>
          <w:sz w:val="20"/>
          <w:szCs w:val="20"/>
        </w:rPr>
        <w:t>nd costs and also includes some, but not all, amounts from previously agreed recent settlements by the Company. One settlement framework with corresponding conditions and participation thresholds applies for the states and political subdivisions, and anoth</w:t>
      </w:r>
      <w:r>
        <w:rPr>
          <w:rFonts w:ascii="Times New Roman" w:eastAsia="宋体" w:hAnsi="Times New Roman"/>
          <w:color w:val="000000"/>
          <w:sz w:val="20"/>
          <w:szCs w:val="20"/>
        </w:rPr>
        <w:t>er settlement framework with corresponding conditions and participation thresholds applies for the Native American tribes. Both settlement frameworks are referred to collectively as the "Settlement Framework."</w:t>
      </w:r>
    </w:p>
    <w:p w14:paraId="4B9A3E5F" w14:textId="77777777" w:rsidR="002A3970" w:rsidRDefault="00C35E63">
      <w:pPr>
        <w:spacing w:before="100"/>
      </w:pPr>
      <w:r>
        <w:rPr>
          <w:rFonts w:ascii="Times New Roman" w:eastAsia="宋体" w:hAnsi="Times New Roman"/>
          <w:color w:val="000000"/>
          <w:sz w:val="20"/>
          <w:szCs w:val="20"/>
        </w:rPr>
        <w:t>The Settlement Framework, among other applicab</w:t>
      </w:r>
      <w:r>
        <w:rPr>
          <w:rFonts w:ascii="Times New Roman" w:eastAsia="宋体" w:hAnsi="Times New Roman"/>
          <w:color w:val="000000"/>
          <w:sz w:val="20"/>
          <w:szCs w:val="20"/>
        </w:rPr>
        <w:t>le conditions, provides that payments to states and political subdivisions are contingent upon the number of states and political subdivisions, including those states and political subdivisions who have not yet sued the Company, that agree to participate i</w:t>
      </w:r>
      <w:r>
        <w:rPr>
          <w:rFonts w:ascii="Times New Roman" w:eastAsia="宋体" w:hAnsi="Times New Roman"/>
          <w:color w:val="000000"/>
          <w:sz w:val="20"/>
          <w:szCs w:val="20"/>
        </w:rPr>
        <w:t>n the Settlement Framework or otherwise have their claims foreclosed within a prescribed deadline (the "Settling States"). Similarly, the Settlement Framework provides that payments to Native American tribes are contingent upon the number of tribes (exclud</w:t>
      </w:r>
      <w:r>
        <w:rPr>
          <w:rFonts w:ascii="Times New Roman" w:eastAsia="宋体" w:hAnsi="Times New Roman"/>
          <w:color w:val="000000"/>
          <w:sz w:val="20"/>
          <w:szCs w:val="20"/>
        </w:rPr>
        <w:t>ing Cherokee Nation), including those tribes who have not yet sued the Company, that agree to participate in the Settlement Framework or otherwise have their claims foreclosed within a prescribed deadline (the "Settling Tribes").</w:t>
      </w:r>
    </w:p>
    <w:p w14:paraId="4B9A3E60" w14:textId="77777777" w:rsidR="002A3970" w:rsidRDefault="00C35E63">
      <w:pPr>
        <w:jc w:val="center"/>
      </w:pPr>
      <w:r>
        <w:rPr>
          <w:rFonts w:ascii="Times New Roman" w:eastAsia="宋体" w:hAnsi="Times New Roman"/>
          <w:color w:val="000000"/>
          <w:sz w:val="20"/>
          <w:szCs w:val="20"/>
        </w:rPr>
        <w:t>13</w:t>
      </w:r>
    </w:p>
    <w:p w14:paraId="4B9A3E61" w14:textId="77777777" w:rsidR="002A3970" w:rsidRDefault="00C35E63">
      <w:r>
        <w:pict w14:anchorId="4B9A4C22">
          <v:rect id="_x0000_i1037" style="width:415.3pt;height:1.5pt" o:hralign="center" o:hrstd="t" o:hr="t" fillcolor="#a0a0a0" stroked="f"/>
        </w:pict>
      </w:r>
    </w:p>
    <w:p w14:paraId="4B9A3E62" w14:textId="77777777" w:rsidR="002A3970" w:rsidRDefault="00C35E63">
      <w:hyperlink r:id="rId52" w:anchor="i0522a2f6333e456295d59e779af751cb_7" w:history="1">
        <w:r>
          <w:rPr>
            <w:rStyle w:val="a5"/>
            <w:rFonts w:ascii="Times New Roman" w:eastAsia="宋体" w:hAnsi="Times New Roman"/>
            <w:sz w:val="20"/>
            <w:szCs w:val="20"/>
          </w:rPr>
          <w:t>Table of Contents</w:t>
        </w:r>
      </w:hyperlink>
    </w:p>
    <w:p w14:paraId="4B9A3E63" w14:textId="77777777" w:rsidR="002A3970" w:rsidRDefault="00C35E63">
      <w:pPr>
        <w:spacing w:before="100"/>
      </w:pPr>
      <w:r>
        <w:rPr>
          <w:rFonts w:ascii="Times New Roman" w:eastAsia="宋体" w:hAnsi="Times New Roman"/>
          <w:color w:val="000000"/>
          <w:sz w:val="20"/>
          <w:szCs w:val="20"/>
        </w:rPr>
        <w:t>If all conditions for the Settlement Framework, including, but not limited to, the minimum participation th</w:t>
      </w:r>
      <w:r>
        <w:rPr>
          <w:rFonts w:ascii="Times New Roman" w:eastAsia="宋体" w:hAnsi="Times New Roman"/>
          <w:color w:val="000000"/>
          <w:sz w:val="20"/>
          <w:szCs w:val="20"/>
        </w:rPr>
        <w:t>resholds applicable for the Settling Tribes are satisfied within prescribed deadlines, then the Company would expect to pay up to the full portion of the Settlement Amount attributable to the Settling Tribes, beginning as early as the fourth quarter of fis</w:t>
      </w:r>
      <w:r>
        <w:rPr>
          <w:rFonts w:ascii="Times New Roman" w:eastAsia="宋体" w:hAnsi="Times New Roman"/>
          <w:color w:val="000000"/>
          <w:sz w:val="20"/>
          <w:szCs w:val="20"/>
        </w:rPr>
        <w:t>cal 2023 and being completed during fiscal 2023 or fiscal 2024. If all conditions for the Settlement Framework, including, but not limited to, the minimum participation thresholds applicable for the Settling States are satisfied within the prescribed deadl</w:t>
      </w:r>
      <w:r>
        <w:rPr>
          <w:rFonts w:ascii="Times New Roman" w:eastAsia="宋体" w:hAnsi="Times New Roman"/>
          <w:color w:val="000000"/>
          <w:sz w:val="20"/>
          <w:szCs w:val="20"/>
        </w:rPr>
        <w:t>ines, then the Company would expect to pay up to the full portion of the Settlement Amount attributable to the Settling States, beginning as early as the second quarter of its fiscal year ending January 31, 2024 ("fiscal 2024") and being completed in the s</w:t>
      </w:r>
      <w:r>
        <w:rPr>
          <w:rFonts w:ascii="Times New Roman" w:eastAsia="宋体" w:hAnsi="Times New Roman"/>
          <w:color w:val="000000"/>
          <w:sz w:val="20"/>
          <w:szCs w:val="20"/>
        </w:rPr>
        <w:t>ame fiscal year.</w:t>
      </w:r>
    </w:p>
    <w:p w14:paraId="4B9A3E64" w14:textId="77777777" w:rsidR="002A3970" w:rsidRDefault="00C35E63">
      <w:pPr>
        <w:spacing w:before="100"/>
      </w:pPr>
      <w:r>
        <w:rPr>
          <w:rFonts w:ascii="Times New Roman" w:eastAsia="宋体" w:hAnsi="Times New Roman"/>
          <w:color w:val="000000"/>
          <w:sz w:val="20"/>
          <w:szCs w:val="20"/>
        </w:rPr>
        <w:t>The Company cannot predict if or when the Settlement Framework will be finalized with any of the Settling States or any of the Settling Tribes. For those states, political subdivisions, and Native American tribes that do not participate in</w:t>
      </w:r>
      <w:r>
        <w:rPr>
          <w:rFonts w:ascii="Times New Roman" w:eastAsia="宋体" w:hAnsi="Times New Roman"/>
          <w:color w:val="000000"/>
          <w:sz w:val="20"/>
          <w:szCs w:val="20"/>
        </w:rPr>
        <w:t xml:space="preserve"> the Settlement Framework, the Company cannot predict the number of such lawsuits that will remain or claims that may be filed, but believes it has substantial factual and legal defenses to those lawsuits and claims and intends to defend such lawsuits and </w:t>
      </w:r>
      <w:r>
        <w:rPr>
          <w:rFonts w:ascii="Times New Roman" w:eastAsia="宋体" w:hAnsi="Times New Roman"/>
          <w:color w:val="000000"/>
          <w:sz w:val="20"/>
          <w:szCs w:val="20"/>
        </w:rPr>
        <w:t>claims vigorously. The Settlement Framework includes no admission of wrongdoing or liability by the Company. The Company will continue to vigorously defend against any opioid related litigation not covered or otherwise extinguished by the Settlement Framew</w:t>
      </w:r>
      <w:r>
        <w:rPr>
          <w:rFonts w:ascii="Times New Roman" w:eastAsia="宋体" w:hAnsi="Times New Roman"/>
          <w:color w:val="000000"/>
          <w:sz w:val="20"/>
          <w:szCs w:val="20"/>
        </w:rPr>
        <w:t>ork and continues to believe it has strong legal defenses and appellate arguments in those cases.</w:t>
      </w:r>
    </w:p>
    <w:p w14:paraId="4B9A3E65" w14:textId="77777777" w:rsidR="002A3970" w:rsidRDefault="00C35E63">
      <w:pPr>
        <w:spacing w:before="100"/>
      </w:pPr>
      <w:r>
        <w:rPr>
          <w:rFonts w:ascii="Times New Roman" w:eastAsia="宋体" w:hAnsi="Times New Roman"/>
          <w:i/>
          <w:iCs/>
          <w:color w:val="000000"/>
          <w:sz w:val="20"/>
          <w:szCs w:val="20"/>
          <w:u w:val="single"/>
        </w:rPr>
        <w:t>DOJ Opioid Civil Litigation</w:t>
      </w:r>
    </w:p>
    <w:p w14:paraId="4B9A3E66" w14:textId="77777777" w:rsidR="002A3970" w:rsidRDefault="00C35E63">
      <w:pPr>
        <w:spacing w:before="100"/>
      </w:pPr>
      <w:r>
        <w:rPr>
          <w:rFonts w:ascii="Times New Roman" w:eastAsia="宋体" w:hAnsi="Times New Roman"/>
          <w:color w:val="000000"/>
          <w:sz w:val="20"/>
          <w:szCs w:val="20"/>
        </w:rPr>
        <w:t>On December 22, 2020, the U.S. Department of Justice (the "DOJ") filed a civil complaint in the U.S. District Court for the Distri</w:t>
      </w:r>
      <w:r>
        <w:rPr>
          <w:rFonts w:ascii="Times New Roman" w:eastAsia="宋体" w:hAnsi="Times New Roman"/>
          <w:color w:val="000000"/>
          <w:sz w:val="20"/>
          <w:szCs w:val="20"/>
        </w:rPr>
        <w:t>ct of Delaware alleging that the Company unlawfully dispensed controlled substances from its pharmacies and unlawfully distributed controlled substances to those pharmacies. The complaint alleges that this conduct resulted in violations of the Controlled S</w:t>
      </w:r>
      <w:r>
        <w:rPr>
          <w:rFonts w:ascii="Times New Roman" w:eastAsia="宋体" w:hAnsi="Times New Roman"/>
          <w:color w:val="000000"/>
          <w:sz w:val="20"/>
          <w:szCs w:val="20"/>
        </w:rPr>
        <w:t xml:space="preserve">ubstances Act (the "CSA"). The DOJ is seeking civil penalties and injunctive relief. The Company initially moved to dismiss the DOJ complaint on February 22, 2021. After that motion was fully briefed, the DOJ filed an amended complaint on October 7, 2022. </w:t>
      </w:r>
      <w:r>
        <w:rPr>
          <w:rFonts w:ascii="Times New Roman" w:eastAsia="宋体" w:hAnsi="Times New Roman"/>
          <w:color w:val="000000"/>
          <w:sz w:val="20"/>
          <w:szCs w:val="20"/>
        </w:rPr>
        <w:t>On November 7, 2022, the Company filed a motion to dismiss the amended complaint.</w:t>
      </w:r>
    </w:p>
    <w:p w14:paraId="4B9A3E67" w14:textId="77777777" w:rsidR="002A3970" w:rsidRDefault="00C35E63">
      <w:pPr>
        <w:spacing w:before="100"/>
      </w:pPr>
      <w:r>
        <w:rPr>
          <w:rFonts w:ascii="Times New Roman" w:eastAsia="宋体" w:hAnsi="Times New Roman"/>
          <w:i/>
          <w:iCs/>
          <w:color w:val="000000"/>
          <w:sz w:val="20"/>
          <w:szCs w:val="20"/>
          <w:u w:val="single"/>
        </w:rPr>
        <w:t>Opioid Related Securities Class Actions and Derivative Litigation</w:t>
      </w:r>
    </w:p>
    <w:p w14:paraId="4B9A3E68" w14:textId="77777777" w:rsidR="002A3970" w:rsidRDefault="00C35E63">
      <w:pPr>
        <w:spacing w:before="100"/>
      </w:pPr>
      <w:r>
        <w:rPr>
          <w:rFonts w:ascii="Times New Roman" w:eastAsia="宋体" w:hAnsi="Times New Roman"/>
          <w:color w:val="000000"/>
          <w:sz w:val="20"/>
          <w:szCs w:val="20"/>
        </w:rPr>
        <w:t>In addition, the Company is the subject of two securities class actions alleging violations of the federal s</w:t>
      </w:r>
      <w:r>
        <w:rPr>
          <w:rFonts w:ascii="Times New Roman" w:eastAsia="宋体" w:hAnsi="Times New Roman"/>
          <w:color w:val="000000"/>
          <w:sz w:val="20"/>
          <w:szCs w:val="20"/>
        </w:rPr>
        <w:t>ecurities laws regarding the Company's disclosures with respect to opioids, filed in the U.S. District Court for the District of Delaware on January 20, 2021 and March 5, 2021 purportedly on behalf of a class of investors who acquired Walmart stock from Ma</w:t>
      </w:r>
      <w:r>
        <w:rPr>
          <w:rFonts w:ascii="Times New Roman" w:eastAsia="宋体" w:hAnsi="Times New Roman"/>
          <w:color w:val="000000"/>
          <w:sz w:val="20"/>
          <w:szCs w:val="20"/>
        </w:rPr>
        <w:t>rch 30, 2016 through December 22, 2020. Those cases have been consolidated. On October 8, 2021, the defendants filed a motion to dismiss the consolidated securities action. After the parties had fully briefed the motion to dismiss, on September 9, 2022, th</w:t>
      </w:r>
      <w:r>
        <w:rPr>
          <w:rFonts w:ascii="Times New Roman" w:eastAsia="宋体" w:hAnsi="Times New Roman"/>
          <w:color w:val="000000"/>
          <w:sz w:val="20"/>
          <w:szCs w:val="20"/>
        </w:rPr>
        <w:t xml:space="preserve">e Court entered an order permitting the plaintiffs to file an amended complaint, which was filed on October 14, 2022 and which revised the applicable class of investors to those who acquired Walmart stock from March 31, 2017, through December 22, 2020. On </w:t>
      </w:r>
      <w:r>
        <w:rPr>
          <w:rFonts w:ascii="Times New Roman" w:eastAsia="宋体" w:hAnsi="Times New Roman"/>
          <w:color w:val="000000"/>
          <w:sz w:val="20"/>
          <w:szCs w:val="20"/>
        </w:rPr>
        <w:t>November 16, 2022, the defendants filed a motion to dismiss the amended complaint.</w:t>
      </w:r>
    </w:p>
    <w:p w14:paraId="4B9A3E69" w14:textId="77777777" w:rsidR="002A3970" w:rsidRDefault="00C35E63">
      <w:pPr>
        <w:spacing w:before="100"/>
      </w:pPr>
      <w:r>
        <w:rPr>
          <w:rFonts w:ascii="Times New Roman" w:eastAsia="宋体" w:hAnsi="Times New Roman"/>
          <w:color w:val="000000"/>
          <w:sz w:val="20"/>
          <w:szCs w:val="20"/>
        </w:rPr>
        <w:t>Derivative actions were also filed by two of the Company's shareholders in the U.S. District Court for the District of Delaware on February 9, 2021, and April 16, 2021 alleg</w:t>
      </w:r>
      <w:r>
        <w:rPr>
          <w:rFonts w:ascii="Times New Roman" w:eastAsia="宋体" w:hAnsi="Times New Roman"/>
          <w:color w:val="000000"/>
          <w:sz w:val="20"/>
          <w:szCs w:val="20"/>
        </w:rPr>
        <w:t>ing breach of fiduciary duties against certain of its current and former directors with respect to oversight of the Company's distribution and dispensing of opioids and also alleging violations of the federal securities laws and other breaches of duty by c</w:t>
      </w:r>
      <w:r>
        <w:rPr>
          <w:rFonts w:ascii="Times New Roman" w:eastAsia="宋体" w:hAnsi="Times New Roman"/>
          <w:color w:val="000000"/>
          <w:sz w:val="20"/>
          <w:szCs w:val="20"/>
        </w:rPr>
        <w:t>urrent directors and two current officers in connection with the Company's opioids disclosures. Those cases have been stayed pending developments in other opioids litigation matters. On September 27, 2021, three shareholders filed a derivative action in th</w:t>
      </w:r>
      <w:r>
        <w:rPr>
          <w:rFonts w:ascii="Times New Roman" w:eastAsia="宋体" w:hAnsi="Times New Roman"/>
          <w:color w:val="000000"/>
          <w:sz w:val="20"/>
          <w:szCs w:val="20"/>
        </w:rPr>
        <w:t>e Delaware Court of Chancery alleging that certain members of the current Board and certain former officers breached their fiduciary duties in failing to adequately oversee the Company's prescription opioids business. The defendants moved to dismiss and/or</w:t>
      </w:r>
      <w:r>
        <w:rPr>
          <w:rFonts w:ascii="Times New Roman" w:eastAsia="宋体" w:hAnsi="Times New Roman"/>
          <w:color w:val="000000"/>
          <w:sz w:val="20"/>
          <w:szCs w:val="20"/>
        </w:rPr>
        <w:t xml:space="preserve"> to stay proceedings on December 21, 2021, and the plaintiffs responded by filing an amended complaint on February 22, 2022. On April 27, 2022, the defendants moved to dismiss and/or to stay proceedings with respect to the amended complaint. The plaintiffs</w:t>
      </w:r>
      <w:r>
        <w:rPr>
          <w:rFonts w:ascii="Times New Roman" w:eastAsia="宋体" w:hAnsi="Times New Roman"/>
          <w:color w:val="000000"/>
          <w:sz w:val="20"/>
          <w:szCs w:val="20"/>
        </w:rPr>
        <w:t xml:space="preserve"> filed an opposition to the motion on June 1, 2022; the defendants filed their reply brief on June 24, 2022. On September 26, 2022, the court held a hearing on the motion to dismiss and/or to stay, and a ruling on the motion remains pending.</w:t>
      </w:r>
    </w:p>
    <w:p w14:paraId="4B9A3E6A" w14:textId="77777777" w:rsidR="002A3970" w:rsidRDefault="00C35E63">
      <w:pPr>
        <w:spacing w:before="100"/>
      </w:pPr>
      <w:r>
        <w:rPr>
          <w:rFonts w:ascii="Times New Roman" w:eastAsia="宋体" w:hAnsi="Times New Roman"/>
          <w:i/>
          <w:iCs/>
          <w:color w:val="000000"/>
          <w:sz w:val="20"/>
          <w:szCs w:val="20"/>
        </w:rPr>
        <w:t>Asda Equal Val</w:t>
      </w:r>
      <w:r>
        <w:rPr>
          <w:rFonts w:ascii="Times New Roman" w:eastAsia="宋体" w:hAnsi="Times New Roman"/>
          <w:i/>
          <w:iCs/>
          <w:color w:val="000000"/>
          <w:sz w:val="20"/>
          <w:szCs w:val="20"/>
        </w:rPr>
        <w:t>ue Claims</w:t>
      </w:r>
    </w:p>
    <w:p w14:paraId="4B9A3E6B" w14:textId="77777777" w:rsidR="002A3970" w:rsidRDefault="00C35E63">
      <w:pPr>
        <w:spacing w:before="100"/>
      </w:pPr>
      <w:r>
        <w:rPr>
          <w:rFonts w:ascii="Times New Roman" w:eastAsia="宋体" w:hAnsi="Times New Roman"/>
          <w:color w:val="000000"/>
          <w:sz w:val="20"/>
          <w:szCs w:val="20"/>
        </w:rPr>
        <w:t>Asda, formerly a subsidiary of the Company, was and still is a defendant in certain equal value claims that began in 2008 and are proceeding before an Employment Tribunal in Manchester in the United Kingdom on behalf of current and former Asda st</w:t>
      </w:r>
      <w:r>
        <w:rPr>
          <w:rFonts w:ascii="Times New Roman" w:eastAsia="宋体" w:hAnsi="Times New Roman"/>
          <w:color w:val="000000"/>
          <w:sz w:val="20"/>
          <w:szCs w:val="20"/>
        </w:rPr>
        <w:t>ore employees (the "Asda Equal Value Claims"), and further claims may be asserted in the future. Subsequent to the divestiture of Asda in February 2021, the Company will continue to oversee the conduct of the defense of these claims. While potential liabil</w:t>
      </w:r>
      <w:r>
        <w:rPr>
          <w:rFonts w:ascii="Times New Roman" w:eastAsia="宋体" w:hAnsi="Times New Roman"/>
          <w:color w:val="000000"/>
          <w:sz w:val="20"/>
          <w:szCs w:val="20"/>
        </w:rPr>
        <w:t>ity for these claims remains with Asda, the Company has agreed to provide indemnification with respect to these claims up to a contractually determined amount. The Company cannot predict the number of such claims that may be filed, and cannot reasonably es</w:t>
      </w:r>
      <w:r>
        <w:rPr>
          <w:rFonts w:ascii="Times New Roman" w:eastAsia="宋体" w:hAnsi="Times New Roman"/>
          <w:color w:val="000000"/>
          <w:sz w:val="20"/>
          <w:szCs w:val="20"/>
        </w:rPr>
        <w:t xml:space="preserve">timate any loss or range of loss that may arise related to these proceedings. Accordingly, the Company can provide no assurance as to the scope and outcome of these matters. </w:t>
      </w:r>
    </w:p>
    <w:p w14:paraId="4B9A3E6C" w14:textId="77777777" w:rsidR="002A3970" w:rsidRDefault="00C35E63">
      <w:pPr>
        <w:jc w:val="center"/>
      </w:pPr>
      <w:r>
        <w:rPr>
          <w:rFonts w:ascii="Times New Roman" w:eastAsia="宋体" w:hAnsi="Times New Roman"/>
          <w:color w:val="000000"/>
          <w:sz w:val="20"/>
          <w:szCs w:val="20"/>
        </w:rPr>
        <w:t>14</w:t>
      </w:r>
    </w:p>
    <w:p w14:paraId="4B9A3E6D" w14:textId="77777777" w:rsidR="002A3970" w:rsidRDefault="00C35E63">
      <w:r>
        <w:pict w14:anchorId="4B9A4C23">
          <v:rect id="_x0000_i1038" style="width:415.3pt;height:1.5pt" o:hralign="center" o:hrstd="t" o:hr="t" fillcolor="#a0a0a0" stroked="f"/>
        </w:pict>
      </w:r>
    </w:p>
    <w:p w14:paraId="4B9A3E6E" w14:textId="77777777" w:rsidR="002A3970" w:rsidRDefault="00C35E63">
      <w:hyperlink r:id="rId53" w:anchor="i0522a2f6333e456295d59e779af751cb_7" w:history="1">
        <w:r>
          <w:rPr>
            <w:rStyle w:val="a5"/>
            <w:rFonts w:ascii="Times New Roman" w:eastAsia="宋体" w:hAnsi="Times New Roman"/>
            <w:sz w:val="20"/>
            <w:szCs w:val="20"/>
          </w:rPr>
          <w:t>Table of Contents</w:t>
        </w:r>
      </w:hyperlink>
    </w:p>
    <w:p w14:paraId="4B9A3E6F" w14:textId="77777777" w:rsidR="002A3970" w:rsidRDefault="00C35E63">
      <w:pPr>
        <w:spacing w:before="100"/>
      </w:pPr>
      <w:r>
        <w:rPr>
          <w:rFonts w:ascii="Times New Roman" w:eastAsia="宋体" w:hAnsi="Times New Roman"/>
          <w:i/>
          <w:iCs/>
          <w:color w:val="000000"/>
          <w:sz w:val="20"/>
          <w:szCs w:val="20"/>
        </w:rPr>
        <w:t>Money Transfer Agent Services Matters</w:t>
      </w:r>
    </w:p>
    <w:p w14:paraId="4B9A3E70" w14:textId="77777777" w:rsidR="002A3970" w:rsidRDefault="00C35E63">
      <w:pPr>
        <w:spacing w:before="100"/>
      </w:pPr>
      <w:r>
        <w:rPr>
          <w:rFonts w:ascii="Times New Roman" w:eastAsia="宋体" w:hAnsi="Times New Roman"/>
          <w:color w:val="000000"/>
          <w:sz w:val="20"/>
          <w:szCs w:val="20"/>
        </w:rPr>
        <w:t xml:space="preserve">The Company has responded to grand jury subpoenas issued by the United States Attorney's Office for the Middle </w:t>
      </w:r>
      <w:r>
        <w:rPr>
          <w:rFonts w:ascii="Times New Roman" w:eastAsia="宋体" w:hAnsi="Times New Roman"/>
          <w:color w:val="000000"/>
          <w:sz w:val="20"/>
          <w:szCs w:val="20"/>
        </w:rPr>
        <w:t>District of Pennsylvania on behalf of the U.S. Department of Justice (the "DOJ") seeking documents regarding the Company's consumer fraud prevention program and anti-money laundering compliance related to the Company's money transfer services, where Walmar</w:t>
      </w:r>
      <w:r>
        <w:rPr>
          <w:rFonts w:ascii="Times New Roman" w:eastAsia="宋体" w:hAnsi="Times New Roman"/>
          <w:color w:val="000000"/>
          <w:sz w:val="20"/>
          <w:szCs w:val="20"/>
        </w:rPr>
        <w:t>t is an agent. The most recent subpoena was issued in August 2020. The Company continues to provide information in response to requests from the DOJ. The Company has also responded to civil investigative demands from the United States Federal Trade Commiss</w:t>
      </w:r>
      <w:r>
        <w:rPr>
          <w:rFonts w:ascii="Times New Roman" w:eastAsia="宋体" w:hAnsi="Times New Roman"/>
          <w:color w:val="000000"/>
          <w:sz w:val="20"/>
          <w:szCs w:val="20"/>
        </w:rPr>
        <w:t>ion (the "FTC") in connection with the FTC's investigation related to money transfers and the Company's anti-fraud program in its capacity as an agent. On June 28, 2022, the FTC filed a complaint against the Company in the U.S. District Court for the North</w:t>
      </w:r>
      <w:r>
        <w:rPr>
          <w:rFonts w:ascii="Times New Roman" w:eastAsia="宋体" w:hAnsi="Times New Roman"/>
          <w:color w:val="000000"/>
          <w:sz w:val="20"/>
          <w:szCs w:val="20"/>
        </w:rPr>
        <w:t>ern District of Illinois alleging that Walmart violated the Federal Trade Commission Act and the Telemarketing Sales Rule regarding its money transfer agent services and is requesting non-monetary relief and civil penalties. On August 29, 2022, the Company</w:t>
      </w:r>
      <w:r>
        <w:rPr>
          <w:rFonts w:ascii="Times New Roman" w:eastAsia="宋体" w:hAnsi="Times New Roman"/>
          <w:color w:val="000000"/>
          <w:sz w:val="20"/>
          <w:szCs w:val="20"/>
        </w:rPr>
        <w:t xml:space="preserve"> filed a motion to dismiss the complaint, on October 5, 2022, the FTC responded to the motion, and on October 28, 2022, the Company filed its reply. The court has entered an order staying discovery pending briefing and a decision on the Company's motion to</w:t>
      </w:r>
      <w:r>
        <w:rPr>
          <w:rFonts w:ascii="Times New Roman" w:eastAsia="宋体" w:hAnsi="Times New Roman"/>
          <w:color w:val="000000"/>
          <w:sz w:val="20"/>
          <w:szCs w:val="20"/>
        </w:rPr>
        <w:t xml:space="preserve"> dismiss. The Company intends to vigorously defend these matters. However, the Company can provide no assurance as to the scope and outcome of these matters and cannot reasonably estimate any loss or range of loss that may arise. Accordingly, the Company c</w:t>
      </w:r>
      <w:r>
        <w:rPr>
          <w:rFonts w:ascii="Times New Roman" w:eastAsia="宋体" w:hAnsi="Times New Roman"/>
          <w:color w:val="000000"/>
          <w:sz w:val="20"/>
          <w:szCs w:val="20"/>
        </w:rPr>
        <w:t>an provide no assurance as to whether its business, financial position, results of operations or cash flows will not be materially adversely affected.</w:t>
      </w:r>
    </w:p>
    <w:p w14:paraId="4B9A3E71" w14:textId="77777777" w:rsidR="002A3970" w:rsidRDefault="00C35E63">
      <w:pPr>
        <w:spacing w:before="240"/>
      </w:pPr>
      <w:r>
        <w:rPr>
          <w:rFonts w:ascii="Times New Roman" w:eastAsia="宋体" w:hAnsi="Times New Roman"/>
          <w:b/>
          <w:bCs/>
          <w:color w:val="000000"/>
          <w:sz w:val="20"/>
          <w:szCs w:val="20"/>
        </w:rPr>
        <w:t>Note 7. Segments and Disaggregated Revenue</w:t>
      </w:r>
    </w:p>
    <w:p w14:paraId="4B9A3E72" w14:textId="77777777" w:rsidR="002A3970" w:rsidRDefault="00C35E63">
      <w:pPr>
        <w:spacing w:before="180"/>
      </w:pPr>
      <w:r>
        <w:rPr>
          <w:rFonts w:ascii="Times New Roman" w:eastAsia="宋体" w:hAnsi="Times New Roman"/>
          <w:i/>
          <w:iCs/>
          <w:color w:val="000000"/>
          <w:sz w:val="20"/>
          <w:szCs w:val="20"/>
        </w:rPr>
        <w:t>Segments</w:t>
      </w:r>
    </w:p>
    <w:p w14:paraId="4B9A3E73" w14:textId="77777777" w:rsidR="002A3970" w:rsidRDefault="00C35E63">
      <w:pPr>
        <w:spacing w:before="100"/>
      </w:pPr>
      <w:r>
        <w:rPr>
          <w:rFonts w:ascii="Times New Roman" w:eastAsia="宋体" w:hAnsi="Times New Roman"/>
          <w:color w:val="000000"/>
          <w:sz w:val="20"/>
          <w:szCs w:val="20"/>
        </w:rPr>
        <w:t>The Company is engaged in the operation of retail and</w:t>
      </w:r>
      <w:r>
        <w:rPr>
          <w:rFonts w:ascii="Times New Roman" w:eastAsia="宋体" w:hAnsi="Times New Roman"/>
          <w:color w:val="000000"/>
          <w:sz w:val="20"/>
          <w:szCs w:val="20"/>
        </w:rPr>
        <w:t xml:space="preserve"> wholesale stores and clubs, as well as eCommerce websites, located throughout the U.S., Africa, Canada, Central America, Chile, China, India and Mexico. The Company's operations are conducted in three reportable segments: Walmart U.S., Walmart Internation</w:t>
      </w:r>
      <w:r>
        <w:rPr>
          <w:rFonts w:ascii="Times New Roman" w:eastAsia="宋体" w:hAnsi="Times New Roman"/>
          <w:color w:val="000000"/>
          <w:sz w:val="20"/>
          <w:szCs w:val="20"/>
        </w:rPr>
        <w:t>al and Sam's Club. The Company defines its segments as those operations whose results the chief operating decision maker ("CODM") regularly reviews to analyze performance and allocate resources. The Company sells similar individual products and services in</w:t>
      </w:r>
      <w:r>
        <w:rPr>
          <w:rFonts w:ascii="Times New Roman" w:eastAsia="宋体" w:hAnsi="Times New Roman"/>
          <w:color w:val="000000"/>
          <w:sz w:val="20"/>
          <w:szCs w:val="20"/>
        </w:rPr>
        <w:t xml:space="preserve"> each of its segments. It is impractical to segregate and identify revenues for each of these individual products and services.</w:t>
      </w:r>
    </w:p>
    <w:p w14:paraId="4B9A3E74" w14:textId="77777777" w:rsidR="002A3970" w:rsidRDefault="00C35E63">
      <w:pPr>
        <w:spacing w:before="100"/>
      </w:pPr>
      <w:r>
        <w:rPr>
          <w:rFonts w:ascii="Times New Roman" w:eastAsia="宋体" w:hAnsi="Times New Roman"/>
          <w:color w:val="000000"/>
          <w:sz w:val="20"/>
          <w:szCs w:val="20"/>
        </w:rPr>
        <w:t>The Walmart U.S. segment includes the Company's mass merchandising concept in the U.S., as well as eCommerce, which includes omn</w:t>
      </w:r>
      <w:r>
        <w:rPr>
          <w:rFonts w:ascii="Times New Roman" w:eastAsia="宋体" w:hAnsi="Times New Roman"/>
          <w:color w:val="000000"/>
          <w:sz w:val="20"/>
          <w:szCs w:val="20"/>
        </w:rPr>
        <w:t xml:space="preserve">i-channel initiatives and certain other business offerings such as advertising services through Walmart Connect. The Walmart International segment consists of the Company's operations outside of the U.S., as well as eCommerce and omni-channel initiatives. </w:t>
      </w:r>
      <w:r>
        <w:rPr>
          <w:rFonts w:ascii="Times New Roman" w:eastAsia="宋体" w:hAnsi="Times New Roman"/>
          <w:color w:val="000000"/>
          <w:sz w:val="20"/>
          <w:szCs w:val="20"/>
        </w:rPr>
        <w:t>The Sam's Club segment includes the warehouse membership clubs in the U.S., as well as samsclub.com and omni-channel initiatives. Corporate and support consists of corporate overhead and other items not allocated to any of the Company's segments.</w:t>
      </w:r>
    </w:p>
    <w:p w14:paraId="4B9A3E75" w14:textId="77777777" w:rsidR="002A3970" w:rsidRDefault="00C35E63">
      <w:pPr>
        <w:spacing w:before="100"/>
      </w:pPr>
      <w:r>
        <w:rPr>
          <w:rFonts w:ascii="Times New Roman" w:eastAsia="宋体" w:hAnsi="Times New Roman"/>
          <w:color w:val="000000"/>
          <w:sz w:val="20"/>
          <w:szCs w:val="20"/>
        </w:rPr>
        <w:t>The Compa</w:t>
      </w:r>
      <w:r>
        <w:rPr>
          <w:rFonts w:ascii="Times New Roman" w:eastAsia="宋体" w:hAnsi="Times New Roman"/>
          <w:color w:val="000000"/>
          <w:sz w:val="20"/>
          <w:szCs w:val="20"/>
        </w:rPr>
        <w:t>ny measures the results of its segments using, among other measures, each segment's net sales and operating income, which includes certain corporate overhead allocations. From time to time, the Company revises the measurement of each segment's operating in</w:t>
      </w:r>
      <w:r>
        <w:rPr>
          <w:rFonts w:ascii="Times New Roman" w:eastAsia="宋体" w:hAnsi="Times New Roman"/>
          <w:color w:val="000000"/>
          <w:sz w:val="20"/>
          <w:szCs w:val="20"/>
        </w:rPr>
        <w:t>come and other measures, including any corporate overhead allocations, as determined by the information regularly reviewed by its CODM. When the measurement of a segment significantly changes, previous period amounts and balances are reclassified to be com</w:t>
      </w:r>
      <w:r>
        <w:rPr>
          <w:rFonts w:ascii="Times New Roman" w:eastAsia="宋体" w:hAnsi="Times New Roman"/>
          <w:color w:val="000000"/>
          <w:sz w:val="20"/>
          <w:szCs w:val="20"/>
        </w:rPr>
        <w:t xml:space="preserve">parable to the current period's presentation. </w:t>
      </w:r>
    </w:p>
    <w:p w14:paraId="4B9A3E76" w14:textId="77777777" w:rsidR="002A3970" w:rsidRDefault="00C35E63">
      <w:pPr>
        <w:spacing w:before="100"/>
      </w:pPr>
      <w:r>
        <w:rPr>
          <w:rFonts w:ascii="Times New Roman" w:eastAsia="宋体" w:hAnsi="Times New Roman"/>
          <w:color w:val="000000"/>
          <w:sz w:val="20"/>
          <w:szCs w:val="20"/>
        </w:rPr>
        <w:t>Net sales by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2A3970" w14:paraId="4B9A3E92" w14:textId="77777777">
        <w:tc>
          <w:tcPr>
            <w:tcW w:w="50" w:type="pct"/>
            <w:shd w:val="clear" w:color="auto" w:fill="auto"/>
            <w:vAlign w:val="bottom"/>
          </w:tcPr>
          <w:p w14:paraId="4B9A3E77" w14:textId="77777777" w:rsidR="002A3970" w:rsidRDefault="002A3970">
            <w:pPr>
              <w:rPr>
                <w:rFonts w:ascii="宋体"/>
              </w:rPr>
            </w:pPr>
          </w:p>
        </w:tc>
        <w:tc>
          <w:tcPr>
            <w:tcW w:w="2488" w:type="pct"/>
            <w:shd w:val="clear" w:color="auto" w:fill="auto"/>
            <w:vAlign w:val="bottom"/>
          </w:tcPr>
          <w:p w14:paraId="4B9A3E78" w14:textId="77777777" w:rsidR="002A3970" w:rsidRDefault="002A3970">
            <w:pPr>
              <w:rPr>
                <w:rFonts w:ascii="宋体"/>
              </w:rPr>
            </w:pPr>
          </w:p>
        </w:tc>
        <w:tc>
          <w:tcPr>
            <w:tcW w:w="5" w:type="pct"/>
            <w:shd w:val="clear" w:color="auto" w:fill="auto"/>
            <w:vAlign w:val="bottom"/>
          </w:tcPr>
          <w:p w14:paraId="4B9A3E79" w14:textId="77777777" w:rsidR="002A3970" w:rsidRDefault="002A3970">
            <w:pPr>
              <w:rPr>
                <w:rFonts w:ascii="宋体"/>
              </w:rPr>
            </w:pPr>
          </w:p>
        </w:tc>
        <w:tc>
          <w:tcPr>
            <w:tcW w:w="5" w:type="pct"/>
            <w:shd w:val="clear" w:color="auto" w:fill="auto"/>
            <w:vAlign w:val="bottom"/>
          </w:tcPr>
          <w:p w14:paraId="4B9A3E7A" w14:textId="77777777" w:rsidR="002A3970" w:rsidRDefault="002A3970">
            <w:pPr>
              <w:rPr>
                <w:rFonts w:ascii="宋体"/>
              </w:rPr>
            </w:pPr>
          </w:p>
        </w:tc>
        <w:tc>
          <w:tcPr>
            <w:tcW w:w="26" w:type="pct"/>
            <w:shd w:val="clear" w:color="auto" w:fill="auto"/>
            <w:vAlign w:val="bottom"/>
          </w:tcPr>
          <w:p w14:paraId="4B9A3E7B" w14:textId="77777777" w:rsidR="002A3970" w:rsidRDefault="002A3970">
            <w:pPr>
              <w:rPr>
                <w:rFonts w:ascii="宋体"/>
              </w:rPr>
            </w:pPr>
          </w:p>
        </w:tc>
        <w:tc>
          <w:tcPr>
            <w:tcW w:w="5" w:type="pct"/>
            <w:shd w:val="clear" w:color="auto" w:fill="auto"/>
            <w:vAlign w:val="bottom"/>
          </w:tcPr>
          <w:p w14:paraId="4B9A3E7C" w14:textId="77777777" w:rsidR="002A3970" w:rsidRDefault="002A3970">
            <w:pPr>
              <w:rPr>
                <w:rFonts w:ascii="宋体"/>
              </w:rPr>
            </w:pPr>
          </w:p>
        </w:tc>
        <w:tc>
          <w:tcPr>
            <w:tcW w:w="50" w:type="pct"/>
            <w:shd w:val="clear" w:color="auto" w:fill="auto"/>
            <w:vAlign w:val="bottom"/>
          </w:tcPr>
          <w:p w14:paraId="4B9A3E7D" w14:textId="77777777" w:rsidR="002A3970" w:rsidRDefault="002A3970">
            <w:pPr>
              <w:rPr>
                <w:rFonts w:ascii="宋体"/>
              </w:rPr>
            </w:pPr>
          </w:p>
        </w:tc>
        <w:tc>
          <w:tcPr>
            <w:tcW w:w="522" w:type="pct"/>
            <w:shd w:val="clear" w:color="auto" w:fill="auto"/>
            <w:vAlign w:val="bottom"/>
          </w:tcPr>
          <w:p w14:paraId="4B9A3E7E" w14:textId="77777777" w:rsidR="002A3970" w:rsidRDefault="002A3970">
            <w:pPr>
              <w:rPr>
                <w:rFonts w:ascii="宋体"/>
              </w:rPr>
            </w:pPr>
          </w:p>
        </w:tc>
        <w:tc>
          <w:tcPr>
            <w:tcW w:w="5" w:type="pct"/>
            <w:shd w:val="clear" w:color="auto" w:fill="auto"/>
            <w:vAlign w:val="bottom"/>
          </w:tcPr>
          <w:p w14:paraId="4B9A3E7F" w14:textId="77777777" w:rsidR="002A3970" w:rsidRDefault="002A3970">
            <w:pPr>
              <w:rPr>
                <w:rFonts w:ascii="宋体"/>
              </w:rPr>
            </w:pPr>
          </w:p>
        </w:tc>
        <w:tc>
          <w:tcPr>
            <w:tcW w:w="5" w:type="pct"/>
            <w:shd w:val="clear" w:color="auto" w:fill="auto"/>
            <w:vAlign w:val="bottom"/>
          </w:tcPr>
          <w:p w14:paraId="4B9A3E80" w14:textId="77777777" w:rsidR="002A3970" w:rsidRDefault="002A3970">
            <w:pPr>
              <w:rPr>
                <w:rFonts w:ascii="宋体"/>
              </w:rPr>
            </w:pPr>
          </w:p>
        </w:tc>
        <w:tc>
          <w:tcPr>
            <w:tcW w:w="26" w:type="pct"/>
            <w:shd w:val="clear" w:color="auto" w:fill="auto"/>
            <w:vAlign w:val="bottom"/>
          </w:tcPr>
          <w:p w14:paraId="4B9A3E81" w14:textId="77777777" w:rsidR="002A3970" w:rsidRDefault="002A3970">
            <w:pPr>
              <w:rPr>
                <w:rFonts w:ascii="宋体"/>
              </w:rPr>
            </w:pPr>
          </w:p>
        </w:tc>
        <w:tc>
          <w:tcPr>
            <w:tcW w:w="5" w:type="pct"/>
            <w:shd w:val="clear" w:color="auto" w:fill="auto"/>
            <w:vAlign w:val="bottom"/>
          </w:tcPr>
          <w:p w14:paraId="4B9A3E82" w14:textId="77777777" w:rsidR="002A3970" w:rsidRDefault="002A3970">
            <w:pPr>
              <w:rPr>
                <w:rFonts w:ascii="宋体"/>
              </w:rPr>
            </w:pPr>
          </w:p>
        </w:tc>
        <w:tc>
          <w:tcPr>
            <w:tcW w:w="50" w:type="pct"/>
            <w:shd w:val="clear" w:color="auto" w:fill="auto"/>
            <w:vAlign w:val="bottom"/>
          </w:tcPr>
          <w:p w14:paraId="4B9A3E83" w14:textId="77777777" w:rsidR="002A3970" w:rsidRDefault="002A3970">
            <w:pPr>
              <w:rPr>
                <w:rFonts w:ascii="宋体"/>
              </w:rPr>
            </w:pPr>
          </w:p>
        </w:tc>
        <w:tc>
          <w:tcPr>
            <w:tcW w:w="522" w:type="pct"/>
            <w:shd w:val="clear" w:color="auto" w:fill="auto"/>
            <w:vAlign w:val="bottom"/>
          </w:tcPr>
          <w:p w14:paraId="4B9A3E84" w14:textId="77777777" w:rsidR="002A3970" w:rsidRDefault="002A3970">
            <w:pPr>
              <w:rPr>
                <w:rFonts w:ascii="宋体"/>
              </w:rPr>
            </w:pPr>
          </w:p>
        </w:tc>
        <w:tc>
          <w:tcPr>
            <w:tcW w:w="5" w:type="pct"/>
            <w:shd w:val="clear" w:color="auto" w:fill="auto"/>
            <w:vAlign w:val="bottom"/>
          </w:tcPr>
          <w:p w14:paraId="4B9A3E85" w14:textId="77777777" w:rsidR="002A3970" w:rsidRDefault="002A3970">
            <w:pPr>
              <w:rPr>
                <w:rFonts w:ascii="宋体"/>
              </w:rPr>
            </w:pPr>
          </w:p>
        </w:tc>
        <w:tc>
          <w:tcPr>
            <w:tcW w:w="5" w:type="pct"/>
            <w:shd w:val="clear" w:color="auto" w:fill="auto"/>
            <w:vAlign w:val="bottom"/>
          </w:tcPr>
          <w:p w14:paraId="4B9A3E86" w14:textId="77777777" w:rsidR="002A3970" w:rsidRDefault="002A3970">
            <w:pPr>
              <w:rPr>
                <w:rFonts w:ascii="宋体"/>
              </w:rPr>
            </w:pPr>
          </w:p>
        </w:tc>
        <w:tc>
          <w:tcPr>
            <w:tcW w:w="26" w:type="pct"/>
            <w:shd w:val="clear" w:color="auto" w:fill="auto"/>
            <w:vAlign w:val="bottom"/>
          </w:tcPr>
          <w:p w14:paraId="4B9A3E87" w14:textId="77777777" w:rsidR="002A3970" w:rsidRDefault="002A3970">
            <w:pPr>
              <w:rPr>
                <w:rFonts w:ascii="宋体"/>
              </w:rPr>
            </w:pPr>
          </w:p>
        </w:tc>
        <w:tc>
          <w:tcPr>
            <w:tcW w:w="5" w:type="pct"/>
            <w:shd w:val="clear" w:color="auto" w:fill="auto"/>
            <w:vAlign w:val="bottom"/>
          </w:tcPr>
          <w:p w14:paraId="4B9A3E88" w14:textId="77777777" w:rsidR="002A3970" w:rsidRDefault="002A3970">
            <w:pPr>
              <w:rPr>
                <w:rFonts w:ascii="宋体"/>
              </w:rPr>
            </w:pPr>
          </w:p>
        </w:tc>
        <w:tc>
          <w:tcPr>
            <w:tcW w:w="50" w:type="pct"/>
            <w:shd w:val="clear" w:color="auto" w:fill="auto"/>
            <w:vAlign w:val="bottom"/>
          </w:tcPr>
          <w:p w14:paraId="4B9A3E89" w14:textId="77777777" w:rsidR="002A3970" w:rsidRDefault="002A3970">
            <w:pPr>
              <w:rPr>
                <w:rFonts w:ascii="宋体"/>
              </w:rPr>
            </w:pPr>
          </w:p>
        </w:tc>
        <w:tc>
          <w:tcPr>
            <w:tcW w:w="522" w:type="pct"/>
            <w:shd w:val="clear" w:color="auto" w:fill="auto"/>
            <w:vAlign w:val="bottom"/>
          </w:tcPr>
          <w:p w14:paraId="4B9A3E8A" w14:textId="77777777" w:rsidR="002A3970" w:rsidRDefault="002A3970">
            <w:pPr>
              <w:rPr>
                <w:rFonts w:ascii="宋体"/>
              </w:rPr>
            </w:pPr>
          </w:p>
        </w:tc>
        <w:tc>
          <w:tcPr>
            <w:tcW w:w="5" w:type="pct"/>
            <w:shd w:val="clear" w:color="auto" w:fill="auto"/>
            <w:vAlign w:val="bottom"/>
          </w:tcPr>
          <w:p w14:paraId="4B9A3E8B" w14:textId="77777777" w:rsidR="002A3970" w:rsidRDefault="002A3970">
            <w:pPr>
              <w:rPr>
                <w:rFonts w:ascii="宋体"/>
              </w:rPr>
            </w:pPr>
          </w:p>
        </w:tc>
        <w:tc>
          <w:tcPr>
            <w:tcW w:w="5" w:type="pct"/>
            <w:shd w:val="clear" w:color="auto" w:fill="auto"/>
            <w:vAlign w:val="bottom"/>
          </w:tcPr>
          <w:p w14:paraId="4B9A3E8C" w14:textId="77777777" w:rsidR="002A3970" w:rsidRDefault="002A3970">
            <w:pPr>
              <w:rPr>
                <w:rFonts w:ascii="宋体"/>
              </w:rPr>
            </w:pPr>
          </w:p>
        </w:tc>
        <w:tc>
          <w:tcPr>
            <w:tcW w:w="26" w:type="pct"/>
            <w:shd w:val="clear" w:color="auto" w:fill="auto"/>
            <w:vAlign w:val="bottom"/>
          </w:tcPr>
          <w:p w14:paraId="4B9A3E8D" w14:textId="77777777" w:rsidR="002A3970" w:rsidRDefault="002A3970">
            <w:pPr>
              <w:rPr>
                <w:rFonts w:ascii="宋体"/>
              </w:rPr>
            </w:pPr>
          </w:p>
        </w:tc>
        <w:tc>
          <w:tcPr>
            <w:tcW w:w="5" w:type="pct"/>
            <w:shd w:val="clear" w:color="auto" w:fill="auto"/>
            <w:vAlign w:val="bottom"/>
          </w:tcPr>
          <w:p w14:paraId="4B9A3E8E" w14:textId="77777777" w:rsidR="002A3970" w:rsidRDefault="002A3970">
            <w:pPr>
              <w:rPr>
                <w:rFonts w:ascii="宋体"/>
              </w:rPr>
            </w:pPr>
          </w:p>
        </w:tc>
        <w:tc>
          <w:tcPr>
            <w:tcW w:w="50" w:type="pct"/>
            <w:shd w:val="clear" w:color="auto" w:fill="auto"/>
            <w:vAlign w:val="bottom"/>
          </w:tcPr>
          <w:p w14:paraId="4B9A3E8F" w14:textId="77777777" w:rsidR="002A3970" w:rsidRDefault="002A3970">
            <w:pPr>
              <w:rPr>
                <w:rFonts w:ascii="宋体"/>
              </w:rPr>
            </w:pPr>
          </w:p>
        </w:tc>
        <w:tc>
          <w:tcPr>
            <w:tcW w:w="522" w:type="pct"/>
            <w:shd w:val="clear" w:color="auto" w:fill="auto"/>
            <w:vAlign w:val="bottom"/>
          </w:tcPr>
          <w:p w14:paraId="4B9A3E90" w14:textId="77777777" w:rsidR="002A3970" w:rsidRDefault="002A3970">
            <w:pPr>
              <w:rPr>
                <w:rFonts w:ascii="宋体"/>
              </w:rPr>
            </w:pPr>
          </w:p>
        </w:tc>
        <w:tc>
          <w:tcPr>
            <w:tcW w:w="5" w:type="pct"/>
            <w:shd w:val="clear" w:color="auto" w:fill="auto"/>
            <w:vAlign w:val="bottom"/>
          </w:tcPr>
          <w:p w14:paraId="4B9A3E91" w14:textId="77777777" w:rsidR="002A3970" w:rsidRDefault="002A3970">
            <w:pPr>
              <w:rPr>
                <w:rFonts w:ascii="宋体"/>
              </w:rPr>
            </w:pPr>
          </w:p>
        </w:tc>
      </w:tr>
      <w:tr w:rsidR="002A3970" w14:paraId="4B9A3E98" w14:textId="77777777">
        <w:tc>
          <w:tcPr>
            <w:tcW w:w="0" w:type="auto"/>
            <w:gridSpan w:val="3"/>
            <w:shd w:val="clear" w:color="auto" w:fill="auto"/>
            <w:tcMar>
              <w:top w:w="40" w:type="dxa"/>
              <w:left w:w="20" w:type="dxa"/>
              <w:bottom w:w="40" w:type="dxa"/>
              <w:right w:w="20" w:type="dxa"/>
            </w:tcMar>
            <w:vAlign w:val="bottom"/>
          </w:tcPr>
          <w:p w14:paraId="4B9A3E93"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3E94"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E95"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3E96"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E97"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3EA2" w14:textId="77777777">
        <w:tc>
          <w:tcPr>
            <w:tcW w:w="0" w:type="auto"/>
            <w:gridSpan w:val="3"/>
            <w:shd w:val="clear" w:color="auto" w:fill="auto"/>
            <w:tcMar>
              <w:top w:w="40" w:type="dxa"/>
              <w:left w:w="20" w:type="dxa"/>
              <w:bottom w:w="40" w:type="dxa"/>
              <w:right w:w="20" w:type="dxa"/>
            </w:tcMar>
            <w:vAlign w:val="bottom"/>
          </w:tcPr>
          <w:p w14:paraId="4B9A3E99" w14:textId="77777777" w:rsidR="002A3970" w:rsidRDefault="00C35E63">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3E9A"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E9B"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3E9C"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E9D"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3E9E"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E9F"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3EA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EA1"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3EAC" w14:textId="77777777">
        <w:tc>
          <w:tcPr>
            <w:tcW w:w="0" w:type="auto"/>
            <w:gridSpan w:val="3"/>
            <w:shd w:val="clear" w:color="auto" w:fill="auto"/>
            <w:tcMar>
              <w:top w:w="40" w:type="dxa"/>
              <w:left w:w="20" w:type="dxa"/>
              <w:bottom w:w="40" w:type="dxa"/>
              <w:right w:w="20" w:type="dxa"/>
            </w:tcMar>
            <w:vAlign w:val="center"/>
          </w:tcPr>
          <w:p w14:paraId="4B9A3EA3"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vAlign w:val="bottom"/>
          </w:tcPr>
          <w:p w14:paraId="4B9A3EA4"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EA5"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EA6"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EA7"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EA8"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EA9"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EAA"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EAB" w14:textId="77777777" w:rsidR="002A3970" w:rsidRDefault="002A3970">
            <w:pPr>
              <w:rPr>
                <w:rFonts w:ascii="宋体"/>
              </w:rPr>
            </w:pPr>
          </w:p>
        </w:tc>
      </w:tr>
      <w:tr w:rsidR="002A3970" w14:paraId="4B9A3EBE" w14:textId="77777777">
        <w:tc>
          <w:tcPr>
            <w:tcW w:w="0" w:type="auto"/>
            <w:gridSpan w:val="3"/>
            <w:shd w:val="clear" w:color="auto" w:fill="CCEEFF"/>
            <w:tcMar>
              <w:top w:w="40" w:type="dxa"/>
              <w:left w:w="380" w:type="dxa"/>
              <w:bottom w:w="40" w:type="dxa"/>
              <w:right w:w="20" w:type="dxa"/>
            </w:tcMar>
            <w:vAlign w:val="center"/>
          </w:tcPr>
          <w:p w14:paraId="4B9A3EAD" w14:textId="77777777" w:rsidR="002A3970" w:rsidRDefault="00C35E63">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4B9A3EAE"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EAF"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EB0" w14:textId="77777777" w:rsidR="002A3970" w:rsidRDefault="00C35E63">
            <w:pPr>
              <w:jc w:val="right"/>
              <w:textAlignment w:val="center"/>
            </w:pPr>
            <w:r>
              <w:rPr>
                <w:rFonts w:ascii="Times New Roman" w:eastAsia="宋体" w:hAnsi="Times New Roman"/>
                <w:color w:val="000000"/>
                <w:sz w:val="16"/>
                <w:szCs w:val="16"/>
              </w:rPr>
              <w:t>104,775 </w:t>
            </w:r>
          </w:p>
        </w:tc>
        <w:tc>
          <w:tcPr>
            <w:tcW w:w="0" w:type="auto"/>
            <w:shd w:val="clear" w:color="auto" w:fill="CCEEFF"/>
            <w:tcMar>
              <w:top w:w="40" w:type="dxa"/>
              <w:left w:w="0" w:type="dxa"/>
              <w:bottom w:w="40" w:type="dxa"/>
              <w:right w:w="20" w:type="dxa"/>
            </w:tcMar>
            <w:vAlign w:val="center"/>
          </w:tcPr>
          <w:p w14:paraId="4B9A3EB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B2"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EB3"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EB4" w14:textId="77777777" w:rsidR="002A3970" w:rsidRDefault="00C35E63">
            <w:pPr>
              <w:jc w:val="right"/>
              <w:textAlignment w:val="center"/>
            </w:pPr>
            <w:r>
              <w:rPr>
                <w:rFonts w:ascii="Times New Roman" w:eastAsia="宋体" w:hAnsi="Times New Roman"/>
                <w:color w:val="000000"/>
                <w:sz w:val="16"/>
                <w:szCs w:val="16"/>
              </w:rPr>
              <w:t>96,609 </w:t>
            </w:r>
          </w:p>
        </w:tc>
        <w:tc>
          <w:tcPr>
            <w:tcW w:w="0" w:type="auto"/>
            <w:shd w:val="clear" w:color="auto" w:fill="CCEEFF"/>
            <w:tcMar>
              <w:top w:w="40" w:type="dxa"/>
              <w:left w:w="0" w:type="dxa"/>
              <w:bottom w:w="40" w:type="dxa"/>
              <w:right w:w="20" w:type="dxa"/>
            </w:tcMar>
            <w:vAlign w:val="center"/>
          </w:tcPr>
          <w:p w14:paraId="4B9A3EB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B6"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EB7"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EB8" w14:textId="77777777" w:rsidR="002A3970" w:rsidRDefault="00C35E63">
            <w:pPr>
              <w:jc w:val="right"/>
              <w:textAlignment w:val="center"/>
            </w:pPr>
            <w:r>
              <w:rPr>
                <w:rFonts w:ascii="Times New Roman" w:eastAsia="宋体" w:hAnsi="Times New Roman"/>
                <w:color w:val="000000"/>
                <w:sz w:val="16"/>
                <w:szCs w:val="16"/>
              </w:rPr>
              <w:t>306,809 </w:t>
            </w:r>
          </w:p>
        </w:tc>
        <w:tc>
          <w:tcPr>
            <w:tcW w:w="0" w:type="auto"/>
            <w:shd w:val="clear" w:color="auto" w:fill="CCEEFF"/>
            <w:tcMar>
              <w:top w:w="40" w:type="dxa"/>
              <w:left w:w="0" w:type="dxa"/>
              <w:bottom w:w="40" w:type="dxa"/>
              <w:right w:w="20" w:type="dxa"/>
            </w:tcMar>
            <w:vAlign w:val="center"/>
          </w:tcPr>
          <w:p w14:paraId="4B9A3EB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BA"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EBB"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EBC" w14:textId="77777777" w:rsidR="002A3970" w:rsidRDefault="00C35E63">
            <w:pPr>
              <w:jc w:val="right"/>
              <w:textAlignment w:val="center"/>
            </w:pPr>
            <w:r>
              <w:rPr>
                <w:rFonts w:ascii="Times New Roman" w:eastAsia="宋体" w:hAnsi="Times New Roman"/>
                <w:color w:val="000000"/>
                <w:sz w:val="16"/>
                <w:szCs w:val="16"/>
              </w:rPr>
              <w:t>287,968 </w:t>
            </w:r>
          </w:p>
        </w:tc>
        <w:tc>
          <w:tcPr>
            <w:tcW w:w="0" w:type="auto"/>
            <w:shd w:val="clear" w:color="auto" w:fill="CCEEFF"/>
            <w:tcMar>
              <w:top w:w="40" w:type="dxa"/>
              <w:left w:w="0" w:type="dxa"/>
              <w:bottom w:w="40" w:type="dxa"/>
              <w:right w:w="20" w:type="dxa"/>
            </w:tcMar>
            <w:vAlign w:val="center"/>
          </w:tcPr>
          <w:p w14:paraId="4B9A3EBD" w14:textId="77777777" w:rsidR="002A3970" w:rsidRDefault="002A3970">
            <w:pPr>
              <w:jc w:val="right"/>
              <w:rPr>
                <w:rFonts w:ascii="宋体"/>
              </w:rPr>
            </w:pPr>
          </w:p>
        </w:tc>
      </w:tr>
      <w:tr w:rsidR="002A3970" w14:paraId="4B9A3ECC" w14:textId="77777777">
        <w:tc>
          <w:tcPr>
            <w:tcW w:w="0" w:type="auto"/>
            <w:gridSpan w:val="3"/>
            <w:shd w:val="clear" w:color="auto" w:fill="FFFFFF"/>
            <w:tcMar>
              <w:top w:w="40" w:type="dxa"/>
              <w:left w:w="380" w:type="dxa"/>
              <w:bottom w:w="40" w:type="dxa"/>
              <w:right w:w="20" w:type="dxa"/>
            </w:tcMar>
            <w:vAlign w:val="center"/>
          </w:tcPr>
          <w:p w14:paraId="4B9A3EBF" w14:textId="77777777" w:rsidR="002A3970" w:rsidRDefault="00C35E63">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4B9A3EC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EC1" w14:textId="77777777" w:rsidR="002A3970" w:rsidRDefault="00C35E63">
            <w:pPr>
              <w:jc w:val="right"/>
              <w:textAlignment w:val="center"/>
            </w:pPr>
            <w:r>
              <w:rPr>
                <w:rFonts w:ascii="Times New Roman" w:eastAsia="宋体" w:hAnsi="Times New Roman"/>
                <w:color w:val="000000"/>
                <w:sz w:val="16"/>
                <w:szCs w:val="16"/>
              </w:rPr>
              <w:t>25,295 </w:t>
            </w:r>
          </w:p>
        </w:tc>
        <w:tc>
          <w:tcPr>
            <w:tcW w:w="0" w:type="auto"/>
            <w:shd w:val="clear" w:color="auto" w:fill="FFFFFF"/>
            <w:tcMar>
              <w:top w:w="40" w:type="dxa"/>
              <w:left w:w="0" w:type="dxa"/>
              <w:bottom w:w="40" w:type="dxa"/>
              <w:right w:w="20" w:type="dxa"/>
            </w:tcMar>
            <w:vAlign w:val="center"/>
          </w:tcPr>
          <w:p w14:paraId="4B9A3EC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EC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EC4" w14:textId="77777777" w:rsidR="002A3970" w:rsidRDefault="00C35E63">
            <w:pPr>
              <w:jc w:val="right"/>
              <w:textAlignment w:val="center"/>
            </w:pPr>
            <w:r>
              <w:rPr>
                <w:rFonts w:ascii="Times New Roman" w:eastAsia="宋体" w:hAnsi="Times New Roman"/>
                <w:color w:val="000000"/>
                <w:sz w:val="16"/>
                <w:szCs w:val="16"/>
              </w:rPr>
              <w:t>23,627 </w:t>
            </w:r>
          </w:p>
        </w:tc>
        <w:tc>
          <w:tcPr>
            <w:tcW w:w="0" w:type="auto"/>
            <w:shd w:val="clear" w:color="auto" w:fill="FFFFFF"/>
            <w:tcMar>
              <w:top w:w="40" w:type="dxa"/>
              <w:left w:w="0" w:type="dxa"/>
              <w:bottom w:w="40" w:type="dxa"/>
              <w:right w:w="20" w:type="dxa"/>
            </w:tcMar>
            <w:vAlign w:val="center"/>
          </w:tcPr>
          <w:p w14:paraId="4B9A3EC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EC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EC7" w14:textId="77777777" w:rsidR="002A3970" w:rsidRDefault="00C35E63">
            <w:pPr>
              <w:jc w:val="right"/>
              <w:textAlignment w:val="center"/>
            </w:pPr>
            <w:r>
              <w:rPr>
                <w:rFonts w:ascii="Times New Roman" w:eastAsia="宋体" w:hAnsi="Times New Roman"/>
                <w:color w:val="000000"/>
                <w:sz w:val="16"/>
                <w:szCs w:val="16"/>
              </w:rPr>
              <w:t>73,408 </w:t>
            </w:r>
          </w:p>
        </w:tc>
        <w:tc>
          <w:tcPr>
            <w:tcW w:w="0" w:type="auto"/>
            <w:shd w:val="clear" w:color="auto" w:fill="FFFFFF"/>
            <w:tcMar>
              <w:top w:w="40" w:type="dxa"/>
              <w:left w:w="0" w:type="dxa"/>
              <w:bottom w:w="40" w:type="dxa"/>
              <w:right w:w="20" w:type="dxa"/>
            </w:tcMar>
            <w:vAlign w:val="center"/>
          </w:tcPr>
          <w:p w14:paraId="4B9A3EC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EC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ECA" w14:textId="77777777" w:rsidR="002A3970" w:rsidRDefault="00C35E63">
            <w:pPr>
              <w:jc w:val="right"/>
              <w:textAlignment w:val="center"/>
            </w:pPr>
            <w:r>
              <w:rPr>
                <w:rFonts w:ascii="Times New Roman" w:eastAsia="宋体" w:hAnsi="Times New Roman"/>
                <w:color w:val="000000"/>
                <w:sz w:val="16"/>
                <w:szCs w:val="16"/>
              </w:rPr>
              <w:t>73,962 </w:t>
            </w:r>
          </w:p>
        </w:tc>
        <w:tc>
          <w:tcPr>
            <w:tcW w:w="0" w:type="auto"/>
            <w:shd w:val="clear" w:color="auto" w:fill="FFFFFF"/>
            <w:tcMar>
              <w:top w:w="40" w:type="dxa"/>
              <w:left w:w="0" w:type="dxa"/>
              <w:bottom w:w="40" w:type="dxa"/>
              <w:right w:w="20" w:type="dxa"/>
            </w:tcMar>
            <w:vAlign w:val="center"/>
          </w:tcPr>
          <w:p w14:paraId="4B9A3ECB" w14:textId="77777777" w:rsidR="002A3970" w:rsidRDefault="002A3970">
            <w:pPr>
              <w:jc w:val="right"/>
              <w:rPr>
                <w:rFonts w:ascii="宋体"/>
              </w:rPr>
            </w:pPr>
          </w:p>
        </w:tc>
      </w:tr>
      <w:tr w:rsidR="002A3970" w14:paraId="4B9A3EDA" w14:textId="77777777">
        <w:tc>
          <w:tcPr>
            <w:tcW w:w="0" w:type="auto"/>
            <w:gridSpan w:val="3"/>
            <w:shd w:val="clear" w:color="auto" w:fill="CCEEFF"/>
            <w:tcMar>
              <w:top w:w="40" w:type="dxa"/>
              <w:left w:w="380" w:type="dxa"/>
              <w:bottom w:w="40" w:type="dxa"/>
              <w:right w:w="20" w:type="dxa"/>
            </w:tcMar>
            <w:vAlign w:val="center"/>
          </w:tcPr>
          <w:p w14:paraId="4B9A3ECD" w14:textId="77777777" w:rsidR="002A3970" w:rsidRDefault="00C35E63">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4B9A3EC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ECF" w14:textId="77777777" w:rsidR="002A3970" w:rsidRDefault="00C35E63">
            <w:pPr>
              <w:jc w:val="right"/>
              <w:textAlignment w:val="center"/>
            </w:pPr>
            <w:r>
              <w:rPr>
                <w:rFonts w:ascii="Times New Roman" w:eastAsia="宋体" w:hAnsi="Times New Roman"/>
                <w:color w:val="000000"/>
                <w:sz w:val="16"/>
                <w:szCs w:val="16"/>
              </w:rPr>
              <w:t>21,399 </w:t>
            </w:r>
          </w:p>
        </w:tc>
        <w:tc>
          <w:tcPr>
            <w:tcW w:w="0" w:type="auto"/>
            <w:shd w:val="clear" w:color="auto" w:fill="CCEEFF"/>
            <w:tcMar>
              <w:top w:w="40" w:type="dxa"/>
              <w:left w:w="0" w:type="dxa"/>
              <w:bottom w:w="40" w:type="dxa"/>
              <w:right w:w="20" w:type="dxa"/>
            </w:tcMar>
            <w:vAlign w:val="center"/>
          </w:tcPr>
          <w:p w14:paraId="4B9A3ED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D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ED2" w14:textId="77777777" w:rsidR="002A3970" w:rsidRDefault="00C35E63">
            <w:pPr>
              <w:jc w:val="right"/>
              <w:textAlignment w:val="center"/>
            </w:pPr>
            <w:r>
              <w:rPr>
                <w:rFonts w:ascii="Times New Roman" w:eastAsia="宋体" w:hAnsi="Times New Roman"/>
                <w:color w:val="000000"/>
                <w:sz w:val="16"/>
                <w:szCs w:val="16"/>
              </w:rPr>
              <w:t>18,971 </w:t>
            </w:r>
          </w:p>
        </w:tc>
        <w:tc>
          <w:tcPr>
            <w:tcW w:w="0" w:type="auto"/>
            <w:shd w:val="clear" w:color="auto" w:fill="CCEEFF"/>
            <w:tcMar>
              <w:top w:w="40" w:type="dxa"/>
              <w:left w:w="0" w:type="dxa"/>
              <w:bottom w:w="40" w:type="dxa"/>
              <w:right w:w="20" w:type="dxa"/>
            </w:tcMar>
            <w:vAlign w:val="center"/>
          </w:tcPr>
          <w:p w14:paraId="4B9A3ED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D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ED5" w14:textId="77777777" w:rsidR="002A3970" w:rsidRDefault="00C35E63">
            <w:pPr>
              <w:jc w:val="right"/>
              <w:textAlignment w:val="center"/>
            </w:pPr>
            <w:r>
              <w:rPr>
                <w:rFonts w:ascii="Times New Roman" w:eastAsia="宋体" w:hAnsi="Times New Roman"/>
                <w:color w:val="000000"/>
                <w:sz w:val="16"/>
                <w:szCs w:val="16"/>
              </w:rPr>
              <w:t>62,921 </w:t>
            </w:r>
          </w:p>
        </w:tc>
        <w:tc>
          <w:tcPr>
            <w:tcW w:w="0" w:type="auto"/>
            <w:shd w:val="clear" w:color="auto" w:fill="CCEEFF"/>
            <w:tcMar>
              <w:top w:w="40" w:type="dxa"/>
              <w:left w:w="0" w:type="dxa"/>
              <w:bottom w:w="40" w:type="dxa"/>
              <w:right w:w="20" w:type="dxa"/>
            </w:tcMar>
            <w:vAlign w:val="center"/>
          </w:tcPr>
          <w:p w14:paraId="4B9A3ED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ED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ED8" w14:textId="77777777" w:rsidR="002A3970" w:rsidRDefault="00C35E63">
            <w:pPr>
              <w:jc w:val="right"/>
              <w:textAlignment w:val="center"/>
            </w:pPr>
            <w:r>
              <w:rPr>
                <w:rFonts w:ascii="Times New Roman" w:eastAsia="宋体" w:hAnsi="Times New Roman"/>
                <w:color w:val="000000"/>
                <w:sz w:val="16"/>
                <w:szCs w:val="16"/>
              </w:rPr>
              <w:t>54,307 </w:t>
            </w:r>
          </w:p>
        </w:tc>
        <w:tc>
          <w:tcPr>
            <w:tcW w:w="0" w:type="auto"/>
            <w:shd w:val="clear" w:color="auto" w:fill="CCEEFF"/>
            <w:tcMar>
              <w:top w:w="40" w:type="dxa"/>
              <w:left w:w="0" w:type="dxa"/>
              <w:bottom w:w="40" w:type="dxa"/>
              <w:right w:w="20" w:type="dxa"/>
            </w:tcMar>
            <w:vAlign w:val="center"/>
          </w:tcPr>
          <w:p w14:paraId="4B9A3ED9" w14:textId="77777777" w:rsidR="002A3970" w:rsidRDefault="002A3970">
            <w:pPr>
              <w:jc w:val="right"/>
              <w:rPr>
                <w:rFonts w:ascii="宋体"/>
              </w:rPr>
            </w:pPr>
          </w:p>
        </w:tc>
      </w:tr>
      <w:tr w:rsidR="002A3970" w14:paraId="4B9A3EEC" w14:textId="77777777">
        <w:tc>
          <w:tcPr>
            <w:tcW w:w="0" w:type="auto"/>
            <w:gridSpan w:val="3"/>
            <w:shd w:val="clear" w:color="auto" w:fill="FFFFFF"/>
            <w:tcMar>
              <w:top w:w="40" w:type="dxa"/>
              <w:left w:w="20" w:type="dxa"/>
              <w:bottom w:w="40" w:type="dxa"/>
              <w:right w:w="20" w:type="dxa"/>
            </w:tcMar>
            <w:vAlign w:val="center"/>
          </w:tcPr>
          <w:p w14:paraId="4B9A3EDB" w14:textId="77777777" w:rsidR="002A3970" w:rsidRDefault="00C35E63">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4B9A3EDC"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ED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EDE" w14:textId="77777777" w:rsidR="002A3970" w:rsidRDefault="00C35E63">
            <w:pPr>
              <w:jc w:val="right"/>
              <w:textAlignment w:val="center"/>
            </w:pPr>
            <w:r>
              <w:rPr>
                <w:rFonts w:ascii="Times New Roman" w:eastAsia="宋体" w:hAnsi="Times New Roman"/>
                <w:color w:val="000000"/>
                <w:sz w:val="16"/>
                <w:szCs w:val="16"/>
              </w:rPr>
              <w:t>151,469 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ED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EE0"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EE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EE2" w14:textId="77777777" w:rsidR="002A3970" w:rsidRDefault="00C35E63">
            <w:pPr>
              <w:jc w:val="right"/>
              <w:textAlignment w:val="center"/>
            </w:pPr>
            <w:r>
              <w:rPr>
                <w:rFonts w:ascii="Times New Roman" w:eastAsia="宋体" w:hAnsi="Times New Roman"/>
                <w:color w:val="000000"/>
                <w:sz w:val="16"/>
                <w:szCs w:val="16"/>
              </w:rPr>
              <w:t>139,207 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EE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EE4"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EE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EE6" w14:textId="77777777" w:rsidR="002A3970" w:rsidRDefault="00C35E63">
            <w:pPr>
              <w:jc w:val="right"/>
              <w:textAlignment w:val="center"/>
            </w:pPr>
            <w:r>
              <w:rPr>
                <w:rFonts w:ascii="Times New Roman" w:eastAsia="宋体" w:hAnsi="Times New Roman"/>
                <w:color w:val="000000"/>
                <w:sz w:val="16"/>
                <w:szCs w:val="16"/>
              </w:rPr>
              <w:t>443,138 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EE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EE8"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3EE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3EEA" w14:textId="77777777" w:rsidR="002A3970" w:rsidRDefault="00C35E63">
            <w:pPr>
              <w:jc w:val="right"/>
              <w:textAlignment w:val="center"/>
            </w:pPr>
            <w:r>
              <w:rPr>
                <w:rFonts w:ascii="Times New Roman" w:eastAsia="宋体" w:hAnsi="Times New Roman"/>
                <w:color w:val="000000"/>
                <w:sz w:val="16"/>
                <w:szCs w:val="16"/>
              </w:rPr>
              <w:t>416,237 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3EEB" w14:textId="77777777" w:rsidR="002A3970" w:rsidRDefault="002A3970">
            <w:pPr>
              <w:jc w:val="right"/>
              <w:rPr>
                <w:rFonts w:ascii="宋体"/>
              </w:rPr>
            </w:pPr>
          </w:p>
        </w:tc>
      </w:tr>
    </w:tbl>
    <w:p w14:paraId="4B9A3EED" w14:textId="77777777" w:rsidR="002A3970" w:rsidRDefault="00C35E63">
      <w:pPr>
        <w:jc w:val="center"/>
      </w:pPr>
      <w:r>
        <w:rPr>
          <w:rFonts w:ascii="Times New Roman" w:eastAsia="宋体" w:hAnsi="Times New Roman"/>
          <w:color w:val="000000"/>
          <w:sz w:val="20"/>
          <w:szCs w:val="20"/>
        </w:rPr>
        <w:t>15</w:t>
      </w:r>
    </w:p>
    <w:p w14:paraId="4B9A3EEE" w14:textId="77777777" w:rsidR="002A3970" w:rsidRDefault="00C35E63">
      <w:r>
        <w:pict w14:anchorId="4B9A4C24">
          <v:rect id="_x0000_i1039" style="width:415.3pt;height:1.5pt" o:hralign="center" o:hrstd="t" o:hr="t" fillcolor="#a0a0a0" stroked="f"/>
        </w:pict>
      </w:r>
    </w:p>
    <w:p w14:paraId="4B9A3EEF" w14:textId="77777777" w:rsidR="002A3970" w:rsidRDefault="00C35E63">
      <w:hyperlink r:id="rId54" w:anchor="i0522a2f6333e456295d59e779af751cb_7" w:history="1">
        <w:r>
          <w:rPr>
            <w:rStyle w:val="a5"/>
            <w:rFonts w:ascii="Times New Roman" w:eastAsia="宋体" w:hAnsi="Times New Roman"/>
            <w:sz w:val="20"/>
            <w:szCs w:val="20"/>
          </w:rPr>
          <w:t>Table of Contents</w:t>
        </w:r>
      </w:hyperlink>
    </w:p>
    <w:p w14:paraId="4B9A3EF0" w14:textId="77777777" w:rsidR="002A3970" w:rsidRDefault="00C35E63">
      <w:pPr>
        <w:spacing w:before="100"/>
      </w:pPr>
      <w:r>
        <w:rPr>
          <w:rFonts w:ascii="Times New Roman" w:eastAsia="宋体" w:hAnsi="Times New Roman"/>
          <w:color w:val="000000"/>
          <w:sz w:val="20"/>
          <w:szCs w:val="20"/>
        </w:rPr>
        <w:t>Operating income by segment, as well as unallocated operating expenses for corporate a</w:t>
      </w:r>
      <w:r>
        <w:rPr>
          <w:rFonts w:ascii="Times New Roman" w:eastAsia="宋体" w:hAnsi="Times New Roman"/>
          <w:color w:val="000000"/>
          <w:sz w:val="20"/>
          <w:szCs w:val="20"/>
        </w:rPr>
        <w:t>nd support, interest, net, loss on extinguishment of debt and other gains and losses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007"/>
        <w:gridCol w:w="39"/>
        <w:gridCol w:w="36"/>
        <w:gridCol w:w="36"/>
        <w:gridCol w:w="36"/>
        <w:gridCol w:w="100"/>
        <w:gridCol w:w="758"/>
        <w:gridCol w:w="36"/>
        <w:gridCol w:w="36"/>
        <w:gridCol w:w="36"/>
        <w:gridCol w:w="36"/>
        <w:gridCol w:w="100"/>
        <w:gridCol w:w="735"/>
        <w:gridCol w:w="36"/>
        <w:gridCol w:w="36"/>
        <w:gridCol w:w="36"/>
        <w:gridCol w:w="36"/>
        <w:gridCol w:w="100"/>
        <w:gridCol w:w="735"/>
        <w:gridCol w:w="36"/>
        <w:gridCol w:w="36"/>
        <w:gridCol w:w="36"/>
        <w:gridCol w:w="36"/>
        <w:gridCol w:w="100"/>
        <w:gridCol w:w="758"/>
        <w:gridCol w:w="36"/>
        <w:gridCol w:w="36"/>
        <w:gridCol w:w="36"/>
        <w:gridCol w:w="36"/>
        <w:gridCol w:w="36"/>
        <w:gridCol w:w="36"/>
        <w:gridCol w:w="36"/>
        <w:gridCol w:w="36"/>
        <w:gridCol w:w="36"/>
      </w:tblGrid>
      <w:tr w:rsidR="002A3970" w14:paraId="4B9A3F10" w14:textId="77777777">
        <w:tc>
          <w:tcPr>
            <w:tcW w:w="50" w:type="pct"/>
            <w:shd w:val="clear" w:color="auto" w:fill="auto"/>
            <w:vAlign w:val="bottom"/>
          </w:tcPr>
          <w:p w14:paraId="4B9A3EF1" w14:textId="77777777" w:rsidR="002A3970" w:rsidRDefault="002A3970">
            <w:pPr>
              <w:rPr>
                <w:rFonts w:ascii="宋体"/>
              </w:rPr>
            </w:pPr>
          </w:p>
        </w:tc>
        <w:tc>
          <w:tcPr>
            <w:tcW w:w="2518" w:type="pct"/>
            <w:shd w:val="clear" w:color="auto" w:fill="auto"/>
            <w:vAlign w:val="bottom"/>
          </w:tcPr>
          <w:p w14:paraId="4B9A3EF2" w14:textId="77777777" w:rsidR="002A3970" w:rsidRDefault="002A3970">
            <w:pPr>
              <w:rPr>
                <w:rFonts w:ascii="宋体"/>
              </w:rPr>
            </w:pPr>
          </w:p>
        </w:tc>
        <w:tc>
          <w:tcPr>
            <w:tcW w:w="5" w:type="pct"/>
            <w:shd w:val="clear" w:color="auto" w:fill="auto"/>
            <w:vAlign w:val="bottom"/>
          </w:tcPr>
          <w:p w14:paraId="4B9A3EF3" w14:textId="77777777" w:rsidR="002A3970" w:rsidRDefault="002A3970">
            <w:pPr>
              <w:rPr>
                <w:rFonts w:ascii="宋体"/>
              </w:rPr>
            </w:pPr>
          </w:p>
        </w:tc>
        <w:tc>
          <w:tcPr>
            <w:tcW w:w="5" w:type="pct"/>
            <w:shd w:val="clear" w:color="auto" w:fill="auto"/>
            <w:vAlign w:val="bottom"/>
          </w:tcPr>
          <w:p w14:paraId="4B9A3EF4" w14:textId="77777777" w:rsidR="002A3970" w:rsidRDefault="002A3970">
            <w:pPr>
              <w:rPr>
                <w:rFonts w:ascii="宋体"/>
              </w:rPr>
            </w:pPr>
          </w:p>
        </w:tc>
        <w:tc>
          <w:tcPr>
            <w:tcW w:w="26" w:type="pct"/>
            <w:shd w:val="clear" w:color="auto" w:fill="auto"/>
            <w:vAlign w:val="bottom"/>
          </w:tcPr>
          <w:p w14:paraId="4B9A3EF5" w14:textId="77777777" w:rsidR="002A3970" w:rsidRDefault="002A3970">
            <w:pPr>
              <w:rPr>
                <w:rFonts w:ascii="宋体"/>
              </w:rPr>
            </w:pPr>
          </w:p>
        </w:tc>
        <w:tc>
          <w:tcPr>
            <w:tcW w:w="5" w:type="pct"/>
            <w:shd w:val="clear" w:color="auto" w:fill="auto"/>
            <w:vAlign w:val="bottom"/>
          </w:tcPr>
          <w:p w14:paraId="4B9A3EF6" w14:textId="77777777" w:rsidR="002A3970" w:rsidRDefault="002A3970">
            <w:pPr>
              <w:rPr>
                <w:rFonts w:ascii="宋体"/>
              </w:rPr>
            </w:pPr>
          </w:p>
        </w:tc>
        <w:tc>
          <w:tcPr>
            <w:tcW w:w="50" w:type="pct"/>
            <w:shd w:val="clear" w:color="auto" w:fill="auto"/>
            <w:vAlign w:val="bottom"/>
          </w:tcPr>
          <w:p w14:paraId="4B9A3EF7" w14:textId="77777777" w:rsidR="002A3970" w:rsidRDefault="002A3970">
            <w:pPr>
              <w:rPr>
                <w:rFonts w:ascii="宋体"/>
              </w:rPr>
            </w:pPr>
          </w:p>
        </w:tc>
        <w:tc>
          <w:tcPr>
            <w:tcW w:w="522" w:type="pct"/>
            <w:shd w:val="clear" w:color="auto" w:fill="auto"/>
            <w:vAlign w:val="bottom"/>
          </w:tcPr>
          <w:p w14:paraId="4B9A3EF8" w14:textId="77777777" w:rsidR="002A3970" w:rsidRDefault="002A3970">
            <w:pPr>
              <w:rPr>
                <w:rFonts w:ascii="宋体"/>
              </w:rPr>
            </w:pPr>
          </w:p>
        </w:tc>
        <w:tc>
          <w:tcPr>
            <w:tcW w:w="5" w:type="pct"/>
            <w:shd w:val="clear" w:color="auto" w:fill="auto"/>
            <w:vAlign w:val="bottom"/>
          </w:tcPr>
          <w:p w14:paraId="4B9A3EF9" w14:textId="77777777" w:rsidR="002A3970" w:rsidRDefault="002A3970">
            <w:pPr>
              <w:rPr>
                <w:rFonts w:ascii="宋体"/>
              </w:rPr>
            </w:pPr>
          </w:p>
        </w:tc>
        <w:tc>
          <w:tcPr>
            <w:tcW w:w="5" w:type="pct"/>
            <w:shd w:val="clear" w:color="auto" w:fill="auto"/>
            <w:vAlign w:val="bottom"/>
          </w:tcPr>
          <w:p w14:paraId="4B9A3EFA" w14:textId="77777777" w:rsidR="002A3970" w:rsidRDefault="002A3970">
            <w:pPr>
              <w:rPr>
                <w:rFonts w:ascii="宋体"/>
              </w:rPr>
            </w:pPr>
          </w:p>
        </w:tc>
        <w:tc>
          <w:tcPr>
            <w:tcW w:w="26" w:type="pct"/>
            <w:shd w:val="clear" w:color="auto" w:fill="auto"/>
            <w:vAlign w:val="bottom"/>
          </w:tcPr>
          <w:p w14:paraId="4B9A3EFB" w14:textId="77777777" w:rsidR="002A3970" w:rsidRDefault="002A3970">
            <w:pPr>
              <w:rPr>
                <w:rFonts w:ascii="宋体"/>
              </w:rPr>
            </w:pPr>
          </w:p>
        </w:tc>
        <w:tc>
          <w:tcPr>
            <w:tcW w:w="5" w:type="pct"/>
            <w:shd w:val="clear" w:color="auto" w:fill="auto"/>
            <w:vAlign w:val="bottom"/>
          </w:tcPr>
          <w:p w14:paraId="4B9A3EFC" w14:textId="77777777" w:rsidR="002A3970" w:rsidRDefault="002A3970">
            <w:pPr>
              <w:rPr>
                <w:rFonts w:ascii="宋体"/>
              </w:rPr>
            </w:pPr>
          </w:p>
        </w:tc>
        <w:tc>
          <w:tcPr>
            <w:tcW w:w="50" w:type="pct"/>
            <w:shd w:val="clear" w:color="auto" w:fill="auto"/>
            <w:vAlign w:val="bottom"/>
          </w:tcPr>
          <w:p w14:paraId="4B9A3EFD" w14:textId="77777777" w:rsidR="002A3970" w:rsidRDefault="002A3970">
            <w:pPr>
              <w:rPr>
                <w:rFonts w:ascii="宋体"/>
              </w:rPr>
            </w:pPr>
          </w:p>
        </w:tc>
        <w:tc>
          <w:tcPr>
            <w:tcW w:w="507" w:type="pct"/>
            <w:shd w:val="clear" w:color="auto" w:fill="auto"/>
            <w:vAlign w:val="bottom"/>
          </w:tcPr>
          <w:p w14:paraId="4B9A3EFE" w14:textId="77777777" w:rsidR="002A3970" w:rsidRDefault="002A3970">
            <w:pPr>
              <w:rPr>
                <w:rFonts w:ascii="宋体"/>
              </w:rPr>
            </w:pPr>
          </w:p>
        </w:tc>
        <w:tc>
          <w:tcPr>
            <w:tcW w:w="5" w:type="pct"/>
            <w:shd w:val="clear" w:color="auto" w:fill="auto"/>
            <w:vAlign w:val="bottom"/>
          </w:tcPr>
          <w:p w14:paraId="4B9A3EFF" w14:textId="77777777" w:rsidR="002A3970" w:rsidRDefault="002A3970">
            <w:pPr>
              <w:rPr>
                <w:rFonts w:ascii="宋体"/>
              </w:rPr>
            </w:pPr>
          </w:p>
        </w:tc>
        <w:tc>
          <w:tcPr>
            <w:tcW w:w="5" w:type="pct"/>
            <w:shd w:val="clear" w:color="auto" w:fill="auto"/>
            <w:vAlign w:val="bottom"/>
          </w:tcPr>
          <w:p w14:paraId="4B9A3F00" w14:textId="77777777" w:rsidR="002A3970" w:rsidRDefault="002A3970">
            <w:pPr>
              <w:rPr>
                <w:rFonts w:ascii="宋体"/>
              </w:rPr>
            </w:pPr>
          </w:p>
        </w:tc>
        <w:tc>
          <w:tcPr>
            <w:tcW w:w="26" w:type="pct"/>
            <w:shd w:val="clear" w:color="auto" w:fill="auto"/>
            <w:vAlign w:val="bottom"/>
          </w:tcPr>
          <w:p w14:paraId="4B9A3F01" w14:textId="77777777" w:rsidR="002A3970" w:rsidRDefault="002A3970">
            <w:pPr>
              <w:rPr>
                <w:rFonts w:ascii="宋体"/>
              </w:rPr>
            </w:pPr>
          </w:p>
        </w:tc>
        <w:tc>
          <w:tcPr>
            <w:tcW w:w="5" w:type="pct"/>
            <w:shd w:val="clear" w:color="auto" w:fill="auto"/>
            <w:vAlign w:val="bottom"/>
          </w:tcPr>
          <w:p w14:paraId="4B9A3F02" w14:textId="77777777" w:rsidR="002A3970" w:rsidRDefault="002A3970">
            <w:pPr>
              <w:rPr>
                <w:rFonts w:ascii="宋体"/>
              </w:rPr>
            </w:pPr>
          </w:p>
        </w:tc>
        <w:tc>
          <w:tcPr>
            <w:tcW w:w="50" w:type="pct"/>
            <w:shd w:val="clear" w:color="auto" w:fill="auto"/>
            <w:vAlign w:val="bottom"/>
          </w:tcPr>
          <w:p w14:paraId="4B9A3F03" w14:textId="77777777" w:rsidR="002A3970" w:rsidRDefault="002A3970">
            <w:pPr>
              <w:rPr>
                <w:rFonts w:ascii="宋体"/>
              </w:rPr>
            </w:pPr>
          </w:p>
        </w:tc>
        <w:tc>
          <w:tcPr>
            <w:tcW w:w="507" w:type="pct"/>
            <w:shd w:val="clear" w:color="auto" w:fill="auto"/>
            <w:vAlign w:val="bottom"/>
          </w:tcPr>
          <w:p w14:paraId="4B9A3F04" w14:textId="77777777" w:rsidR="002A3970" w:rsidRDefault="002A3970">
            <w:pPr>
              <w:rPr>
                <w:rFonts w:ascii="宋体"/>
              </w:rPr>
            </w:pPr>
          </w:p>
        </w:tc>
        <w:tc>
          <w:tcPr>
            <w:tcW w:w="5" w:type="pct"/>
            <w:shd w:val="clear" w:color="auto" w:fill="auto"/>
            <w:vAlign w:val="bottom"/>
          </w:tcPr>
          <w:p w14:paraId="4B9A3F05" w14:textId="77777777" w:rsidR="002A3970" w:rsidRDefault="002A3970">
            <w:pPr>
              <w:rPr>
                <w:rFonts w:ascii="宋体"/>
              </w:rPr>
            </w:pPr>
          </w:p>
        </w:tc>
        <w:tc>
          <w:tcPr>
            <w:tcW w:w="5" w:type="pct"/>
            <w:shd w:val="clear" w:color="auto" w:fill="auto"/>
            <w:vAlign w:val="bottom"/>
          </w:tcPr>
          <w:p w14:paraId="4B9A3F06" w14:textId="77777777" w:rsidR="002A3970" w:rsidRDefault="002A3970">
            <w:pPr>
              <w:rPr>
                <w:rFonts w:ascii="宋体"/>
              </w:rPr>
            </w:pPr>
          </w:p>
        </w:tc>
        <w:tc>
          <w:tcPr>
            <w:tcW w:w="26" w:type="pct"/>
            <w:shd w:val="clear" w:color="auto" w:fill="auto"/>
            <w:vAlign w:val="bottom"/>
          </w:tcPr>
          <w:p w14:paraId="4B9A3F07" w14:textId="77777777" w:rsidR="002A3970" w:rsidRDefault="002A3970">
            <w:pPr>
              <w:rPr>
                <w:rFonts w:ascii="宋体"/>
              </w:rPr>
            </w:pPr>
          </w:p>
        </w:tc>
        <w:tc>
          <w:tcPr>
            <w:tcW w:w="5" w:type="pct"/>
            <w:shd w:val="clear" w:color="auto" w:fill="auto"/>
            <w:vAlign w:val="bottom"/>
          </w:tcPr>
          <w:p w14:paraId="4B9A3F08" w14:textId="77777777" w:rsidR="002A3970" w:rsidRDefault="002A3970">
            <w:pPr>
              <w:rPr>
                <w:rFonts w:ascii="宋体"/>
              </w:rPr>
            </w:pPr>
          </w:p>
        </w:tc>
        <w:tc>
          <w:tcPr>
            <w:tcW w:w="50" w:type="pct"/>
            <w:shd w:val="clear" w:color="auto" w:fill="auto"/>
            <w:vAlign w:val="bottom"/>
          </w:tcPr>
          <w:p w14:paraId="4B9A3F09" w14:textId="77777777" w:rsidR="002A3970" w:rsidRDefault="002A3970">
            <w:pPr>
              <w:rPr>
                <w:rFonts w:ascii="宋体"/>
              </w:rPr>
            </w:pPr>
          </w:p>
        </w:tc>
        <w:tc>
          <w:tcPr>
            <w:tcW w:w="522" w:type="pct"/>
            <w:shd w:val="clear" w:color="auto" w:fill="auto"/>
            <w:vAlign w:val="bottom"/>
          </w:tcPr>
          <w:p w14:paraId="4B9A3F0A" w14:textId="77777777" w:rsidR="002A3970" w:rsidRDefault="002A3970">
            <w:pPr>
              <w:rPr>
                <w:rFonts w:ascii="宋体"/>
              </w:rPr>
            </w:pPr>
          </w:p>
        </w:tc>
        <w:tc>
          <w:tcPr>
            <w:tcW w:w="5" w:type="pct"/>
            <w:shd w:val="clear" w:color="auto" w:fill="auto"/>
            <w:vAlign w:val="bottom"/>
          </w:tcPr>
          <w:p w14:paraId="4B9A3F0B" w14:textId="77777777" w:rsidR="002A3970" w:rsidRDefault="002A3970">
            <w:pPr>
              <w:rPr>
                <w:rFonts w:ascii="宋体"/>
              </w:rPr>
            </w:pPr>
          </w:p>
        </w:tc>
        <w:tc>
          <w:tcPr>
            <w:tcW w:w="0" w:type="auto"/>
            <w:shd w:val="clear" w:color="auto" w:fill="auto"/>
            <w:vAlign w:val="bottom"/>
          </w:tcPr>
          <w:p w14:paraId="4B9A3F0C" w14:textId="77777777" w:rsidR="002A3970" w:rsidRDefault="002A3970">
            <w:pPr>
              <w:rPr>
                <w:rFonts w:ascii="宋体"/>
                <w:vanish/>
              </w:rPr>
            </w:pPr>
          </w:p>
        </w:tc>
        <w:tc>
          <w:tcPr>
            <w:tcW w:w="0" w:type="auto"/>
            <w:shd w:val="clear" w:color="auto" w:fill="auto"/>
            <w:vAlign w:val="bottom"/>
          </w:tcPr>
          <w:p w14:paraId="4B9A3F0D" w14:textId="77777777" w:rsidR="002A3970" w:rsidRDefault="002A3970">
            <w:pPr>
              <w:rPr>
                <w:rFonts w:ascii="宋体"/>
                <w:vanish/>
              </w:rPr>
            </w:pPr>
          </w:p>
        </w:tc>
        <w:tc>
          <w:tcPr>
            <w:tcW w:w="0" w:type="auto"/>
            <w:gridSpan w:val="3"/>
            <w:shd w:val="clear" w:color="auto" w:fill="auto"/>
            <w:vAlign w:val="bottom"/>
          </w:tcPr>
          <w:p w14:paraId="4B9A3F0E" w14:textId="77777777" w:rsidR="002A3970" w:rsidRDefault="002A3970">
            <w:pPr>
              <w:rPr>
                <w:rFonts w:ascii="宋体"/>
                <w:vanish/>
              </w:rPr>
            </w:pPr>
          </w:p>
        </w:tc>
        <w:tc>
          <w:tcPr>
            <w:tcW w:w="0" w:type="auto"/>
            <w:gridSpan w:val="3"/>
            <w:shd w:val="clear" w:color="auto" w:fill="auto"/>
            <w:vAlign w:val="bottom"/>
          </w:tcPr>
          <w:p w14:paraId="4B9A3F0F" w14:textId="77777777" w:rsidR="002A3970" w:rsidRDefault="002A3970">
            <w:pPr>
              <w:rPr>
                <w:rFonts w:ascii="宋体"/>
                <w:vanish/>
              </w:rPr>
            </w:pPr>
          </w:p>
        </w:tc>
      </w:tr>
      <w:tr w:rsidR="002A3970" w14:paraId="4B9A3F1E" w14:textId="77777777">
        <w:tc>
          <w:tcPr>
            <w:tcW w:w="0" w:type="auto"/>
            <w:gridSpan w:val="3"/>
            <w:shd w:val="clear" w:color="auto" w:fill="auto"/>
            <w:tcMar>
              <w:top w:w="40" w:type="dxa"/>
              <w:left w:w="20" w:type="dxa"/>
              <w:bottom w:w="40" w:type="dxa"/>
              <w:right w:w="20" w:type="dxa"/>
            </w:tcMar>
            <w:vAlign w:val="bottom"/>
          </w:tcPr>
          <w:p w14:paraId="4B9A3F11"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3F12"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F13"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3F14"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3F15"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4B9A3F16" w14:textId="77777777" w:rsidR="002A3970" w:rsidRDefault="002A3970">
            <w:pPr>
              <w:rPr>
                <w:rFonts w:ascii="宋体"/>
                <w:vanish/>
              </w:rPr>
            </w:pPr>
          </w:p>
        </w:tc>
        <w:tc>
          <w:tcPr>
            <w:tcW w:w="0" w:type="auto"/>
            <w:shd w:val="clear" w:color="auto" w:fill="auto"/>
            <w:vAlign w:val="bottom"/>
          </w:tcPr>
          <w:p w14:paraId="4B9A3F17" w14:textId="77777777" w:rsidR="002A3970" w:rsidRDefault="002A3970">
            <w:pPr>
              <w:rPr>
                <w:rFonts w:ascii="宋体"/>
                <w:vanish/>
              </w:rPr>
            </w:pPr>
          </w:p>
        </w:tc>
        <w:tc>
          <w:tcPr>
            <w:tcW w:w="0" w:type="auto"/>
            <w:shd w:val="clear" w:color="auto" w:fill="auto"/>
            <w:vAlign w:val="bottom"/>
          </w:tcPr>
          <w:p w14:paraId="4B9A3F18" w14:textId="77777777" w:rsidR="002A3970" w:rsidRDefault="002A3970">
            <w:pPr>
              <w:rPr>
                <w:rFonts w:ascii="宋体"/>
              </w:rPr>
            </w:pPr>
          </w:p>
        </w:tc>
        <w:tc>
          <w:tcPr>
            <w:tcW w:w="0" w:type="auto"/>
            <w:shd w:val="clear" w:color="auto" w:fill="auto"/>
            <w:vAlign w:val="bottom"/>
          </w:tcPr>
          <w:p w14:paraId="4B9A3F19" w14:textId="77777777" w:rsidR="002A3970" w:rsidRDefault="002A3970">
            <w:pPr>
              <w:rPr>
                <w:rFonts w:ascii="宋体"/>
              </w:rPr>
            </w:pPr>
          </w:p>
        </w:tc>
        <w:tc>
          <w:tcPr>
            <w:tcW w:w="0" w:type="auto"/>
            <w:shd w:val="clear" w:color="auto" w:fill="auto"/>
            <w:vAlign w:val="bottom"/>
          </w:tcPr>
          <w:p w14:paraId="4B9A3F1A" w14:textId="77777777" w:rsidR="002A3970" w:rsidRDefault="002A3970">
            <w:pPr>
              <w:rPr>
                <w:rFonts w:ascii="宋体"/>
              </w:rPr>
            </w:pPr>
          </w:p>
        </w:tc>
        <w:tc>
          <w:tcPr>
            <w:tcW w:w="0" w:type="auto"/>
            <w:shd w:val="clear" w:color="auto" w:fill="auto"/>
            <w:vAlign w:val="bottom"/>
          </w:tcPr>
          <w:p w14:paraId="4B9A3F1B" w14:textId="77777777" w:rsidR="002A3970" w:rsidRDefault="002A3970">
            <w:pPr>
              <w:rPr>
                <w:rFonts w:ascii="宋体"/>
              </w:rPr>
            </w:pPr>
          </w:p>
        </w:tc>
        <w:tc>
          <w:tcPr>
            <w:tcW w:w="0" w:type="auto"/>
            <w:shd w:val="clear" w:color="auto" w:fill="auto"/>
            <w:vAlign w:val="bottom"/>
          </w:tcPr>
          <w:p w14:paraId="4B9A3F1C" w14:textId="77777777" w:rsidR="002A3970" w:rsidRDefault="002A3970">
            <w:pPr>
              <w:rPr>
                <w:rFonts w:ascii="宋体"/>
              </w:rPr>
            </w:pPr>
          </w:p>
        </w:tc>
        <w:tc>
          <w:tcPr>
            <w:tcW w:w="0" w:type="auto"/>
            <w:shd w:val="clear" w:color="auto" w:fill="auto"/>
            <w:vAlign w:val="bottom"/>
          </w:tcPr>
          <w:p w14:paraId="4B9A3F1D" w14:textId="77777777" w:rsidR="002A3970" w:rsidRDefault="002A3970">
            <w:pPr>
              <w:rPr>
                <w:rFonts w:ascii="宋体"/>
              </w:rPr>
            </w:pPr>
          </w:p>
        </w:tc>
      </w:tr>
      <w:tr w:rsidR="002A3970" w14:paraId="4B9A3F2C" w14:textId="77777777">
        <w:tc>
          <w:tcPr>
            <w:tcW w:w="0" w:type="auto"/>
            <w:gridSpan w:val="3"/>
            <w:shd w:val="clear" w:color="auto" w:fill="auto"/>
            <w:tcMar>
              <w:top w:w="40" w:type="dxa"/>
              <w:left w:w="20" w:type="dxa"/>
              <w:bottom w:w="40" w:type="dxa"/>
              <w:right w:w="20" w:type="dxa"/>
            </w:tcMar>
            <w:vAlign w:val="bottom"/>
          </w:tcPr>
          <w:p w14:paraId="4B9A3F1F" w14:textId="77777777" w:rsidR="002A3970" w:rsidRDefault="00C35E63">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3F2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F21"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3F22"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F23"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3F24"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F25"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3F2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3F27"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4B9A3F28" w14:textId="77777777" w:rsidR="002A3970" w:rsidRDefault="002A3970">
            <w:pPr>
              <w:rPr>
                <w:rFonts w:ascii="宋体"/>
                <w:vanish/>
              </w:rPr>
            </w:pPr>
          </w:p>
        </w:tc>
        <w:tc>
          <w:tcPr>
            <w:tcW w:w="0" w:type="auto"/>
            <w:shd w:val="clear" w:color="auto" w:fill="auto"/>
            <w:vAlign w:val="bottom"/>
          </w:tcPr>
          <w:p w14:paraId="4B9A3F29" w14:textId="77777777" w:rsidR="002A3970" w:rsidRDefault="002A3970">
            <w:pPr>
              <w:rPr>
                <w:rFonts w:ascii="宋体"/>
                <w:vanish/>
              </w:rPr>
            </w:pPr>
          </w:p>
        </w:tc>
        <w:tc>
          <w:tcPr>
            <w:tcW w:w="0" w:type="auto"/>
            <w:gridSpan w:val="3"/>
            <w:shd w:val="clear" w:color="auto" w:fill="auto"/>
            <w:vAlign w:val="bottom"/>
          </w:tcPr>
          <w:p w14:paraId="4B9A3F2A" w14:textId="77777777" w:rsidR="002A3970" w:rsidRDefault="002A3970">
            <w:pPr>
              <w:rPr>
                <w:rFonts w:ascii="宋体"/>
                <w:vanish/>
              </w:rPr>
            </w:pPr>
          </w:p>
        </w:tc>
        <w:tc>
          <w:tcPr>
            <w:tcW w:w="0" w:type="auto"/>
            <w:gridSpan w:val="3"/>
            <w:shd w:val="clear" w:color="auto" w:fill="auto"/>
            <w:vAlign w:val="bottom"/>
          </w:tcPr>
          <w:p w14:paraId="4B9A3F2B" w14:textId="77777777" w:rsidR="002A3970" w:rsidRDefault="002A3970">
            <w:pPr>
              <w:rPr>
                <w:rFonts w:ascii="宋体"/>
                <w:vanish/>
              </w:rPr>
            </w:pPr>
          </w:p>
        </w:tc>
      </w:tr>
      <w:tr w:rsidR="002A3970" w14:paraId="4B9A3F3A" w14:textId="77777777">
        <w:tc>
          <w:tcPr>
            <w:tcW w:w="0" w:type="auto"/>
            <w:gridSpan w:val="3"/>
            <w:shd w:val="clear" w:color="auto" w:fill="auto"/>
            <w:tcMar>
              <w:top w:w="40" w:type="dxa"/>
              <w:left w:w="20" w:type="dxa"/>
              <w:bottom w:w="40" w:type="dxa"/>
              <w:right w:w="20" w:type="dxa"/>
            </w:tcMar>
            <w:vAlign w:val="center"/>
          </w:tcPr>
          <w:p w14:paraId="4B9A3F2D" w14:textId="77777777" w:rsidR="002A3970" w:rsidRDefault="00C35E63">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vAlign w:val="bottom"/>
          </w:tcPr>
          <w:p w14:paraId="4B9A3F2E"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F2F"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F30"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F3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F32"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F3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3F34"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3F35" w14:textId="77777777" w:rsidR="002A3970" w:rsidRDefault="002A3970">
            <w:pPr>
              <w:rPr>
                <w:rFonts w:ascii="宋体"/>
              </w:rPr>
            </w:pPr>
          </w:p>
        </w:tc>
        <w:tc>
          <w:tcPr>
            <w:tcW w:w="0" w:type="auto"/>
            <w:shd w:val="clear" w:color="auto" w:fill="auto"/>
            <w:vAlign w:val="bottom"/>
          </w:tcPr>
          <w:p w14:paraId="4B9A3F36" w14:textId="77777777" w:rsidR="002A3970" w:rsidRDefault="002A3970">
            <w:pPr>
              <w:rPr>
                <w:rFonts w:ascii="宋体"/>
                <w:vanish/>
              </w:rPr>
            </w:pPr>
          </w:p>
        </w:tc>
        <w:tc>
          <w:tcPr>
            <w:tcW w:w="0" w:type="auto"/>
            <w:shd w:val="clear" w:color="auto" w:fill="auto"/>
            <w:vAlign w:val="bottom"/>
          </w:tcPr>
          <w:p w14:paraId="4B9A3F37" w14:textId="77777777" w:rsidR="002A3970" w:rsidRDefault="002A3970">
            <w:pPr>
              <w:rPr>
                <w:rFonts w:ascii="宋体"/>
                <w:vanish/>
              </w:rPr>
            </w:pPr>
          </w:p>
        </w:tc>
        <w:tc>
          <w:tcPr>
            <w:tcW w:w="0" w:type="auto"/>
            <w:gridSpan w:val="3"/>
            <w:shd w:val="clear" w:color="auto" w:fill="auto"/>
            <w:vAlign w:val="bottom"/>
          </w:tcPr>
          <w:p w14:paraId="4B9A3F38" w14:textId="77777777" w:rsidR="002A3970" w:rsidRDefault="002A3970">
            <w:pPr>
              <w:rPr>
                <w:rFonts w:ascii="宋体"/>
                <w:vanish/>
              </w:rPr>
            </w:pPr>
          </w:p>
        </w:tc>
        <w:tc>
          <w:tcPr>
            <w:tcW w:w="0" w:type="auto"/>
            <w:gridSpan w:val="3"/>
            <w:shd w:val="clear" w:color="auto" w:fill="auto"/>
            <w:vAlign w:val="bottom"/>
          </w:tcPr>
          <w:p w14:paraId="4B9A3F39" w14:textId="77777777" w:rsidR="002A3970" w:rsidRDefault="002A3970">
            <w:pPr>
              <w:rPr>
                <w:rFonts w:ascii="宋体"/>
                <w:vanish/>
              </w:rPr>
            </w:pPr>
          </w:p>
        </w:tc>
      </w:tr>
      <w:tr w:rsidR="002A3970" w14:paraId="4B9A3F50" w14:textId="77777777">
        <w:tc>
          <w:tcPr>
            <w:tcW w:w="0" w:type="auto"/>
            <w:gridSpan w:val="3"/>
            <w:shd w:val="clear" w:color="auto" w:fill="CCEEFF"/>
            <w:tcMar>
              <w:top w:w="40" w:type="dxa"/>
              <w:left w:w="380" w:type="dxa"/>
              <w:bottom w:w="40" w:type="dxa"/>
              <w:right w:w="20" w:type="dxa"/>
            </w:tcMar>
            <w:vAlign w:val="center"/>
          </w:tcPr>
          <w:p w14:paraId="4B9A3F3B" w14:textId="77777777" w:rsidR="002A3970" w:rsidRDefault="00C35E63">
            <w:pPr>
              <w:textAlignment w:val="center"/>
            </w:pPr>
            <w:r>
              <w:rPr>
                <w:rFonts w:ascii="Times New Roman" w:eastAsia="宋体" w:hAnsi="Times New Roman"/>
                <w:color w:val="000000"/>
                <w:sz w:val="16"/>
                <w:szCs w:val="16"/>
              </w:rPr>
              <w:t xml:space="preserve">Walmart </w:t>
            </w:r>
            <w:r>
              <w:rPr>
                <w:rFonts w:ascii="Times New Roman" w:eastAsia="宋体" w:hAnsi="Times New Roman"/>
                <w:color w:val="000000"/>
                <w:sz w:val="16"/>
                <w:szCs w:val="16"/>
              </w:rPr>
              <w:t>U.S.</w:t>
            </w:r>
          </w:p>
        </w:tc>
        <w:tc>
          <w:tcPr>
            <w:tcW w:w="0" w:type="auto"/>
            <w:gridSpan w:val="3"/>
            <w:shd w:val="clear" w:color="auto" w:fill="CCEEFF"/>
            <w:tcMar>
              <w:top w:w="0" w:type="dxa"/>
              <w:left w:w="20" w:type="dxa"/>
              <w:bottom w:w="0" w:type="dxa"/>
              <w:right w:w="20" w:type="dxa"/>
            </w:tcMar>
            <w:vAlign w:val="bottom"/>
          </w:tcPr>
          <w:p w14:paraId="4B9A3F3C"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F3D"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F3E" w14:textId="77777777" w:rsidR="002A3970" w:rsidRDefault="00C35E63">
            <w:pPr>
              <w:jc w:val="right"/>
              <w:textAlignment w:val="center"/>
            </w:pPr>
            <w:r>
              <w:rPr>
                <w:rFonts w:ascii="Times New Roman" w:eastAsia="宋体" w:hAnsi="Times New Roman"/>
                <w:color w:val="000000"/>
                <w:sz w:val="16"/>
                <w:szCs w:val="16"/>
              </w:rPr>
              <w:t>5,093 </w:t>
            </w:r>
          </w:p>
        </w:tc>
        <w:tc>
          <w:tcPr>
            <w:tcW w:w="0" w:type="auto"/>
            <w:shd w:val="clear" w:color="auto" w:fill="CCEEFF"/>
            <w:tcMar>
              <w:top w:w="40" w:type="dxa"/>
              <w:left w:w="0" w:type="dxa"/>
              <w:bottom w:w="40" w:type="dxa"/>
              <w:right w:w="20" w:type="dxa"/>
            </w:tcMar>
            <w:vAlign w:val="center"/>
          </w:tcPr>
          <w:p w14:paraId="4B9A3F3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40"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F41"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F42" w14:textId="77777777" w:rsidR="002A3970" w:rsidRDefault="00C35E63">
            <w:pPr>
              <w:jc w:val="right"/>
              <w:textAlignment w:val="center"/>
            </w:pPr>
            <w:r>
              <w:rPr>
                <w:rFonts w:ascii="Times New Roman" w:eastAsia="宋体" w:hAnsi="Times New Roman"/>
                <w:color w:val="000000"/>
                <w:sz w:val="16"/>
                <w:szCs w:val="16"/>
              </w:rPr>
              <w:t>4,860 </w:t>
            </w:r>
          </w:p>
        </w:tc>
        <w:tc>
          <w:tcPr>
            <w:tcW w:w="0" w:type="auto"/>
            <w:shd w:val="clear" w:color="auto" w:fill="CCEEFF"/>
            <w:tcMar>
              <w:top w:w="40" w:type="dxa"/>
              <w:left w:w="0" w:type="dxa"/>
              <w:bottom w:w="40" w:type="dxa"/>
              <w:right w:w="20" w:type="dxa"/>
            </w:tcMar>
            <w:vAlign w:val="center"/>
          </w:tcPr>
          <w:p w14:paraId="4B9A3F4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44"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F45"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F46" w14:textId="77777777" w:rsidR="002A3970" w:rsidRDefault="00C35E63">
            <w:pPr>
              <w:jc w:val="right"/>
              <w:textAlignment w:val="center"/>
            </w:pPr>
            <w:r>
              <w:rPr>
                <w:rFonts w:ascii="Times New Roman" w:eastAsia="宋体" w:hAnsi="Times New Roman"/>
                <w:color w:val="000000"/>
                <w:sz w:val="16"/>
                <w:szCs w:val="16"/>
              </w:rPr>
              <w:t>15,238 </w:t>
            </w:r>
          </w:p>
        </w:tc>
        <w:tc>
          <w:tcPr>
            <w:tcW w:w="0" w:type="auto"/>
            <w:shd w:val="clear" w:color="auto" w:fill="CCEEFF"/>
            <w:tcMar>
              <w:top w:w="40" w:type="dxa"/>
              <w:left w:w="0" w:type="dxa"/>
              <w:bottom w:w="40" w:type="dxa"/>
              <w:right w:w="20" w:type="dxa"/>
            </w:tcMar>
            <w:vAlign w:val="center"/>
          </w:tcPr>
          <w:p w14:paraId="4B9A3F4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48"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3F49"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3F4A" w14:textId="77777777" w:rsidR="002A3970" w:rsidRDefault="00C35E63">
            <w:pPr>
              <w:jc w:val="right"/>
              <w:textAlignment w:val="center"/>
            </w:pPr>
            <w:r>
              <w:rPr>
                <w:rFonts w:ascii="Times New Roman" w:eastAsia="宋体" w:hAnsi="Times New Roman"/>
                <w:color w:val="000000"/>
                <w:sz w:val="16"/>
                <w:szCs w:val="16"/>
              </w:rPr>
              <w:t>16,404 </w:t>
            </w:r>
          </w:p>
        </w:tc>
        <w:tc>
          <w:tcPr>
            <w:tcW w:w="0" w:type="auto"/>
            <w:shd w:val="clear" w:color="auto" w:fill="CCEEFF"/>
            <w:tcMar>
              <w:top w:w="40" w:type="dxa"/>
              <w:left w:w="0" w:type="dxa"/>
              <w:bottom w:w="40" w:type="dxa"/>
              <w:right w:w="20" w:type="dxa"/>
            </w:tcMar>
            <w:vAlign w:val="center"/>
          </w:tcPr>
          <w:p w14:paraId="4B9A3F4B" w14:textId="77777777" w:rsidR="002A3970" w:rsidRDefault="002A3970">
            <w:pPr>
              <w:jc w:val="right"/>
              <w:rPr>
                <w:rFonts w:ascii="宋体"/>
              </w:rPr>
            </w:pPr>
          </w:p>
        </w:tc>
        <w:tc>
          <w:tcPr>
            <w:tcW w:w="0" w:type="auto"/>
            <w:shd w:val="clear" w:color="auto" w:fill="auto"/>
            <w:vAlign w:val="bottom"/>
          </w:tcPr>
          <w:p w14:paraId="4B9A3F4C" w14:textId="77777777" w:rsidR="002A3970" w:rsidRDefault="002A3970">
            <w:pPr>
              <w:rPr>
                <w:rFonts w:ascii="宋体"/>
                <w:vanish/>
              </w:rPr>
            </w:pPr>
          </w:p>
        </w:tc>
        <w:tc>
          <w:tcPr>
            <w:tcW w:w="0" w:type="auto"/>
            <w:shd w:val="clear" w:color="auto" w:fill="auto"/>
            <w:vAlign w:val="bottom"/>
          </w:tcPr>
          <w:p w14:paraId="4B9A3F4D" w14:textId="77777777" w:rsidR="002A3970" w:rsidRDefault="002A3970">
            <w:pPr>
              <w:rPr>
                <w:rFonts w:ascii="宋体"/>
                <w:vanish/>
              </w:rPr>
            </w:pPr>
          </w:p>
        </w:tc>
        <w:tc>
          <w:tcPr>
            <w:tcW w:w="0" w:type="auto"/>
            <w:gridSpan w:val="3"/>
            <w:shd w:val="clear" w:color="auto" w:fill="auto"/>
            <w:vAlign w:val="bottom"/>
          </w:tcPr>
          <w:p w14:paraId="4B9A3F4E" w14:textId="77777777" w:rsidR="002A3970" w:rsidRDefault="002A3970">
            <w:pPr>
              <w:rPr>
                <w:rFonts w:ascii="宋体"/>
                <w:vanish/>
              </w:rPr>
            </w:pPr>
          </w:p>
        </w:tc>
        <w:tc>
          <w:tcPr>
            <w:tcW w:w="0" w:type="auto"/>
            <w:gridSpan w:val="3"/>
            <w:shd w:val="clear" w:color="auto" w:fill="auto"/>
            <w:vAlign w:val="bottom"/>
          </w:tcPr>
          <w:p w14:paraId="4B9A3F4F" w14:textId="77777777" w:rsidR="002A3970" w:rsidRDefault="002A3970">
            <w:pPr>
              <w:rPr>
                <w:rFonts w:ascii="宋体"/>
                <w:vanish/>
              </w:rPr>
            </w:pPr>
          </w:p>
        </w:tc>
      </w:tr>
      <w:tr w:rsidR="002A3970" w14:paraId="4B9A3F62" w14:textId="77777777">
        <w:tc>
          <w:tcPr>
            <w:tcW w:w="0" w:type="auto"/>
            <w:gridSpan w:val="3"/>
            <w:shd w:val="clear" w:color="auto" w:fill="FFFFFF"/>
            <w:tcMar>
              <w:top w:w="40" w:type="dxa"/>
              <w:left w:w="380" w:type="dxa"/>
              <w:bottom w:w="40" w:type="dxa"/>
              <w:right w:w="20" w:type="dxa"/>
            </w:tcMar>
            <w:vAlign w:val="center"/>
          </w:tcPr>
          <w:p w14:paraId="4B9A3F51" w14:textId="77777777" w:rsidR="002A3970" w:rsidRDefault="00C35E63">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4B9A3F5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53" w14:textId="77777777" w:rsidR="002A3970" w:rsidRDefault="00C35E63">
            <w:pPr>
              <w:jc w:val="right"/>
              <w:textAlignment w:val="center"/>
            </w:pPr>
            <w:r>
              <w:rPr>
                <w:rFonts w:ascii="Times New Roman" w:eastAsia="宋体" w:hAnsi="Times New Roman"/>
                <w:color w:val="000000"/>
                <w:sz w:val="16"/>
                <w:szCs w:val="16"/>
              </w:rPr>
              <w:t>861 </w:t>
            </w:r>
          </w:p>
        </w:tc>
        <w:tc>
          <w:tcPr>
            <w:tcW w:w="0" w:type="auto"/>
            <w:shd w:val="clear" w:color="auto" w:fill="FFFFFF"/>
            <w:tcMar>
              <w:top w:w="40" w:type="dxa"/>
              <w:left w:w="0" w:type="dxa"/>
              <w:bottom w:w="40" w:type="dxa"/>
              <w:right w:w="20" w:type="dxa"/>
            </w:tcMar>
            <w:vAlign w:val="center"/>
          </w:tcPr>
          <w:p w14:paraId="4B9A3F5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5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56" w14:textId="77777777" w:rsidR="002A3970" w:rsidRDefault="00C35E63">
            <w:pPr>
              <w:jc w:val="right"/>
              <w:textAlignment w:val="center"/>
            </w:pPr>
            <w:r>
              <w:rPr>
                <w:rFonts w:ascii="Times New Roman" w:eastAsia="宋体" w:hAnsi="Times New Roman"/>
                <w:color w:val="000000"/>
                <w:sz w:val="16"/>
                <w:szCs w:val="16"/>
              </w:rPr>
              <w:t>871 </w:t>
            </w:r>
          </w:p>
        </w:tc>
        <w:tc>
          <w:tcPr>
            <w:tcW w:w="0" w:type="auto"/>
            <w:shd w:val="clear" w:color="auto" w:fill="FFFFFF"/>
            <w:tcMar>
              <w:top w:w="40" w:type="dxa"/>
              <w:left w:w="0" w:type="dxa"/>
              <w:bottom w:w="40" w:type="dxa"/>
              <w:right w:w="20" w:type="dxa"/>
            </w:tcMar>
            <w:vAlign w:val="center"/>
          </w:tcPr>
          <w:p w14:paraId="4B9A3F5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5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59" w14:textId="77777777" w:rsidR="002A3970" w:rsidRDefault="00C35E63">
            <w:pPr>
              <w:jc w:val="right"/>
              <w:textAlignment w:val="center"/>
            </w:pPr>
            <w:r>
              <w:rPr>
                <w:rFonts w:ascii="Times New Roman" w:eastAsia="宋体" w:hAnsi="Times New Roman"/>
                <w:color w:val="000000"/>
                <w:sz w:val="16"/>
                <w:szCs w:val="16"/>
              </w:rPr>
              <w:t>2,676 </w:t>
            </w:r>
          </w:p>
        </w:tc>
        <w:tc>
          <w:tcPr>
            <w:tcW w:w="0" w:type="auto"/>
            <w:shd w:val="clear" w:color="auto" w:fill="FFFFFF"/>
            <w:tcMar>
              <w:top w:w="40" w:type="dxa"/>
              <w:left w:w="0" w:type="dxa"/>
              <w:bottom w:w="40" w:type="dxa"/>
              <w:right w:w="20" w:type="dxa"/>
            </w:tcMar>
            <w:vAlign w:val="center"/>
          </w:tcPr>
          <w:p w14:paraId="4B9A3F5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5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5C" w14:textId="77777777" w:rsidR="002A3970" w:rsidRDefault="00C35E63">
            <w:pPr>
              <w:jc w:val="right"/>
              <w:textAlignment w:val="center"/>
            </w:pPr>
            <w:r>
              <w:rPr>
                <w:rFonts w:ascii="Times New Roman" w:eastAsia="宋体" w:hAnsi="Times New Roman"/>
                <w:color w:val="000000"/>
                <w:sz w:val="16"/>
                <w:szCs w:val="16"/>
              </w:rPr>
              <w:t>2,926 </w:t>
            </w:r>
          </w:p>
        </w:tc>
        <w:tc>
          <w:tcPr>
            <w:tcW w:w="0" w:type="auto"/>
            <w:shd w:val="clear" w:color="auto" w:fill="FFFFFF"/>
            <w:tcMar>
              <w:top w:w="40" w:type="dxa"/>
              <w:left w:w="0" w:type="dxa"/>
              <w:bottom w:w="40" w:type="dxa"/>
              <w:right w:w="20" w:type="dxa"/>
            </w:tcMar>
            <w:vAlign w:val="center"/>
          </w:tcPr>
          <w:p w14:paraId="4B9A3F5D" w14:textId="77777777" w:rsidR="002A3970" w:rsidRDefault="002A3970">
            <w:pPr>
              <w:jc w:val="right"/>
              <w:rPr>
                <w:rFonts w:ascii="宋体"/>
              </w:rPr>
            </w:pPr>
          </w:p>
        </w:tc>
        <w:tc>
          <w:tcPr>
            <w:tcW w:w="0" w:type="auto"/>
            <w:shd w:val="clear" w:color="auto" w:fill="auto"/>
            <w:vAlign w:val="bottom"/>
          </w:tcPr>
          <w:p w14:paraId="4B9A3F5E" w14:textId="77777777" w:rsidR="002A3970" w:rsidRDefault="002A3970">
            <w:pPr>
              <w:rPr>
                <w:rFonts w:ascii="宋体"/>
                <w:vanish/>
              </w:rPr>
            </w:pPr>
          </w:p>
        </w:tc>
        <w:tc>
          <w:tcPr>
            <w:tcW w:w="0" w:type="auto"/>
            <w:shd w:val="clear" w:color="auto" w:fill="auto"/>
            <w:vAlign w:val="bottom"/>
          </w:tcPr>
          <w:p w14:paraId="4B9A3F5F" w14:textId="77777777" w:rsidR="002A3970" w:rsidRDefault="002A3970">
            <w:pPr>
              <w:rPr>
                <w:rFonts w:ascii="宋体"/>
                <w:vanish/>
              </w:rPr>
            </w:pPr>
          </w:p>
        </w:tc>
        <w:tc>
          <w:tcPr>
            <w:tcW w:w="0" w:type="auto"/>
            <w:gridSpan w:val="3"/>
            <w:shd w:val="clear" w:color="auto" w:fill="auto"/>
            <w:vAlign w:val="bottom"/>
          </w:tcPr>
          <w:p w14:paraId="4B9A3F60" w14:textId="77777777" w:rsidR="002A3970" w:rsidRDefault="002A3970">
            <w:pPr>
              <w:rPr>
                <w:rFonts w:ascii="宋体"/>
                <w:vanish/>
              </w:rPr>
            </w:pPr>
          </w:p>
        </w:tc>
        <w:tc>
          <w:tcPr>
            <w:tcW w:w="0" w:type="auto"/>
            <w:gridSpan w:val="3"/>
            <w:shd w:val="clear" w:color="auto" w:fill="auto"/>
            <w:vAlign w:val="bottom"/>
          </w:tcPr>
          <w:p w14:paraId="4B9A3F61" w14:textId="77777777" w:rsidR="002A3970" w:rsidRDefault="002A3970">
            <w:pPr>
              <w:rPr>
                <w:rFonts w:ascii="宋体"/>
                <w:vanish/>
              </w:rPr>
            </w:pPr>
          </w:p>
        </w:tc>
      </w:tr>
      <w:tr w:rsidR="002A3970" w14:paraId="4B9A3F74" w14:textId="77777777">
        <w:tc>
          <w:tcPr>
            <w:tcW w:w="0" w:type="auto"/>
            <w:gridSpan w:val="3"/>
            <w:shd w:val="clear" w:color="auto" w:fill="CCEEFF"/>
            <w:tcMar>
              <w:top w:w="40" w:type="dxa"/>
              <w:left w:w="380" w:type="dxa"/>
              <w:bottom w:w="40" w:type="dxa"/>
              <w:right w:w="20" w:type="dxa"/>
            </w:tcMar>
            <w:vAlign w:val="center"/>
          </w:tcPr>
          <w:p w14:paraId="4B9A3F63" w14:textId="77777777" w:rsidR="002A3970" w:rsidRDefault="00C35E63">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4B9A3F6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65" w14:textId="77777777" w:rsidR="002A3970" w:rsidRDefault="00C35E63">
            <w:pPr>
              <w:jc w:val="right"/>
              <w:textAlignment w:val="center"/>
            </w:pPr>
            <w:r>
              <w:rPr>
                <w:rFonts w:ascii="Times New Roman" w:eastAsia="宋体" w:hAnsi="Times New Roman"/>
                <w:color w:val="000000"/>
                <w:sz w:val="16"/>
                <w:szCs w:val="16"/>
              </w:rPr>
              <w:t>562 </w:t>
            </w:r>
          </w:p>
        </w:tc>
        <w:tc>
          <w:tcPr>
            <w:tcW w:w="0" w:type="auto"/>
            <w:shd w:val="clear" w:color="auto" w:fill="CCEEFF"/>
            <w:tcMar>
              <w:top w:w="40" w:type="dxa"/>
              <w:left w:w="0" w:type="dxa"/>
              <w:bottom w:w="40" w:type="dxa"/>
              <w:right w:w="20" w:type="dxa"/>
            </w:tcMar>
            <w:vAlign w:val="center"/>
          </w:tcPr>
          <w:p w14:paraId="4B9A3F6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6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68" w14:textId="77777777" w:rsidR="002A3970" w:rsidRDefault="00C35E63">
            <w:pPr>
              <w:jc w:val="right"/>
              <w:textAlignment w:val="center"/>
            </w:pPr>
            <w:r>
              <w:rPr>
                <w:rFonts w:ascii="Times New Roman" w:eastAsia="宋体" w:hAnsi="Times New Roman"/>
                <w:color w:val="000000"/>
                <w:sz w:val="16"/>
                <w:szCs w:val="16"/>
              </w:rPr>
              <w:t>475 </w:t>
            </w:r>
          </w:p>
        </w:tc>
        <w:tc>
          <w:tcPr>
            <w:tcW w:w="0" w:type="auto"/>
            <w:shd w:val="clear" w:color="auto" w:fill="CCEEFF"/>
            <w:tcMar>
              <w:top w:w="40" w:type="dxa"/>
              <w:left w:w="0" w:type="dxa"/>
              <w:bottom w:w="40" w:type="dxa"/>
              <w:right w:w="20" w:type="dxa"/>
            </w:tcMar>
            <w:vAlign w:val="center"/>
          </w:tcPr>
          <w:p w14:paraId="4B9A3F6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6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6B" w14:textId="77777777" w:rsidR="002A3970" w:rsidRDefault="00C35E63">
            <w:pPr>
              <w:jc w:val="right"/>
              <w:textAlignment w:val="center"/>
            </w:pPr>
            <w:r>
              <w:rPr>
                <w:rFonts w:ascii="Times New Roman" w:eastAsia="宋体" w:hAnsi="Times New Roman"/>
                <w:color w:val="000000"/>
                <w:sz w:val="16"/>
                <w:szCs w:val="16"/>
              </w:rPr>
              <w:t>1,449 </w:t>
            </w:r>
          </w:p>
        </w:tc>
        <w:tc>
          <w:tcPr>
            <w:tcW w:w="0" w:type="auto"/>
            <w:shd w:val="clear" w:color="auto" w:fill="CCEEFF"/>
            <w:tcMar>
              <w:top w:w="40" w:type="dxa"/>
              <w:left w:w="0" w:type="dxa"/>
              <w:bottom w:w="40" w:type="dxa"/>
              <w:right w:w="20" w:type="dxa"/>
            </w:tcMar>
            <w:vAlign w:val="center"/>
          </w:tcPr>
          <w:p w14:paraId="4B9A3F6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6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6E" w14:textId="77777777" w:rsidR="002A3970" w:rsidRDefault="00C35E63">
            <w:pPr>
              <w:jc w:val="right"/>
              <w:textAlignment w:val="center"/>
            </w:pPr>
            <w:r>
              <w:rPr>
                <w:rFonts w:ascii="Times New Roman" w:eastAsia="宋体" w:hAnsi="Times New Roman"/>
                <w:color w:val="000000"/>
                <w:sz w:val="16"/>
                <w:szCs w:val="16"/>
              </w:rPr>
              <w:t>1,710 </w:t>
            </w:r>
          </w:p>
        </w:tc>
        <w:tc>
          <w:tcPr>
            <w:tcW w:w="0" w:type="auto"/>
            <w:shd w:val="clear" w:color="auto" w:fill="CCEEFF"/>
            <w:tcMar>
              <w:top w:w="40" w:type="dxa"/>
              <w:left w:w="0" w:type="dxa"/>
              <w:bottom w:w="40" w:type="dxa"/>
              <w:right w:w="20" w:type="dxa"/>
            </w:tcMar>
            <w:vAlign w:val="center"/>
          </w:tcPr>
          <w:p w14:paraId="4B9A3F6F" w14:textId="77777777" w:rsidR="002A3970" w:rsidRDefault="002A3970">
            <w:pPr>
              <w:jc w:val="right"/>
              <w:rPr>
                <w:rFonts w:ascii="宋体"/>
              </w:rPr>
            </w:pPr>
          </w:p>
        </w:tc>
        <w:tc>
          <w:tcPr>
            <w:tcW w:w="0" w:type="auto"/>
            <w:shd w:val="clear" w:color="auto" w:fill="auto"/>
            <w:vAlign w:val="bottom"/>
          </w:tcPr>
          <w:p w14:paraId="4B9A3F70" w14:textId="77777777" w:rsidR="002A3970" w:rsidRDefault="002A3970">
            <w:pPr>
              <w:rPr>
                <w:rFonts w:ascii="宋体"/>
                <w:vanish/>
              </w:rPr>
            </w:pPr>
          </w:p>
        </w:tc>
        <w:tc>
          <w:tcPr>
            <w:tcW w:w="0" w:type="auto"/>
            <w:shd w:val="clear" w:color="auto" w:fill="auto"/>
            <w:vAlign w:val="bottom"/>
          </w:tcPr>
          <w:p w14:paraId="4B9A3F71" w14:textId="77777777" w:rsidR="002A3970" w:rsidRDefault="002A3970">
            <w:pPr>
              <w:rPr>
                <w:rFonts w:ascii="宋体"/>
                <w:vanish/>
              </w:rPr>
            </w:pPr>
          </w:p>
        </w:tc>
        <w:tc>
          <w:tcPr>
            <w:tcW w:w="0" w:type="auto"/>
            <w:gridSpan w:val="3"/>
            <w:shd w:val="clear" w:color="auto" w:fill="auto"/>
            <w:vAlign w:val="bottom"/>
          </w:tcPr>
          <w:p w14:paraId="4B9A3F72" w14:textId="77777777" w:rsidR="002A3970" w:rsidRDefault="002A3970">
            <w:pPr>
              <w:rPr>
                <w:rFonts w:ascii="宋体"/>
                <w:vanish/>
              </w:rPr>
            </w:pPr>
          </w:p>
        </w:tc>
        <w:tc>
          <w:tcPr>
            <w:tcW w:w="0" w:type="auto"/>
            <w:gridSpan w:val="3"/>
            <w:shd w:val="clear" w:color="auto" w:fill="auto"/>
            <w:vAlign w:val="bottom"/>
          </w:tcPr>
          <w:p w14:paraId="4B9A3F73" w14:textId="77777777" w:rsidR="002A3970" w:rsidRDefault="002A3970">
            <w:pPr>
              <w:rPr>
                <w:rFonts w:ascii="宋体"/>
                <w:vanish/>
              </w:rPr>
            </w:pPr>
          </w:p>
        </w:tc>
      </w:tr>
      <w:tr w:rsidR="002A3970" w14:paraId="4B9A3F86" w14:textId="77777777">
        <w:tc>
          <w:tcPr>
            <w:tcW w:w="0" w:type="auto"/>
            <w:gridSpan w:val="3"/>
            <w:shd w:val="clear" w:color="auto" w:fill="FFFFFF"/>
            <w:tcMar>
              <w:top w:w="40" w:type="dxa"/>
              <w:left w:w="380" w:type="dxa"/>
              <w:bottom w:w="40" w:type="dxa"/>
              <w:right w:w="20" w:type="dxa"/>
            </w:tcMar>
            <w:vAlign w:val="center"/>
          </w:tcPr>
          <w:p w14:paraId="4B9A3F75" w14:textId="77777777" w:rsidR="002A3970" w:rsidRDefault="00C35E63">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vAlign w:val="bottom"/>
          </w:tcPr>
          <w:p w14:paraId="4B9A3F7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77" w14:textId="77777777" w:rsidR="002A3970" w:rsidRDefault="00C35E63">
            <w:pPr>
              <w:jc w:val="right"/>
              <w:textAlignment w:val="center"/>
            </w:pPr>
            <w:r>
              <w:rPr>
                <w:rFonts w:ascii="Times New Roman" w:eastAsia="宋体" w:hAnsi="Times New Roman"/>
                <w:color w:val="000000"/>
                <w:sz w:val="16"/>
                <w:szCs w:val="16"/>
              </w:rPr>
              <w:t>(3,821)</w:t>
            </w:r>
          </w:p>
        </w:tc>
        <w:tc>
          <w:tcPr>
            <w:tcW w:w="0" w:type="auto"/>
            <w:shd w:val="clear" w:color="auto" w:fill="FFFFFF"/>
            <w:tcMar>
              <w:top w:w="40" w:type="dxa"/>
              <w:left w:w="0" w:type="dxa"/>
              <w:bottom w:w="40" w:type="dxa"/>
              <w:right w:w="20" w:type="dxa"/>
            </w:tcMar>
            <w:vAlign w:val="center"/>
          </w:tcPr>
          <w:p w14:paraId="4B9A3F7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7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7A" w14:textId="77777777" w:rsidR="002A3970" w:rsidRDefault="00C35E63">
            <w:pPr>
              <w:jc w:val="right"/>
              <w:textAlignment w:val="center"/>
            </w:pPr>
            <w:r>
              <w:rPr>
                <w:rFonts w:ascii="Times New Roman" w:eastAsia="宋体" w:hAnsi="Times New Roman"/>
                <w:color w:val="000000"/>
                <w:sz w:val="16"/>
                <w:szCs w:val="16"/>
              </w:rPr>
              <w:t>(414)</w:t>
            </w:r>
          </w:p>
        </w:tc>
        <w:tc>
          <w:tcPr>
            <w:tcW w:w="0" w:type="auto"/>
            <w:shd w:val="clear" w:color="auto" w:fill="FFFFFF"/>
            <w:tcMar>
              <w:top w:w="40" w:type="dxa"/>
              <w:left w:w="0" w:type="dxa"/>
              <w:bottom w:w="40" w:type="dxa"/>
              <w:right w:w="20" w:type="dxa"/>
            </w:tcMar>
            <w:vAlign w:val="center"/>
          </w:tcPr>
          <w:p w14:paraId="4B9A3F7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7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7D" w14:textId="77777777" w:rsidR="002A3970" w:rsidRDefault="00C35E63">
            <w:pPr>
              <w:jc w:val="right"/>
              <w:textAlignment w:val="center"/>
            </w:pPr>
            <w:r>
              <w:rPr>
                <w:rFonts w:ascii="Times New Roman" w:eastAsia="宋体" w:hAnsi="Times New Roman"/>
                <w:color w:val="000000"/>
                <w:sz w:val="16"/>
                <w:szCs w:val="16"/>
              </w:rPr>
              <w:t>(4,496)</w:t>
            </w:r>
          </w:p>
        </w:tc>
        <w:tc>
          <w:tcPr>
            <w:tcW w:w="0" w:type="auto"/>
            <w:shd w:val="clear" w:color="auto" w:fill="FFFFFF"/>
            <w:tcMar>
              <w:top w:w="40" w:type="dxa"/>
              <w:left w:w="0" w:type="dxa"/>
              <w:bottom w:w="40" w:type="dxa"/>
              <w:right w:w="20" w:type="dxa"/>
            </w:tcMar>
            <w:vAlign w:val="center"/>
          </w:tcPr>
          <w:p w14:paraId="4B9A3F7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7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80" w14:textId="77777777" w:rsidR="002A3970" w:rsidRDefault="00C35E63">
            <w:pPr>
              <w:jc w:val="right"/>
              <w:textAlignment w:val="center"/>
            </w:pPr>
            <w:r>
              <w:rPr>
                <w:rFonts w:ascii="Times New Roman" w:eastAsia="宋体" w:hAnsi="Times New Roman"/>
                <w:color w:val="000000"/>
                <w:sz w:val="16"/>
                <w:szCs w:val="16"/>
              </w:rPr>
              <w:t>(985)</w:t>
            </w:r>
          </w:p>
        </w:tc>
        <w:tc>
          <w:tcPr>
            <w:tcW w:w="0" w:type="auto"/>
            <w:shd w:val="clear" w:color="auto" w:fill="FFFFFF"/>
            <w:tcMar>
              <w:top w:w="40" w:type="dxa"/>
              <w:left w:w="0" w:type="dxa"/>
              <w:bottom w:w="40" w:type="dxa"/>
              <w:right w:w="20" w:type="dxa"/>
            </w:tcMar>
            <w:vAlign w:val="center"/>
          </w:tcPr>
          <w:p w14:paraId="4B9A3F81" w14:textId="77777777" w:rsidR="002A3970" w:rsidRDefault="002A3970">
            <w:pPr>
              <w:jc w:val="right"/>
              <w:rPr>
                <w:rFonts w:ascii="宋体"/>
              </w:rPr>
            </w:pPr>
          </w:p>
        </w:tc>
        <w:tc>
          <w:tcPr>
            <w:tcW w:w="0" w:type="auto"/>
            <w:shd w:val="clear" w:color="auto" w:fill="auto"/>
            <w:vAlign w:val="bottom"/>
          </w:tcPr>
          <w:p w14:paraId="4B9A3F82" w14:textId="77777777" w:rsidR="002A3970" w:rsidRDefault="002A3970">
            <w:pPr>
              <w:rPr>
                <w:rFonts w:ascii="宋体"/>
                <w:vanish/>
              </w:rPr>
            </w:pPr>
          </w:p>
        </w:tc>
        <w:tc>
          <w:tcPr>
            <w:tcW w:w="0" w:type="auto"/>
            <w:shd w:val="clear" w:color="auto" w:fill="auto"/>
            <w:vAlign w:val="bottom"/>
          </w:tcPr>
          <w:p w14:paraId="4B9A3F83" w14:textId="77777777" w:rsidR="002A3970" w:rsidRDefault="002A3970">
            <w:pPr>
              <w:rPr>
                <w:rFonts w:ascii="宋体"/>
                <w:vanish/>
              </w:rPr>
            </w:pPr>
          </w:p>
        </w:tc>
        <w:tc>
          <w:tcPr>
            <w:tcW w:w="0" w:type="auto"/>
            <w:gridSpan w:val="3"/>
            <w:shd w:val="clear" w:color="auto" w:fill="auto"/>
            <w:vAlign w:val="bottom"/>
          </w:tcPr>
          <w:p w14:paraId="4B9A3F84" w14:textId="77777777" w:rsidR="002A3970" w:rsidRDefault="002A3970">
            <w:pPr>
              <w:rPr>
                <w:rFonts w:ascii="宋体"/>
                <w:vanish/>
              </w:rPr>
            </w:pPr>
          </w:p>
        </w:tc>
        <w:tc>
          <w:tcPr>
            <w:tcW w:w="0" w:type="auto"/>
            <w:gridSpan w:val="3"/>
            <w:shd w:val="clear" w:color="auto" w:fill="auto"/>
            <w:vAlign w:val="bottom"/>
          </w:tcPr>
          <w:p w14:paraId="4B9A3F85" w14:textId="77777777" w:rsidR="002A3970" w:rsidRDefault="002A3970">
            <w:pPr>
              <w:rPr>
                <w:rFonts w:ascii="宋体"/>
                <w:vanish/>
              </w:rPr>
            </w:pPr>
          </w:p>
        </w:tc>
      </w:tr>
      <w:tr w:rsidR="002A3970" w14:paraId="4B9A3F98" w14:textId="77777777">
        <w:tc>
          <w:tcPr>
            <w:tcW w:w="0" w:type="auto"/>
            <w:gridSpan w:val="3"/>
            <w:shd w:val="clear" w:color="auto" w:fill="CCEEFF"/>
            <w:tcMar>
              <w:top w:w="40" w:type="dxa"/>
              <w:left w:w="20" w:type="dxa"/>
              <w:bottom w:w="40" w:type="dxa"/>
              <w:right w:w="20" w:type="dxa"/>
            </w:tcMar>
            <w:vAlign w:val="center"/>
          </w:tcPr>
          <w:p w14:paraId="4B9A3F87" w14:textId="77777777" w:rsidR="002A3970" w:rsidRDefault="00C35E63">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B9A3F8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F89" w14:textId="77777777" w:rsidR="002A3970" w:rsidRDefault="00C35E63">
            <w:pPr>
              <w:jc w:val="right"/>
              <w:textAlignment w:val="center"/>
            </w:pPr>
            <w:r>
              <w:rPr>
                <w:rFonts w:ascii="Times New Roman" w:eastAsia="宋体" w:hAnsi="Times New Roman"/>
                <w:color w:val="000000"/>
                <w:sz w:val="16"/>
                <w:szCs w:val="16"/>
              </w:rPr>
              <w:t>2,695 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F8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8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F8C" w14:textId="77777777" w:rsidR="002A3970" w:rsidRDefault="00C35E63">
            <w:pPr>
              <w:jc w:val="right"/>
              <w:textAlignment w:val="center"/>
            </w:pPr>
            <w:r>
              <w:rPr>
                <w:rFonts w:ascii="Times New Roman" w:eastAsia="宋体" w:hAnsi="Times New Roman"/>
                <w:color w:val="000000"/>
                <w:sz w:val="16"/>
                <w:szCs w:val="16"/>
              </w:rPr>
              <w:t>5,792 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F8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8E"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F8F" w14:textId="77777777" w:rsidR="002A3970" w:rsidRDefault="00C35E63">
            <w:pPr>
              <w:jc w:val="right"/>
              <w:textAlignment w:val="center"/>
            </w:pPr>
            <w:r>
              <w:rPr>
                <w:rFonts w:ascii="Times New Roman" w:eastAsia="宋体" w:hAnsi="Times New Roman"/>
                <w:color w:val="000000"/>
                <w:sz w:val="16"/>
                <w:szCs w:val="16"/>
              </w:rPr>
              <w:t>14,867 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F9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91"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3F92" w14:textId="77777777" w:rsidR="002A3970" w:rsidRDefault="00C35E63">
            <w:pPr>
              <w:jc w:val="right"/>
              <w:textAlignment w:val="center"/>
            </w:pPr>
            <w:r>
              <w:rPr>
                <w:rFonts w:ascii="Times New Roman" w:eastAsia="宋体" w:hAnsi="Times New Roman"/>
                <w:color w:val="000000"/>
                <w:sz w:val="16"/>
                <w:szCs w:val="16"/>
              </w:rPr>
              <w:t>20,055 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3F93" w14:textId="77777777" w:rsidR="002A3970" w:rsidRDefault="002A3970">
            <w:pPr>
              <w:jc w:val="right"/>
              <w:rPr>
                <w:rFonts w:ascii="宋体"/>
              </w:rPr>
            </w:pPr>
          </w:p>
        </w:tc>
        <w:tc>
          <w:tcPr>
            <w:tcW w:w="0" w:type="auto"/>
            <w:shd w:val="clear" w:color="auto" w:fill="auto"/>
            <w:vAlign w:val="bottom"/>
          </w:tcPr>
          <w:p w14:paraId="4B9A3F94" w14:textId="77777777" w:rsidR="002A3970" w:rsidRDefault="002A3970">
            <w:pPr>
              <w:rPr>
                <w:rFonts w:ascii="宋体"/>
                <w:vanish/>
              </w:rPr>
            </w:pPr>
          </w:p>
        </w:tc>
        <w:tc>
          <w:tcPr>
            <w:tcW w:w="0" w:type="auto"/>
            <w:shd w:val="clear" w:color="auto" w:fill="auto"/>
            <w:vAlign w:val="bottom"/>
          </w:tcPr>
          <w:p w14:paraId="4B9A3F95" w14:textId="77777777" w:rsidR="002A3970" w:rsidRDefault="002A3970">
            <w:pPr>
              <w:rPr>
                <w:rFonts w:ascii="宋体"/>
                <w:vanish/>
              </w:rPr>
            </w:pPr>
          </w:p>
        </w:tc>
        <w:tc>
          <w:tcPr>
            <w:tcW w:w="0" w:type="auto"/>
            <w:gridSpan w:val="3"/>
            <w:shd w:val="clear" w:color="auto" w:fill="auto"/>
            <w:vAlign w:val="bottom"/>
          </w:tcPr>
          <w:p w14:paraId="4B9A3F96" w14:textId="77777777" w:rsidR="002A3970" w:rsidRDefault="002A3970">
            <w:pPr>
              <w:rPr>
                <w:rFonts w:ascii="宋体"/>
                <w:vanish/>
              </w:rPr>
            </w:pPr>
          </w:p>
        </w:tc>
        <w:tc>
          <w:tcPr>
            <w:tcW w:w="0" w:type="auto"/>
            <w:gridSpan w:val="3"/>
            <w:shd w:val="clear" w:color="auto" w:fill="auto"/>
            <w:vAlign w:val="bottom"/>
          </w:tcPr>
          <w:p w14:paraId="4B9A3F97" w14:textId="77777777" w:rsidR="002A3970" w:rsidRDefault="002A3970">
            <w:pPr>
              <w:rPr>
                <w:rFonts w:ascii="宋体"/>
                <w:vanish/>
              </w:rPr>
            </w:pPr>
          </w:p>
        </w:tc>
      </w:tr>
      <w:tr w:rsidR="002A3970" w14:paraId="4B9A3FAA" w14:textId="77777777">
        <w:tc>
          <w:tcPr>
            <w:tcW w:w="0" w:type="auto"/>
            <w:gridSpan w:val="3"/>
            <w:shd w:val="clear" w:color="auto" w:fill="FFFFFF"/>
            <w:tcMar>
              <w:top w:w="40" w:type="dxa"/>
              <w:left w:w="380" w:type="dxa"/>
              <w:bottom w:w="40" w:type="dxa"/>
              <w:right w:w="20" w:type="dxa"/>
            </w:tcMar>
            <w:vAlign w:val="center"/>
          </w:tcPr>
          <w:p w14:paraId="4B9A3F99" w14:textId="77777777" w:rsidR="002A3970" w:rsidRDefault="00C35E63">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4B9A3F9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9B" w14:textId="77777777" w:rsidR="002A3970" w:rsidRDefault="00C35E63">
            <w:pPr>
              <w:jc w:val="right"/>
              <w:textAlignment w:val="center"/>
            </w:pPr>
            <w:r>
              <w:rPr>
                <w:rFonts w:ascii="Times New Roman" w:eastAsia="宋体" w:hAnsi="Times New Roman"/>
                <w:color w:val="000000"/>
                <w:sz w:val="16"/>
                <w:szCs w:val="16"/>
              </w:rPr>
              <w:t>500 </w:t>
            </w:r>
          </w:p>
        </w:tc>
        <w:tc>
          <w:tcPr>
            <w:tcW w:w="0" w:type="auto"/>
            <w:shd w:val="clear" w:color="auto" w:fill="FFFFFF"/>
            <w:tcMar>
              <w:top w:w="40" w:type="dxa"/>
              <w:left w:w="0" w:type="dxa"/>
              <w:bottom w:w="40" w:type="dxa"/>
              <w:right w:w="20" w:type="dxa"/>
            </w:tcMar>
            <w:vAlign w:val="center"/>
          </w:tcPr>
          <w:p w14:paraId="4B9A3F9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9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9E" w14:textId="77777777" w:rsidR="002A3970" w:rsidRDefault="00C35E63">
            <w:pPr>
              <w:jc w:val="right"/>
              <w:textAlignment w:val="center"/>
            </w:pPr>
            <w:r>
              <w:rPr>
                <w:rFonts w:ascii="Times New Roman" w:eastAsia="宋体" w:hAnsi="Times New Roman"/>
                <w:color w:val="000000"/>
                <w:sz w:val="16"/>
                <w:szCs w:val="16"/>
              </w:rPr>
              <w:t>442 </w:t>
            </w:r>
          </w:p>
        </w:tc>
        <w:tc>
          <w:tcPr>
            <w:tcW w:w="0" w:type="auto"/>
            <w:shd w:val="clear" w:color="auto" w:fill="FFFFFF"/>
            <w:tcMar>
              <w:top w:w="40" w:type="dxa"/>
              <w:left w:w="0" w:type="dxa"/>
              <w:bottom w:w="40" w:type="dxa"/>
              <w:right w:w="20" w:type="dxa"/>
            </w:tcMar>
            <w:vAlign w:val="center"/>
          </w:tcPr>
          <w:p w14:paraId="4B9A3F9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A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A1" w14:textId="77777777" w:rsidR="002A3970" w:rsidRDefault="00C35E63">
            <w:pPr>
              <w:jc w:val="right"/>
              <w:textAlignment w:val="center"/>
            </w:pPr>
            <w:r>
              <w:rPr>
                <w:rFonts w:ascii="Times New Roman" w:eastAsia="宋体" w:hAnsi="Times New Roman"/>
                <w:color w:val="000000"/>
                <w:sz w:val="16"/>
                <w:szCs w:val="16"/>
              </w:rPr>
              <w:t>1,367 </w:t>
            </w:r>
          </w:p>
        </w:tc>
        <w:tc>
          <w:tcPr>
            <w:tcW w:w="0" w:type="auto"/>
            <w:shd w:val="clear" w:color="auto" w:fill="FFFFFF"/>
            <w:tcMar>
              <w:top w:w="40" w:type="dxa"/>
              <w:left w:w="0" w:type="dxa"/>
              <w:bottom w:w="40" w:type="dxa"/>
              <w:right w:w="20" w:type="dxa"/>
            </w:tcMar>
            <w:vAlign w:val="center"/>
          </w:tcPr>
          <w:p w14:paraId="4B9A3FA2"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A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A4" w14:textId="77777777" w:rsidR="002A3970" w:rsidRDefault="00C35E63">
            <w:pPr>
              <w:jc w:val="right"/>
              <w:textAlignment w:val="center"/>
            </w:pPr>
            <w:r>
              <w:rPr>
                <w:rFonts w:ascii="Times New Roman" w:eastAsia="宋体" w:hAnsi="Times New Roman"/>
                <w:color w:val="000000"/>
                <w:sz w:val="16"/>
                <w:szCs w:val="16"/>
              </w:rPr>
              <w:t>1,456 </w:t>
            </w:r>
          </w:p>
        </w:tc>
        <w:tc>
          <w:tcPr>
            <w:tcW w:w="0" w:type="auto"/>
            <w:shd w:val="clear" w:color="auto" w:fill="FFFFFF"/>
            <w:tcMar>
              <w:top w:w="40" w:type="dxa"/>
              <w:left w:w="0" w:type="dxa"/>
              <w:bottom w:w="40" w:type="dxa"/>
              <w:right w:w="20" w:type="dxa"/>
            </w:tcMar>
            <w:vAlign w:val="center"/>
          </w:tcPr>
          <w:p w14:paraId="4B9A3FA5" w14:textId="77777777" w:rsidR="002A3970" w:rsidRDefault="002A3970">
            <w:pPr>
              <w:jc w:val="right"/>
              <w:rPr>
                <w:rFonts w:ascii="宋体"/>
              </w:rPr>
            </w:pPr>
          </w:p>
        </w:tc>
        <w:tc>
          <w:tcPr>
            <w:tcW w:w="0" w:type="auto"/>
            <w:shd w:val="clear" w:color="auto" w:fill="auto"/>
            <w:vAlign w:val="bottom"/>
          </w:tcPr>
          <w:p w14:paraId="4B9A3FA6" w14:textId="77777777" w:rsidR="002A3970" w:rsidRDefault="002A3970">
            <w:pPr>
              <w:rPr>
                <w:rFonts w:ascii="宋体"/>
                <w:vanish/>
              </w:rPr>
            </w:pPr>
          </w:p>
        </w:tc>
        <w:tc>
          <w:tcPr>
            <w:tcW w:w="0" w:type="auto"/>
            <w:shd w:val="clear" w:color="auto" w:fill="auto"/>
            <w:vAlign w:val="bottom"/>
          </w:tcPr>
          <w:p w14:paraId="4B9A3FA7" w14:textId="77777777" w:rsidR="002A3970" w:rsidRDefault="002A3970">
            <w:pPr>
              <w:rPr>
                <w:rFonts w:ascii="宋体"/>
                <w:vanish/>
              </w:rPr>
            </w:pPr>
          </w:p>
        </w:tc>
        <w:tc>
          <w:tcPr>
            <w:tcW w:w="0" w:type="auto"/>
            <w:gridSpan w:val="3"/>
            <w:shd w:val="clear" w:color="auto" w:fill="auto"/>
            <w:vAlign w:val="bottom"/>
          </w:tcPr>
          <w:p w14:paraId="4B9A3FA8" w14:textId="77777777" w:rsidR="002A3970" w:rsidRDefault="002A3970">
            <w:pPr>
              <w:rPr>
                <w:rFonts w:ascii="宋体"/>
                <w:vanish/>
              </w:rPr>
            </w:pPr>
          </w:p>
        </w:tc>
        <w:tc>
          <w:tcPr>
            <w:tcW w:w="0" w:type="auto"/>
            <w:gridSpan w:val="3"/>
            <w:shd w:val="clear" w:color="auto" w:fill="auto"/>
            <w:vAlign w:val="bottom"/>
          </w:tcPr>
          <w:p w14:paraId="4B9A3FA9" w14:textId="77777777" w:rsidR="002A3970" w:rsidRDefault="002A3970">
            <w:pPr>
              <w:rPr>
                <w:rFonts w:ascii="宋体"/>
                <w:vanish/>
              </w:rPr>
            </w:pPr>
          </w:p>
        </w:tc>
      </w:tr>
      <w:tr w:rsidR="002A3970" w14:paraId="4B9A3FBC" w14:textId="77777777">
        <w:tc>
          <w:tcPr>
            <w:tcW w:w="0" w:type="auto"/>
            <w:gridSpan w:val="3"/>
            <w:shd w:val="clear" w:color="auto" w:fill="CCEEFF"/>
            <w:tcMar>
              <w:top w:w="40" w:type="dxa"/>
              <w:left w:w="380" w:type="dxa"/>
              <w:bottom w:w="40" w:type="dxa"/>
              <w:right w:w="20" w:type="dxa"/>
            </w:tcMar>
            <w:vAlign w:val="center"/>
          </w:tcPr>
          <w:p w14:paraId="4B9A3FAB" w14:textId="77777777" w:rsidR="002A3970" w:rsidRDefault="00C35E63">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4B9A3FA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AD"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FA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A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B0" w14:textId="77777777" w:rsidR="002A3970" w:rsidRDefault="00C35E63">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4B9A3FB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B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B3"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3FB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B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3FB6" w14:textId="77777777" w:rsidR="002A3970" w:rsidRDefault="00C35E63">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4B9A3FB7" w14:textId="77777777" w:rsidR="002A3970" w:rsidRDefault="002A3970">
            <w:pPr>
              <w:jc w:val="right"/>
              <w:rPr>
                <w:rFonts w:ascii="宋体"/>
              </w:rPr>
            </w:pPr>
          </w:p>
        </w:tc>
        <w:tc>
          <w:tcPr>
            <w:tcW w:w="0" w:type="auto"/>
            <w:shd w:val="clear" w:color="auto" w:fill="auto"/>
            <w:vAlign w:val="bottom"/>
          </w:tcPr>
          <w:p w14:paraId="4B9A3FB8" w14:textId="77777777" w:rsidR="002A3970" w:rsidRDefault="002A3970">
            <w:pPr>
              <w:rPr>
                <w:rFonts w:ascii="宋体"/>
                <w:vanish/>
              </w:rPr>
            </w:pPr>
          </w:p>
        </w:tc>
        <w:tc>
          <w:tcPr>
            <w:tcW w:w="0" w:type="auto"/>
            <w:shd w:val="clear" w:color="auto" w:fill="auto"/>
            <w:vAlign w:val="bottom"/>
          </w:tcPr>
          <w:p w14:paraId="4B9A3FB9" w14:textId="77777777" w:rsidR="002A3970" w:rsidRDefault="002A3970">
            <w:pPr>
              <w:rPr>
                <w:rFonts w:ascii="宋体"/>
                <w:vanish/>
              </w:rPr>
            </w:pPr>
          </w:p>
        </w:tc>
        <w:tc>
          <w:tcPr>
            <w:tcW w:w="0" w:type="auto"/>
            <w:gridSpan w:val="3"/>
            <w:shd w:val="clear" w:color="auto" w:fill="auto"/>
            <w:vAlign w:val="bottom"/>
          </w:tcPr>
          <w:p w14:paraId="4B9A3FBA" w14:textId="77777777" w:rsidR="002A3970" w:rsidRDefault="002A3970">
            <w:pPr>
              <w:rPr>
                <w:rFonts w:ascii="宋体"/>
                <w:vanish/>
              </w:rPr>
            </w:pPr>
          </w:p>
        </w:tc>
        <w:tc>
          <w:tcPr>
            <w:tcW w:w="0" w:type="auto"/>
            <w:gridSpan w:val="3"/>
            <w:shd w:val="clear" w:color="auto" w:fill="auto"/>
            <w:vAlign w:val="bottom"/>
          </w:tcPr>
          <w:p w14:paraId="4B9A3FBB" w14:textId="77777777" w:rsidR="002A3970" w:rsidRDefault="002A3970">
            <w:pPr>
              <w:rPr>
                <w:rFonts w:ascii="宋体"/>
                <w:vanish/>
              </w:rPr>
            </w:pPr>
          </w:p>
        </w:tc>
      </w:tr>
      <w:tr w:rsidR="002A3970" w14:paraId="4B9A3FCE" w14:textId="77777777">
        <w:tc>
          <w:tcPr>
            <w:tcW w:w="0" w:type="auto"/>
            <w:gridSpan w:val="3"/>
            <w:shd w:val="clear" w:color="auto" w:fill="FFFFFF"/>
            <w:tcMar>
              <w:top w:w="40" w:type="dxa"/>
              <w:left w:w="380" w:type="dxa"/>
              <w:bottom w:w="40" w:type="dxa"/>
              <w:right w:w="20" w:type="dxa"/>
            </w:tcMar>
            <w:vAlign w:val="center"/>
          </w:tcPr>
          <w:p w14:paraId="4B9A3FBD" w14:textId="77777777" w:rsidR="002A3970" w:rsidRDefault="00C35E63">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4B9A3FB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BF" w14:textId="77777777" w:rsidR="002A3970" w:rsidRDefault="00C35E63">
            <w:pPr>
              <w:jc w:val="right"/>
              <w:textAlignment w:val="center"/>
            </w:pPr>
            <w:r>
              <w:rPr>
                <w:rFonts w:ascii="Times New Roman" w:eastAsia="宋体" w:hAnsi="Times New Roman"/>
                <w:color w:val="000000"/>
                <w:sz w:val="16"/>
                <w:szCs w:val="16"/>
              </w:rPr>
              <w:t>3,626 </w:t>
            </w:r>
          </w:p>
        </w:tc>
        <w:tc>
          <w:tcPr>
            <w:tcW w:w="0" w:type="auto"/>
            <w:shd w:val="clear" w:color="auto" w:fill="FFFFFF"/>
            <w:tcMar>
              <w:top w:w="40" w:type="dxa"/>
              <w:left w:w="0" w:type="dxa"/>
              <w:bottom w:w="40" w:type="dxa"/>
              <w:right w:w="20" w:type="dxa"/>
            </w:tcMar>
            <w:vAlign w:val="center"/>
          </w:tcPr>
          <w:p w14:paraId="4B9A3FC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C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C2" w14:textId="77777777" w:rsidR="002A3970" w:rsidRDefault="00C35E63">
            <w:pPr>
              <w:jc w:val="right"/>
              <w:textAlignment w:val="center"/>
            </w:pPr>
            <w:r>
              <w:rPr>
                <w:rFonts w:ascii="Times New Roman" w:eastAsia="宋体" w:hAnsi="Times New Roman"/>
                <w:color w:val="000000"/>
                <w:sz w:val="16"/>
                <w:szCs w:val="16"/>
              </w:rPr>
              <w:t>(1,207)</w:t>
            </w:r>
          </w:p>
        </w:tc>
        <w:tc>
          <w:tcPr>
            <w:tcW w:w="0" w:type="auto"/>
            <w:shd w:val="clear" w:color="auto" w:fill="FFFFFF"/>
            <w:tcMar>
              <w:top w:w="40" w:type="dxa"/>
              <w:left w:w="0" w:type="dxa"/>
              <w:bottom w:w="40" w:type="dxa"/>
              <w:right w:w="20" w:type="dxa"/>
            </w:tcMar>
            <w:vAlign w:val="center"/>
          </w:tcPr>
          <w:p w14:paraId="4B9A3FC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C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C5" w14:textId="77777777" w:rsidR="002A3970" w:rsidRDefault="00C35E63">
            <w:pPr>
              <w:jc w:val="right"/>
              <w:textAlignment w:val="center"/>
            </w:pPr>
            <w:r>
              <w:rPr>
                <w:rFonts w:ascii="Times New Roman" w:eastAsia="宋体" w:hAnsi="Times New Roman"/>
                <w:color w:val="000000"/>
                <w:sz w:val="16"/>
                <w:szCs w:val="16"/>
              </w:rPr>
              <w:t>5,386 </w:t>
            </w:r>
          </w:p>
        </w:tc>
        <w:tc>
          <w:tcPr>
            <w:tcW w:w="0" w:type="auto"/>
            <w:shd w:val="clear" w:color="auto" w:fill="FFFFFF"/>
            <w:tcMar>
              <w:top w:w="40" w:type="dxa"/>
              <w:left w:w="0" w:type="dxa"/>
              <w:bottom w:w="40" w:type="dxa"/>
              <w:right w:w="20" w:type="dxa"/>
            </w:tcMar>
            <w:vAlign w:val="center"/>
          </w:tcPr>
          <w:p w14:paraId="4B9A3FC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3FC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3FC8" w14:textId="77777777" w:rsidR="002A3970" w:rsidRDefault="00C35E63">
            <w:pPr>
              <w:jc w:val="right"/>
              <w:textAlignment w:val="center"/>
            </w:pPr>
            <w:r>
              <w:rPr>
                <w:rFonts w:ascii="Times New Roman" w:eastAsia="宋体" w:hAnsi="Times New Roman"/>
                <w:color w:val="000000"/>
                <w:sz w:val="16"/>
                <w:szCs w:val="16"/>
              </w:rPr>
              <w:t>2,275 </w:t>
            </w:r>
          </w:p>
        </w:tc>
        <w:tc>
          <w:tcPr>
            <w:tcW w:w="0" w:type="auto"/>
            <w:shd w:val="clear" w:color="auto" w:fill="FFFFFF"/>
            <w:tcMar>
              <w:top w:w="40" w:type="dxa"/>
              <w:left w:w="0" w:type="dxa"/>
              <w:bottom w:w="40" w:type="dxa"/>
              <w:right w:w="20" w:type="dxa"/>
            </w:tcMar>
            <w:vAlign w:val="center"/>
          </w:tcPr>
          <w:p w14:paraId="4B9A3FC9" w14:textId="77777777" w:rsidR="002A3970" w:rsidRDefault="002A3970">
            <w:pPr>
              <w:jc w:val="right"/>
              <w:rPr>
                <w:rFonts w:ascii="宋体"/>
              </w:rPr>
            </w:pPr>
          </w:p>
        </w:tc>
        <w:tc>
          <w:tcPr>
            <w:tcW w:w="0" w:type="auto"/>
            <w:shd w:val="clear" w:color="auto" w:fill="auto"/>
            <w:vAlign w:val="bottom"/>
          </w:tcPr>
          <w:p w14:paraId="4B9A3FCA" w14:textId="77777777" w:rsidR="002A3970" w:rsidRDefault="002A3970">
            <w:pPr>
              <w:rPr>
                <w:rFonts w:ascii="宋体"/>
                <w:vanish/>
              </w:rPr>
            </w:pPr>
          </w:p>
        </w:tc>
        <w:tc>
          <w:tcPr>
            <w:tcW w:w="0" w:type="auto"/>
            <w:shd w:val="clear" w:color="auto" w:fill="auto"/>
            <w:vAlign w:val="bottom"/>
          </w:tcPr>
          <w:p w14:paraId="4B9A3FCB" w14:textId="77777777" w:rsidR="002A3970" w:rsidRDefault="002A3970">
            <w:pPr>
              <w:rPr>
                <w:rFonts w:ascii="宋体"/>
                <w:vanish/>
              </w:rPr>
            </w:pPr>
          </w:p>
        </w:tc>
        <w:tc>
          <w:tcPr>
            <w:tcW w:w="0" w:type="auto"/>
            <w:gridSpan w:val="3"/>
            <w:shd w:val="clear" w:color="auto" w:fill="auto"/>
            <w:vAlign w:val="bottom"/>
          </w:tcPr>
          <w:p w14:paraId="4B9A3FCC" w14:textId="77777777" w:rsidR="002A3970" w:rsidRDefault="002A3970">
            <w:pPr>
              <w:rPr>
                <w:rFonts w:ascii="宋体"/>
                <w:vanish/>
              </w:rPr>
            </w:pPr>
          </w:p>
        </w:tc>
        <w:tc>
          <w:tcPr>
            <w:tcW w:w="0" w:type="auto"/>
            <w:gridSpan w:val="3"/>
            <w:shd w:val="clear" w:color="auto" w:fill="auto"/>
            <w:vAlign w:val="bottom"/>
          </w:tcPr>
          <w:p w14:paraId="4B9A3FCD" w14:textId="77777777" w:rsidR="002A3970" w:rsidRDefault="002A3970">
            <w:pPr>
              <w:rPr>
                <w:rFonts w:ascii="宋体"/>
                <w:vanish/>
              </w:rPr>
            </w:pPr>
          </w:p>
        </w:tc>
      </w:tr>
      <w:tr w:rsidR="002A3970" w14:paraId="4B9A3FE4" w14:textId="77777777">
        <w:tc>
          <w:tcPr>
            <w:tcW w:w="0" w:type="auto"/>
            <w:gridSpan w:val="3"/>
            <w:shd w:val="clear" w:color="auto" w:fill="CCEEFF"/>
            <w:tcMar>
              <w:top w:w="40" w:type="dxa"/>
              <w:left w:w="20" w:type="dxa"/>
              <w:bottom w:w="40" w:type="dxa"/>
              <w:right w:w="20" w:type="dxa"/>
            </w:tcMar>
            <w:vAlign w:val="center"/>
          </w:tcPr>
          <w:p w14:paraId="4B9A3FCF" w14:textId="77777777" w:rsidR="002A3970" w:rsidRDefault="00C35E63">
            <w:pPr>
              <w:textAlignment w:val="center"/>
            </w:pPr>
            <w:r>
              <w:rPr>
                <w:rFonts w:ascii="Times New Roman" w:eastAsia="宋体" w:hAnsi="Times New Roman"/>
                <w:b/>
                <w:bCs/>
                <w:color w:val="000000"/>
                <w:sz w:val="16"/>
                <w:szCs w:val="16"/>
              </w:rPr>
              <w:t>Income (loss) before income taxes</w:t>
            </w:r>
          </w:p>
        </w:tc>
        <w:tc>
          <w:tcPr>
            <w:tcW w:w="0" w:type="auto"/>
            <w:gridSpan w:val="3"/>
            <w:shd w:val="clear" w:color="auto" w:fill="CCEEFF"/>
            <w:tcMar>
              <w:top w:w="0" w:type="dxa"/>
              <w:left w:w="20" w:type="dxa"/>
              <w:bottom w:w="0" w:type="dxa"/>
              <w:right w:w="20" w:type="dxa"/>
            </w:tcMar>
            <w:vAlign w:val="bottom"/>
          </w:tcPr>
          <w:p w14:paraId="4B9A3FD0"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FD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FD2" w14:textId="77777777" w:rsidR="002A3970" w:rsidRDefault="00C35E63">
            <w:pPr>
              <w:jc w:val="right"/>
              <w:textAlignment w:val="center"/>
            </w:pPr>
            <w:r>
              <w:rPr>
                <w:rFonts w:ascii="Times New Roman" w:eastAsia="宋体" w:hAnsi="Times New Roman"/>
                <w:color w:val="000000"/>
                <w:sz w:val="16"/>
                <w:szCs w:val="16"/>
              </w:rPr>
              <w:t>(1,431)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FD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D4"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FD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FD6" w14:textId="77777777" w:rsidR="002A3970" w:rsidRDefault="00C35E63">
            <w:pPr>
              <w:jc w:val="right"/>
              <w:textAlignment w:val="center"/>
            </w:pPr>
            <w:r>
              <w:rPr>
                <w:rFonts w:ascii="Times New Roman" w:eastAsia="宋体" w:hAnsi="Times New Roman"/>
                <w:color w:val="000000"/>
                <w:sz w:val="16"/>
                <w:szCs w:val="16"/>
              </w:rPr>
              <w:t>4,147 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FD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D8"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FD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FDA" w14:textId="77777777" w:rsidR="002A3970" w:rsidRDefault="00C35E63">
            <w:pPr>
              <w:jc w:val="right"/>
              <w:textAlignment w:val="center"/>
            </w:pPr>
            <w:r>
              <w:rPr>
                <w:rFonts w:ascii="Times New Roman" w:eastAsia="宋体" w:hAnsi="Times New Roman"/>
                <w:color w:val="000000"/>
                <w:sz w:val="16"/>
                <w:szCs w:val="16"/>
              </w:rPr>
              <w:t>8,114 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FD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3FDC"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B9A3FD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B9A3FDE" w14:textId="77777777" w:rsidR="002A3970" w:rsidRDefault="00C35E63">
            <w:pPr>
              <w:jc w:val="right"/>
              <w:textAlignment w:val="center"/>
            </w:pPr>
            <w:r>
              <w:rPr>
                <w:rFonts w:ascii="Times New Roman" w:eastAsia="宋体" w:hAnsi="Times New Roman"/>
                <w:color w:val="000000"/>
                <w:sz w:val="16"/>
                <w:szCs w:val="16"/>
              </w:rPr>
              <w:t>13,914 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B9A3FDF" w14:textId="77777777" w:rsidR="002A3970" w:rsidRDefault="002A3970">
            <w:pPr>
              <w:jc w:val="right"/>
              <w:rPr>
                <w:rFonts w:ascii="宋体"/>
              </w:rPr>
            </w:pPr>
          </w:p>
        </w:tc>
        <w:tc>
          <w:tcPr>
            <w:tcW w:w="0" w:type="auto"/>
            <w:shd w:val="clear" w:color="auto" w:fill="auto"/>
            <w:vAlign w:val="bottom"/>
          </w:tcPr>
          <w:p w14:paraId="4B9A3FE0" w14:textId="77777777" w:rsidR="002A3970" w:rsidRDefault="002A3970">
            <w:pPr>
              <w:rPr>
                <w:rFonts w:ascii="宋体"/>
                <w:vanish/>
              </w:rPr>
            </w:pPr>
          </w:p>
        </w:tc>
        <w:tc>
          <w:tcPr>
            <w:tcW w:w="0" w:type="auto"/>
            <w:shd w:val="clear" w:color="auto" w:fill="auto"/>
            <w:vAlign w:val="bottom"/>
          </w:tcPr>
          <w:p w14:paraId="4B9A3FE1" w14:textId="77777777" w:rsidR="002A3970" w:rsidRDefault="002A3970">
            <w:pPr>
              <w:rPr>
                <w:rFonts w:ascii="宋体"/>
                <w:vanish/>
              </w:rPr>
            </w:pPr>
          </w:p>
        </w:tc>
        <w:tc>
          <w:tcPr>
            <w:tcW w:w="0" w:type="auto"/>
            <w:gridSpan w:val="3"/>
            <w:shd w:val="clear" w:color="auto" w:fill="auto"/>
            <w:vAlign w:val="bottom"/>
          </w:tcPr>
          <w:p w14:paraId="4B9A3FE2" w14:textId="77777777" w:rsidR="002A3970" w:rsidRDefault="002A3970">
            <w:pPr>
              <w:rPr>
                <w:rFonts w:ascii="宋体"/>
                <w:vanish/>
              </w:rPr>
            </w:pPr>
          </w:p>
        </w:tc>
        <w:tc>
          <w:tcPr>
            <w:tcW w:w="0" w:type="auto"/>
            <w:gridSpan w:val="3"/>
            <w:shd w:val="clear" w:color="auto" w:fill="auto"/>
            <w:vAlign w:val="bottom"/>
          </w:tcPr>
          <w:p w14:paraId="4B9A3FE3" w14:textId="77777777" w:rsidR="002A3970" w:rsidRDefault="002A3970">
            <w:pPr>
              <w:rPr>
                <w:rFonts w:ascii="宋体"/>
                <w:vanish/>
              </w:rPr>
            </w:pPr>
          </w:p>
        </w:tc>
      </w:tr>
    </w:tbl>
    <w:p w14:paraId="4B9A3FE5" w14:textId="77777777" w:rsidR="002A3970" w:rsidRDefault="00C35E63">
      <w:pPr>
        <w:spacing w:before="80"/>
      </w:pPr>
      <w:r>
        <w:rPr>
          <w:rFonts w:ascii="Times New Roman" w:eastAsia="宋体" w:hAnsi="Times New Roman"/>
          <w:i/>
          <w:iCs/>
          <w:color w:val="000000"/>
          <w:sz w:val="20"/>
          <w:szCs w:val="20"/>
        </w:rPr>
        <w:t>Disaggregated Revenues</w:t>
      </w:r>
    </w:p>
    <w:p w14:paraId="4B9A3FE6" w14:textId="77777777" w:rsidR="002A3970" w:rsidRDefault="00C35E63">
      <w:pPr>
        <w:spacing w:before="100"/>
      </w:pPr>
      <w:r>
        <w:rPr>
          <w:rFonts w:ascii="Times New Roman" w:eastAsia="宋体" w:hAnsi="Times New Roman"/>
          <w:color w:val="000000"/>
          <w:sz w:val="20"/>
          <w:szCs w:val="20"/>
        </w:rPr>
        <w:t>In the following tabl</w:t>
      </w:r>
      <w:r>
        <w:rPr>
          <w:rFonts w:ascii="Times New Roman" w:eastAsia="宋体" w:hAnsi="Times New Roman"/>
          <w:color w:val="000000"/>
          <w:sz w:val="20"/>
          <w:szCs w:val="20"/>
        </w:rPr>
        <w:t>es, segment net sales are disaggregated by either merchandise category or by market. From time to time, the Company revises the assignment of net sales of a particular item to a merchandise category. When the assignment changes, previous period amounts are</w:t>
      </w:r>
      <w:r>
        <w:rPr>
          <w:rFonts w:ascii="Times New Roman" w:eastAsia="宋体" w:hAnsi="Times New Roman"/>
          <w:color w:val="000000"/>
          <w:sz w:val="20"/>
          <w:szCs w:val="20"/>
        </w:rPr>
        <w:t xml:space="preserve"> reclassified to be comparable to the current period's presentation.</w:t>
      </w:r>
    </w:p>
    <w:p w14:paraId="4B9A3FE7" w14:textId="77777777" w:rsidR="002A3970" w:rsidRDefault="00C35E63">
      <w:pPr>
        <w:spacing w:before="100"/>
      </w:pPr>
      <w:r>
        <w:rPr>
          <w:rFonts w:ascii="Times New Roman" w:eastAsia="宋体" w:hAnsi="Times New Roman"/>
          <w:color w:val="000000"/>
          <w:sz w:val="20"/>
          <w:szCs w:val="20"/>
        </w:rPr>
        <w:t>In addition, net sales related to eCommerce are provided for each segment, which include omni-channel sales, where a customer initiates an order digitally and the order is fulfilled throu</w:t>
      </w:r>
      <w:r>
        <w:rPr>
          <w:rFonts w:ascii="Times New Roman" w:eastAsia="宋体" w:hAnsi="Times New Roman"/>
          <w:color w:val="000000"/>
          <w:sz w:val="20"/>
          <w:szCs w:val="20"/>
        </w:rPr>
        <w:t xml:space="preserve">gh a store or club.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2A3970" w14:paraId="4B9A4003" w14:textId="77777777">
        <w:trPr>
          <w:jc w:val="center"/>
        </w:trPr>
        <w:tc>
          <w:tcPr>
            <w:tcW w:w="50" w:type="pct"/>
            <w:shd w:val="clear" w:color="auto" w:fill="auto"/>
            <w:vAlign w:val="bottom"/>
          </w:tcPr>
          <w:p w14:paraId="4B9A3FE8" w14:textId="77777777" w:rsidR="002A3970" w:rsidRDefault="002A3970">
            <w:pPr>
              <w:rPr>
                <w:rFonts w:ascii="宋体"/>
              </w:rPr>
            </w:pPr>
          </w:p>
        </w:tc>
        <w:tc>
          <w:tcPr>
            <w:tcW w:w="2488" w:type="pct"/>
            <w:shd w:val="clear" w:color="auto" w:fill="auto"/>
            <w:vAlign w:val="bottom"/>
          </w:tcPr>
          <w:p w14:paraId="4B9A3FE9" w14:textId="77777777" w:rsidR="002A3970" w:rsidRDefault="002A3970">
            <w:pPr>
              <w:rPr>
                <w:rFonts w:ascii="宋体"/>
              </w:rPr>
            </w:pPr>
          </w:p>
        </w:tc>
        <w:tc>
          <w:tcPr>
            <w:tcW w:w="5" w:type="pct"/>
            <w:shd w:val="clear" w:color="auto" w:fill="auto"/>
            <w:vAlign w:val="bottom"/>
          </w:tcPr>
          <w:p w14:paraId="4B9A3FEA" w14:textId="77777777" w:rsidR="002A3970" w:rsidRDefault="002A3970">
            <w:pPr>
              <w:rPr>
                <w:rFonts w:ascii="宋体"/>
              </w:rPr>
            </w:pPr>
          </w:p>
        </w:tc>
        <w:tc>
          <w:tcPr>
            <w:tcW w:w="5" w:type="pct"/>
            <w:shd w:val="clear" w:color="auto" w:fill="auto"/>
            <w:vAlign w:val="bottom"/>
          </w:tcPr>
          <w:p w14:paraId="4B9A3FEB" w14:textId="77777777" w:rsidR="002A3970" w:rsidRDefault="002A3970">
            <w:pPr>
              <w:rPr>
                <w:rFonts w:ascii="宋体"/>
              </w:rPr>
            </w:pPr>
          </w:p>
        </w:tc>
        <w:tc>
          <w:tcPr>
            <w:tcW w:w="26" w:type="pct"/>
            <w:shd w:val="clear" w:color="auto" w:fill="auto"/>
            <w:vAlign w:val="bottom"/>
          </w:tcPr>
          <w:p w14:paraId="4B9A3FEC" w14:textId="77777777" w:rsidR="002A3970" w:rsidRDefault="002A3970">
            <w:pPr>
              <w:rPr>
                <w:rFonts w:ascii="宋体"/>
              </w:rPr>
            </w:pPr>
          </w:p>
        </w:tc>
        <w:tc>
          <w:tcPr>
            <w:tcW w:w="5" w:type="pct"/>
            <w:shd w:val="clear" w:color="auto" w:fill="auto"/>
            <w:vAlign w:val="bottom"/>
          </w:tcPr>
          <w:p w14:paraId="4B9A3FED" w14:textId="77777777" w:rsidR="002A3970" w:rsidRDefault="002A3970">
            <w:pPr>
              <w:rPr>
                <w:rFonts w:ascii="宋体"/>
              </w:rPr>
            </w:pPr>
          </w:p>
        </w:tc>
        <w:tc>
          <w:tcPr>
            <w:tcW w:w="50" w:type="pct"/>
            <w:shd w:val="clear" w:color="auto" w:fill="auto"/>
            <w:vAlign w:val="bottom"/>
          </w:tcPr>
          <w:p w14:paraId="4B9A3FEE" w14:textId="77777777" w:rsidR="002A3970" w:rsidRDefault="002A3970">
            <w:pPr>
              <w:rPr>
                <w:rFonts w:ascii="宋体"/>
              </w:rPr>
            </w:pPr>
          </w:p>
        </w:tc>
        <w:tc>
          <w:tcPr>
            <w:tcW w:w="522" w:type="pct"/>
            <w:shd w:val="clear" w:color="auto" w:fill="auto"/>
            <w:vAlign w:val="bottom"/>
          </w:tcPr>
          <w:p w14:paraId="4B9A3FEF" w14:textId="77777777" w:rsidR="002A3970" w:rsidRDefault="002A3970">
            <w:pPr>
              <w:rPr>
                <w:rFonts w:ascii="宋体"/>
              </w:rPr>
            </w:pPr>
          </w:p>
        </w:tc>
        <w:tc>
          <w:tcPr>
            <w:tcW w:w="5" w:type="pct"/>
            <w:shd w:val="clear" w:color="auto" w:fill="auto"/>
            <w:vAlign w:val="bottom"/>
          </w:tcPr>
          <w:p w14:paraId="4B9A3FF0" w14:textId="77777777" w:rsidR="002A3970" w:rsidRDefault="002A3970">
            <w:pPr>
              <w:rPr>
                <w:rFonts w:ascii="宋体"/>
              </w:rPr>
            </w:pPr>
          </w:p>
        </w:tc>
        <w:tc>
          <w:tcPr>
            <w:tcW w:w="5" w:type="pct"/>
            <w:shd w:val="clear" w:color="auto" w:fill="auto"/>
            <w:vAlign w:val="bottom"/>
          </w:tcPr>
          <w:p w14:paraId="4B9A3FF1" w14:textId="77777777" w:rsidR="002A3970" w:rsidRDefault="002A3970">
            <w:pPr>
              <w:rPr>
                <w:rFonts w:ascii="宋体"/>
              </w:rPr>
            </w:pPr>
          </w:p>
        </w:tc>
        <w:tc>
          <w:tcPr>
            <w:tcW w:w="26" w:type="pct"/>
            <w:shd w:val="clear" w:color="auto" w:fill="auto"/>
            <w:vAlign w:val="bottom"/>
          </w:tcPr>
          <w:p w14:paraId="4B9A3FF2" w14:textId="77777777" w:rsidR="002A3970" w:rsidRDefault="002A3970">
            <w:pPr>
              <w:rPr>
                <w:rFonts w:ascii="宋体"/>
              </w:rPr>
            </w:pPr>
          </w:p>
        </w:tc>
        <w:tc>
          <w:tcPr>
            <w:tcW w:w="5" w:type="pct"/>
            <w:shd w:val="clear" w:color="auto" w:fill="auto"/>
            <w:vAlign w:val="bottom"/>
          </w:tcPr>
          <w:p w14:paraId="4B9A3FF3" w14:textId="77777777" w:rsidR="002A3970" w:rsidRDefault="002A3970">
            <w:pPr>
              <w:rPr>
                <w:rFonts w:ascii="宋体"/>
              </w:rPr>
            </w:pPr>
          </w:p>
        </w:tc>
        <w:tc>
          <w:tcPr>
            <w:tcW w:w="50" w:type="pct"/>
            <w:shd w:val="clear" w:color="auto" w:fill="auto"/>
            <w:vAlign w:val="bottom"/>
          </w:tcPr>
          <w:p w14:paraId="4B9A3FF4" w14:textId="77777777" w:rsidR="002A3970" w:rsidRDefault="002A3970">
            <w:pPr>
              <w:rPr>
                <w:rFonts w:ascii="宋体"/>
              </w:rPr>
            </w:pPr>
          </w:p>
        </w:tc>
        <w:tc>
          <w:tcPr>
            <w:tcW w:w="522" w:type="pct"/>
            <w:shd w:val="clear" w:color="auto" w:fill="auto"/>
            <w:vAlign w:val="bottom"/>
          </w:tcPr>
          <w:p w14:paraId="4B9A3FF5" w14:textId="77777777" w:rsidR="002A3970" w:rsidRDefault="002A3970">
            <w:pPr>
              <w:rPr>
                <w:rFonts w:ascii="宋体"/>
              </w:rPr>
            </w:pPr>
          </w:p>
        </w:tc>
        <w:tc>
          <w:tcPr>
            <w:tcW w:w="5" w:type="pct"/>
            <w:shd w:val="clear" w:color="auto" w:fill="auto"/>
            <w:vAlign w:val="bottom"/>
          </w:tcPr>
          <w:p w14:paraId="4B9A3FF6" w14:textId="77777777" w:rsidR="002A3970" w:rsidRDefault="002A3970">
            <w:pPr>
              <w:rPr>
                <w:rFonts w:ascii="宋体"/>
              </w:rPr>
            </w:pPr>
          </w:p>
        </w:tc>
        <w:tc>
          <w:tcPr>
            <w:tcW w:w="5" w:type="pct"/>
            <w:shd w:val="clear" w:color="auto" w:fill="auto"/>
            <w:vAlign w:val="bottom"/>
          </w:tcPr>
          <w:p w14:paraId="4B9A3FF7" w14:textId="77777777" w:rsidR="002A3970" w:rsidRDefault="002A3970">
            <w:pPr>
              <w:rPr>
                <w:rFonts w:ascii="宋体"/>
              </w:rPr>
            </w:pPr>
          </w:p>
        </w:tc>
        <w:tc>
          <w:tcPr>
            <w:tcW w:w="26" w:type="pct"/>
            <w:shd w:val="clear" w:color="auto" w:fill="auto"/>
            <w:vAlign w:val="bottom"/>
          </w:tcPr>
          <w:p w14:paraId="4B9A3FF8" w14:textId="77777777" w:rsidR="002A3970" w:rsidRDefault="002A3970">
            <w:pPr>
              <w:rPr>
                <w:rFonts w:ascii="宋体"/>
              </w:rPr>
            </w:pPr>
          </w:p>
        </w:tc>
        <w:tc>
          <w:tcPr>
            <w:tcW w:w="5" w:type="pct"/>
            <w:shd w:val="clear" w:color="auto" w:fill="auto"/>
            <w:vAlign w:val="bottom"/>
          </w:tcPr>
          <w:p w14:paraId="4B9A3FF9" w14:textId="77777777" w:rsidR="002A3970" w:rsidRDefault="002A3970">
            <w:pPr>
              <w:rPr>
                <w:rFonts w:ascii="宋体"/>
              </w:rPr>
            </w:pPr>
          </w:p>
        </w:tc>
        <w:tc>
          <w:tcPr>
            <w:tcW w:w="50" w:type="pct"/>
            <w:shd w:val="clear" w:color="auto" w:fill="auto"/>
            <w:vAlign w:val="bottom"/>
          </w:tcPr>
          <w:p w14:paraId="4B9A3FFA" w14:textId="77777777" w:rsidR="002A3970" w:rsidRDefault="002A3970">
            <w:pPr>
              <w:rPr>
                <w:rFonts w:ascii="宋体"/>
              </w:rPr>
            </w:pPr>
          </w:p>
        </w:tc>
        <w:tc>
          <w:tcPr>
            <w:tcW w:w="522" w:type="pct"/>
            <w:shd w:val="clear" w:color="auto" w:fill="auto"/>
            <w:vAlign w:val="bottom"/>
          </w:tcPr>
          <w:p w14:paraId="4B9A3FFB" w14:textId="77777777" w:rsidR="002A3970" w:rsidRDefault="002A3970">
            <w:pPr>
              <w:rPr>
                <w:rFonts w:ascii="宋体"/>
              </w:rPr>
            </w:pPr>
          </w:p>
        </w:tc>
        <w:tc>
          <w:tcPr>
            <w:tcW w:w="5" w:type="pct"/>
            <w:shd w:val="clear" w:color="auto" w:fill="auto"/>
            <w:vAlign w:val="bottom"/>
          </w:tcPr>
          <w:p w14:paraId="4B9A3FFC" w14:textId="77777777" w:rsidR="002A3970" w:rsidRDefault="002A3970">
            <w:pPr>
              <w:rPr>
                <w:rFonts w:ascii="宋体"/>
              </w:rPr>
            </w:pPr>
          </w:p>
        </w:tc>
        <w:tc>
          <w:tcPr>
            <w:tcW w:w="5" w:type="pct"/>
            <w:shd w:val="clear" w:color="auto" w:fill="auto"/>
            <w:vAlign w:val="bottom"/>
          </w:tcPr>
          <w:p w14:paraId="4B9A3FFD" w14:textId="77777777" w:rsidR="002A3970" w:rsidRDefault="002A3970">
            <w:pPr>
              <w:rPr>
                <w:rFonts w:ascii="宋体"/>
              </w:rPr>
            </w:pPr>
          </w:p>
        </w:tc>
        <w:tc>
          <w:tcPr>
            <w:tcW w:w="26" w:type="pct"/>
            <w:shd w:val="clear" w:color="auto" w:fill="auto"/>
            <w:vAlign w:val="bottom"/>
          </w:tcPr>
          <w:p w14:paraId="4B9A3FFE" w14:textId="77777777" w:rsidR="002A3970" w:rsidRDefault="002A3970">
            <w:pPr>
              <w:rPr>
                <w:rFonts w:ascii="宋体"/>
              </w:rPr>
            </w:pPr>
          </w:p>
        </w:tc>
        <w:tc>
          <w:tcPr>
            <w:tcW w:w="5" w:type="pct"/>
            <w:shd w:val="clear" w:color="auto" w:fill="auto"/>
            <w:vAlign w:val="bottom"/>
          </w:tcPr>
          <w:p w14:paraId="4B9A3FFF" w14:textId="77777777" w:rsidR="002A3970" w:rsidRDefault="002A3970">
            <w:pPr>
              <w:rPr>
                <w:rFonts w:ascii="宋体"/>
              </w:rPr>
            </w:pPr>
          </w:p>
        </w:tc>
        <w:tc>
          <w:tcPr>
            <w:tcW w:w="50" w:type="pct"/>
            <w:shd w:val="clear" w:color="auto" w:fill="auto"/>
            <w:vAlign w:val="bottom"/>
          </w:tcPr>
          <w:p w14:paraId="4B9A4000" w14:textId="77777777" w:rsidR="002A3970" w:rsidRDefault="002A3970">
            <w:pPr>
              <w:rPr>
                <w:rFonts w:ascii="宋体"/>
              </w:rPr>
            </w:pPr>
          </w:p>
        </w:tc>
        <w:tc>
          <w:tcPr>
            <w:tcW w:w="522" w:type="pct"/>
            <w:shd w:val="clear" w:color="auto" w:fill="auto"/>
            <w:vAlign w:val="bottom"/>
          </w:tcPr>
          <w:p w14:paraId="4B9A4001" w14:textId="77777777" w:rsidR="002A3970" w:rsidRDefault="002A3970">
            <w:pPr>
              <w:rPr>
                <w:rFonts w:ascii="宋体"/>
              </w:rPr>
            </w:pPr>
          </w:p>
        </w:tc>
        <w:tc>
          <w:tcPr>
            <w:tcW w:w="5" w:type="pct"/>
            <w:shd w:val="clear" w:color="auto" w:fill="auto"/>
            <w:vAlign w:val="bottom"/>
          </w:tcPr>
          <w:p w14:paraId="4B9A4002" w14:textId="77777777" w:rsidR="002A3970" w:rsidRDefault="002A3970">
            <w:pPr>
              <w:rPr>
                <w:rFonts w:ascii="宋体"/>
              </w:rPr>
            </w:pPr>
          </w:p>
        </w:tc>
      </w:tr>
      <w:tr w:rsidR="002A3970" w14:paraId="4B9A4009" w14:textId="77777777">
        <w:trPr>
          <w:jc w:val="center"/>
        </w:trPr>
        <w:tc>
          <w:tcPr>
            <w:tcW w:w="0" w:type="auto"/>
            <w:gridSpan w:val="3"/>
            <w:shd w:val="clear" w:color="auto" w:fill="auto"/>
            <w:tcMar>
              <w:top w:w="40" w:type="dxa"/>
              <w:left w:w="20" w:type="dxa"/>
              <w:bottom w:w="40" w:type="dxa"/>
              <w:right w:w="20" w:type="dxa"/>
            </w:tcMar>
            <w:vAlign w:val="bottom"/>
          </w:tcPr>
          <w:p w14:paraId="4B9A4004"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005"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006"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007"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008"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4013" w14:textId="77777777">
        <w:trPr>
          <w:jc w:val="center"/>
        </w:trPr>
        <w:tc>
          <w:tcPr>
            <w:tcW w:w="0" w:type="auto"/>
            <w:gridSpan w:val="3"/>
            <w:shd w:val="clear" w:color="auto" w:fill="auto"/>
            <w:tcMar>
              <w:top w:w="40" w:type="dxa"/>
              <w:left w:w="20" w:type="dxa"/>
              <w:bottom w:w="40" w:type="dxa"/>
              <w:right w:w="20" w:type="dxa"/>
            </w:tcMar>
            <w:vAlign w:val="bottom"/>
          </w:tcPr>
          <w:p w14:paraId="4B9A400A" w14:textId="77777777" w:rsidR="002A3970" w:rsidRDefault="00C35E63">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vAlign w:val="bottom"/>
          </w:tcPr>
          <w:p w14:paraId="4B9A400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0C"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00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0E"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00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10"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01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12"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025" w14:textId="77777777">
        <w:trPr>
          <w:jc w:val="center"/>
        </w:trPr>
        <w:tc>
          <w:tcPr>
            <w:tcW w:w="0" w:type="auto"/>
            <w:gridSpan w:val="3"/>
            <w:shd w:val="clear" w:color="auto" w:fill="CCEEFF"/>
            <w:tcMar>
              <w:top w:w="40" w:type="dxa"/>
              <w:left w:w="380" w:type="dxa"/>
              <w:bottom w:w="40" w:type="dxa"/>
              <w:right w:w="20" w:type="dxa"/>
            </w:tcMar>
            <w:vAlign w:val="center"/>
          </w:tcPr>
          <w:p w14:paraId="4B9A4014" w14:textId="77777777" w:rsidR="002A3970" w:rsidRDefault="00C35E63">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vAlign w:val="bottom"/>
          </w:tcPr>
          <w:p w14:paraId="4B9A401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16"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17" w14:textId="77777777" w:rsidR="002A3970" w:rsidRDefault="00C35E63">
            <w:pPr>
              <w:jc w:val="right"/>
              <w:textAlignment w:val="bottom"/>
            </w:pPr>
            <w:r>
              <w:rPr>
                <w:rFonts w:ascii="Times New Roman" w:eastAsia="宋体" w:hAnsi="Times New Roman"/>
                <w:color w:val="000000"/>
                <w:sz w:val="16"/>
                <w:szCs w:val="16"/>
              </w:rPr>
              <w:t>63,231 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1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1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1A"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1B" w14:textId="77777777" w:rsidR="002A3970" w:rsidRDefault="00C35E63">
            <w:pPr>
              <w:jc w:val="right"/>
              <w:textAlignment w:val="bottom"/>
            </w:pPr>
            <w:r>
              <w:rPr>
                <w:rFonts w:ascii="Times New Roman" w:eastAsia="宋体" w:hAnsi="Times New Roman"/>
                <w:color w:val="000000"/>
                <w:sz w:val="16"/>
                <w:szCs w:val="16"/>
              </w:rPr>
              <w:t>55,560 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1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1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1E"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1F" w14:textId="77777777" w:rsidR="002A3970" w:rsidRDefault="00C35E63">
            <w:pPr>
              <w:jc w:val="right"/>
              <w:textAlignment w:val="bottom"/>
            </w:pPr>
            <w:r>
              <w:rPr>
                <w:rFonts w:ascii="Times New Roman" w:eastAsia="宋体" w:hAnsi="Times New Roman"/>
                <w:color w:val="000000"/>
                <w:sz w:val="16"/>
                <w:szCs w:val="16"/>
              </w:rPr>
              <w:t>181,464 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2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2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22"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23" w14:textId="77777777" w:rsidR="002A3970" w:rsidRDefault="00C35E63">
            <w:pPr>
              <w:jc w:val="right"/>
              <w:textAlignment w:val="bottom"/>
            </w:pPr>
            <w:r>
              <w:rPr>
                <w:rFonts w:ascii="Times New Roman" w:eastAsia="宋体" w:hAnsi="Times New Roman"/>
                <w:color w:val="000000"/>
                <w:sz w:val="16"/>
                <w:szCs w:val="16"/>
              </w:rPr>
              <w:t>161,600 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24" w14:textId="77777777" w:rsidR="002A3970" w:rsidRDefault="002A3970">
            <w:pPr>
              <w:jc w:val="right"/>
              <w:rPr>
                <w:rFonts w:ascii="宋体"/>
              </w:rPr>
            </w:pPr>
          </w:p>
        </w:tc>
      </w:tr>
      <w:tr w:rsidR="002A3970" w14:paraId="4B9A4033" w14:textId="77777777">
        <w:trPr>
          <w:jc w:val="center"/>
        </w:trPr>
        <w:tc>
          <w:tcPr>
            <w:tcW w:w="0" w:type="auto"/>
            <w:gridSpan w:val="3"/>
            <w:shd w:val="clear" w:color="auto" w:fill="FFFFFF"/>
            <w:tcMar>
              <w:top w:w="40" w:type="dxa"/>
              <w:left w:w="380" w:type="dxa"/>
              <w:bottom w:w="40" w:type="dxa"/>
              <w:right w:w="20" w:type="dxa"/>
            </w:tcMar>
            <w:vAlign w:val="bottom"/>
          </w:tcPr>
          <w:p w14:paraId="4B9A4026" w14:textId="77777777" w:rsidR="002A3970" w:rsidRDefault="00C35E63">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vAlign w:val="bottom"/>
          </w:tcPr>
          <w:p w14:paraId="4B9A402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28" w14:textId="77777777" w:rsidR="002A3970" w:rsidRDefault="00C35E63">
            <w:pPr>
              <w:jc w:val="right"/>
              <w:textAlignment w:val="bottom"/>
            </w:pPr>
            <w:r>
              <w:rPr>
                <w:rFonts w:ascii="Times New Roman" w:eastAsia="宋体" w:hAnsi="Times New Roman"/>
                <w:color w:val="000000"/>
                <w:sz w:val="16"/>
                <w:szCs w:val="16"/>
              </w:rPr>
              <w:t>27,605 </w:t>
            </w:r>
          </w:p>
        </w:tc>
        <w:tc>
          <w:tcPr>
            <w:tcW w:w="0" w:type="auto"/>
            <w:shd w:val="clear" w:color="auto" w:fill="FFFFFF"/>
            <w:tcMar>
              <w:top w:w="40" w:type="dxa"/>
              <w:left w:w="0" w:type="dxa"/>
              <w:bottom w:w="40" w:type="dxa"/>
              <w:right w:w="20" w:type="dxa"/>
            </w:tcMar>
            <w:vAlign w:val="bottom"/>
          </w:tcPr>
          <w:p w14:paraId="4B9A402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2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2B" w14:textId="77777777" w:rsidR="002A3970" w:rsidRDefault="00C35E63">
            <w:pPr>
              <w:jc w:val="right"/>
              <w:textAlignment w:val="bottom"/>
            </w:pPr>
            <w:r>
              <w:rPr>
                <w:rFonts w:ascii="Times New Roman" w:eastAsia="宋体" w:hAnsi="Times New Roman"/>
                <w:color w:val="000000"/>
                <w:sz w:val="16"/>
                <w:szCs w:val="16"/>
              </w:rPr>
              <w:t>28,544 </w:t>
            </w:r>
          </w:p>
        </w:tc>
        <w:tc>
          <w:tcPr>
            <w:tcW w:w="0" w:type="auto"/>
            <w:shd w:val="clear" w:color="auto" w:fill="FFFFFF"/>
            <w:tcMar>
              <w:top w:w="40" w:type="dxa"/>
              <w:left w:w="0" w:type="dxa"/>
              <w:bottom w:w="40" w:type="dxa"/>
              <w:right w:w="20" w:type="dxa"/>
            </w:tcMar>
            <w:vAlign w:val="bottom"/>
          </w:tcPr>
          <w:p w14:paraId="4B9A402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2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2E" w14:textId="77777777" w:rsidR="002A3970" w:rsidRDefault="00C35E63">
            <w:pPr>
              <w:jc w:val="right"/>
              <w:textAlignment w:val="bottom"/>
            </w:pPr>
            <w:r>
              <w:rPr>
                <w:rFonts w:ascii="Times New Roman" w:eastAsia="宋体" w:hAnsi="Times New Roman"/>
                <w:color w:val="000000"/>
                <w:sz w:val="16"/>
                <w:szCs w:val="16"/>
              </w:rPr>
              <w:t>85,057 </w:t>
            </w:r>
          </w:p>
        </w:tc>
        <w:tc>
          <w:tcPr>
            <w:tcW w:w="0" w:type="auto"/>
            <w:shd w:val="clear" w:color="auto" w:fill="FFFFFF"/>
            <w:tcMar>
              <w:top w:w="40" w:type="dxa"/>
              <w:left w:w="0" w:type="dxa"/>
              <w:bottom w:w="40" w:type="dxa"/>
              <w:right w:w="20" w:type="dxa"/>
            </w:tcMar>
            <w:vAlign w:val="bottom"/>
          </w:tcPr>
          <w:p w14:paraId="4B9A402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3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31" w14:textId="77777777" w:rsidR="002A3970" w:rsidRDefault="00C35E63">
            <w:pPr>
              <w:jc w:val="right"/>
              <w:textAlignment w:val="bottom"/>
            </w:pPr>
            <w:r>
              <w:rPr>
                <w:rFonts w:ascii="Times New Roman" w:eastAsia="宋体" w:hAnsi="Times New Roman"/>
                <w:color w:val="000000"/>
                <w:sz w:val="16"/>
                <w:szCs w:val="16"/>
              </w:rPr>
              <w:t>90,858 </w:t>
            </w:r>
          </w:p>
        </w:tc>
        <w:tc>
          <w:tcPr>
            <w:tcW w:w="0" w:type="auto"/>
            <w:shd w:val="clear" w:color="auto" w:fill="FFFFFF"/>
            <w:tcMar>
              <w:top w:w="40" w:type="dxa"/>
              <w:left w:w="0" w:type="dxa"/>
              <w:bottom w:w="40" w:type="dxa"/>
              <w:right w:w="20" w:type="dxa"/>
            </w:tcMar>
            <w:vAlign w:val="bottom"/>
          </w:tcPr>
          <w:p w14:paraId="4B9A4032" w14:textId="77777777" w:rsidR="002A3970" w:rsidRDefault="002A3970">
            <w:pPr>
              <w:jc w:val="right"/>
              <w:rPr>
                <w:rFonts w:ascii="宋体"/>
              </w:rPr>
            </w:pPr>
          </w:p>
        </w:tc>
      </w:tr>
      <w:tr w:rsidR="002A3970" w14:paraId="4B9A4041" w14:textId="77777777">
        <w:trPr>
          <w:jc w:val="center"/>
        </w:trPr>
        <w:tc>
          <w:tcPr>
            <w:tcW w:w="0" w:type="auto"/>
            <w:gridSpan w:val="3"/>
            <w:shd w:val="clear" w:color="auto" w:fill="CCEEFF"/>
            <w:tcMar>
              <w:top w:w="40" w:type="dxa"/>
              <w:left w:w="380" w:type="dxa"/>
              <w:bottom w:w="40" w:type="dxa"/>
              <w:right w:w="20" w:type="dxa"/>
            </w:tcMar>
            <w:vAlign w:val="bottom"/>
          </w:tcPr>
          <w:p w14:paraId="4B9A4034" w14:textId="77777777" w:rsidR="002A3970" w:rsidRDefault="00C35E63">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vAlign w:val="bottom"/>
          </w:tcPr>
          <w:p w14:paraId="4B9A403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36" w14:textId="77777777" w:rsidR="002A3970" w:rsidRDefault="00C35E63">
            <w:pPr>
              <w:jc w:val="right"/>
              <w:textAlignment w:val="bottom"/>
            </w:pPr>
            <w:r>
              <w:rPr>
                <w:rFonts w:ascii="Times New Roman" w:eastAsia="宋体" w:hAnsi="Times New Roman"/>
                <w:color w:val="000000"/>
                <w:sz w:val="16"/>
                <w:szCs w:val="16"/>
              </w:rPr>
              <w:t>11,947 </w:t>
            </w:r>
          </w:p>
        </w:tc>
        <w:tc>
          <w:tcPr>
            <w:tcW w:w="0" w:type="auto"/>
            <w:shd w:val="clear" w:color="auto" w:fill="CCEEFF"/>
            <w:tcMar>
              <w:top w:w="40" w:type="dxa"/>
              <w:left w:w="0" w:type="dxa"/>
              <w:bottom w:w="40" w:type="dxa"/>
              <w:right w:w="20" w:type="dxa"/>
            </w:tcMar>
            <w:vAlign w:val="bottom"/>
          </w:tcPr>
          <w:p w14:paraId="4B9A403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3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39" w14:textId="77777777" w:rsidR="002A3970" w:rsidRDefault="00C35E63">
            <w:pPr>
              <w:jc w:val="right"/>
              <w:textAlignment w:val="bottom"/>
            </w:pPr>
            <w:r>
              <w:rPr>
                <w:rFonts w:ascii="Times New Roman" w:eastAsia="宋体" w:hAnsi="Times New Roman"/>
                <w:color w:val="000000"/>
                <w:sz w:val="16"/>
                <w:szCs w:val="16"/>
              </w:rPr>
              <w:t>11,030 </w:t>
            </w:r>
          </w:p>
        </w:tc>
        <w:tc>
          <w:tcPr>
            <w:tcW w:w="0" w:type="auto"/>
            <w:shd w:val="clear" w:color="auto" w:fill="CCEEFF"/>
            <w:tcMar>
              <w:top w:w="40" w:type="dxa"/>
              <w:left w:w="0" w:type="dxa"/>
              <w:bottom w:w="40" w:type="dxa"/>
              <w:right w:w="20" w:type="dxa"/>
            </w:tcMar>
            <w:vAlign w:val="bottom"/>
          </w:tcPr>
          <w:p w14:paraId="4B9A403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3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3C" w14:textId="77777777" w:rsidR="002A3970" w:rsidRDefault="00C35E63">
            <w:pPr>
              <w:jc w:val="right"/>
              <w:textAlignment w:val="bottom"/>
            </w:pPr>
            <w:r>
              <w:rPr>
                <w:rFonts w:ascii="Times New Roman" w:eastAsia="宋体" w:hAnsi="Times New Roman"/>
                <w:color w:val="000000"/>
                <w:sz w:val="16"/>
                <w:szCs w:val="16"/>
              </w:rPr>
              <w:t>34,172 </w:t>
            </w:r>
          </w:p>
        </w:tc>
        <w:tc>
          <w:tcPr>
            <w:tcW w:w="0" w:type="auto"/>
            <w:shd w:val="clear" w:color="auto" w:fill="CCEEFF"/>
            <w:tcMar>
              <w:top w:w="40" w:type="dxa"/>
              <w:left w:w="0" w:type="dxa"/>
              <w:bottom w:w="40" w:type="dxa"/>
              <w:right w:w="20" w:type="dxa"/>
            </w:tcMar>
            <w:vAlign w:val="bottom"/>
          </w:tcPr>
          <w:p w14:paraId="4B9A403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3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3F" w14:textId="77777777" w:rsidR="002A3970" w:rsidRDefault="00C35E63">
            <w:pPr>
              <w:jc w:val="right"/>
              <w:textAlignment w:val="bottom"/>
            </w:pPr>
            <w:r>
              <w:rPr>
                <w:rFonts w:ascii="Times New Roman" w:eastAsia="宋体" w:hAnsi="Times New Roman"/>
                <w:color w:val="000000"/>
                <w:sz w:val="16"/>
                <w:szCs w:val="16"/>
              </w:rPr>
              <w:t>31,480 </w:t>
            </w:r>
          </w:p>
        </w:tc>
        <w:tc>
          <w:tcPr>
            <w:tcW w:w="0" w:type="auto"/>
            <w:shd w:val="clear" w:color="auto" w:fill="CCEEFF"/>
            <w:tcMar>
              <w:top w:w="40" w:type="dxa"/>
              <w:left w:w="0" w:type="dxa"/>
              <w:bottom w:w="40" w:type="dxa"/>
              <w:right w:w="20" w:type="dxa"/>
            </w:tcMar>
            <w:vAlign w:val="bottom"/>
          </w:tcPr>
          <w:p w14:paraId="4B9A4040" w14:textId="77777777" w:rsidR="002A3970" w:rsidRDefault="002A3970">
            <w:pPr>
              <w:jc w:val="right"/>
              <w:rPr>
                <w:rFonts w:ascii="宋体"/>
              </w:rPr>
            </w:pPr>
          </w:p>
        </w:tc>
      </w:tr>
      <w:tr w:rsidR="002A3970" w14:paraId="4B9A404F" w14:textId="77777777">
        <w:trPr>
          <w:jc w:val="center"/>
        </w:trPr>
        <w:tc>
          <w:tcPr>
            <w:tcW w:w="0" w:type="auto"/>
            <w:gridSpan w:val="3"/>
            <w:shd w:val="clear" w:color="auto" w:fill="FFFFFF"/>
            <w:tcMar>
              <w:top w:w="40" w:type="dxa"/>
              <w:left w:w="380" w:type="dxa"/>
              <w:bottom w:w="40" w:type="dxa"/>
              <w:right w:w="20" w:type="dxa"/>
            </w:tcMar>
            <w:vAlign w:val="bottom"/>
          </w:tcPr>
          <w:p w14:paraId="4B9A4042" w14:textId="77777777" w:rsidR="002A3970" w:rsidRDefault="00C35E63">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vAlign w:val="bottom"/>
          </w:tcPr>
          <w:p w14:paraId="4B9A404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44" w14:textId="77777777" w:rsidR="002A3970" w:rsidRDefault="00C35E63">
            <w:pPr>
              <w:jc w:val="right"/>
              <w:textAlignment w:val="bottom"/>
            </w:pPr>
            <w:r>
              <w:rPr>
                <w:rFonts w:ascii="Times New Roman" w:eastAsia="宋体" w:hAnsi="Times New Roman"/>
                <w:color w:val="000000"/>
                <w:sz w:val="16"/>
                <w:szCs w:val="16"/>
              </w:rPr>
              <w:t>1,992 </w:t>
            </w:r>
          </w:p>
        </w:tc>
        <w:tc>
          <w:tcPr>
            <w:tcW w:w="0" w:type="auto"/>
            <w:shd w:val="clear" w:color="auto" w:fill="FFFFFF"/>
            <w:tcMar>
              <w:top w:w="40" w:type="dxa"/>
              <w:left w:w="0" w:type="dxa"/>
              <w:bottom w:w="40" w:type="dxa"/>
              <w:right w:w="20" w:type="dxa"/>
            </w:tcMar>
            <w:vAlign w:val="bottom"/>
          </w:tcPr>
          <w:p w14:paraId="4B9A404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4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47" w14:textId="77777777" w:rsidR="002A3970" w:rsidRDefault="00C35E63">
            <w:pPr>
              <w:jc w:val="right"/>
              <w:textAlignment w:val="bottom"/>
            </w:pPr>
            <w:r>
              <w:rPr>
                <w:rFonts w:ascii="Times New Roman" w:eastAsia="宋体" w:hAnsi="Times New Roman"/>
                <w:color w:val="000000"/>
                <w:sz w:val="16"/>
                <w:szCs w:val="16"/>
              </w:rPr>
              <w:t>1,475 </w:t>
            </w:r>
          </w:p>
        </w:tc>
        <w:tc>
          <w:tcPr>
            <w:tcW w:w="0" w:type="auto"/>
            <w:shd w:val="clear" w:color="auto" w:fill="FFFFFF"/>
            <w:tcMar>
              <w:top w:w="40" w:type="dxa"/>
              <w:left w:w="0" w:type="dxa"/>
              <w:bottom w:w="40" w:type="dxa"/>
              <w:right w:w="20" w:type="dxa"/>
            </w:tcMar>
            <w:vAlign w:val="bottom"/>
          </w:tcPr>
          <w:p w14:paraId="4B9A404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4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4A" w14:textId="77777777" w:rsidR="002A3970" w:rsidRDefault="00C35E63">
            <w:pPr>
              <w:jc w:val="right"/>
              <w:textAlignment w:val="bottom"/>
            </w:pPr>
            <w:r>
              <w:rPr>
                <w:rFonts w:ascii="Times New Roman" w:eastAsia="宋体" w:hAnsi="Times New Roman"/>
                <w:color w:val="000000"/>
                <w:sz w:val="16"/>
                <w:szCs w:val="16"/>
              </w:rPr>
              <w:t>6,116 </w:t>
            </w:r>
          </w:p>
        </w:tc>
        <w:tc>
          <w:tcPr>
            <w:tcW w:w="0" w:type="auto"/>
            <w:shd w:val="clear" w:color="auto" w:fill="FFFFFF"/>
            <w:tcMar>
              <w:top w:w="40" w:type="dxa"/>
              <w:left w:w="0" w:type="dxa"/>
              <w:bottom w:w="40" w:type="dxa"/>
              <w:right w:w="20" w:type="dxa"/>
            </w:tcMar>
            <w:vAlign w:val="bottom"/>
          </w:tcPr>
          <w:p w14:paraId="4B9A404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4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4D" w14:textId="77777777" w:rsidR="002A3970" w:rsidRDefault="00C35E63">
            <w:pPr>
              <w:jc w:val="right"/>
              <w:textAlignment w:val="bottom"/>
            </w:pPr>
            <w:r>
              <w:rPr>
                <w:rFonts w:ascii="Times New Roman" w:eastAsia="宋体" w:hAnsi="Times New Roman"/>
                <w:color w:val="000000"/>
                <w:sz w:val="16"/>
                <w:szCs w:val="16"/>
              </w:rPr>
              <w:t>4,030 </w:t>
            </w:r>
          </w:p>
        </w:tc>
        <w:tc>
          <w:tcPr>
            <w:tcW w:w="0" w:type="auto"/>
            <w:shd w:val="clear" w:color="auto" w:fill="FFFFFF"/>
            <w:tcMar>
              <w:top w:w="40" w:type="dxa"/>
              <w:left w:w="0" w:type="dxa"/>
              <w:bottom w:w="40" w:type="dxa"/>
              <w:right w:w="20" w:type="dxa"/>
            </w:tcMar>
            <w:vAlign w:val="bottom"/>
          </w:tcPr>
          <w:p w14:paraId="4B9A404E" w14:textId="77777777" w:rsidR="002A3970" w:rsidRDefault="002A3970">
            <w:pPr>
              <w:jc w:val="right"/>
              <w:rPr>
                <w:rFonts w:ascii="宋体"/>
              </w:rPr>
            </w:pPr>
          </w:p>
        </w:tc>
      </w:tr>
      <w:tr w:rsidR="002A3970" w14:paraId="4B9A4061" w14:textId="77777777">
        <w:trPr>
          <w:jc w:val="center"/>
        </w:trPr>
        <w:tc>
          <w:tcPr>
            <w:tcW w:w="0" w:type="auto"/>
            <w:gridSpan w:val="3"/>
            <w:shd w:val="clear" w:color="auto" w:fill="CCEEFF"/>
            <w:tcMar>
              <w:top w:w="40" w:type="dxa"/>
              <w:left w:w="20" w:type="dxa"/>
              <w:bottom w:w="40" w:type="dxa"/>
              <w:right w:w="20" w:type="dxa"/>
            </w:tcMar>
            <w:vAlign w:val="bottom"/>
          </w:tcPr>
          <w:p w14:paraId="4B9A4050" w14:textId="77777777" w:rsidR="002A3970" w:rsidRDefault="00C35E63">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4B9A4051"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4052"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4053" w14:textId="77777777" w:rsidR="002A3970" w:rsidRDefault="00C35E63">
            <w:pPr>
              <w:jc w:val="right"/>
              <w:textAlignment w:val="bottom"/>
            </w:pPr>
            <w:r>
              <w:rPr>
                <w:rFonts w:ascii="Times New Roman" w:eastAsia="宋体" w:hAnsi="Times New Roman"/>
                <w:color w:val="000000"/>
                <w:sz w:val="16"/>
                <w:szCs w:val="16"/>
              </w:rPr>
              <w:t>104,775 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405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55"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4056"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4057" w14:textId="77777777" w:rsidR="002A3970" w:rsidRDefault="00C35E63">
            <w:pPr>
              <w:jc w:val="right"/>
              <w:textAlignment w:val="bottom"/>
            </w:pPr>
            <w:r>
              <w:rPr>
                <w:rFonts w:ascii="Times New Roman" w:eastAsia="宋体" w:hAnsi="Times New Roman"/>
                <w:color w:val="000000"/>
                <w:sz w:val="16"/>
                <w:szCs w:val="16"/>
              </w:rPr>
              <w:t>96,609 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405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59"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405A"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405B" w14:textId="77777777" w:rsidR="002A3970" w:rsidRDefault="00C35E63">
            <w:pPr>
              <w:jc w:val="right"/>
              <w:textAlignment w:val="bottom"/>
            </w:pPr>
            <w:r>
              <w:rPr>
                <w:rFonts w:ascii="Times New Roman" w:eastAsia="宋体" w:hAnsi="Times New Roman"/>
                <w:color w:val="000000"/>
                <w:sz w:val="16"/>
                <w:szCs w:val="16"/>
              </w:rPr>
              <w:t>306,809 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405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5D" w14:textId="77777777" w:rsidR="002A3970" w:rsidRDefault="002A397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B9A405E"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B9A405F" w14:textId="77777777" w:rsidR="002A3970" w:rsidRDefault="00C35E63">
            <w:pPr>
              <w:jc w:val="right"/>
              <w:textAlignment w:val="bottom"/>
            </w:pPr>
            <w:r>
              <w:rPr>
                <w:rFonts w:ascii="Times New Roman" w:eastAsia="宋体" w:hAnsi="Times New Roman"/>
                <w:color w:val="000000"/>
                <w:sz w:val="16"/>
                <w:szCs w:val="16"/>
              </w:rPr>
              <w:t>287,968 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B9A4060" w14:textId="77777777" w:rsidR="002A3970" w:rsidRDefault="002A3970">
            <w:pPr>
              <w:jc w:val="right"/>
              <w:rPr>
                <w:rFonts w:ascii="宋体"/>
              </w:rPr>
            </w:pPr>
          </w:p>
        </w:tc>
      </w:tr>
    </w:tbl>
    <w:p w14:paraId="4B9A4062" w14:textId="77777777" w:rsidR="002A3970" w:rsidRDefault="00C35E63">
      <w:pPr>
        <w:spacing w:before="80"/>
      </w:pPr>
      <w:r>
        <w:rPr>
          <w:rFonts w:ascii="Times New Roman" w:eastAsia="宋体" w:hAnsi="Times New Roman"/>
          <w:color w:val="000000"/>
          <w:sz w:val="20"/>
          <w:szCs w:val="20"/>
        </w:rPr>
        <w:t xml:space="preserve">Of Walmart U.S.'s total net sales, approximately $12.9 billion and $11.1 billion related to </w:t>
      </w:r>
      <w:r>
        <w:rPr>
          <w:rFonts w:ascii="Times New Roman" w:eastAsia="宋体" w:hAnsi="Times New Roman"/>
          <w:color w:val="000000"/>
          <w:sz w:val="20"/>
          <w:szCs w:val="20"/>
        </w:rPr>
        <w:t>eCommerce for the three months ended October 31, 2022 and 2021, respectively, and approximately $36.9 billion and $33.6 billion related to eCommerce for the nine months ended October 31,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2A3970" w14:paraId="4B9A407E" w14:textId="77777777">
        <w:tc>
          <w:tcPr>
            <w:tcW w:w="50" w:type="pct"/>
            <w:shd w:val="clear" w:color="auto" w:fill="auto"/>
            <w:vAlign w:val="bottom"/>
          </w:tcPr>
          <w:p w14:paraId="4B9A4063" w14:textId="77777777" w:rsidR="002A3970" w:rsidRDefault="002A3970">
            <w:pPr>
              <w:rPr>
                <w:rFonts w:ascii="宋体"/>
              </w:rPr>
            </w:pPr>
          </w:p>
        </w:tc>
        <w:tc>
          <w:tcPr>
            <w:tcW w:w="2488" w:type="pct"/>
            <w:shd w:val="clear" w:color="auto" w:fill="auto"/>
            <w:vAlign w:val="bottom"/>
          </w:tcPr>
          <w:p w14:paraId="4B9A4064" w14:textId="77777777" w:rsidR="002A3970" w:rsidRDefault="002A3970">
            <w:pPr>
              <w:rPr>
                <w:rFonts w:ascii="宋体"/>
              </w:rPr>
            </w:pPr>
          </w:p>
        </w:tc>
        <w:tc>
          <w:tcPr>
            <w:tcW w:w="5" w:type="pct"/>
            <w:shd w:val="clear" w:color="auto" w:fill="auto"/>
            <w:vAlign w:val="bottom"/>
          </w:tcPr>
          <w:p w14:paraId="4B9A4065" w14:textId="77777777" w:rsidR="002A3970" w:rsidRDefault="002A3970">
            <w:pPr>
              <w:rPr>
                <w:rFonts w:ascii="宋体"/>
              </w:rPr>
            </w:pPr>
          </w:p>
        </w:tc>
        <w:tc>
          <w:tcPr>
            <w:tcW w:w="5" w:type="pct"/>
            <w:shd w:val="clear" w:color="auto" w:fill="auto"/>
            <w:vAlign w:val="bottom"/>
          </w:tcPr>
          <w:p w14:paraId="4B9A4066" w14:textId="77777777" w:rsidR="002A3970" w:rsidRDefault="002A3970">
            <w:pPr>
              <w:rPr>
                <w:rFonts w:ascii="宋体"/>
              </w:rPr>
            </w:pPr>
          </w:p>
        </w:tc>
        <w:tc>
          <w:tcPr>
            <w:tcW w:w="26" w:type="pct"/>
            <w:shd w:val="clear" w:color="auto" w:fill="auto"/>
            <w:vAlign w:val="bottom"/>
          </w:tcPr>
          <w:p w14:paraId="4B9A4067" w14:textId="77777777" w:rsidR="002A3970" w:rsidRDefault="002A3970">
            <w:pPr>
              <w:rPr>
                <w:rFonts w:ascii="宋体"/>
              </w:rPr>
            </w:pPr>
          </w:p>
        </w:tc>
        <w:tc>
          <w:tcPr>
            <w:tcW w:w="5" w:type="pct"/>
            <w:shd w:val="clear" w:color="auto" w:fill="auto"/>
            <w:vAlign w:val="bottom"/>
          </w:tcPr>
          <w:p w14:paraId="4B9A4068" w14:textId="77777777" w:rsidR="002A3970" w:rsidRDefault="002A3970">
            <w:pPr>
              <w:rPr>
                <w:rFonts w:ascii="宋体"/>
              </w:rPr>
            </w:pPr>
          </w:p>
        </w:tc>
        <w:tc>
          <w:tcPr>
            <w:tcW w:w="50" w:type="pct"/>
            <w:shd w:val="clear" w:color="auto" w:fill="auto"/>
            <w:vAlign w:val="bottom"/>
          </w:tcPr>
          <w:p w14:paraId="4B9A4069" w14:textId="77777777" w:rsidR="002A3970" w:rsidRDefault="002A3970">
            <w:pPr>
              <w:rPr>
                <w:rFonts w:ascii="宋体"/>
              </w:rPr>
            </w:pPr>
          </w:p>
        </w:tc>
        <w:tc>
          <w:tcPr>
            <w:tcW w:w="522" w:type="pct"/>
            <w:shd w:val="clear" w:color="auto" w:fill="auto"/>
            <w:vAlign w:val="bottom"/>
          </w:tcPr>
          <w:p w14:paraId="4B9A406A" w14:textId="77777777" w:rsidR="002A3970" w:rsidRDefault="002A3970">
            <w:pPr>
              <w:rPr>
                <w:rFonts w:ascii="宋体"/>
              </w:rPr>
            </w:pPr>
          </w:p>
        </w:tc>
        <w:tc>
          <w:tcPr>
            <w:tcW w:w="5" w:type="pct"/>
            <w:shd w:val="clear" w:color="auto" w:fill="auto"/>
            <w:vAlign w:val="bottom"/>
          </w:tcPr>
          <w:p w14:paraId="4B9A406B" w14:textId="77777777" w:rsidR="002A3970" w:rsidRDefault="002A3970">
            <w:pPr>
              <w:rPr>
                <w:rFonts w:ascii="宋体"/>
              </w:rPr>
            </w:pPr>
          </w:p>
        </w:tc>
        <w:tc>
          <w:tcPr>
            <w:tcW w:w="5" w:type="pct"/>
            <w:shd w:val="clear" w:color="auto" w:fill="auto"/>
            <w:vAlign w:val="bottom"/>
          </w:tcPr>
          <w:p w14:paraId="4B9A406C" w14:textId="77777777" w:rsidR="002A3970" w:rsidRDefault="002A3970">
            <w:pPr>
              <w:rPr>
                <w:rFonts w:ascii="宋体"/>
              </w:rPr>
            </w:pPr>
          </w:p>
        </w:tc>
        <w:tc>
          <w:tcPr>
            <w:tcW w:w="26" w:type="pct"/>
            <w:shd w:val="clear" w:color="auto" w:fill="auto"/>
            <w:vAlign w:val="bottom"/>
          </w:tcPr>
          <w:p w14:paraId="4B9A406D" w14:textId="77777777" w:rsidR="002A3970" w:rsidRDefault="002A3970">
            <w:pPr>
              <w:rPr>
                <w:rFonts w:ascii="宋体"/>
              </w:rPr>
            </w:pPr>
          </w:p>
        </w:tc>
        <w:tc>
          <w:tcPr>
            <w:tcW w:w="5" w:type="pct"/>
            <w:shd w:val="clear" w:color="auto" w:fill="auto"/>
            <w:vAlign w:val="bottom"/>
          </w:tcPr>
          <w:p w14:paraId="4B9A406E" w14:textId="77777777" w:rsidR="002A3970" w:rsidRDefault="002A3970">
            <w:pPr>
              <w:rPr>
                <w:rFonts w:ascii="宋体"/>
              </w:rPr>
            </w:pPr>
          </w:p>
        </w:tc>
        <w:tc>
          <w:tcPr>
            <w:tcW w:w="50" w:type="pct"/>
            <w:shd w:val="clear" w:color="auto" w:fill="auto"/>
            <w:vAlign w:val="bottom"/>
          </w:tcPr>
          <w:p w14:paraId="4B9A406F" w14:textId="77777777" w:rsidR="002A3970" w:rsidRDefault="002A3970">
            <w:pPr>
              <w:rPr>
                <w:rFonts w:ascii="宋体"/>
              </w:rPr>
            </w:pPr>
          </w:p>
        </w:tc>
        <w:tc>
          <w:tcPr>
            <w:tcW w:w="522" w:type="pct"/>
            <w:shd w:val="clear" w:color="auto" w:fill="auto"/>
            <w:vAlign w:val="bottom"/>
          </w:tcPr>
          <w:p w14:paraId="4B9A4070" w14:textId="77777777" w:rsidR="002A3970" w:rsidRDefault="002A3970">
            <w:pPr>
              <w:rPr>
                <w:rFonts w:ascii="宋体"/>
              </w:rPr>
            </w:pPr>
          </w:p>
        </w:tc>
        <w:tc>
          <w:tcPr>
            <w:tcW w:w="5" w:type="pct"/>
            <w:shd w:val="clear" w:color="auto" w:fill="auto"/>
            <w:vAlign w:val="bottom"/>
          </w:tcPr>
          <w:p w14:paraId="4B9A4071" w14:textId="77777777" w:rsidR="002A3970" w:rsidRDefault="002A3970">
            <w:pPr>
              <w:rPr>
                <w:rFonts w:ascii="宋体"/>
              </w:rPr>
            </w:pPr>
          </w:p>
        </w:tc>
        <w:tc>
          <w:tcPr>
            <w:tcW w:w="5" w:type="pct"/>
            <w:shd w:val="clear" w:color="auto" w:fill="auto"/>
            <w:vAlign w:val="bottom"/>
          </w:tcPr>
          <w:p w14:paraId="4B9A4072" w14:textId="77777777" w:rsidR="002A3970" w:rsidRDefault="002A3970">
            <w:pPr>
              <w:rPr>
                <w:rFonts w:ascii="宋体"/>
              </w:rPr>
            </w:pPr>
          </w:p>
        </w:tc>
        <w:tc>
          <w:tcPr>
            <w:tcW w:w="26" w:type="pct"/>
            <w:shd w:val="clear" w:color="auto" w:fill="auto"/>
            <w:vAlign w:val="bottom"/>
          </w:tcPr>
          <w:p w14:paraId="4B9A4073" w14:textId="77777777" w:rsidR="002A3970" w:rsidRDefault="002A3970">
            <w:pPr>
              <w:rPr>
                <w:rFonts w:ascii="宋体"/>
              </w:rPr>
            </w:pPr>
          </w:p>
        </w:tc>
        <w:tc>
          <w:tcPr>
            <w:tcW w:w="5" w:type="pct"/>
            <w:shd w:val="clear" w:color="auto" w:fill="auto"/>
            <w:vAlign w:val="bottom"/>
          </w:tcPr>
          <w:p w14:paraId="4B9A4074" w14:textId="77777777" w:rsidR="002A3970" w:rsidRDefault="002A3970">
            <w:pPr>
              <w:rPr>
                <w:rFonts w:ascii="宋体"/>
              </w:rPr>
            </w:pPr>
          </w:p>
        </w:tc>
        <w:tc>
          <w:tcPr>
            <w:tcW w:w="50" w:type="pct"/>
            <w:shd w:val="clear" w:color="auto" w:fill="auto"/>
            <w:vAlign w:val="bottom"/>
          </w:tcPr>
          <w:p w14:paraId="4B9A4075" w14:textId="77777777" w:rsidR="002A3970" w:rsidRDefault="002A3970">
            <w:pPr>
              <w:rPr>
                <w:rFonts w:ascii="宋体"/>
              </w:rPr>
            </w:pPr>
          </w:p>
        </w:tc>
        <w:tc>
          <w:tcPr>
            <w:tcW w:w="522" w:type="pct"/>
            <w:shd w:val="clear" w:color="auto" w:fill="auto"/>
            <w:vAlign w:val="bottom"/>
          </w:tcPr>
          <w:p w14:paraId="4B9A4076" w14:textId="77777777" w:rsidR="002A3970" w:rsidRDefault="002A3970">
            <w:pPr>
              <w:rPr>
                <w:rFonts w:ascii="宋体"/>
              </w:rPr>
            </w:pPr>
          </w:p>
        </w:tc>
        <w:tc>
          <w:tcPr>
            <w:tcW w:w="5" w:type="pct"/>
            <w:shd w:val="clear" w:color="auto" w:fill="auto"/>
            <w:vAlign w:val="bottom"/>
          </w:tcPr>
          <w:p w14:paraId="4B9A4077" w14:textId="77777777" w:rsidR="002A3970" w:rsidRDefault="002A3970">
            <w:pPr>
              <w:rPr>
                <w:rFonts w:ascii="宋体"/>
              </w:rPr>
            </w:pPr>
          </w:p>
        </w:tc>
        <w:tc>
          <w:tcPr>
            <w:tcW w:w="5" w:type="pct"/>
            <w:shd w:val="clear" w:color="auto" w:fill="auto"/>
            <w:vAlign w:val="bottom"/>
          </w:tcPr>
          <w:p w14:paraId="4B9A4078" w14:textId="77777777" w:rsidR="002A3970" w:rsidRDefault="002A3970">
            <w:pPr>
              <w:rPr>
                <w:rFonts w:ascii="宋体"/>
              </w:rPr>
            </w:pPr>
          </w:p>
        </w:tc>
        <w:tc>
          <w:tcPr>
            <w:tcW w:w="26" w:type="pct"/>
            <w:shd w:val="clear" w:color="auto" w:fill="auto"/>
            <w:vAlign w:val="bottom"/>
          </w:tcPr>
          <w:p w14:paraId="4B9A4079" w14:textId="77777777" w:rsidR="002A3970" w:rsidRDefault="002A3970">
            <w:pPr>
              <w:rPr>
                <w:rFonts w:ascii="宋体"/>
              </w:rPr>
            </w:pPr>
          </w:p>
        </w:tc>
        <w:tc>
          <w:tcPr>
            <w:tcW w:w="5" w:type="pct"/>
            <w:shd w:val="clear" w:color="auto" w:fill="auto"/>
            <w:vAlign w:val="bottom"/>
          </w:tcPr>
          <w:p w14:paraId="4B9A407A" w14:textId="77777777" w:rsidR="002A3970" w:rsidRDefault="002A3970">
            <w:pPr>
              <w:rPr>
                <w:rFonts w:ascii="宋体"/>
              </w:rPr>
            </w:pPr>
          </w:p>
        </w:tc>
        <w:tc>
          <w:tcPr>
            <w:tcW w:w="50" w:type="pct"/>
            <w:shd w:val="clear" w:color="auto" w:fill="auto"/>
            <w:vAlign w:val="bottom"/>
          </w:tcPr>
          <w:p w14:paraId="4B9A407B" w14:textId="77777777" w:rsidR="002A3970" w:rsidRDefault="002A3970">
            <w:pPr>
              <w:rPr>
                <w:rFonts w:ascii="宋体"/>
              </w:rPr>
            </w:pPr>
          </w:p>
        </w:tc>
        <w:tc>
          <w:tcPr>
            <w:tcW w:w="522" w:type="pct"/>
            <w:shd w:val="clear" w:color="auto" w:fill="auto"/>
            <w:vAlign w:val="bottom"/>
          </w:tcPr>
          <w:p w14:paraId="4B9A407C" w14:textId="77777777" w:rsidR="002A3970" w:rsidRDefault="002A3970">
            <w:pPr>
              <w:rPr>
                <w:rFonts w:ascii="宋体"/>
              </w:rPr>
            </w:pPr>
          </w:p>
        </w:tc>
        <w:tc>
          <w:tcPr>
            <w:tcW w:w="5" w:type="pct"/>
            <w:shd w:val="clear" w:color="auto" w:fill="auto"/>
            <w:vAlign w:val="bottom"/>
          </w:tcPr>
          <w:p w14:paraId="4B9A407D" w14:textId="77777777" w:rsidR="002A3970" w:rsidRDefault="002A3970">
            <w:pPr>
              <w:rPr>
                <w:rFonts w:ascii="宋体"/>
              </w:rPr>
            </w:pPr>
          </w:p>
        </w:tc>
      </w:tr>
      <w:tr w:rsidR="002A3970" w14:paraId="4B9A4084" w14:textId="77777777">
        <w:tc>
          <w:tcPr>
            <w:tcW w:w="0" w:type="auto"/>
            <w:gridSpan w:val="3"/>
            <w:shd w:val="clear" w:color="auto" w:fill="auto"/>
            <w:tcMar>
              <w:top w:w="40" w:type="dxa"/>
              <w:left w:w="20" w:type="dxa"/>
              <w:bottom w:w="40" w:type="dxa"/>
              <w:right w:w="20" w:type="dxa"/>
            </w:tcMar>
            <w:vAlign w:val="bottom"/>
          </w:tcPr>
          <w:p w14:paraId="4B9A407F"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080"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081"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082"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083"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408E" w14:textId="77777777">
        <w:tc>
          <w:tcPr>
            <w:tcW w:w="0" w:type="auto"/>
            <w:gridSpan w:val="3"/>
            <w:shd w:val="clear" w:color="auto" w:fill="auto"/>
            <w:tcMar>
              <w:top w:w="40" w:type="dxa"/>
              <w:left w:w="20" w:type="dxa"/>
              <w:bottom w:w="40" w:type="dxa"/>
              <w:right w:w="20" w:type="dxa"/>
            </w:tcMar>
            <w:vAlign w:val="bottom"/>
          </w:tcPr>
          <w:p w14:paraId="4B9A4085" w14:textId="77777777" w:rsidR="002A3970" w:rsidRDefault="00C35E63">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vAlign w:val="bottom"/>
          </w:tcPr>
          <w:p w14:paraId="4B9A408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87"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088"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89"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08A"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8B"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08C"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08D"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0A0" w14:textId="77777777">
        <w:tc>
          <w:tcPr>
            <w:tcW w:w="0" w:type="auto"/>
            <w:gridSpan w:val="3"/>
            <w:shd w:val="clear" w:color="auto" w:fill="CCEEFF"/>
            <w:tcMar>
              <w:top w:w="40" w:type="dxa"/>
              <w:left w:w="380" w:type="dxa"/>
              <w:bottom w:w="40" w:type="dxa"/>
              <w:right w:w="20" w:type="dxa"/>
            </w:tcMar>
            <w:vAlign w:val="bottom"/>
          </w:tcPr>
          <w:p w14:paraId="4B9A408F" w14:textId="77777777" w:rsidR="002A3970" w:rsidRDefault="00C35E63">
            <w:pPr>
              <w:textAlignment w:val="bottom"/>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vAlign w:val="bottom"/>
          </w:tcPr>
          <w:p w14:paraId="4B9A409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91"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92" w14:textId="77777777" w:rsidR="002A3970" w:rsidRDefault="00C35E63">
            <w:pPr>
              <w:jc w:val="right"/>
              <w:textAlignment w:val="bottom"/>
            </w:pPr>
            <w:r>
              <w:rPr>
                <w:rFonts w:ascii="Times New Roman" w:eastAsia="宋体" w:hAnsi="Times New Roman"/>
                <w:color w:val="000000"/>
                <w:sz w:val="16"/>
                <w:szCs w:val="16"/>
              </w:rPr>
              <w:t>9,702 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9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9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95"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96" w14:textId="77777777" w:rsidR="002A3970" w:rsidRDefault="00C35E63">
            <w:pPr>
              <w:jc w:val="right"/>
              <w:textAlignment w:val="bottom"/>
            </w:pPr>
            <w:r>
              <w:rPr>
                <w:rFonts w:ascii="Times New Roman" w:eastAsia="宋体" w:hAnsi="Times New Roman"/>
                <w:color w:val="000000"/>
                <w:sz w:val="16"/>
                <w:szCs w:val="16"/>
              </w:rPr>
              <w:t>8,718 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9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9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99"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9A" w14:textId="77777777" w:rsidR="002A3970" w:rsidRDefault="00C35E63">
            <w:pPr>
              <w:jc w:val="right"/>
              <w:textAlignment w:val="bottom"/>
            </w:pPr>
            <w:r>
              <w:rPr>
                <w:rFonts w:ascii="Times New Roman" w:eastAsia="宋体" w:hAnsi="Times New Roman"/>
                <w:color w:val="000000"/>
                <w:sz w:val="16"/>
                <w:szCs w:val="16"/>
              </w:rPr>
              <w:t>28,480 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9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9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09D"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09E" w14:textId="77777777" w:rsidR="002A3970" w:rsidRDefault="00C35E63">
            <w:pPr>
              <w:jc w:val="right"/>
              <w:textAlignment w:val="bottom"/>
            </w:pPr>
            <w:r>
              <w:rPr>
                <w:rFonts w:ascii="Times New Roman" w:eastAsia="宋体" w:hAnsi="Times New Roman"/>
                <w:color w:val="000000"/>
                <w:sz w:val="16"/>
                <w:szCs w:val="16"/>
              </w:rPr>
              <w:t>25,706 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09F" w14:textId="77777777" w:rsidR="002A3970" w:rsidRDefault="002A3970">
            <w:pPr>
              <w:jc w:val="right"/>
              <w:rPr>
                <w:rFonts w:ascii="宋体"/>
              </w:rPr>
            </w:pPr>
          </w:p>
        </w:tc>
      </w:tr>
      <w:tr w:rsidR="002A3970" w14:paraId="4B9A40AE" w14:textId="77777777">
        <w:tc>
          <w:tcPr>
            <w:tcW w:w="0" w:type="auto"/>
            <w:gridSpan w:val="3"/>
            <w:shd w:val="clear" w:color="auto" w:fill="FFFFFF"/>
            <w:tcMar>
              <w:top w:w="40" w:type="dxa"/>
              <w:left w:w="380" w:type="dxa"/>
              <w:bottom w:w="40" w:type="dxa"/>
              <w:right w:w="20" w:type="dxa"/>
            </w:tcMar>
            <w:vAlign w:val="bottom"/>
          </w:tcPr>
          <w:p w14:paraId="4B9A40A1" w14:textId="77777777" w:rsidR="002A3970" w:rsidRDefault="00C35E63">
            <w:pPr>
              <w:textAlignment w:val="bottom"/>
            </w:pPr>
            <w:r>
              <w:rPr>
                <w:rFonts w:ascii="Times New Roman" w:eastAsia="宋体" w:hAnsi="Times New Roman"/>
                <w:color w:val="000000"/>
                <w:sz w:val="16"/>
                <w:szCs w:val="16"/>
              </w:rPr>
              <w:t>Canada</w:t>
            </w:r>
          </w:p>
        </w:tc>
        <w:tc>
          <w:tcPr>
            <w:tcW w:w="0" w:type="auto"/>
            <w:gridSpan w:val="3"/>
            <w:shd w:val="clear" w:color="auto" w:fill="FFFFFF"/>
            <w:tcMar>
              <w:top w:w="0" w:type="dxa"/>
              <w:left w:w="20" w:type="dxa"/>
              <w:bottom w:w="0" w:type="dxa"/>
              <w:right w:w="20" w:type="dxa"/>
            </w:tcMar>
            <w:vAlign w:val="bottom"/>
          </w:tcPr>
          <w:p w14:paraId="4B9A40A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A3" w14:textId="77777777" w:rsidR="002A3970" w:rsidRDefault="00C35E63">
            <w:pPr>
              <w:jc w:val="right"/>
              <w:textAlignment w:val="bottom"/>
            </w:pPr>
            <w:r>
              <w:rPr>
                <w:rFonts w:ascii="Times New Roman" w:eastAsia="宋体" w:hAnsi="Times New Roman"/>
                <w:color w:val="000000"/>
                <w:sz w:val="16"/>
                <w:szCs w:val="16"/>
              </w:rPr>
              <w:t>5,491 </w:t>
            </w:r>
          </w:p>
        </w:tc>
        <w:tc>
          <w:tcPr>
            <w:tcW w:w="0" w:type="auto"/>
            <w:shd w:val="clear" w:color="auto" w:fill="FFFFFF"/>
            <w:tcMar>
              <w:top w:w="40" w:type="dxa"/>
              <w:left w:w="0" w:type="dxa"/>
              <w:bottom w:w="40" w:type="dxa"/>
              <w:right w:w="20" w:type="dxa"/>
            </w:tcMar>
            <w:vAlign w:val="bottom"/>
          </w:tcPr>
          <w:p w14:paraId="4B9A40A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A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A6" w14:textId="77777777" w:rsidR="002A3970" w:rsidRDefault="00C35E63">
            <w:pPr>
              <w:jc w:val="right"/>
              <w:textAlignment w:val="bottom"/>
            </w:pPr>
            <w:r>
              <w:rPr>
                <w:rFonts w:ascii="Times New Roman" w:eastAsia="宋体" w:hAnsi="Times New Roman"/>
                <w:color w:val="000000"/>
                <w:sz w:val="16"/>
                <w:szCs w:val="16"/>
              </w:rPr>
              <w:t>5,507 </w:t>
            </w:r>
          </w:p>
        </w:tc>
        <w:tc>
          <w:tcPr>
            <w:tcW w:w="0" w:type="auto"/>
            <w:shd w:val="clear" w:color="auto" w:fill="FFFFFF"/>
            <w:tcMar>
              <w:top w:w="40" w:type="dxa"/>
              <w:left w:w="0" w:type="dxa"/>
              <w:bottom w:w="40" w:type="dxa"/>
              <w:right w:w="20" w:type="dxa"/>
            </w:tcMar>
            <w:vAlign w:val="bottom"/>
          </w:tcPr>
          <w:p w14:paraId="4B9A40A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A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A9" w14:textId="77777777" w:rsidR="002A3970" w:rsidRDefault="00C35E63">
            <w:pPr>
              <w:jc w:val="right"/>
              <w:textAlignment w:val="bottom"/>
            </w:pPr>
            <w:r>
              <w:rPr>
                <w:rFonts w:ascii="Times New Roman" w:eastAsia="宋体" w:hAnsi="Times New Roman"/>
                <w:color w:val="000000"/>
                <w:sz w:val="16"/>
                <w:szCs w:val="16"/>
              </w:rPr>
              <w:t>16,408 </w:t>
            </w:r>
          </w:p>
        </w:tc>
        <w:tc>
          <w:tcPr>
            <w:tcW w:w="0" w:type="auto"/>
            <w:shd w:val="clear" w:color="auto" w:fill="FFFFFF"/>
            <w:tcMar>
              <w:top w:w="40" w:type="dxa"/>
              <w:left w:w="0" w:type="dxa"/>
              <w:bottom w:w="40" w:type="dxa"/>
              <w:right w:w="20" w:type="dxa"/>
            </w:tcMar>
            <w:vAlign w:val="bottom"/>
          </w:tcPr>
          <w:p w14:paraId="4B9A40A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A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AC" w14:textId="77777777" w:rsidR="002A3970" w:rsidRDefault="00C35E63">
            <w:pPr>
              <w:jc w:val="right"/>
              <w:textAlignment w:val="bottom"/>
            </w:pPr>
            <w:r>
              <w:rPr>
                <w:rFonts w:ascii="Times New Roman" w:eastAsia="宋体" w:hAnsi="Times New Roman"/>
                <w:color w:val="000000"/>
                <w:sz w:val="16"/>
                <w:szCs w:val="16"/>
              </w:rPr>
              <w:t>15,847 </w:t>
            </w:r>
          </w:p>
        </w:tc>
        <w:tc>
          <w:tcPr>
            <w:tcW w:w="0" w:type="auto"/>
            <w:shd w:val="clear" w:color="auto" w:fill="FFFFFF"/>
            <w:tcMar>
              <w:top w:w="40" w:type="dxa"/>
              <w:left w:w="0" w:type="dxa"/>
              <w:bottom w:w="40" w:type="dxa"/>
              <w:right w:w="20" w:type="dxa"/>
            </w:tcMar>
            <w:vAlign w:val="bottom"/>
          </w:tcPr>
          <w:p w14:paraId="4B9A40AD" w14:textId="77777777" w:rsidR="002A3970" w:rsidRDefault="002A3970">
            <w:pPr>
              <w:jc w:val="right"/>
              <w:rPr>
                <w:rFonts w:ascii="宋体"/>
              </w:rPr>
            </w:pPr>
          </w:p>
        </w:tc>
      </w:tr>
      <w:tr w:rsidR="002A3970" w14:paraId="4B9A40BC" w14:textId="77777777">
        <w:tc>
          <w:tcPr>
            <w:tcW w:w="0" w:type="auto"/>
            <w:gridSpan w:val="3"/>
            <w:shd w:val="clear" w:color="auto" w:fill="CCEEFF"/>
            <w:tcMar>
              <w:top w:w="40" w:type="dxa"/>
              <w:left w:w="380" w:type="dxa"/>
              <w:bottom w:w="40" w:type="dxa"/>
              <w:right w:w="20" w:type="dxa"/>
            </w:tcMar>
            <w:vAlign w:val="bottom"/>
          </w:tcPr>
          <w:p w14:paraId="4B9A40AF" w14:textId="77777777" w:rsidR="002A3970" w:rsidRDefault="00C35E63">
            <w:pPr>
              <w:textAlignment w:val="bottom"/>
            </w:pPr>
            <w:r>
              <w:rPr>
                <w:rFonts w:ascii="Times New Roman" w:eastAsia="宋体" w:hAnsi="Times New Roman"/>
                <w:color w:val="000000"/>
                <w:sz w:val="16"/>
                <w:szCs w:val="16"/>
              </w:rPr>
              <w:t>China</w:t>
            </w:r>
          </w:p>
        </w:tc>
        <w:tc>
          <w:tcPr>
            <w:tcW w:w="0" w:type="auto"/>
            <w:gridSpan w:val="3"/>
            <w:shd w:val="clear" w:color="auto" w:fill="CCEEFF"/>
            <w:tcMar>
              <w:top w:w="0" w:type="dxa"/>
              <w:left w:w="20" w:type="dxa"/>
              <w:bottom w:w="0" w:type="dxa"/>
              <w:right w:w="20" w:type="dxa"/>
            </w:tcMar>
            <w:vAlign w:val="bottom"/>
          </w:tcPr>
          <w:p w14:paraId="4B9A40B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B1" w14:textId="77777777" w:rsidR="002A3970" w:rsidRDefault="00C35E63">
            <w:pPr>
              <w:jc w:val="right"/>
              <w:textAlignment w:val="bottom"/>
            </w:pPr>
            <w:r>
              <w:rPr>
                <w:rFonts w:ascii="Times New Roman" w:eastAsia="宋体" w:hAnsi="Times New Roman"/>
                <w:color w:val="000000"/>
                <w:sz w:val="16"/>
                <w:szCs w:val="16"/>
              </w:rPr>
              <w:t>3,572 </w:t>
            </w:r>
          </w:p>
        </w:tc>
        <w:tc>
          <w:tcPr>
            <w:tcW w:w="0" w:type="auto"/>
            <w:shd w:val="clear" w:color="auto" w:fill="CCEEFF"/>
            <w:tcMar>
              <w:top w:w="40" w:type="dxa"/>
              <w:left w:w="0" w:type="dxa"/>
              <w:bottom w:w="40" w:type="dxa"/>
              <w:right w:w="20" w:type="dxa"/>
            </w:tcMar>
            <w:vAlign w:val="bottom"/>
          </w:tcPr>
          <w:p w14:paraId="4B9A40B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B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B4" w14:textId="77777777" w:rsidR="002A3970" w:rsidRDefault="00C35E63">
            <w:pPr>
              <w:jc w:val="right"/>
              <w:textAlignment w:val="bottom"/>
            </w:pPr>
            <w:r>
              <w:rPr>
                <w:rFonts w:ascii="Times New Roman" w:eastAsia="宋体" w:hAnsi="Times New Roman"/>
                <w:color w:val="000000"/>
                <w:sz w:val="16"/>
                <w:szCs w:val="16"/>
              </w:rPr>
              <w:t>3,538 </w:t>
            </w:r>
          </w:p>
        </w:tc>
        <w:tc>
          <w:tcPr>
            <w:tcW w:w="0" w:type="auto"/>
            <w:shd w:val="clear" w:color="auto" w:fill="CCEEFF"/>
            <w:tcMar>
              <w:top w:w="40" w:type="dxa"/>
              <w:left w:w="0" w:type="dxa"/>
              <w:bottom w:w="40" w:type="dxa"/>
              <w:right w:w="20" w:type="dxa"/>
            </w:tcMar>
            <w:vAlign w:val="bottom"/>
          </w:tcPr>
          <w:p w14:paraId="4B9A40B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B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B7" w14:textId="77777777" w:rsidR="002A3970" w:rsidRDefault="00C35E63">
            <w:pPr>
              <w:jc w:val="right"/>
              <w:textAlignment w:val="bottom"/>
            </w:pPr>
            <w:r>
              <w:rPr>
                <w:rFonts w:ascii="Times New Roman" w:eastAsia="宋体" w:hAnsi="Times New Roman"/>
                <w:color w:val="000000"/>
                <w:sz w:val="16"/>
                <w:szCs w:val="16"/>
              </w:rPr>
              <w:t>11,096 </w:t>
            </w:r>
          </w:p>
        </w:tc>
        <w:tc>
          <w:tcPr>
            <w:tcW w:w="0" w:type="auto"/>
            <w:shd w:val="clear" w:color="auto" w:fill="CCEEFF"/>
            <w:tcMar>
              <w:top w:w="40" w:type="dxa"/>
              <w:left w:w="0" w:type="dxa"/>
              <w:bottom w:w="40" w:type="dxa"/>
              <w:right w:w="20" w:type="dxa"/>
            </w:tcMar>
            <w:vAlign w:val="bottom"/>
          </w:tcPr>
          <w:p w14:paraId="4B9A40B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B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BA" w14:textId="77777777" w:rsidR="002A3970" w:rsidRDefault="00C35E63">
            <w:pPr>
              <w:jc w:val="right"/>
              <w:textAlignment w:val="bottom"/>
            </w:pPr>
            <w:r>
              <w:rPr>
                <w:rFonts w:ascii="Times New Roman" w:eastAsia="宋体" w:hAnsi="Times New Roman"/>
                <w:color w:val="000000"/>
                <w:sz w:val="16"/>
                <w:szCs w:val="16"/>
              </w:rPr>
              <w:t>10,313 </w:t>
            </w:r>
          </w:p>
        </w:tc>
        <w:tc>
          <w:tcPr>
            <w:tcW w:w="0" w:type="auto"/>
            <w:shd w:val="clear" w:color="auto" w:fill="CCEEFF"/>
            <w:tcMar>
              <w:top w:w="40" w:type="dxa"/>
              <w:left w:w="0" w:type="dxa"/>
              <w:bottom w:w="40" w:type="dxa"/>
              <w:right w:w="20" w:type="dxa"/>
            </w:tcMar>
            <w:vAlign w:val="bottom"/>
          </w:tcPr>
          <w:p w14:paraId="4B9A40BB" w14:textId="77777777" w:rsidR="002A3970" w:rsidRDefault="002A3970">
            <w:pPr>
              <w:jc w:val="right"/>
              <w:rPr>
                <w:rFonts w:ascii="宋体"/>
              </w:rPr>
            </w:pPr>
          </w:p>
        </w:tc>
      </w:tr>
      <w:tr w:rsidR="002A3970" w14:paraId="4B9A40CA" w14:textId="77777777">
        <w:tc>
          <w:tcPr>
            <w:tcW w:w="0" w:type="auto"/>
            <w:gridSpan w:val="3"/>
            <w:shd w:val="clear" w:color="auto" w:fill="FFFFFF"/>
            <w:tcMar>
              <w:top w:w="40" w:type="dxa"/>
              <w:left w:w="380" w:type="dxa"/>
              <w:bottom w:w="40" w:type="dxa"/>
              <w:right w:w="20" w:type="dxa"/>
            </w:tcMar>
            <w:vAlign w:val="bottom"/>
          </w:tcPr>
          <w:p w14:paraId="4B9A40BD" w14:textId="77777777" w:rsidR="002A3970" w:rsidRDefault="00C35E63">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vAlign w:val="bottom"/>
          </w:tcPr>
          <w:p w14:paraId="4B9A40B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BF"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40C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C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C2"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40C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C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C5" w14:textId="77777777" w:rsidR="002A3970" w:rsidRDefault="00C35E63">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B9A40C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C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bottom"/>
          </w:tcPr>
          <w:p w14:paraId="4B9A40C8" w14:textId="77777777" w:rsidR="002A3970" w:rsidRDefault="00C35E63">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4B9A40C9" w14:textId="77777777" w:rsidR="002A3970" w:rsidRDefault="002A3970">
            <w:pPr>
              <w:jc w:val="right"/>
              <w:rPr>
                <w:rFonts w:ascii="宋体"/>
              </w:rPr>
            </w:pPr>
          </w:p>
        </w:tc>
      </w:tr>
      <w:tr w:rsidR="002A3970" w14:paraId="4B9A40D8" w14:textId="77777777">
        <w:tc>
          <w:tcPr>
            <w:tcW w:w="0" w:type="auto"/>
            <w:gridSpan w:val="3"/>
            <w:shd w:val="clear" w:color="auto" w:fill="CCEEFF"/>
            <w:tcMar>
              <w:top w:w="40" w:type="dxa"/>
              <w:left w:w="380" w:type="dxa"/>
              <w:bottom w:w="40" w:type="dxa"/>
              <w:right w:w="20" w:type="dxa"/>
            </w:tcMar>
            <w:vAlign w:val="bottom"/>
          </w:tcPr>
          <w:p w14:paraId="4B9A40CB" w14:textId="77777777" w:rsidR="002A3970" w:rsidRDefault="00C35E63">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4B9A40C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CD" w14:textId="77777777" w:rsidR="002A3970" w:rsidRDefault="00C35E63">
            <w:pPr>
              <w:jc w:val="right"/>
              <w:textAlignment w:val="bottom"/>
            </w:pPr>
            <w:r>
              <w:rPr>
                <w:rFonts w:ascii="Times New Roman" w:eastAsia="宋体" w:hAnsi="Times New Roman"/>
                <w:color w:val="000000"/>
                <w:sz w:val="16"/>
                <w:szCs w:val="16"/>
              </w:rPr>
              <w:t>6,530 </w:t>
            </w:r>
          </w:p>
        </w:tc>
        <w:tc>
          <w:tcPr>
            <w:tcW w:w="0" w:type="auto"/>
            <w:shd w:val="clear" w:color="auto" w:fill="CCEEFF"/>
            <w:tcMar>
              <w:top w:w="40" w:type="dxa"/>
              <w:left w:w="0" w:type="dxa"/>
              <w:bottom w:w="40" w:type="dxa"/>
              <w:right w:w="20" w:type="dxa"/>
            </w:tcMar>
            <w:vAlign w:val="bottom"/>
          </w:tcPr>
          <w:p w14:paraId="4B9A40C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C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D0" w14:textId="77777777" w:rsidR="002A3970" w:rsidRDefault="00C35E63">
            <w:pPr>
              <w:jc w:val="right"/>
              <w:textAlignment w:val="bottom"/>
            </w:pPr>
            <w:r>
              <w:rPr>
                <w:rFonts w:ascii="Times New Roman" w:eastAsia="宋体" w:hAnsi="Times New Roman"/>
                <w:color w:val="000000"/>
                <w:sz w:val="16"/>
                <w:szCs w:val="16"/>
              </w:rPr>
              <w:t>5,864 </w:t>
            </w:r>
          </w:p>
        </w:tc>
        <w:tc>
          <w:tcPr>
            <w:tcW w:w="0" w:type="auto"/>
            <w:shd w:val="clear" w:color="auto" w:fill="CCEEFF"/>
            <w:tcMar>
              <w:top w:w="40" w:type="dxa"/>
              <w:left w:w="0" w:type="dxa"/>
              <w:bottom w:w="40" w:type="dxa"/>
              <w:right w:w="20" w:type="dxa"/>
            </w:tcMar>
            <w:vAlign w:val="bottom"/>
          </w:tcPr>
          <w:p w14:paraId="4B9A40D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D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D3" w14:textId="77777777" w:rsidR="002A3970" w:rsidRDefault="00C35E63">
            <w:pPr>
              <w:jc w:val="right"/>
              <w:textAlignment w:val="bottom"/>
            </w:pPr>
            <w:r>
              <w:rPr>
                <w:rFonts w:ascii="Times New Roman" w:eastAsia="宋体" w:hAnsi="Times New Roman"/>
                <w:color w:val="000000"/>
                <w:sz w:val="16"/>
                <w:szCs w:val="16"/>
              </w:rPr>
              <w:t>17,424 </w:t>
            </w:r>
          </w:p>
        </w:tc>
        <w:tc>
          <w:tcPr>
            <w:tcW w:w="0" w:type="auto"/>
            <w:shd w:val="clear" w:color="auto" w:fill="CCEEFF"/>
            <w:tcMar>
              <w:top w:w="40" w:type="dxa"/>
              <w:left w:w="0" w:type="dxa"/>
              <w:bottom w:w="40" w:type="dxa"/>
              <w:right w:w="20" w:type="dxa"/>
            </w:tcMar>
            <w:vAlign w:val="bottom"/>
          </w:tcPr>
          <w:p w14:paraId="4B9A40D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0D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bottom"/>
          </w:tcPr>
          <w:p w14:paraId="4B9A40D6" w14:textId="77777777" w:rsidR="002A3970" w:rsidRDefault="00C35E63">
            <w:pPr>
              <w:jc w:val="right"/>
              <w:textAlignment w:val="bottom"/>
            </w:pPr>
            <w:r>
              <w:rPr>
                <w:rFonts w:ascii="Times New Roman" w:eastAsia="宋体" w:hAnsi="Times New Roman"/>
                <w:color w:val="000000"/>
                <w:sz w:val="16"/>
                <w:szCs w:val="16"/>
              </w:rPr>
              <w:t>18,285 </w:t>
            </w:r>
          </w:p>
        </w:tc>
        <w:tc>
          <w:tcPr>
            <w:tcW w:w="0" w:type="auto"/>
            <w:shd w:val="clear" w:color="auto" w:fill="CCEEFF"/>
            <w:tcMar>
              <w:top w:w="40" w:type="dxa"/>
              <w:left w:w="0" w:type="dxa"/>
              <w:bottom w:w="40" w:type="dxa"/>
              <w:right w:w="20" w:type="dxa"/>
            </w:tcMar>
            <w:vAlign w:val="bottom"/>
          </w:tcPr>
          <w:p w14:paraId="4B9A40D7" w14:textId="77777777" w:rsidR="002A3970" w:rsidRDefault="002A3970">
            <w:pPr>
              <w:jc w:val="right"/>
              <w:rPr>
                <w:rFonts w:ascii="宋体"/>
              </w:rPr>
            </w:pPr>
          </w:p>
        </w:tc>
      </w:tr>
      <w:tr w:rsidR="002A3970" w14:paraId="4B9A40EA" w14:textId="77777777">
        <w:tc>
          <w:tcPr>
            <w:tcW w:w="0" w:type="auto"/>
            <w:gridSpan w:val="3"/>
            <w:shd w:val="clear" w:color="auto" w:fill="FFFFFF"/>
            <w:tcMar>
              <w:top w:w="40" w:type="dxa"/>
              <w:left w:w="20" w:type="dxa"/>
              <w:bottom w:w="40" w:type="dxa"/>
              <w:right w:w="20" w:type="dxa"/>
            </w:tcMar>
            <w:vAlign w:val="bottom"/>
          </w:tcPr>
          <w:p w14:paraId="4B9A40D9" w14:textId="77777777" w:rsidR="002A3970" w:rsidRDefault="00C35E63">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4B9A40DA"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B9A40DB"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B9A40DC" w14:textId="77777777" w:rsidR="002A3970" w:rsidRDefault="00C35E63">
            <w:pPr>
              <w:jc w:val="right"/>
              <w:textAlignment w:val="bottom"/>
            </w:pPr>
            <w:r>
              <w:rPr>
                <w:rFonts w:ascii="Times New Roman" w:eastAsia="宋体" w:hAnsi="Times New Roman"/>
                <w:color w:val="000000"/>
                <w:sz w:val="16"/>
                <w:szCs w:val="16"/>
              </w:rPr>
              <w:t>25,295 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B9A40D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DE"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B9A40DF"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B9A40E0" w14:textId="77777777" w:rsidR="002A3970" w:rsidRDefault="00C35E63">
            <w:pPr>
              <w:jc w:val="right"/>
              <w:textAlignment w:val="bottom"/>
            </w:pPr>
            <w:r>
              <w:rPr>
                <w:rFonts w:ascii="Times New Roman" w:eastAsia="宋体" w:hAnsi="Times New Roman"/>
                <w:color w:val="000000"/>
                <w:sz w:val="16"/>
                <w:szCs w:val="16"/>
              </w:rPr>
              <w:t>23,627 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B9A40E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E2"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B9A40E3"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B9A40E4" w14:textId="77777777" w:rsidR="002A3970" w:rsidRDefault="00C35E63">
            <w:pPr>
              <w:jc w:val="right"/>
              <w:textAlignment w:val="bottom"/>
            </w:pPr>
            <w:r>
              <w:rPr>
                <w:rFonts w:ascii="Times New Roman" w:eastAsia="宋体" w:hAnsi="Times New Roman"/>
                <w:color w:val="000000"/>
                <w:sz w:val="16"/>
                <w:szCs w:val="16"/>
              </w:rPr>
              <w:t>73,408 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B9A40E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0E6"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B9A40E7"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B9A40E8" w14:textId="77777777" w:rsidR="002A3970" w:rsidRDefault="00C35E63">
            <w:pPr>
              <w:jc w:val="right"/>
              <w:textAlignment w:val="bottom"/>
            </w:pPr>
            <w:r>
              <w:rPr>
                <w:rFonts w:ascii="Times New Roman" w:eastAsia="宋体" w:hAnsi="Times New Roman"/>
                <w:color w:val="000000"/>
                <w:sz w:val="16"/>
                <w:szCs w:val="16"/>
              </w:rPr>
              <w:t>73,962 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B9A40E9" w14:textId="77777777" w:rsidR="002A3970" w:rsidRDefault="002A3970">
            <w:pPr>
              <w:jc w:val="right"/>
              <w:rPr>
                <w:rFonts w:ascii="宋体"/>
              </w:rPr>
            </w:pPr>
          </w:p>
        </w:tc>
      </w:tr>
    </w:tbl>
    <w:p w14:paraId="4B9A40EB" w14:textId="77777777" w:rsidR="002A3970" w:rsidRDefault="00C35E63">
      <w:pPr>
        <w:spacing w:before="80"/>
      </w:pPr>
      <w:r>
        <w:rPr>
          <w:rFonts w:ascii="Times New Roman" w:eastAsia="宋体" w:hAnsi="Times New Roman"/>
          <w:color w:val="000000"/>
          <w:sz w:val="20"/>
          <w:szCs w:val="20"/>
        </w:rPr>
        <w:t>Of Walmart International's total net sales, approximately $5.9 billion and $4.3 billion relate</w:t>
      </w:r>
      <w:r>
        <w:rPr>
          <w:rFonts w:ascii="Times New Roman" w:eastAsia="宋体" w:hAnsi="Times New Roman"/>
          <w:color w:val="000000"/>
          <w:sz w:val="20"/>
          <w:szCs w:val="20"/>
        </w:rPr>
        <w:t>d to eCommerce for the three months ended October 31, 2022 and 2021, respectively, and approximately $14.8 billion and $12.7 billion related to eCommerce for the nine months ended October 31, 2022 and 2021,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9"/>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4"/>
        <w:gridCol w:w="36"/>
      </w:tblGrid>
      <w:tr w:rsidR="002A3970" w14:paraId="4B9A4107" w14:textId="77777777">
        <w:trPr>
          <w:jc w:val="center"/>
        </w:trPr>
        <w:tc>
          <w:tcPr>
            <w:tcW w:w="50" w:type="pct"/>
            <w:shd w:val="clear" w:color="auto" w:fill="auto"/>
            <w:vAlign w:val="bottom"/>
          </w:tcPr>
          <w:p w14:paraId="4B9A40EC" w14:textId="77777777" w:rsidR="002A3970" w:rsidRDefault="002A3970">
            <w:pPr>
              <w:rPr>
                <w:rFonts w:ascii="宋体"/>
              </w:rPr>
            </w:pPr>
          </w:p>
        </w:tc>
        <w:tc>
          <w:tcPr>
            <w:tcW w:w="2488" w:type="pct"/>
            <w:shd w:val="clear" w:color="auto" w:fill="auto"/>
            <w:vAlign w:val="bottom"/>
          </w:tcPr>
          <w:p w14:paraId="4B9A40ED" w14:textId="77777777" w:rsidR="002A3970" w:rsidRDefault="002A3970">
            <w:pPr>
              <w:rPr>
                <w:rFonts w:ascii="宋体"/>
              </w:rPr>
            </w:pPr>
          </w:p>
        </w:tc>
        <w:tc>
          <w:tcPr>
            <w:tcW w:w="5" w:type="pct"/>
            <w:shd w:val="clear" w:color="auto" w:fill="auto"/>
            <w:vAlign w:val="bottom"/>
          </w:tcPr>
          <w:p w14:paraId="4B9A40EE" w14:textId="77777777" w:rsidR="002A3970" w:rsidRDefault="002A3970">
            <w:pPr>
              <w:rPr>
                <w:rFonts w:ascii="宋体"/>
              </w:rPr>
            </w:pPr>
          </w:p>
        </w:tc>
        <w:tc>
          <w:tcPr>
            <w:tcW w:w="5" w:type="pct"/>
            <w:shd w:val="clear" w:color="auto" w:fill="auto"/>
            <w:vAlign w:val="bottom"/>
          </w:tcPr>
          <w:p w14:paraId="4B9A40EF" w14:textId="77777777" w:rsidR="002A3970" w:rsidRDefault="002A3970">
            <w:pPr>
              <w:rPr>
                <w:rFonts w:ascii="宋体"/>
              </w:rPr>
            </w:pPr>
          </w:p>
        </w:tc>
        <w:tc>
          <w:tcPr>
            <w:tcW w:w="26" w:type="pct"/>
            <w:shd w:val="clear" w:color="auto" w:fill="auto"/>
            <w:vAlign w:val="bottom"/>
          </w:tcPr>
          <w:p w14:paraId="4B9A40F0" w14:textId="77777777" w:rsidR="002A3970" w:rsidRDefault="002A3970">
            <w:pPr>
              <w:rPr>
                <w:rFonts w:ascii="宋体"/>
              </w:rPr>
            </w:pPr>
          </w:p>
        </w:tc>
        <w:tc>
          <w:tcPr>
            <w:tcW w:w="5" w:type="pct"/>
            <w:shd w:val="clear" w:color="auto" w:fill="auto"/>
            <w:vAlign w:val="bottom"/>
          </w:tcPr>
          <w:p w14:paraId="4B9A40F1" w14:textId="77777777" w:rsidR="002A3970" w:rsidRDefault="002A3970">
            <w:pPr>
              <w:rPr>
                <w:rFonts w:ascii="宋体"/>
              </w:rPr>
            </w:pPr>
          </w:p>
        </w:tc>
        <w:tc>
          <w:tcPr>
            <w:tcW w:w="50" w:type="pct"/>
            <w:shd w:val="clear" w:color="auto" w:fill="auto"/>
            <w:vAlign w:val="bottom"/>
          </w:tcPr>
          <w:p w14:paraId="4B9A40F2" w14:textId="77777777" w:rsidR="002A3970" w:rsidRDefault="002A3970">
            <w:pPr>
              <w:rPr>
                <w:rFonts w:ascii="宋体"/>
              </w:rPr>
            </w:pPr>
          </w:p>
        </w:tc>
        <w:tc>
          <w:tcPr>
            <w:tcW w:w="522" w:type="pct"/>
            <w:shd w:val="clear" w:color="auto" w:fill="auto"/>
            <w:vAlign w:val="bottom"/>
          </w:tcPr>
          <w:p w14:paraId="4B9A40F3" w14:textId="77777777" w:rsidR="002A3970" w:rsidRDefault="002A3970">
            <w:pPr>
              <w:rPr>
                <w:rFonts w:ascii="宋体"/>
              </w:rPr>
            </w:pPr>
          </w:p>
        </w:tc>
        <w:tc>
          <w:tcPr>
            <w:tcW w:w="5" w:type="pct"/>
            <w:shd w:val="clear" w:color="auto" w:fill="auto"/>
            <w:vAlign w:val="bottom"/>
          </w:tcPr>
          <w:p w14:paraId="4B9A40F4" w14:textId="77777777" w:rsidR="002A3970" w:rsidRDefault="002A3970">
            <w:pPr>
              <w:rPr>
                <w:rFonts w:ascii="宋体"/>
              </w:rPr>
            </w:pPr>
          </w:p>
        </w:tc>
        <w:tc>
          <w:tcPr>
            <w:tcW w:w="5" w:type="pct"/>
            <w:shd w:val="clear" w:color="auto" w:fill="auto"/>
            <w:vAlign w:val="bottom"/>
          </w:tcPr>
          <w:p w14:paraId="4B9A40F5" w14:textId="77777777" w:rsidR="002A3970" w:rsidRDefault="002A3970">
            <w:pPr>
              <w:rPr>
                <w:rFonts w:ascii="宋体"/>
              </w:rPr>
            </w:pPr>
          </w:p>
        </w:tc>
        <w:tc>
          <w:tcPr>
            <w:tcW w:w="26" w:type="pct"/>
            <w:shd w:val="clear" w:color="auto" w:fill="auto"/>
            <w:vAlign w:val="bottom"/>
          </w:tcPr>
          <w:p w14:paraId="4B9A40F6" w14:textId="77777777" w:rsidR="002A3970" w:rsidRDefault="002A3970">
            <w:pPr>
              <w:rPr>
                <w:rFonts w:ascii="宋体"/>
              </w:rPr>
            </w:pPr>
          </w:p>
        </w:tc>
        <w:tc>
          <w:tcPr>
            <w:tcW w:w="5" w:type="pct"/>
            <w:shd w:val="clear" w:color="auto" w:fill="auto"/>
            <w:vAlign w:val="bottom"/>
          </w:tcPr>
          <w:p w14:paraId="4B9A40F7" w14:textId="77777777" w:rsidR="002A3970" w:rsidRDefault="002A3970">
            <w:pPr>
              <w:rPr>
                <w:rFonts w:ascii="宋体"/>
              </w:rPr>
            </w:pPr>
          </w:p>
        </w:tc>
        <w:tc>
          <w:tcPr>
            <w:tcW w:w="50" w:type="pct"/>
            <w:shd w:val="clear" w:color="auto" w:fill="auto"/>
            <w:vAlign w:val="bottom"/>
          </w:tcPr>
          <w:p w14:paraId="4B9A40F8" w14:textId="77777777" w:rsidR="002A3970" w:rsidRDefault="002A3970">
            <w:pPr>
              <w:rPr>
                <w:rFonts w:ascii="宋体"/>
              </w:rPr>
            </w:pPr>
          </w:p>
        </w:tc>
        <w:tc>
          <w:tcPr>
            <w:tcW w:w="522" w:type="pct"/>
            <w:shd w:val="clear" w:color="auto" w:fill="auto"/>
            <w:vAlign w:val="bottom"/>
          </w:tcPr>
          <w:p w14:paraId="4B9A40F9" w14:textId="77777777" w:rsidR="002A3970" w:rsidRDefault="002A3970">
            <w:pPr>
              <w:rPr>
                <w:rFonts w:ascii="宋体"/>
              </w:rPr>
            </w:pPr>
          </w:p>
        </w:tc>
        <w:tc>
          <w:tcPr>
            <w:tcW w:w="5" w:type="pct"/>
            <w:shd w:val="clear" w:color="auto" w:fill="auto"/>
            <w:vAlign w:val="bottom"/>
          </w:tcPr>
          <w:p w14:paraId="4B9A40FA" w14:textId="77777777" w:rsidR="002A3970" w:rsidRDefault="002A3970">
            <w:pPr>
              <w:rPr>
                <w:rFonts w:ascii="宋体"/>
              </w:rPr>
            </w:pPr>
          </w:p>
        </w:tc>
        <w:tc>
          <w:tcPr>
            <w:tcW w:w="5" w:type="pct"/>
            <w:shd w:val="clear" w:color="auto" w:fill="auto"/>
            <w:vAlign w:val="bottom"/>
          </w:tcPr>
          <w:p w14:paraId="4B9A40FB" w14:textId="77777777" w:rsidR="002A3970" w:rsidRDefault="002A3970">
            <w:pPr>
              <w:rPr>
                <w:rFonts w:ascii="宋体"/>
              </w:rPr>
            </w:pPr>
          </w:p>
        </w:tc>
        <w:tc>
          <w:tcPr>
            <w:tcW w:w="26" w:type="pct"/>
            <w:shd w:val="clear" w:color="auto" w:fill="auto"/>
            <w:vAlign w:val="bottom"/>
          </w:tcPr>
          <w:p w14:paraId="4B9A40FC" w14:textId="77777777" w:rsidR="002A3970" w:rsidRDefault="002A3970">
            <w:pPr>
              <w:rPr>
                <w:rFonts w:ascii="宋体"/>
              </w:rPr>
            </w:pPr>
          </w:p>
        </w:tc>
        <w:tc>
          <w:tcPr>
            <w:tcW w:w="5" w:type="pct"/>
            <w:shd w:val="clear" w:color="auto" w:fill="auto"/>
            <w:vAlign w:val="bottom"/>
          </w:tcPr>
          <w:p w14:paraId="4B9A40FD" w14:textId="77777777" w:rsidR="002A3970" w:rsidRDefault="002A3970">
            <w:pPr>
              <w:rPr>
                <w:rFonts w:ascii="宋体"/>
              </w:rPr>
            </w:pPr>
          </w:p>
        </w:tc>
        <w:tc>
          <w:tcPr>
            <w:tcW w:w="50" w:type="pct"/>
            <w:shd w:val="clear" w:color="auto" w:fill="auto"/>
            <w:vAlign w:val="bottom"/>
          </w:tcPr>
          <w:p w14:paraId="4B9A40FE" w14:textId="77777777" w:rsidR="002A3970" w:rsidRDefault="002A3970">
            <w:pPr>
              <w:rPr>
                <w:rFonts w:ascii="宋体"/>
              </w:rPr>
            </w:pPr>
          </w:p>
        </w:tc>
        <w:tc>
          <w:tcPr>
            <w:tcW w:w="522" w:type="pct"/>
            <w:shd w:val="clear" w:color="auto" w:fill="auto"/>
            <w:vAlign w:val="bottom"/>
          </w:tcPr>
          <w:p w14:paraId="4B9A40FF" w14:textId="77777777" w:rsidR="002A3970" w:rsidRDefault="002A3970">
            <w:pPr>
              <w:rPr>
                <w:rFonts w:ascii="宋体"/>
              </w:rPr>
            </w:pPr>
          </w:p>
        </w:tc>
        <w:tc>
          <w:tcPr>
            <w:tcW w:w="5" w:type="pct"/>
            <w:shd w:val="clear" w:color="auto" w:fill="auto"/>
            <w:vAlign w:val="bottom"/>
          </w:tcPr>
          <w:p w14:paraId="4B9A4100" w14:textId="77777777" w:rsidR="002A3970" w:rsidRDefault="002A3970">
            <w:pPr>
              <w:rPr>
                <w:rFonts w:ascii="宋体"/>
              </w:rPr>
            </w:pPr>
          </w:p>
        </w:tc>
        <w:tc>
          <w:tcPr>
            <w:tcW w:w="5" w:type="pct"/>
            <w:shd w:val="clear" w:color="auto" w:fill="auto"/>
            <w:vAlign w:val="bottom"/>
          </w:tcPr>
          <w:p w14:paraId="4B9A4101" w14:textId="77777777" w:rsidR="002A3970" w:rsidRDefault="002A3970">
            <w:pPr>
              <w:rPr>
                <w:rFonts w:ascii="宋体"/>
              </w:rPr>
            </w:pPr>
          </w:p>
        </w:tc>
        <w:tc>
          <w:tcPr>
            <w:tcW w:w="26" w:type="pct"/>
            <w:shd w:val="clear" w:color="auto" w:fill="auto"/>
            <w:vAlign w:val="bottom"/>
          </w:tcPr>
          <w:p w14:paraId="4B9A4102" w14:textId="77777777" w:rsidR="002A3970" w:rsidRDefault="002A3970">
            <w:pPr>
              <w:rPr>
                <w:rFonts w:ascii="宋体"/>
              </w:rPr>
            </w:pPr>
          </w:p>
        </w:tc>
        <w:tc>
          <w:tcPr>
            <w:tcW w:w="5" w:type="pct"/>
            <w:shd w:val="clear" w:color="auto" w:fill="auto"/>
            <w:vAlign w:val="bottom"/>
          </w:tcPr>
          <w:p w14:paraId="4B9A4103" w14:textId="77777777" w:rsidR="002A3970" w:rsidRDefault="002A3970">
            <w:pPr>
              <w:rPr>
                <w:rFonts w:ascii="宋体"/>
              </w:rPr>
            </w:pPr>
          </w:p>
        </w:tc>
        <w:tc>
          <w:tcPr>
            <w:tcW w:w="50" w:type="pct"/>
            <w:shd w:val="clear" w:color="auto" w:fill="auto"/>
            <w:vAlign w:val="bottom"/>
          </w:tcPr>
          <w:p w14:paraId="4B9A4104" w14:textId="77777777" w:rsidR="002A3970" w:rsidRDefault="002A3970">
            <w:pPr>
              <w:rPr>
                <w:rFonts w:ascii="宋体"/>
              </w:rPr>
            </w:pPr>
          </w:p>
        </w:tc>
        <w:tc>
          <w:tcPr>
            <w:tcW w:w="522" w:type="pct"/>
            <w:shd w:val="clear" w:color="auto" w:fill="auto"/>
            <w:vAlign w:val="bottom"/>
          </w:tcPr>
          <w:p w14:paraId="4B9A4105" w14:textId="77777777" w:rsidR="002A3970" w:rsidRDefault="002A3970">
            <w:pPr>
              <w:rPr>
                <w:rFonts w:ascii="宋体"/>
              </w:rPr>
            </w:pPr>
          </w:p>
        </w:tc>
        <w:tc>
          <w:tcPr>
            <w:tcW w:w="5" w:type="pct"/>
            <w:shd w:val="clear" w:color="auto" w:fill="auto"/>
            <w:vAlign w:val="bottom"/>
          </w:tcPr>
          <w:p w14:paraId="4B9A4106" w14:textId="77777777" w:rsidR="002A3970" w:rsidRDefault="002A3970">
            <w:pPr>
              <w:rPr>
                <w:rFonts w:ascii="宋体"/>
              </w:rPr>
            </w:pPr>
          </w:p>
        </w:tc>
      </w:tr>
      <w:tr w:rsidR="002A3970" w14:paraId="4B9A410D" w14:textId="77777777">
        <w:trPr>
          <w:jc w:val="center"/>
        </w:trPr>
        <w:tc>
          <w:tcPr>
            <w:tcW w:w="0" w:type="auto"/>
            <w:gridSpan w:val="3"/>
            <w:shd w:val="clear" w:color="auto" w:fill="auto"/>
            <w:tcMar>
              <w:top w:w="40" w:type="dxa"/>
              <w:left w:w="20" w:type="dxa"/>
              <w:bottom w:w="40" w:type="dxa"/>
              <w:right w:w="20" w:type="dxa"/>
            </w:tcMar>
            <w:vAlign w:val="bottom"/>
          </w:tcPr>
          <w:p w14:paraId="4B9A4108"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109"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10A"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10B"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10C"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4117" w14:textId="77777777">
        <w:trPr>
          <w:jc w:val="center"/>
        </w:trPr>
        <w:tc>
          <w:tcPr>
            <w:tcW w:w="0" w:type="auto"/>
            <w:gridSpan w:val="3"/>
            <w:shd w:val="clear" w:color="auto" w:fill="auto"/>
            <w:tcMar>
              <w:top w:w="40" w:type="dxa"/>
              <w:left w:w="20" w:type="dxa"/>
              <w:bottom w:w="40" w:type="dxa"/>
              <w:right w:w="20" w:type="dxa"/>
            </w:tcMar>
            <w:vAlign w:val="bottom"/>
          </w:tcPr>
          <w:p w14:paraId="4B9A410E" w14:textId="77777777" w:rsidR="002A3970" w:rsidRDefault="00C35E63">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vAlign w:val="bottom"/>
          </w:tcPr>
          <w:p w14:paraId="4B9A410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110"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11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112"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113"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114"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115"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116"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129" w14:textId="77777777">
        <w:trPr>
          <w:jc w:val="center"/>
        </w:trPr>
        <w:tc>
          <w:tcPr>
            <w:tcW w:w="0" w:type="auto"/>
            <w:gridSpan w:val="3"/>
            <w:shd w:val="clear" w:color="auto" w:fill="CCEEFF"/>
            <w:tcMar>
              <w:top w:w="40" w:type="dxa"/>
              <w:left w:w="380" w:type="dxa"/>
              <w:bottom w:w="40" w:type="dxa"/>
              <w:right w:w="20" w:type="dxa"/>
            </w:tcMar>
            <w:vAlign w:val="center"/>
          </w:tcPr>
          <w:p w14:paraId="4B9A4118" w14:textId="77777777" w:rsidR="002A3970" w:rsidRDefault="00C35E63">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vAlign w:val="bottom"/>
          </w:tcPr>
          <w:p w14:paraId="4B9A411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11A"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11B" w14:textId="77777777" w:rsidR="002A3970" w:rsidRDefault="00C35E63">
            <w:pPr>
              <w:jc w:val="right"/>
              <w:textAlignment w:val="bottom"/>
            </w:pPr>
            <w:r>
              <w:rPr>
                <w:rFonts w:ascii="Times New Roman" w:eastAsia="宋体" w:hAnsi="Times New Roman"/>
                <w:color w:val="000000"/>
                <w:sz w:val="16"/>
                <w:szCs w:val="16"/>
              </w:rPr>
              <w:t>13,846 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11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1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11E"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11F" w14:textId="77777777" w:rsidR="002A3970" w:rsidRDefault="00C35E63">
            <w:pPr>
              <w:jc w:val="right"/>
              <w:textAlignment w:val="bottom"/>
            </w:pPr>
            <w:r>
              <w:rPr>
                <w:rFonts w:ascii="Times New Roman" w:eastAsia="宋体" w:hAnsi="Times New Roman"/>
                <w:color w:val="000000"/>
                <w:sz w:val="16"/>
                <w:szCs w:val="16"/>
              </w:rPr>
              <w:t>12,335 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12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2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122"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123" w14:textId="77777777" w:rsidR="002A3970" w:rsidRDefault="00C35E63">
            <w:pPr>
              <w:jc w:val="right"/>
              <w:textAlignment w:val="bottom"/>
            </w:pPr>
            <w:r>
              <w:rPr>
                <w:rFonts w:ascii="Times New Roman" w:eastAsia="宋体" w:hAnsi="Times New Roman"/>
                <w:color w:val="000000"/>
                <w:sz w:val="16"/>
                <w:szCs w:val="16"/>
              </w:rPr>
              <w:t>39,539 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12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2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B9A4126" w14:textId="77777777" w:rsidR="002A3970" w:rsidRDefault="00C35E63">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B9A4127" w14:textId="77777777" w:rsidR="002A3970" w:rsidRDefault="00C35E63">
            <w:pPr>
              <w:jc w:val="right"/>
              <w:textAlignment w:val="bottom"/>
            </w:pPr>
            <w:r>
              <w:rPr>
                <w:rFonts w:ascii="Times New Roman" w:eastAsia="宋体" w:hAnsi="Times New Roman"/>
                <w:color w:val="000000"/>
                <w:sz w:val="16"/>
                <w:szCs w:val="16"/>
              </w:rPr>
              <w:t>35,018 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4B9A4128" w14:textId="77777777" w:rsidR="002A3970" w:rsidRDefault="002A3970">
            <w:pPr>
              <w:jc w:val="right"/>
              <w:rPr>
                <w:rFonts w:ascii="宋体"/>
              </w:rPr>
            </w:pPr>
          </w:p>
        </w:tc>
      </w:tr>
      <w:tr w:rsidR="002A3970" w14:paraId="4B9A4137" w14:textId="77777777">
        <w:trPr>
          <w:jc w:val="center"/>
        </w:trPr>
        <w:tc>
          <w:tcPr>
            <w:tcW w:w="0" w:type="auto"/>
            <w:gridSpan w:val="3"/>
            <w:shd w:val="clear" w:color="auto" w:fill="FFFFFF"/>
            <w:tcMar>
              <w:top w:w="40" w:type="dxa"/>
              <w:left w:w="380" w:type="dxa"/>
              <w:bottom w:w="40" w:type="dxa"/>
              <w:right w:w="20" w:type="dxa"/>
            </w:tcMar>
            <w:vAlign w:val="center"/>
          </w:tcPr>
          <w:p w14:paraId="4B9A412A" w14:textId="77777777" w:rsidR="002A3970" w:rsidRDefault="00C35E63">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vAlign w:val="bottom"/>
          </w:tcPr>
          <w:p w14:paraId="4B9A412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2C" w14:textId="77777777" w:rsidR="002A3970" w:rsidRDefault="00C35E63">
            <w:pPr>
              <w:jc w:val="right"/>
              <w:textAlignment w:val="center"/>
            </w:pPr>
            <w:r>
              <w:rPr>
                <w:rFonts w:ascii="Times New Roman" w:eastAsia="宋体" w:hAnsi="Times New Roman"/>
                <w:color w:val="000000"/>
                <w:sz w:val="16"/>
                <w:szCs w:val="16"/>
              </w:rPr>
              <w:t>3,680 </w:t>
            </w:r>
          </w:p>
        </w:tc>
        <w:tc>
          <w:tcPr>
            <w:tcW w:w="0" w:type="auto"/>
            <w:shd w:val="clear" w:color="auto" w:fill="FFFFFF"/>
            <w:tcMar>
              <w:top w:w="40" w:type="dxa"/>
              <w:left w:w="0" w:type="dxa"/>
              <w:bottom w:w="40" w:type="dxa"/>
              <w:right w:w="20" w:type="dxa"/>
            </w:tcMar>
            <w:vAlign w:val="center"/>
          </w:tcPr>
          <w:p w14:paraId="4B9A412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2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2F" w14:textId="77777777" w:rsidR="002A3970" w:rsidRDefault="00C35E63">
            <w:pPr>
              <w:jc w:val="right"/>
              <w:textAlignment w:val="center"/>
            </w:pPr>
            <w:r>
              <w:rPr>
                <w:rFonts w:ascii="Times New Roman" w:eastAsia="宋体" w:hAnsi="Times New Roman"/>
                <w:color w:val="000000"/>
                <w:sz w:val="16"/>
                <w:szCs w:val="16"/>
              </w:rPr>
              <w:t>2,932 </w:t>
            </w:r>
          </w:p>
        </w:tc>
        <w:tc>
          <w:tcPr>
            <w:tcW w:w="0" w:type="auto"/>
            <w:shd w:val="clear" w:color="auto" w:fill="FFFFFF"/>
            <w:tcMar>
              <w:top w:w="40" w:type="dxa"/>
              <w:left w:w="0" w:type="dxa"/>
              <w:bottom w:w="40" w:type="dxa"/>
              <w:right w:w="20" w:type="dxa"/>
            </w:tcMar>
            <w:vAlign w:val="center"/>
          </w:tcPr>
          <w:p w14:paraId="4B9A413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3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32" w14:textId="77777777" w:rsidR="002A3970" w:rsidRDefault="00C35E63">
            <w:pPr>
              <w:jc w:val="right"/>
              <w:textAlignment w:val="center"/>
            </w:pPr>
            <w:r>
              <w:rPr>
                <w:rFonts w:ascii="Times New Roman" w:eastAsia="宋体" w:hAnsi="Times New Roman"/>
                <w:color w:val="000000"/>
                <w:sz w:val="16"/>
                <w:szCs w:val="16"/>
              </w:rPr>
              <w:t>11,779 </w:t>
            </w:r>
          </w:p>
        </w:tc>
        <w:tc>
          <w:tcPr>
            <w:tcW w:w="0" w:type="auto"/>
            <w:shd w:val="clear" w:color="auto" w:fill="FFFFFF"/>
            <w:tcMar>
              <w:top w:w="40" w:type="dxa"/>
              <w:left w:w="0" w:type="dxa"/>
              <w:bottom w:w="40" w:type="dxa"/>
              <w:right w:w="20" w:type="dxa"/>
            </w:tcMar>
            <w:vAlign w:val="center"/>
          </w:tcPr>
          <w:p w14:paraId="4B9A413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3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35" w14:textId="77777777" w:rsidR="002A3970" w:rsidRDefault="00C35E63">
            <w:pPr>
              <w:jc w:val="right"/>
              <w:textAlignment w:val="center"/>
            </w:pPr>
            <w:r>
              <w:rPr>
                <w:rFonts w:ascii="Times New Roman" w:eastAsia="宋体" w:hAnsi="Times New Roman"/>
                <w:color w:val="000000"/>
                <w:sz w:val="16"/>
                <w:szCs w:val="16"/>
              </w:rPr>
              <w:t>8,047 </w:t>
            </w:r>
          </w:p>
        </w:tc>
        <w:tc>
          <w:tcPr>
            <w:tcW w:w="0" w:type="auto"/>
            <w:shd w:val="clear" w:color="auto" w:fill="FFFFFF"/>
            <w:tcMar>
              <w:top w:w="40" w:type="dxa"/>
              <w:left w:w="0" w:type="dxa"/>
              <w:bottom w:w="40" w:type="dxa"/>
              <w:right w:w="20" w:type="dxa"/>
            </w:tcMar>
            <w:vAlign w:val="center"/>
          </w:tcPr>
          <w:p w14:paraId="4B9A4136" w14:textId="77777777" w:rsidR="002A3970" w:rsidRDefault="002A3970">
            <w:pPr>
              <w:jc w:val="right"/>
              <w:rPr>
                <w:rFonts w:ascii="宋体"/>
              </w:rPr>
            </w:pPr>
          </w:p>
        </w:tc>
      </w:tr>
      <w:tr w:rsidR="002A3970" w14:paraId="4B9A4145" w14:textId="77777777">
        <w:trPr>
          <w:jc w:val="center"/>
        </w:trPr>
        <w:tc>
          <w:tcPr>
            <w:tcW w:w="0" w:type="auto"/>
            <w:gridSpan w:val="3"/>
            <w:shd w:val="clear" w:color="auto" w:fill="CCEEFF"/>
            <w:tcMar>
              <w:top w:w="40" w:type="dxa"/>
              <w:left w:w="380" w:type="dxa"/>
              <w:bottom w:w="40" w:type="dxa"/>
              <w:right w:w="20" w:type="dxa"/>
            </w:tcMar>
            <w:vAlign w:val="center"/>
          </w:tcPr>
          <w:p w14:paraId="4B9A4138" w14:textId="77777777" w:rsidR="002A3970" w:rsidRDefault="00C35E63">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vAlign w:val="bottom"/>
          </w:tcPr>
          <w:p w14:paraId="4B9A413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3A" w14:textId="77777777" w:rsidR="002A3970" w:rsidRDefault="00C35E63">
            <w:pPr>
              <w:jc w:val="right"/>
              <w:textAlignment w:val="center"/>
            </w:pPr>
            <w:r>
              <w:rPr>
                <w:rFonts w:ascii="Times New Roman" w:eastAsia="宋体" w:hAnsi="Times New Roman"/>
                <w:color w:val="000000"/>
                <w:sz w:val="16"/>
                <w:szCs w:val="16"/>
              </w:rPr>
              <w:t>2,132 </w:t>
            </w:r>
          </w:p>
        </w:tc>
        <w:tc>
          <w:tcPr>
            <w:tcW w:w="0" w:type="auto"/>
            <w:shd w:val="clear" w:color="auto" w:fill="CCEEFF"/>
            <w:tcMar>
              <w:top w:w="40" w:type="dxa"/>
              <w:left w:w="0" w:type="dxa"/>
              <w:bottom w:w="40" w:type="dxa"/>
              <w:right w:w="20" w:type="dxa"/>
            </w:tcMar>
            <w:vAlign w:val="center"/>
          </w:tcPr>
          <w:p w14:paraId="4B9A413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3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3D" w14:textId="77777777" w:rsidR="002A3970" w:rsidRDefault="00C35E63">
            <w:pPr>
              <w:jc w:val="right"/>
              <w:textAlignment w:val="center"/>
            </w:pPr>
            <w:r>
              <w:rPr>
                <w:rFonts w:ascii="Times New Roman" w:eastAsia="宋体" w:hAnsi="Times New Roman"/>
                <w:color w:val="000000"/>
                <w:sz w:val="16"/>
                <w:szCs w:val="16"/>
              </w:rPr>
              <w:t>1,976 </w:t>
            </w:r>
          </w:p>
        </w:tc>
        <w:tc>
          <w:tcPr>
            <w:tcW w:w="0" w:type="auto"/>
            <w:shd w:val="clear" w:color="auto" w:fill="CCEEFF"/>
            <w:tcMar>
              <w:top w:w="40" w:type="dxa"/>
              <w:left w:w="0" w:type="dxa"/>
              <w:bottom w:w="40" w:type="dxa"/>
              <w:right w:w="20" w:type="dxa"/>
            </w:tcMar>
            <w:vAlign w:val="center"/>
          </w:tcPr>
          <w:p w14:paraId="4B9A413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3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40" w14:textId="77777777" w:rsidR="002A3970" w:rsidRDefault="00C35E63">
            <w:pPr>
              <w:jc w:val="right"/>
              <w:textAlignment w:val="center"/>
            </w:pPr>
            <w:r>
              <w:rPr>
                <w:rFonts w:ascii="Times New Roman" w:eastAsia="宋体" w:hAnsi="Times New Roman"/>
                <w:color w:val="000000"/>
                <w:sz w:val="16"/>
                <w:szCs w:val="16"/>
              </w:rPr>
              <w:t>6,588 </w:t>
            </w:r>
          </w:p>
        </w:tc>
        <w:tc>
          <w:tcPr>
            <w:tcW w:w="0" w:type="auto"/>
            <w:shd w:val="clear" w:color="auto" w:fill="CCEEFF"/>
            <w:tcMar>
              <w:top w:w="40" w:type="dxa"/>
              <w:left w:w="0" w:type="dxa"/>
              <w:bottom w:w="40" w:type="dxa"/>
              <w:right w:w="20" w:type="dxa"/>
            </w:tcMar>
            <w:vAlign w:val="center"/>
          </w:tcPr>
          <w:p w14:paraId="4B9A414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4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43" w14:textId="77777777" w:rsidR="002A3970" w:rsidRDefault="00C35E63">
            <w:pPr>
              <w:jc w:val="right"/>
              <w:textAlignment w:val="center"/>
            </w:pPr>
            <w:r>
              <w:rPr>
                <w:rFonts w:ascii="Times New Roman" w:eastAsia="宋体" w:hAnsi="Times New Roman"/>
                <w:color w:val="000000"/>
                <w:sz w:val="16"/>
                <w:szCs w:val="16"/>
              </w:rPr>
              <w:t>6,252 </w:t>
            </w:r>
          </w:p>
        </w:tc>
        <w:tc>
          <w:tcPr>
            <w:tcW w:w="0" w:type="auto"/>
            <w:shd w:val="clear" w:color="auto" w:fill="CCEEFF"/>
            <w:tcMar>
              <w:top w:w="40" w:type="dxa"/>
              <w:left w:w="0" w:type="dxa"/>
              <w:bottom w:w="40" w:type="dxa"/>
              <w:right w:w="20" w:type="dxa"/>
            </w:tcMar>
            <w:vAlign w:val="center"/>
          </w:tcPr>
          <w:p w14:paraId="4B9A4144" w14:textId="77777777" w:rsidR="002A3970" w:rsidRDefault="002A3970">
            <w:pPr>
              <w:jc w:val="right"/>
              <w:rPr>
                <w:rFonts w:ascii="宋体"/>
              </w:rPr>
            </w:pPr>
          </w:p>
        </w:tc>
      </w:tr>
      <w:tr w:rsidR="002A3970" w14:paraId="4B9A4153" w14:textId="77777777">
        <w:trPr>
          <w:jc w:val="center"/>
        </w:trPr>
        <w:tc>
          <w:tcPr>
            <w:tcW w:w="0" w:type="auto"/>
            <w:gridSpan w:val="3"/>
            <w:shd w:val="clear" w:color="auto" w:fill="FFFFFF"/>
            <w:tcMar>
              <w:top w:w="40" w:type="dxa"/>
              <w:left w:w="380" w:type="dxa"/>
              <w:bottom w:w="40" w:type="dxa"/>
              <w:right w:w="20" w:type="dxa"/>
            </w:tcMar>
            <w:vAlign w:val="center"/>
          </w:tcPr>
          <w:p w14:paraId="4B9A4146" w14:textId="77777777" w:rsidR="002A3970" w:rsidRDefault="00C35E63">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vAlign w:val="bottom"/>
          </w:tcPr>
          <w:p w14:paraId="4B9A414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48" w14:textId="77777777" w:rsidR="002A3970" w:rsidRDefault="00C35E63">
            <w:pPr>
              <w:jc w:val="right"/>
              <w:textAlignment w:val="center"/>
            </w:pPr>
            <w:r>
              <w:rPr>
                <w:rFonts w:ascii="Times New Roman" w:eastAsia="宋体" w:hAnsi="Times New Roman"/>
                <w:color w:val="000000"/>
                <w:sz w:val="16"/>
                <w:szCs w:val="16"/>
              </w:rPr>
              <w:t>1,085 </w:t>
            </w:r>
          </w:p>
        </w:tc>
        <w:tc>
          <w:tcPr>
            <w:tcW w:w="0" w:type="auto"/>
            <w:shd w:val="clear" w:color="auto" w:fill="FFFFFF"/>
            <w:tcMar>
              <w:top w:w="40" w:type="dxa"/>
              <w:left w:w="0" w:type="dxa"/>
              <w:bottom w:w="40" w:type="dxa"/>
              <w:right w:w="20" w:type="dxa"/>
            </w:tcMar>
            <w:vAlign w:val="center"/>
          </w:tcPr>
          <w:p w14:paraId="4B9A414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4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4B" w14:textId="77777777" w:rsidR="002A3970" w:rsidRDefault="00C35E63">
            <w:pPr>
              <w:jc w:val="right"/>
              <w:textAlignment w:val="center"/>
            </w:pPr>
            <w:r>
              <w:rPr>
                <w:rFonts w:ascii="Times New Roman" w:eastAsia="宋体" w:hAnsi="Times New Roman"/>
                <w:color w:val="000000"/>
                <w:sz w:val="16"/>
                <w:szCs w:val="16"/>
              </w:rPr>
              <w:t>1,037 </w:t>
            </w:r>
          </w:p>
        </w:tc>
        <w:tc>
          <w:tcPr>
            <w:tcW w:w="0" w:type="auto"/>
            <w:shd w:val="clear" w:color="auto" w:fill="FFFFFF"/>
            <w:tcMar>
              <w:top w:w="40" w:type="dxa"/>
              <w:left w:w="0" w:type="dxa"/>
              <w:bottom w:w="40" w:type="dxa"/>
              <w:right w:w="20" w:type="dxa"/>
            </w:tcMar>
            <w:vAlign w:val="center"/>
          </w:tcPr>
          <w:p w14:paraId="4B9A414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4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4E" w14:textId="77777777" w:rsidR="002A3970" w:rsidRDefault="00C35E63">
            <w:pPr>
              <w:jc w:val="right"/>
              <w:textAlignment w:val="center"/>
            </w:pPr>
            <w:r>
              <w:rPr>
                <w:rFonts w:ascii="Times New Roman" w:eastAsia="宋体" w:hAnsi="Times New Roman"/>
                <w:color w:val="000000"/>
                <w:sz w:val="16"/>
                <w:szCs w:val="16"/>
              </w:rPr>
              <w:t>3,101 </w:t>
            </w:r>
          </w:p>
        </w:tc>
        <w:tc>
          <w:tcPr>
            <w:tcW w:w="0" w:type="auto"/>
            <w:shd w:val="clear" w:color="auto" w:fill="FFFFFF"/>
            <w:tcMar>
              <w:top w:w="40" w:type="dxa"/>
              <w:left w:w="0" w:type="dxa"/>
              <w:bottom w:w="40" w:type="dxa"/>
              <w:right w:w="20" w:type="dxa"/>
            </w:tcMar>
            <w:vAlign w:val="center"/>
          </w:tcPr>
          <w:p w14:paraId="4B9A414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5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151" w14:textId="77777777" w:rsidR="002A3970" w:rsidRDefault="00C35E63">
            <w:pPr>
              <w:jc w:val="right"/>
              <w:textAlignment w:val="center"/>
            </w:pPr>
            <w:r>
              <w:rPr>
                <w:rFonts w:ascii="Times New Roman" w:eastAsia="宋体" w:hAnsi="Times New Roman"/>
                <w:color w:val="000000"/>
                <w:sz w:val="16"/>
                <w:szCs w:val="16"/>
              </w:rPr>
              <w:t>2,934 </w:t>
            </w:r>
          </w:p>
        </w:tc>
        <w:tc>
          <w:tcPr>
            <w:tcW w:w="0" w:type="auto"/>
            <w:shd w:val="clear" w:color="auto" w:fill="FFFFFF"/>
            <w:tcMar>
              <w:top w:w="40" w:type="dxa"/>
              <w:left w:w="0" w:type="dxa"/>
              <w:bottom w:w="40" w:type="dxa"/>
              <w:right w:w="20" w:type="dxa"/>
            </w:tcMar>
            <w:vAlign w:val="center"/>
          </w:tcPr>
          <w:p w14:paraId="4B9A4152" w14:textId="77777777" w:rsidR="002A3970" w:rsidRDefault="002A3970">
            <w:pPr>
              <w:jc w:val="right"/>
              <w:rPr>
                <w:rFonts w:ascii="宋体"/>
              </w:rPr>
            </w:pPr>
          </w:p>
        </w:tc>
      </w:tr>
      <w:tr w:rsidR="002A3970" w14:paraId="4B9A4161" w14:textId="77777777">
        <w:trPr>
          <w:jc w:val="center"/>
        </w:trPr>
        <w:tc>
          <w:tcPr>
            <w:tcW w:w="0" w:type="auto"/>
            <w:gridSpan w:val="3"/>
            <w:shd w:val="clear" w:color="auto" w:fill="CCEEFF"/>
            <w:tcMar>
              <w:top w:w="40" w:type="dxa"/>
              <w:left w:w="380" w:type="dxa"/>
              <w:bottom w:w="40" w:type="dxa"/>
              <w:right w:w="20" w:type="dxa"/>
            </w:tcMar>
            <w:vAlign w:val="center"/>
          </w:tcPr>
          <w:p w14:paraId="4B9A4154" w14:textId="77777777" w:rsidR="002A3970" w:rsidRDefault="00C35E63">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vAlign w:val="bottom"/>
          </w:tcPr>
          <w:p w14:paraId="4B9A415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56" w14:textId="77777777" w:rsidR="002A3970" w:rsidRDefault="00C35E63">
            <w:pPr>
              <w:jc w:val="right"/>
              <w:textAlignment w:val="center"/>
            </w:pPr>
            <w:r>
              <w:rPr>
                <w:rFonts w:ascii="Times New Roman" w:eastAsia="宋体" w:hAnsi="Times New Roman"/>
                <w:color w:val="000000"/>
                <w:sz w:val="16"/>
                <w:szCs w:val="16"/>
              </w:rPr>
              <w:t>656 </w:t>
            </w:r>
          </w:p>
        </w:tc>
        <w:tc>
          <w:tcPr>
            <w:tcW w:w="0" w:type="auto"/>
            <w:shd w:val="clear" w:color="auto" w:fill="CCEEFF"/>
            <w:tcMar>
              <w:top w:w="40" w:type="dxa"/>
              <w:left w:w="0" w:type="dxa"/>
              <w:bottom w:w="40" w:type="dxa"/>
              <w:right w:w="20" w:type="dxa"/>
            </w:tcMar>
            <w:vAlign w:val="center"/>
          </w:tcPr>
          <w:p w14:paraId="4B9A415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5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59" w14:textId="77777777" w:rsidR="002A3970" w:rsidRDefault="00C35E63">
            <w:pPr>
              <w:jc w:val="right"/>
              <w:textAlignment w:val="center"/>
            </w:pPr>
            <w:r>
              <w:rPr>
                <w:rFonts w:ascii="Times New Roman" w:eastAsia="宋体" w:hAnsi="Times New Roman"/>
                <w:color w:val="000000"/>
                <w:sz w:val="16"/>
                <w:szCs w:val="16"/>
              </w:rPr>
              <w:t>691 </w:t>
            </w:r>
          </w:p>
        </w:tc>
        <w:tc>
          <w:tcPr>
            <w:tcW w:w="0" w:type="auto"/>
            <w:shd w:val="clear" w:color="auto" w:fill="CCEEFF"/>
            <w:tcMar>
              <w:top w:w="40" w:type="dxa"/>
              <w:left w:w="0" w:type="dxa"/>
              <w:bottom w:w="40" w:type="dxa"/>
              <w:right w:w="20" w:type="dxa"/>
            </w:tcMar>
            <w:vAlign w:val="center"/>
          </w:tcPr>
          <w:p w14:paraId="4B9A415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5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5C" w14:textId="77777777" w:rsidR="002A3970" w:rsidRDefault="00C35E63">
            <w:pPr>
              <w:jc w:val="right"/>
              <w:textAlignment w:val="center"/>
            </w:pPr>
            <w:r>
              <w:rPr>
                <w:rFonts w:ascii="Times New Roman" w:eastAsia="宋体" w:hAnsi="Times New Roman"/>
                <w:color w:val="000000"/>
                <w:sz w:val="16"/>
                <w:szCs w:val="16"/>
              </w:rPr>
              <w:t>1,914 </w:t>
            </w:r>
          </w:p>
        </w:tc>
        <w:tc>
          <w:tcPr>
            <w:tcW w:w="0" w:type="auto"/>
            <w:shd w:val="clear" w:color="auto" w:fill="CCEEFF"/>
            <w:tcMar>
              <w:top w:w="40" w:type="dxa"/>
              <w:left w:w="0" w:type="dxa"/>
              <w:bottom w:w="40" w:type="dxa"/>
              <w:right w:w="20" w:type="dxa"/>
            </w:tcMar>
            <w:vAlign w:val="center"/>
          </w:tcPr>
          <w:p w14:paraId="4B9A415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15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15F" w14:textId="77777777" w:rsidR="002A3970" w:rsidRDefault="00C35E63">
            <w:pPr>
              <w:jc w:val="right"/>
              <w:textAlignment w:val="center"/>
            </w:pPr>
            <w:r>
              <w:rPr>
                <w:rFonts w:ascii="Times New Roman" w:eastAsia="宋体" w:hAnsi="Times New Roman"/>
                <w:color w:val="000000"/>
                <w:sz w:val="16"/>
                <w:szCs w:val="16"/>
              </w:rPr>
              <w:t>2,056 </w:t>
            </w:r>
          </w:p>
        </w:tc>
        <w:tc>
          <w:tcPr>
            <w:tcW w:w="0" w:type="auto"/>
            <w:shd w:val="clear" w:color="auto" w:fill="CCEEFF"/>
            <w:tcMar>
              <w:top w:w="40" w:type="dxa"/>
              <w:left w:w="0" w:type="dxa"/>
              <w:bottom w:w="40" w:type="dxa"/>
              <w:right w:w="20" w:type="dxa"/>
            </w:tcMar>
            <w:vAlign w:val="center"/>
          </w:tcPr>
          <w:p w14:paraId="4B9A4160" w14:textId="77777777" w:rsidR="002A3970" w:rsidRDefault="002A3970">
            <w:pPr>
              <w:jc w:val="right"/>
              <w:rPr>
                <w:rFonts w:ascii="宋体"/>
              </w:rPr>
            </w:pPr>
          </w:p>
        </w:tc>
      </w:tr>
      <w:tr w:rsidR="002A3970" w14:paraId="4B9A4173" w14:textId="77777777">
        <w:trPr>
          <w:jc w:val="center"/>
        </w:trPr>
        <w:tc>
          <w:tcPr>
            <w:tcW w:w="0" w:type="auto"/>
            <w:gridSpan w:val="3"/>
            <w:shd w:val="clear" w:color="auto" w:fill="FFFFFF"/>
            <w:tcMar>
              <w:top w:w="40" w:type="dxa"/>
              <w:left w:w="20" w:type="dxa"/>
              <w:bottom w:w="40" w:type="dxa"/>
              <w:right w:w="20" w:type="dxa"/>
            </w:tcMar>
            <w:vAlign w:val="center"/>
          </w:tcPr>
          <w:p w14:paraId="4B9A4162" w14:textId="77777777" w:rsidR="002A3970" w:rsidRDefault="00C35E63">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4B9A4163"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16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165" w14:textId="77777777" w:rsidR="002A3970" w:rsidRDefault="00C35E63">
            <w:pPr>
              <w:jc w:val="right"/>
              <w:textAlignment w:val="center"/>
            </w:pPr>
            <w:r>
              <w:rPr>
                <w:rFonts w:ascii="Times New Roman" w:eastAsia="宋体" w:hAnsi="Times New Roman"/>
                <w:color w:val="000000"/>
                <w:sz w:val="16"/>
                <w:szCs w:val="16"/>
              </w:rPr>
              <w:t>21,399 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16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67"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16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169" w14:textId="77777777" w:rsidR="002A3970" w:rsidRDefault="00C35E63">
            <w:pPr>
              <w:jc w:val="right"/>
              <w:textAlignment w:val="center"/>
            </w:pPr>
            <w:r>
              <w:rPr>
                <w:rFonts w:ascii="Times New Roman" w:eastAsia="宋体" w:hAnsi="Times New Roman"/>
                <w:color w:val="000000"/>
                <w:sz w:val="16"/>
                <w:szCs w:val="16"/>
              </w:rPr>
              <w:t>18,971 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16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6B"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16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16D" w14:textId="77777777" w:rsidR="002A3970" w:rsidRDefault="00C35E63">
            <w:pPr>
              <w:jc w:val="right"/>
              <w:textAlignment w:val="center"/>
            </w:pPr>
            <w:r>
              <w:rPr>
                <w:rFonts w:ascii="Times New Roman" w:eastAsia="宋体" w:hAnsi="Times New Roman"/>
                <w:color w:val="000000"/>
                <w:sz w:val="16"/>
                <w:szCs w:val="16"/>
              </w:rPr>
              <w:t>62,921 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16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16F"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17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171" w14:textId="77777777" w:rsidR="002A3970" w:rsidRDefault="00C35E63">
            <w:pPr>
              <w:jc w:val="right"/>
              <w:textAlignment w:val="center"/>
            </w:pPr>
            <w:r>
              <w:rPr>
                <w:rFonts w:ascii="Times New Roman" w:eastAsia="宋体" w:hAnsi="Times New Roman"/>
                <w:color w:val="000000"/>
                <w:sz w:val="16"/>
                <w:szCs w:val="16"/>
              </w:rPr>
              <w:t>54,307 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172" w14:textId="77777777" w:rsidR="002A3970" w:rsidRDefault="002A3970">
            <w:pPr>
              <w:jc w:val="right"/>
              <w:rPr>
                <w:rFonts w:ascii="宋体"/>
              </w:rPr>
            </w:pPr>
          </w:p>
        </w:tc>
      </w:tr>
    </w:tbl>
    <w:p w14:paraId="4B9A4174" w14:textId="77777777" w:rsidR="002A3970" w:rsidRDefault="00C35E63">
      <w:pPr>
        <w:spacing w:before="80"/>
      </w:pPr>
      <w:r>
        <w:rPr>
          <w:rFonts w:ascii="Times New Roman" w:eastAsia="宋体" w:hAnsi="Times New Roman"/>
          <w:color w:val="000000"/>
          <w:sz w:val="20"/>
          <w:szCs w:val="20"/>
        </w:rPr>
        <w:t>Of Sam's Club's total net sales, approximately $2.1 billion and $1.7</w:t>
      </w:r>
      <w:r>
        <w:rPr>
          <w:rFonts w:ascii="Times New Roman" w:eastAsia="宋体" w:hAnsi="Times New Roman"/>
          <w:color w:val="000000"/>
          <w:sz w:val="20"/>
          <w:szCs w:val="20"/>
        </w:rPr>
        <w:t xml:space="preserve"> billion related to eCommerce for the three months ended October 31, 2022 and 2021, respectively, and approximately $6.0 billion and $4.9 billion related to eCommerce for the nine months ended October 31, 2022 and 2021, respectively.</w:t>
      </w:r>
    </w:p>
    <w:p w14:paraId="4B9A4175" w14:textId="77777777" w:rsidR="002A3970" w:rsidRDefault="002A3970">
      <w:pPr>
        <w:spacing w:before="180"/>
      </w:pPr>
    </w:p>
    <w:p w14:paraId="4B9A4176" w14:textId="77777777" w:rsidR="002A3970" w:rsidRDefault="00C35E63">
      <w:pPr>
        <w:jc w:val="center"/>
      </w:pPr>
      <w:r>
        <w:rPr>
          <w:rFonts w:ascii="Times New Roman" w:eastAsia="宋体" w:hAnsi="Times New Roman"/>
          <w:color w:val="000000"/>
          <w:sz w:val="20"/>
          <w:szCs w:val="20"/>
        </w:rPr>
        <w:t>16</w:t>
      </w:r>
    </w:p>
    <w:p w14:paraId="4B9A4177" w14:textId="77777777" w:rsidR="002A3970" w:rsidRDefault="00C35E63">
      <w:r>
        <w:pict w14:anchorId="4B9A4C25">
          <v:rect id="_x0000_i1040" style="width:415.3pt;height:1.5pt" o:hralign="center" o:hrstd="t" o:hr="t" fillcolor="#a0a0a0" stroked="f"/>
        </w:pict>
      </w:r>
    </w:p>
    <w:p w14:paraId="4B9A4178" w14:textId="77777777" w:rsidR="002A3970" w:rsidRDefault="00C35E63">
      <w:hyperlink r:id="rId55" w:anchor="i0522a2f6333e456295d59e779af751cb_7" w:history="1">
        <w:r>
          <w:rPr>
            <w:rStyle w:val="a5"/>
            <w:rFonts w:ascii="Times New Roman" w:eastAsia="宋体" w:hAnsi="Times New Roman"/>
            <w:sz w:val="20"/>
            <w:szCs w:val="20"/>
          </w:rPr>
          <w:t>Table of Contents</w:t>
        </w:r>
      </w:hyperlink>
    </w:p>
    <w:p w14:paraId="4B9A4179" w14:textId="77777777" w:rsidR="002A3970" w:rsidRDefault="00C35E63">
      <w:r>
        <w:rPr>
          <w:rFonts w:ascii="Times New Roman" w:eastAsia="宋体" w:hAnsi="Times New Roman"/>
          <w:b/>
          <w:bCs/>
          <w:color w:val="000000"/>
          <w:sz w:val="20"/>
          <w:szCs w:val="20"/>
        </w:rPr>
        <w:t xml:space="preserve">Item 2. Management's Discussion and Analysis of Financial Condition and Results of </w:t>
      </w:r>
      <w:r>
        <w:rPr>
          <w:rFonts w:ascii="Times New Roman" w:eastAsia="宋体" w:hAnsi="Times New Roman"/>
          <w:b/>
          <w:bCs/>
          <w:color w:val="000000"/>
          <w:sz w:val="20"/>
          <w:szCs w:val="20"/>
        </w:rPr>
        <w:t>Operations</w:t>
      </w:r>
    </w:p>
    <w:p w14:paraId="4B9A417A" w14:textId="77777777" w:rsidR="002A3970" w:rsidRDefault="00C35E63">
      <w:pPr>
        <w:spacing w:before="100"/>
      </w:pPr>
      <w:r>
        <w:rPr>
          <w:rFonts w:ascii="Times New Roman" w:eastAsia="宋体" w:hAnsi="Times New Roman"/>
          <w:b/>
          <w:bCs/>
          <w:color w:val="000000"/>
          <w:sz w:val="20"/>
          <w:szCs w:val="20"/>
        </w:rPr>
        <w:t>Overview</w:t>
      </w:r>
    </w:p>
    <w:p w14:paraId="4B9A417B" w14:textId="77777777" w:rsidR="002A3970" w:rsidRDefault="00C35E63">
      <w:pPr>
        <w:spacing w:before="60"/>
      </w:pPr>
      <w:r>
        <w:rPr>
          <w:rFonts w:ascii="Times New Roman" w:eastAsia="宋体" w:hAnsi="Times New Roman"/>
          <w:color w:val="000000"/>
          <w:sz w:val="20"/>
          <w:szCs w:val="20"/>
        </w:rPr>
        <w:t>This discussion, which presents Walmart Inc.'s ("Walmart," the "Company," "our," or "we") results for periods occurring in the fiscal year ending January 31, 2023 ("fiscal 2023") and the fiscal year ended January 31, 2022 ("fiscal 2022"</w:t>
      </w:r>
      <w:r>
        <w:rPr>
          <w:rFonts w:ascii="Times New Roman" w:eastAsia="宋体" w:hAnsi="Times New Roman"/>
          <w:color w:val="000000"/>
          <w:sz w:val="20"/>
          <w:szCs w:val="20"/>
        </w:rPr>
        <w:t xml:space="preserve">), should be read in conjunction with our Condensed Consolidated Financial Statements as of and for the three and nine months ended October 31, 2022, and the accompanying notes included in </w:t>
      </w:r>
      <w:hyperlink r:id="rId56" w:anchor="i0522a2f6333e456295d59e779af751cb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this Quarterly Report on Form 10-Q, as well as our Consolidated Financial Statements as of and for the year ended January 31, 2022, the accompanying not</w:t>
      </w:r>
      <w:r>
        <w:rPr>
          <w:rFonts w:ascii="Times New Roman" w:eastAsia="宋体" w:hAnsi="Times New Roman"/>
          <w:color w:val="000000"/>
          <w:sz w:val="20"/>
          <w:szCs w:val="20"/>
        </w:rPr>
        <w:t>es and the related Management's Discussion and Analysis of Financial Condition and Results of Operations, contained in our Annual Report on Form 10-K for the year ended January 31, 2022.</w:t>
      </w:r>
    </w:p>
    <w:p w14:paraId="4B9A417C" w14:textId="77777777" w:rsidR="002A3970" w:rsidRDefault="00C35E63">
      <w:pPr>
        <w:spacing w:before="100"/>
      </w:pPr>
      <w:r>
        <w:rPr>
          <w:rFonts w:ascii="Times New Roman" w:eastAsia="宋体" w:hAnsi="Times New Roman"/>
          <w:color w:val="000000"/>
          <w:sz w:val="20"/>
          <w:szCs w:val="20"/>
        </w:rPr>
        <w:t xml:space="preserve">We intend for this discussion to provide the reader with information </w:t>
      </w:r>
      <w:r>
        <w:rPr>
          <w:rFonts w:ascii="Times New Roman" w:eastAsia="宋体" w:hAnsi="Times New Roman"/>
          <w:color w:val="000000"/>
          <w:sz w:val="20"/>
          <w:szCs w:val="20"/>
        </w:rPr>
        <w:t>that will assist in understanding our financial statements, the changes in certain key items in those financial statements from period to period and the primary factors that accounted for those changes. We also discuss certain performance metrics that mana</w:t>
      </w:r>
      <w:r>
        <w:rPr>
          <w:rFonts w:ascii="Times New Roman" w:eastAsia="宋体" w:hAnsi="Times New Roman"/>
          <w:color w:val="000000"/>
          <w:sz w:val="20"/>
          <w:szCs w:val="20"/>
        </w:rPr>
        <w:t xml:space="preserve">gement uses to assess the Company's performance. Additionally, the discussion provides information about the financial results of each of the three segments of our business to provide a better understanding of how each of those segments and its results of </w:t>
      </w:r>
      <w:r>
        <w:rPr>
          <w:rFonts w:ascii="Times New Roman" w:eastAsia="宋体" w:hAnsi="Times New Roman"/>
          <w:color w:val="000000"/>
          <w:sz w:val="20"/>
          <w:szCs w:val="20"/>
        </w:rPr>
        <w:t xml:space="preserve">operations affect the financial condition and results of operations of the Company as a whole. </w:t>
      </w:r>
    </w:p>
    <w:p w14:paraId="4B9A417D" w14:textId="77777777" w:rsidR="002A3970" w:rsidRDefault="00C35E63">
      <w:pPr>
        <w:spacing w:before="100"/>
      </w:pPr>
      <w:r>
        <w:rPr>
          <w:rFonts w:ascii="Times New Roman" w:eastAsia="宋体" w:hAnsi="Times New Roman"/>
          <w:color w:val="000000"/>
          <w:sz w:val="20"/>
          <w:szCs w:val="20"/>
        </w:rPr>
        <w:t>Throughout this Management's Discussion and Analysis of Financial Condition and Results of Operations, we discuss segment operating income, comparable store and</w:t>
      </w:r>
      <w:r>
        <w:rPr>
          <w:rFonts w:ascii="Times New Roman" w:eastAsia="宋体" w:hAnsi="Times New Roman"/>
          <w:color w:val="000000"/>
          <w:sz w:val="20"/>
          <w:szCs w:val="20"/>
        </w:rPr>
        <w:t xml:space="preserve"> club sales and other measures. Management measures the results of the Company's segments using each segment's operating income, including certain corporate overhead allocations, as well as other measures. From time to time, we revise the measurement of ea</w:t>
      </w:r>
      <w:r>
        <w:rPr>
          <w:rFonts w:ascii="Times New Roman" w:eastAsia="宋体" w:hAnsi="Times New Roman"/>
          <w:color w:val="000000"/>
          <w:sz w:val="20"/>
          <w:szCs w:val="20"/>
        </w:rPr>
        <w:t xml:space="preserve">ch segment's operating income and other measures as determined by the information regularly reviewed by our chief operating decision maker. </w:t>
      </w:r>
    </w:p>
    <w:p w14:paraId="4B9A417E" w14:textId="77777777" w:rsidR="002A3970" w:rsidRDefault="00C35E63">
      <w:pPr>
        <w:spacing w:before="100"/>
      </w:pPr>
      <w:r>
        <w:rPr>
          <w:rFonts w:ascii="Times New Roman" w:eastAsia="宋体" w:hAnsi="Times New Roman"/>
          <w:color w:val="000000"/>
          <w:sz w:val="20"/>
          <w:szCs w:val="20"/>
        </w:rPr>
        <w:t>Comparable store and club sales, or comparable sales, is a metric that indicates the performance of our existing st</w:t>
      </w:r>
      <w:r>
        <w:rPr>
          <w:rFonts w:ascii="Times New Roman" w:eastAsia="宋体" w:hAnsi="Times New Roman"/>
          <w:color w:val="000000"/>
          <w:sz w:val="20"/>
          <w:szCs w:val="20"/>
        </w:rPr>
        <w:t>ores and clubs by measuring the change in sales for such stores and clubs for a particular period from the corresponding prior year period. Walmart's definition of comparable sales includes sales from stores and clubs open for the previous 12 months, inclu</w:t>
      </w:r>
      <w:r>
        <w:rPr>
          <w:rFonts w:ascii="Times New Roman" w:eastAsia="宋体" w:hAnsi="Times New Roman"/>
          <w:color w:val="000000"/>
          <w:sz w:val="20"/>
          <w:szCs w:val="20"/>
        </w:rPr>
        <w:t>ding remodels, relocations, expansions and conversions, as well as eCommerce sales. We measure the eCommerce sales impact by including all sales initiated digitally, including omni-channel transactions which are fulfilled through our stores and clubs as we</w:t>
      </w:r>
      <w:r>
        <w:rPr>
          <w:rFonts w:ascii="Times New Roman" w:eastAsia="宋体" w:hAnsi="Times New Roman"/>
          <w:color w:val="000000"/>
          <w:sz w:val="20"/>
          <w:szCs w:val="20"/>
        </w:rPr>
        <w:t>ll as certain other business offerings that are part of our flywheel strategy, such as our Walmart Connect advertising business. Sales at a store that has changed in format are excluded from comparable sales when the conversion of that store is accompanied</w:t>
      </w:r>
      <w:r>
        <w:rPr>
          <w:rFonts w:ascii="Times New Roman" w:eastAsia="宋体" w:hAnsi="Times New Roman"/>
          <w:color w:val="000000"/>
          <w:sz w:val="20"/>
          <w:szCs w:val="20"/>
        </w:rPr>
        <w:t xml:space="preserve"> by a relocation or expansion that results in a change in the store's retail square feet of more than five percent. Sales related to divested businesses are excluded from comparable sales, and sales related to acquisitions are excluded until such acquisiti</w:t>
      </w:r>
      <w:r>
        <w:rPr>
          <w:rFonts w:ascii="Times New Roman" w:eastAsia="宋体" w:hAnsi="Times New Roman"/>
          <w:color w:val="000000"/>
          <w:sz w:val="20"/>
          <w:szCs w:val="20"/>
        </w:rPr>
        <w:t>ons have been owned for 12 months. Comparable sales are also referred to as "same-store" sales by others within the retail industry. The method of calculating comparable sales varies across the retail industry. As a result, our calculation of comparable sa</w:t>
      </w:r>
      <w:r>
        <w:rPr>
          <w:rFonts w:ascii="Times New Roman" w:eastAsia="宋体" w:hAnsi="Times New Roman"/>
          <w:color w:val="000000"/>
          <w:sz w:val="20"/>
          <w:szCs w:val="20"/>
        </w:rPr>
        <w:t xml:space="preserve">les is not necessarily comparable to similarly titled measures reported by other companies. </w:t>
      </w:r>
    </w:p>
    <w:p w14:paraId="4B9A417F" w14:textId="77777777" w:rsidR="002A3970" w:rsidRDefault="00C35E63">
      <w:pPr>
        <w:spacing w:before="100"/>
      </w:pPr>
      <w:r>
        <w:rPr>
          <w:rFonts w:ascii="Times New Roman" w:eastAsia="宋体" w:hAnsi="Times New Roman"/>
          <w:color w:val="000000"/>
          <w:sz w:val="20"/>
          <w:szCs w:val="20"/>
        </w:rPr>
        <w:t>In discussing our operating results, the term currency exchange rates refers to the currency exchange rates we use to convert the operating results for countries w</w:t>
      </w:r>
      <w:r>
        <w:rPr>
          <w:rFonts w:ascii="Times New Roman" w:eastAsia="宋体" w:hAnsi="Times New Roman"/>
          <w:color w:val="000000"/>
          <w:sz w:val="20"/>
          <w:szCs w:val="20"/>
        </w:rPr>
        <w:t>here the functional currency is not the U.S. dollar into U.S. dollars. We calculate the effect of changes in currency exchange rates as the difference between current period activity translated using the current period's currency exchange rates and the com</w:t>
      </w:r>
      <w:r>
        <w:rPr>
          <w:rFonts w:ascii="Times New Roman" w:eastAsia="宋体" w:hAnsi="Times New Roman"/>
          <w:color w:val="000000"/>
          <w:sz w:val="20"/>
          <w:szCs w:val="20"/>
        </w:rPr>
        <w:t>parable prior year period's currency exchange rates. Additionally, no currency exchange rate fluctuations are calculated for non-USD acquisitions until owned for 12 months. Throughout our discussion, we refer to the results of this calculation as the impac</w:t>
      </w:r>
      <w:r>
        <w:rPr>
          <w:rFonts w:ascii="Times New Roman" w:eastAsia="宋体" w:hAnsi="Times New Roman"/>
          <w:color w:val="000000"/>
          <w:sz w:val="20"/>
          <w:szCs w:val="20"/>
        </w:rPr>
        <w:t>t of currency exchange rate fluctuations. Volatility in currency exchange rates may impact the results, including net sales and operating income, of the Company and the Walmart International segment in the future.</w:t>
      </w:r>
    </w:p>
    <w:p w14:paraId="4B9A4180" w14:textId="77777777" w:rsidR="002A3970" w:rsidRDefault="00C35E63">
      <w:pPr>
        <w:spacing w:before="100"/>
      </w:pPr>
      <w:r>
        <w:rPr>
          <w:rFonts w:ascii="Times New Roman" w:eastAsia="宋体" w:hAnsi="Times New Roman"/>
          <w:color w:val="000000"/>
          <w:sz w:val="20"/>
          <w:szCs w:val="20"/>
        </w:rPr>
        <w:t>Each of our segments contributes to the Co</w:t>
      </w:r>
      <w:r>
        <w:rPr>
          <w:rFonts w:ascii="Times New Roman" w:eastAsia="宋体" w:hAnsi="Times New Roman"/>
          <w:color w:val="000000"/>
          <w:sz w:val="20"/>
          <w:szCs w:val="20"/>
        </w:rPr>
        <w:t>mpany's operating results differently. Each, however, has generally maintained a relatively consistent contribution rate to the Company's net sales and operating income in recent years other than minor changes to the contribution rate for the Walmart Inter</w:t>
      </w:r>
      <w:r>
        <w:rPr>
          <w:rFonts w:ascii="Times New Roman" w:eastAsia="宋体" w:hAnsi="Times New Roman"/>
          <w:color w:val="000000"/>
          <w:sz w:val="20"/>
          <w:szCs w:val="20"/>
        </w:rPr>
        <w:t xml:space="preserve">national segment due to fluctuations in currency exchange rates. </w:t>
      </w:r>
    </w:p>
    <w:p w14:paraId="4B9A4181" w14:textId="77777777" w:rsidR="002A3970" w:rsidRDefault="00C35E63">
      <w:pPr>
        <w:spacing w:before="100"/>
      </w:pPr>
      <w:r>
        <w:rPr>
          <w:rFonts w:ascii="Times New Roman" w:eastAsia="宋体" w:hAnsi="Times New Roman"/>
          <w:color w:val="000000"/>
          <w:sz w:val="20"/>
          <w:szCs w:val="20"/>
        </w:rPr>
        <w:t xml:space="preserve">We operate in the highly competitive omni-channel retail industry in all of the markets we serve. We face strong sales competition from other discount, department, drug, dollar, variety and </w:t>
      </w:r>
      <w:r>
        <w:rPr>
          <w:rFonts w:ascii="Times New Roman" w:eastAsia="宋体" w:hAnsi="Times New Roman"/>
          <w:color w:val="000000"/>
          <w:sz w:val="20"/>
          <w:szCs w:val="20"/>
        </w:rPr>
        <w:t>specialty stores, warehouse clubs and supermarkets, as well as eCommerce businesses. Many of these competitors are national, regional or international chains or have a national or international omni-channel or eCommerce presence. We compete with a number o</w:t>
      </w:r>
      <w:r>
        <w:rPr>
          <w:rFonts w:ascii="Times New Roman" w:eastAsia="宋体" w:hAnsi="Times New Roman"/>
          <w:color w:val="000000"/>
          <w:sz w:val="20"/>
          <w:szCs w:val="20"/>
        </w:rPr>
        <w:t>f companies for attracting and retaining quality employees ("associates"). We, along with other retail companies, are influenced by a number of factors including, but not limited to: catastrophic events, weather and other risks related to climate change, g</w:t>
      </w:r>
      <w:r>
        <w:rPr>
          <w:rFonts w:ascii="Times New Roman" w:eastAsia="宋体" w:hAnsi="Times New Roman"/>
          <w:color w:val="000000"/>
          <w:sz w:val="20"/>
          <w:szCs w:val="20"/>
        </w:rPr>
        <w:t xml:space="preserve">lobal health epidemics, including the COVID-19 pandemic, competitive pressures, consumer disposable income, consumer debt levels and buying patterns, consumer credit availability, disruptions in supply chain and inventory management, cost and availability </w:t>
      </w:r>
      <w:r>
        <w:rPr>
          <w:rFonts w:ascii="Times New Roman" w:eastAsia="宋体" w:hAnsi="Times New Roman"/>
          <w:color w:val="000000"/>
          <w:sz w:val="20"/>
          <w:szCs w:val="20"/>
        </w:rPr>
        <w:t>of goods, currency exchange rate fluctuations, customer preferences, deflation, inflation, fuel and energy prices, general economic conditions, insurance costs, interest rates, labor availability and costs, tax rates, the imposition of tariffs, cybersecuri</w:t>
      </w:r>
      <w:r>
        <w:rPr>
          <w:rFonts w:ascii="Times New Roman" w:eastAsia="宋体" w:hAnsi="Times New Roman"/>
          <w:color w:val="000000"/>
          <w:sz w:val="20"/>
          <w:szCs w:val="20"/>
        </w:rPr>
        <w:t xml:space="preserve">ty attacks and unemployment. </w:t>
      </w:r>
    </w:p>
    <w:p w14:paraId="4B9A4182" w14:textId="77777777" w:rsidR="002A3970" w:rsidRDefault="002A3970">
      <w:pPr>
        <w:spacing w:before="100"/>
      </w:pPr>
    </w:p>
    <w:p w14:paraId="4B9A4183" w14:textId="77777777" w:rsidR="002A3970" w:rsidRDefault="002A3970">
      <w:pPr>
        <w:spacing w:before="100"/>
      </w:pPr>
    </w:p>
    <w:p w14:paraId="4B9A4184" w14:textId="77777777" w:rsidR="002A3970" w:rsidRDefault="00C35E63">
      <w:pPr>
        <w:jc w:val="center"/>
      </w:pPr>
      <w:r>
        <w:rPr>
          <w:rFonts w:ascii="Times New Roman" w:eastAsia="宋体" w:hAnsi="Times New Roman"/>
          <w:color w:val="000000"/>
          <w:sz w:val="20"/>
          <w:szCs w:val="20"/>
        </w:rPr>
        <w:t>17</w:t>
      </w:r>
    </w:p>
    <w:p w14:paraId="4B9A4185" w14:textId="77777777" w:rsidR="002A3970" w:rsidRDefault="00C35E63">
      <w:r>
        <w:pict w14:anchorId="4B9A4C26">
          <v:rect id="_x0000_i1041" style="width:415.3pt;height:1.5pt" o:hralign="center" o:hrstd="t" o:hr="t" fillcolor="#a0a0a0" stroked="f"/>
        </w:pict>
      </w:r>
    </w:p>
    <w:p w14:paraId="4B9A4186" w14:textId="77777777" w:rsidR="002A3970" w:rsidRDefault="00C35E63">
      <w:hyperlink r:id="rId57" w:anchor="i0522a2f6333e456295d59e779af751cb_7" w:history="1">
        <w:r>
          <w:rPr>
            <w:rStyle w:val="a5"/>
            <w:rFonts w:ascii="Times New Roman" w:eastAsia="宋体" w:hAnsi="Times New Roman"/>
            <w:sz w:val="20"/>
            <w:szCs w:val="20"/>
          </w:rPr>
          <w:t>Table of Contents</w:t>
        </w:r>
      </w:hyperlink>
    </w:p>
    <w:p w14:paraId="4B9A4187" w14:textId="77777777" w:rsidR="002A3970" w:rsidRDefault="00C35E63">
      <w:pPr>
        <w:spacing w:before="100"/>
      </w:pPr>
      <w:r>
        <w:rPr>
          <w:rFonts w:ascii="Times New Roman" w:eastAsia="宋体" w:hAnsi="Times New Roman"/>
          <w:color w:val="000000"/>
          <w:sz w:val="20"/>
          <w:szCs w:val="20"/>
        </w:rPr>
        <w:t xml:space="preserve">We are committed to helping customers save money and live better through everyday low </w:t>
      </w:r>
      <w:r>
        <w:rPr>
          <w:rFonts w:ascii="Times New Roman" w:eastAsia="宋体" w:hAnsi="Times New Roman"/>
          <w:color w:val="000000"/>
          <w:sz w:val="20"/>
          <w:szCs w:val="20"/>
        </w:rPr>
        <w:t>prices, supported by everyday low costs. However, like other retail companies, we have seen continued supply chain disruptions contributing to higher than normal inventory levels. In addition, our merchandise costs for the nine months ended October 31, 202</w:t>
      </w:r>
      <w:r>
        <w:rPr>
          <w:rFonts w:ascii="Times New Roman" w:eastAsia="宋体" w:hAnsi="Times New Roman"/>
          <w:color w:val="000000"/>
          <w:sz w:val="20"/>
          <w:szCs w:val="20"/>
        </w:rPr>
        <w:t>2 have been impacted by high inflation, greater than what we have experienced in recent years, which has increased costs and decreased profitability. The impact to our net sales and gross profit margin is influenced in part by our pricing and merchandising</w:t>
      </w:r>
      <w:r>
        <w:rPr>
          <w:rFonts w:ascii="Times New Roman" w:eastAsia="宋体" w:hAnsi="Times New Roman"/>
          <w:color w:val="000000"/>
          <w:sz w:val="20"/>
          <w:szCs w:val="20"/>
        </w:rPr>
        <w:t xml:space="preserve"> strategies in response to cost increases. Those pricing strategies include, but are not limited to: absorbing cost increases instead of passing those cost increases on to our customers and members; reducing prices in certain merchandise categories; focusi</w:t>
      </w:r>
      <w:r>
        <w:rPr>
          <w:rFonts w:ascii="Times New Roman" w:eastAsia="宋体" w:hAnsi="Times New Roman"/>
          <w:color w:val="000000"/>
          <w:sz w:val="20"/>
          <w:szCs w:val="20"/>
        </w:rPr>
        <w:t>ng on opening price points for certain food categories; and when necessary, passing cost increases on to our customers and members. Merchandising strategies include, but are not limited to: working with our suppliers to reduce product costs and share in ab</w:t>
      </w:r>
      <w:r>
        <w:rPr>
          <w:rFonts w:ascii="Times New Roman" w:eastAsia="宋体" w:hAnsi="Times New Roman"/>
          <w:color w:val="000000"/>
          <w:sz w:val="20"/>
          <w:szCs w:val="20"/>
        </w:rPr>
        <w:t>sorbing cost increases; focusing on private label brands and smaller pack sizes; earlier-than-usual purchasing and in greater volumes or moderating purchasing in certain categories; and securing ocean carrier and container capacity. These strategies have a</w:t>
      </w:r>
      <w:r>
        <w:rPr>
          <w:rFonts w:ascii="Times New Roman" w:eastAsia="宋体" w:hAnsi="Times New Roman"/>
          <w:color w:val="000000"/>
          <w:sz w:val="20"/>
          <w:szCs w:val="20"/>
        </w:rPr>
        <w:t xml:space="preserve">nd may continue to impact gross profit as a percentage of net sales. </w:t>
      </w:r>
    </w:p>
    <w:p w14:paraId="4B9A4188" w14:textId="77777777" w:rsidR="002A3970" w:rsidRDefault="00C35E63">
      <w:pPr>
        <w:spacing w:before="100"/>
      </w:pPr>
      <w:r>
        <w:rPr>
          <w:rFonts w:ascii="Times New Roman" w:eastAsia="宋体" w:hAnsi="Times New Roman"/>
          <w:color w:val="000000"/>
          <w:sz w:val="20"/>
          <w:szCs w:val="20"/>
        </w:rPr>
        <w:t>Further information on the factors that can affect our operating results and on certain risks to our Company and an investment in our securities can be found herein under "</w:t>
      </w:r>
      <w:hyperlink r:id="rId58" w:anchor="i0522a2f6333e456295d59e779af751cb_121" w:history="1">
        <w:r>
          <w:rPr>
            <w:rStyle w:val="a5"/>
            <w:rFonts w:ascii="Times New Roman" w:eastAsia="宋体" w:hAnsi="Times New Roman"/>
            <w:sz w:val="20"/>
            <w:szCs w:val="20"/>
          </w:rPr>
          <w:t>Item 5. Other Information</w:t>
        </w:r>
      </w:hyperlink>
      <w:r>
        <w:rPr>
          <w:rFonts w:ascii="Times New Roman" w:eastAsia="宋体" w:hAnsi="Times New Roman"/>
          <w:color w:val="000000"/>
          <w:sz w:val="20"/>
          <w:szCs w:val="20"/>
        </w:rPr>
        <w:t xml:space="preserve">." </w:t>
      </w:r>
    </w:p>
    <w:p w14:paraId="4B9A4189" w14:textId="77777777" w:rsidR="002A3970" w:rsidRDefault="00C35E63">
      <w:pPr>
        <w:spacing w:before="100"/>
      </w:pPr>
      <w:r>
        <w:rPr>
          <w:rFonts w:ascii="Times New Roman" w:eastAsia="宋体" w:hAnsi="Times New Roman"/>
          <w:color w:val="000000"/>
          <w:sz w:val="20"/>
          <w:szCs w:val="20"/>
        </w:rPr>
        <w:t xml:space="preserve">We expect continued uncertainty in our business and the global economy due to pressure </w:t>
      </w:r>
      <w:r>
        <w:rPr>
          <w:rFonts w:ascii="Times New Roman" w:eastAsia="宋体" w:hAnsi="Times New Roman"/>
          <w:color w:val="000000"/>
          <w:sz w:val="20"/>
          <w:szCs w:val="20"/>
        </w:rPr>
        <w:t>from inflation, supply chain disruptions, volatility in employment trends and consumer confidence, ongoing uncertainties related to the COVID-19 pandemic, including, among other matters, the effectiveness and extent of administration of vaccinations and me</w:t>
      </w:r>
      <w:r>
        <w:rPr>
          <w:rFonts w:ascii="Times New Roman" w:eastAsia="宋体" w:hAnsi="Times New Roman"/>
          <w:color w:val="000000"/>
          <w:sz w:val="20"/>
          <w:szCs w:val="20"/>
        </w:rPr>
        <w:t>dical treatment, any of which may impact our results. For a detailed discussion on results of operations by reportable segment, refer to "</w:t>
      </w:r>
      <w:hyperlink r:id="rId59" w:anchor="i0522a2f6333e456295d59e779af751cb_85"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4B9A418A" w14:textId="77777777" w:rsidR="002A3970" w:rsidRDefault="002A3970"/>
    <w:p w14:paraId="4B9A418B" w14:textId="77777777" w:rsidR="002A3970" w:rsidRDefault="00C35E63">
      <w:r>
        <w:rPr>
          <w:rFonts w:ascii="Times New Roman" w:eastAsia="宋体" w:hAnsi="Times New Roman"/>
          <w:b/>
          <w:bCs/>
          <w:color w:val="000000"/>
          <w:sz w:val="20"/>
          <w:szCs w:val="20"/>
        </w:rPr>
        <w:t>Company Performance Metrics</w:t>
      </w:r>
    </w:p>
    <w:p w14:paraId="4B9A418C" w14:textId="77777777" w:rsidR="002A3970" w:rsidRDefault="00C35E63">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At times, we adjust our business s</w:t>
      </w:r>
      <w:r>
        <w:rPr>
          <w:rFonts w:ascii="Times New Roman" w:eastAsia="宋体" w:hAnsi="Times New Roman"/>
          <w:color w:val="000000"/>
          <w:sz w:val="20"/>
          <w:szCs w:val="20"/>
        </w:rPr>
        <w:t>trategies to maintain and strengthen our competitive positions in the countries in which we operate.  We define our financial framework as:</w:t>
      </w:r>
    </w:p>
    <w:p w14:paraId="4B9A418D" w14:textId="77777777" w:rsidR="002A3970" w:rsidRDefault="00C35E63">
      <w:pPr>
        <w:spacing w:before="100"/>
        <w:ind w:hanging="360"/>
      </w:pPr>
      <w:r>
        <w:rPr>
          <w:rFonts w:ascii="Times New Roman" w:eastAsia="宋体" w:hAnsi="Times New Roman"/>
          <w:color w:val="000000"/>
          <w:sz w:val="20"/>
          <w:szCs w:val="20"/>
        </w:rPr>
        <w:t>•strong, efficient growth;</w:t>
      </w:r>
    </w:p>
    <w:p w14:paraId="4B9A418E" w14:textId="77777777" w:rsidR="002A3970" w:rsidRDefault="00C35E63">
      <w:pPr>
        <w:spacing w:before="100"/>
        <w:ind w:hanging="360"/>
      </w:pPr>
      <w:r>
        <w:rPr>
          <w:rFonts w:ascii="Times New Roman" w:eastAsia="宋体" w:hAnsi="Times New Roman"/>
          <w:color w:val="000000"/>
          <w:sz w:val="20"/>
          <w:szCs w:val="20"/>
        </w:rPr>
        <w:t>•consistent operating discipline; and</w:t>
      </w:r>
    </w:p>
    <w:p w14:paraId="4B9A418F" w14:textId="77777777" w:rsidR="002A3970" w:rsidRDefault="00C35E63">
      <w:pPr>
        <w:spacing w:before="100"/>
        <w:ind w:hanging="360"/>
      </w:pPr>
      <w:r>
        <w:rPr>
          <w:rFonts w:ascii="Times New Roman" w:eastAsia="宋体" w:hAnsi="Times New Roman"/>
          <w:color w:val="000000"/>
          <w:sz w:val="20"/>
          <w:szCs w:val="20"/>
        </w:rPr>
        <w:t>•strategic capital allocation.</w:t>
      </w:r>
    </w:p>
    <w:p w14:paraId="4B9A4190" w14:textId="77777777" w:rsidR="002A3970" w:rsidRDefault="00C35E63">
      <w:pPr>
        <w:spacing w:before="100"/>
      </w:pPr>
      <w:r>
        <w:rPr>
          <w:rFonts w:ascii="Times New Roman" w:eastAsia="宋体" w:hAnsi="Times New Roman"/>
          <w:color w:val="000000"/>
          <w:sz w:val="20"/>
          <w:szCs w:val="20"/>
        </w:rPr>
        <w:t xml:space="preserve">As we execute on this financial framework, we believe our returns on capital will improve over time. </w:t>
      </w:r>
    </w:p>
    <w:p w14:paraId="4B9A4191" w14:textId="77777777" w:rsidR="002A3970" w:rsidRDefault="00C35E63">
      <w:pPr>
        <w:spacing w:before="180"/>
      </w:pPr>
      <w:r>
        <w:rPr>
          <w:rFonts w:ascii="Times New Roman" w:eastAsia="宋体" w:hAnsi="Times New Roman"/>
          <w:b/>
          <w:bCs/>
          <w:color w:val="000000"/>
          <w:sz w:val="20"/>
          <w:szCs w:val="20"/>
          <w:u w:val="single"/>
        </w:rPr>
        <w:t>Strong, Efficient Growth</w:t>
      </w:r>
    </w:p>
    <w:p w14:paraId="4B9A4192" w14:textId="77777777" w:rsidR="002A3970" w:rsidRDefault="00C35E63">
      <w:pPr>
        <w:spacing w:before="100"/>
      </w:pPr>
      <w:r>
        <w:rPr>
          <w:rFonts w:ascii="Times New Roman" w:eastAsia="宋体" w:hAnsi="Times New Roman"/>
          <w:color w:val="000000"/>
          <w:sz w:val="20"/>
          <w:szCs w:val="20"/>
        </w:rPr>
        <w:t>Our objective of prioritizing strong, efficient growth means we will focus on the most productive growth opportunities, increasin</w:t>
      </w:r>
      <w:r>
        <w:rPr>
          <w:rFonts w:ascii="Times New Roman" w:eastAsia="宋体" w:hAnsi="Times New Roman"/>
          <w:color w:val="000000"/>
          <w:sz w:val="20"/>
          <w:szCs w:val="20"/>
        </w:rPr>
        <w:t>g comparable store and club sales, accelerating eCommerce sales growth and expansion of omni-channel initiatives that complement our flywheel strategy while slowing the rate of growth of new stores and clubs. At times, we make strategic investments which a</w:t>
      </w:r>
      <w:r>
        <w:rPr>
          <w:rFonts w:ascii="Times New Roman" w:eastAsia="宋体" w:hAnsi="Times New Roman"/>
          <w:color w:val="000000"/>
          <w:sz w:val="20"/>
          <w:szCs w:val="20"/>
        </w:rPr>
        <w:t xml:space="preserve">re focused on the long-term growth of the Company. </w:t>
      </w:r>
    </w:p>
    <w:p w14:paraId="4B9A4193" w14:textId="77777777" w:rsidR="002A3970" w:rsidRDefault="00C35E63">
      <w:pPr>
        <w:spacing w:before="100"/>
      </w:pPr>
      <w:r>
        <w:rPr>
          <w:rFonts w:ascii="Times New Roman" w:eastAsia="宋体" w:hAnsi="Times New Roman"/>
          <w:color w:val="000000"/>
          <w:sz w:val="20"/>
          <w:szCs w:val="20"/>
        </w:rPr>
        <w:t xml:space="preserve">Comparable sales is a metric that indicates the performance of our existing stores and clubs by measuring the change in sales for such stores and clubs, including eCommerce sales, for a particular period </w:t>
      </w:r>
      <w:r>
        <w:rPr>
          <w:rFonts w:ascii="Times New Roman" w:eastAsia="宋体" w:hAnsi="Times New Roman"/>
          <w:color w:val="000000"/>
          <w:sz w:val="20"/>
          <w:szCs w:val="20"/>
        </w:rPr>
        <w:t>over the corresponding period in the previous year. The retail industry generally reports comparable sales using the retail calendar (also known as the 4-5-4 calendar). To be consistent with the retail industry, we provide comparable sales using the retail</w:t>
      </w:r>
      <w:r>
        <w:rPr>
          <w:rFonts w:ascii="Times New Roman" w:eastAsia="宋体" w:hAnsi="Times New Roman"/>
          <w:color w:val="000000"/>
          <w:sz w:val="20"/>
          <w:szCs w:val="20"/>
        </w:rPr>
        <w:t xml:space="preserve"> calendar in our quarterly earnings releases. However, when we discuss our comparable sales below, we are referring to our calendar comparable sales calculated using our fiscal calendar, which may result in differences when compared to comparable sales usi</w:t>
      </w:r>
      <w:r>
        <w:rPr>
          <w:rFonts w:ascii="Times New Roman" w:eastAsia="宋体" w:hAnsi="Times New Roman"/>
          <w:color w:val="000000"/>
          <w:sz w:val="20"/>
          <w:szCs w:val="20"/>
        </w:rPr>
        <w:t xml:space="preserve">ng the retail calendar. </w:t>
      </w:r>
    </w:p>
    <w:p w14:paraId="4B9A4194" w14:textId="77777777" w:rsidR="002A3970" w:rsidRDefault="00C35E63">
      <w:pPr>
        <w:spacing w:before="100"/>
      </w:pPr>
      <w:r>
        <w:rPr>
          <w:rFonts w:ascii="Times New Roman" w:eastAsia="宋体" w:hAnsi="Times New Roman"/>
          <w:color w:val="000000"/>
          <w:sz w:val="20"/>
          <w:szCs w:val="20"/>
        </w:rPr>
        <w:t>Calendar comparable sales, as well as the impact of fuel, for the three and nine months ended October 31, 2022 and 2021,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829"/>
        <w:gridCol w:w="36"/>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501"/>
        <w:gridCol w:w="155"/>
      </w:tblGrid>
      <w:tr w:rsidR="002A3970" w14:paraId="4B9A41C8" w14:textId="77777777">
        <w:trPr>
          <w:jc w:val="center"/>
        </w:trPr>
        <w:tc>
          <w:tcPr>
            <w:tcW w:w="50" w:type="pct"/>
            <w:shd w:val="clear" w:color="auto" w:fill="auto"/>
            <w:vAlign w:val="bottom"/>
          </w:tcPr>
          <w:p w14:paraId="4B9A4195" w14:textId="77777777" w:rsidR="002A3970" w:rsidRDefault="002A3970">
            <w:pPr>
              <w:rPr>
                <w:rFonts w:ascii="宋体"/>
              </w:rPr>
            </w:pPr>
          </w:p>
        </w:tc>
        <w:tc>
          <w:tcPr>
            <w:tcW w:w="1143" w:type="pct"/>
            <w:shd w:val="clear" w:color="auto" w:fill="auto"/>
            <w:vAlign w:val="bottom"/>
          </w:tcPr>
          <w:p w14:paraId="4B9A4196" w14:textId="77777777" w:rsidR="002A3970" w:rsidRDefault="002A3970">
            <w:pPr>
              <w:rPr>
                <w:rFonts w:ascii="宋体"/>
              </w:rPr>
            </w:pPr>
          </w:p>
        </w:tc>
        <w:tc>
          <w:tcPr>
            <w:tcW w:w="5" w:type="pct"/>
            <w:shd w:val="clear" w:color="auto" w:fill="auto"/>
            <w:vAlign w:val="bottom"/>
          </w:tcPr>
          <w:p w14:paraId="4B9A4197" w14:textId="77777777" w:rsidR="002A3970" w:rsidRDefault="002A3970">
            <w:pPr>
              <w:rPr>
                <w:rFonts w:ascii="宋体"/>
              </w:rPr>
            </w:pPr>
          </w:p>
        </w:tc>
        <w:tc>
          <w:tcPr>
            <w:tcW w:w="5" w:type="pct"/>
            <w:shd w:val="clear" w:color="auto" w:fill="auto"/>
            <w:vAlign w:val="bottom"/>
          </w:tcPr>
          <w:p w14:paraId="4B9A4198" w14:textId="77777777" w:rsidR="002A3970" w:rsidRDefault="002A3970">
            <w:pPr>
              <w:rPr>
                <w:rFonts w:ascii="宋体"/>
              </w:rPr>
            </w:pPr>
          </w:p>
        </w:tc>
        <w:tc>
          <w:tcPr>
            <w:tcW w:w="26" w:type="pct"/>
            <w:shd w:val="clear" w:color="auto" w:fill="auto"/>
            <w:vAlign w:val="bottom"/>
          </w:tcPr>
          <w:p w14:paraId="4B9A4199" w14:textId="77777777" w:rsidR="002A3970" w:rsidRDefault="002A3970">
            <w:pPr>
              <w:rPr>
                <w:rFonts w:ascii="宋体"/>
              </w:rPr>
            </w:pPr>
          </w:p>
        </w:tc>
        <w:tc>
          <w:tcPr>
            <w:tcW w:w="5" w:type="pct"/>
            <w:shd w:val="clear" w:color="auto" w:fill="auto"/>
            <w:vAlign w:val="bottom"/>
          </w:tcPr>
          <w:p w14:paraId="4B9A419A" w14:textId="77777777" w:rsidR="002A3970" w:rsidRDefault="002A3970">
            <w:pPr>
              <w:rPr>
                <w:rFonts w:ascii="宋体"/>
              </w:rPr>
            </w:pPr>
          </w:p>
        </w:tc>
        <w:tc>
          <w:tcPr>
            <w:tcW w:w="50" w:type="pct"/>
            <w:shd w:val="clear" w:color="auto" w:fill="auto"/>
            <w:vAlign w:val="bottom"/>
          </w:tcPr>
          <w:p w14:paraId="4B9A419B" w14:textId="77777777" w:rsidR="002A3970" w:rsidRDefault="002A3970">
            <w:pPr>
              <w:rPr>
                <w:rFonts w:ascii="宋体"/>
              </w:rPr>
            </w:pPr>
          </w:p>
        </w:tc>
        <w:tc>
          <w:tcPr>
            <w:tcW w:w="383" w:type="pct"/>
            <w:shd w:val="clear" w:color="auto" w:fill="auto"/>
            <w:vAlign w:val="bottom"/>
          </w:tcPr>
          <w:p w14:paraId="4B9A419C" w14:textId="77777777" w:rsidR="002A3970" w:rsidRDefault="002A3970">
            <w:pPr>
              <w:rPr>
                <w:rFonts w:ascii="宋体"/>
              </w:rPr>
            </w:pPr>
          </w:p>
        </w:tc>
        <w:tc>
          <w:tcPr>
            <w:tcW w:w="5" w:type="pct"/>
            <w:shd w:val="clear" w:color="auto" w:fill="auto"/>
            <w:vAlign w:val="bottom"/>
          </w:tcPr>
          <w:p w14:paraId="4B9A419D" w14:textId="77777777" w:rsidR="002A3970" w:rsidRDefault="002A3970">
            <w:pPr>
              <w:rPr>
                <w:rFonts w:ascii="宋体"/>
              </w:rPr>
            </w:pPr>
          </w:p>
        </w:tc>
        <w:tc>
          <w:tcPr>
            <w:tcW w:w="5" w:type="pct"/>
            <w:shd w:val="clear" w:color="auto" w:fill="auto"/>
            <w:vAlign w:val="bottom"/>
          </w:tcPr>
          <w:p w14:paraId="4B9A419E" w14:textId="77777777" w:rsidR="002A3970" w:rsidRDefault="002A3970">
            <w:pPr>
              <w:rPr>
                <w:rFonts w:ascii="宋体"/>
              </w:rPr>
            </w:pPr>
          </w:p>
        </w:tc>
        <w:tc>
          <w:tcPr>
            <w:tcW w:w="26" w:type="pct"/>
            <w:shd w:val="clear" w:color="auto" w:fill="auto"/>
            <w:vAlign w:val="bottom"/>
          </w:tcPr>
          <w:p w14:paraId="4B9A419F" w14:textId="77777777" w:rsidR="002A3970" w:rsidRDefault="002A3970">
            <w:pPr>
              <w:rPr>
                <w:rFonts w:ascii="宋体"/>
              </w:rPr>
            </w:pPr>
          </w:p>
        </w:tc>
        <w:tc>
          <w:tcPr>
            <w:tcW w:w="5" w:type="pct"/>
            <w:shd w:val="clear" w:color="auto" w:fill="auto"/>
            <w:vAlign w:val="bottom"/>
          </w:tcPr>
          <w:p w14:paraId="4B9A41A0" w14:textId="77777777" w:rsidR="002A3970" w:rsidRDefault="002A3970">
            <w:pPr>
              <w:rPr>
                <w:rFonts w:ascii="宋体"/>
              </w:rPr>
            </w:pPr>
          </w:p>
        </w:tc>
        <w:tc>
          <w:tcPr>
            <w:tcW w:w="50" w:type="pct"/>
            <w:shd w:val="clear" w:color="auto" w:fill="auto"/>
            <w:vAlign w:val="bottom"/>
          </w:tcPr>
          <w:p w14:paraId="4B9A41A1" w14:textId="77777777" w:rsidR="002A3970" w:rsidRDefault="002A3970">
            <w:pPr>
              <w:rPr>
                <w:rFonts w:ascii="宋体"/>
              </w:rPr>
            </w:pPr>
          </w:p>
        </w:tc>
        <w:tc>
          <w:tcPr>
            <w:tcW w:w="383" w:type="pct"/>
            <w:shd w:val="clear" w:color="auto" w:fill="auto"/>
            <w:vAlign w:val="bottom"/>
          </w:tcPr>
          <w:p w14:paraId="4B9A41A2" w14:textId="77777777" w:rsidR="002A3970" w:rsidRDefault="002A3970">
            <w:pPr>
              <w:rPr>
                <w:rFonts w:ascii="宋体"/>
              </w:rPr>
            </w:pPr>
          </w:p>
        </w:tc>
        <w:tc>
          <w:tcPr>
            <w:tcW w:w="5" w:type="pct"/>
            <w:shd w:val="clear" w:color="auto" w:fill="auto"/>
            <w:vAlign w:val="bottom"/>
          </w:tcPr>
          <w:p w14:paraId="4B9A41A3" w14:textId="77777777" w:rsidR="002A3970" w:rsidRDefault="002A3970">
            <w:pPr>
              <w:rPr>
                <w:rFonts w:ascii="宋体"/>
              </w:rPr>
            </w:pPr>
          </w:p>
        </w:tc>
        <w:tc>
          <w:tcPr>
            <w:tcW w:w="5" w:type="pct"/>
            <w:shd w:val="clear" w:color="auto" w:fill="auto"/>
            <w:vAlign w:val="bottom"/>
          </w:tcPr>
          <w:p w14:paraId="4B9A41A4" w14:textId="77777777" w:rsidR="002A3970" w:rsidRDefault="002A3970">
            <w:pPr>
              <w:rPr>
                <w:rFonts w:ascii="宋体"/>
              </w:rPr>
            </w:pPr>
          </w:p>
        </w:tc>
        <w:tc>
          <w:tcPr>
            <w:tcW w:w="26" w:type="pct"/>
            <w:shd w:val="clear" w:color="auto" w:fill="auto"/>
            <w:vAlign w:val="bottom"/>
          </w:tcPr>
          <w:p w14:paraId="4B9A41A5" w14:textId="77777777" w:rsidR="002A3970" w:rsidRDefault="002A3970">
            <w:pPr>
              <w:rPr>
                <w:rFonts w:ascii="宋体"/>
              </w:rPr>
            </w:pPr>
          </w:p>
        </w:tc>
        <w:tc>
          <w:tcPr>
            <w:tcW w:w="5" w:type="pct"/>
            <w:shd w:val="clear" w:color="auto" w:fill="auto"/>
            <w:vAlign w:val="bottom"/>
          </w:tcPr>
          <w:p w14:paraId="4B9A41A6" w14:textId="77777777" w:rsidR="002A3970" w:rsidRDefault="002A3970">
            <w:pPr>
              <w:rPr>
                <w:rFonts w:ascii="宋体"/>
              </w:rPr>
            </w:pPr>
          </w:p>
        </w:tc>
        <w:tc>
          <w:tcPr>
            <w:tcW w:w="50" w:type="pct"/>
            <w:shd w:val="clear" w:color="auto" w:fill="auto"/>
            <w:vAlign w:val="bottom"/>
          </w:tcPr>
          <w:p w14:paraId="4B9A41A7" w14:textId="77777777" w:rsidR="002A3970" w:rsidRDefault="002A3970">
            <w:pPr>
              <w:rPr>
                <w:rFonts w:ascii="宋体"/>
              </w:rPr>
            </w:pPr>
          </w:p>
        </w:tc>
        <w:tc>
          <w:tcPr>
            <w:tcW w:w="383" w:type="pct"/>
            <w:shd w:val="clear" w:color="auto" w:fill="auto"/>
            <w:vAlign w:val="bottom"/>
          </w:tcPr>
          <w:p w14:paraId="4B9A41A8" w14:textId="77777777" w:rsidR="002A3970" w:rsidRDefault="002A3970">
            <w:pPr>
              <w:rPr>
                <w:rFonts w:ascii="宋体"/>
              </w:rPr>
            </w:pPr>
          </w:p>
        </w:tc>
        <w:tc>
          <w:tcPr>
            <w:tcW w:w="5" w:type="pct"/>
            <w:shd w:val="clear" w:color="auto" w:fill="auto"/>
            <w:vAlign w:val="bottom"/>
          </w:tcPr>
          <w:p w14:paraId="4B9A41A9" w14:textId="77777777" w:rsidR="002A3970" w:rsidRDefault="002A3970">
            <w:pPr>
              <w:rPr>
                <w:rFonts w:ascii="宋体"/>
              </w:rPr>
            </w:pPr>
          </w:p>
        </w:tc>
        <w:tc>
          <w:tcPr>
            <w:tcW w:w="5" w:type="pct"/>
            <w:shd w:val="clear" w:color="auto" w:fill="auto"/>
            <w:vAlign w:val="bottom"/>
          </w:tcPr>
          <w:p w14:paraId="4B9A41AA" w14:textId="77777777" w:rsidR="002A3970" w:rsidRDefault="002A3970">
            <w:pPr>
              <w:rPr>
                <w:rFonts w:ascii="宋体"/>
              </w:rPr>
            </w:pPr>
          </w:p>
        </w:tc>
        <w:tc>
          <w:tcPr>
            <w:tcW w:w="26" w:type="pct"/>
            <w:shd w:val="clear" w:color="auto" w:fill="auto"/>
            <w:vAlign w:val="bottom"/>
          </w:tcPr>
          <w:p w14:paraId="4B9A41AB" w14:textId="77777777" w:rsidR="002A3970" w:rsidRDefault="002A3970">
            <w:pPr>
              <w:rPr>
                <w:rFonts w:ascii="宋体"/>
              </w:rPr>
            </w:pPr>
          </w:p>
        </w:tc>
        <w:tc>
          <w:tcPr>
            <w:tcW w:w="5" w:type="pct"/>
            <w:shd w:val="clear" w:color="auto" w:fill="auto"/>
            <w:vAlign w:val="bottom"/>
          </w:tcPr>
          <w:p w14:paraId="4B9A41AC" w14:textId="77777777" w:rsidR="002A3970" w:rsidRDefault="002A3970">
            <w:pPr>
              <w:rPr>
                <w:rFonts w:ascii="宋体"/>
              </w:rPr>
            </w:pPr>
          </w:p>
        </w:tc>
        <w:tc>
          <w:tcPr>
            <w:tcW w:w="50" w:type="pct"/>
            <w:shd w:val="clear" w:color="auto" w:fill="auto"/>
            <w:vAlign w:val="bottom"/>
          </w:tcPr>
          <w:p w14:paraId="4B9A41AD" w14:textId="77777777" w:rsidR="002A3970" w:rsidRDefault="002A3970">
            <w:pPr>
              <w:rPr>
                <w:rFonts w:ascii="宋体"/>
              </w:rPr>
            </w:pPr>
          </w:p>
        </w:tc>
        <w:tc>
          <w:tcPr>
            <w:tcW w:w="383" w:type="pct"/>
            <w:shd w:val="clear" w:color="auto" w:fill="auto"/>
            <w:vAlign w:val="bottom"/>
          </w:tcPr>
          <w:p w14:paraId="4B9A41AE" w14:textId="77777777" w:rsidR="002A3970" w:rsidRDefault="002A3970">
            <w:pPr>
              <w:rPr>
                <w:rFonts w:ascii="宋体"/>
              </w:rPr>
            </w:pPr>
          </w:p>
        </w:tc>
        <w:tc>
          <w:tcPr>
            <w:tcW w:w="5" w:type="pct"/>
            <w:shd w:val="clear" w:color="auto" w:fill="auto"/>
            <w:vAlign w:val="bottom"/>
          </w:tcPr>
          <w:p w14:paraId="4B9A41AF" w14:textId="77777777" w:rsidR="002A3970" w:rsidRDefault="002A3970">
            <w:pPr>
              <w:rPr>
                <w:rFonts w:ascii="宋体"/>
              </w:rPr>
            </w:pPr>
          </w:p>
        </w:tc>
        <w:tc>
          <w:tcPr>
            <w:tcW w:w="5" w:type="pct"/>
            <w:shd w:val="clear" w:color="auto" w:fill="auto"/>
            <w:vAlign w:val="bottom"/>
          </w:tcPr>
          <w:p w14:paraId="4B9A41B0" w14:textId="77777777" w:rsidR="002A3970" w:rsidRDefault="002A3970">
            <w:pPr>
              <w:rPr>
                <w:rFonts w:ascii="宋体"/>
              </w:rPr>
            </w:pPr>
          </w:p>
        </w:tc>
        <w:tc>
          <w:tcPr>
            <w:tcW w:w="26" w:type="pct"/>
            <w:shd w:val="clear" w:color="auto" w:fill="auto"/>
            <w:vAlign w:val="bottom"/>
          </w:tcPr>
          <w:p w14:paraId="4B9A41B1" w14:textId="77777777" w:rsidR="002A3970" w:rsidRDefault="002A3970">
            <w:pPr>
              <w:rPr>
                <w:rFonts w:ascii="宋体"/>
              </w:rPr>
            </w:pPr>
          </w:p>
        </w:tc>
        <w:tc>
          <w:tcPr>
            <w:tcW w:w="5" w:type="pct"/>
            <w:shd w:val="clear" w:color="auto" w:fill="auto"/>
            <w:vAlign w:val="bottom"/>
          </w:tcPr>
          <w:p w14:paraId="4B9A41B2" w14:textId="77777777" w:rsidR="002A3970" w:rsidRDefault="002A3970">
            <w:pPr>
              <w:rPr>
                <w:rFonts w:ascii="宋体"/>
              </w:rPr>
            </w:pPr>
          </w:p>
        </w:tc>
        <w:tc>
          <w:tcPr>
            <w:tcW w:w="50" w:type="pct"/>
            <w:shd w:val="clear" w:color="auto" w:fill="auto"/>
            <w:vAlign w:val="bottom"/>
          </w:tcPr>
          <w:p w14:paraId="4B9A41B3" w14:textId="77777777" w:rsidR="002A3970" w:rsidRDefault="002A3970">
            <w:pPr>
              <w:rPr>
                <w:rFonts w:ascii="宋体"/>
              </w:rPr>
            </w:pPr>
          </w:p>
        </w:tc>
        <w:tc>
          <w:tcPr>
            <w:tcW w:w="383" w:type="pct"/>
            <w:shd w:val="clear" w:color="auto" w:fill="auto"/>
            <w:vAlign w:val="bottom"/>
          </w:tcPr>
          <w:p w14:paraId="4B9A41B4" w14:textId="77777777" w:rsidR="002A3970" w:rsidRDefault="002A3970">
            <w:pPr>
              <w:rPr>
                <w:rFonts w:ascii="宋体"/>
              </w:rPr>
            </w:pPr>
          </w:p>
        </w:tc>
        <w:tc>
          <w:tcPr>
            <w:tcW w:w="5" w:type="pct"/>
            <w:shd w:val="clear" w:color="auto" w:fill="auto"/>
            <w:vAlign w:val="bottom"/>
          </w:tcPr>
          <w:p w14:paraId="4B9A41B5" w14:textId="77777777" w:rsidR="002A3970" w:rsidRDefault="002A3970">
            <w:pPr>
              <w:rPr>
                <w:rFonts w:ascii="宋体"/>
              </w:rPr>
            </w:pPr>
          </w:p>
        </w:tc>
        <w:tc>
          <w:tcPr>
            <w:tcW w:w="5" w:type="pct"/>
            <w:shd w:val="clear" w:color="auto" w:fill="auto"/>
            <w:vAlign w:val="bottom"/>
          </w:tcPr>
          <w:p w14:paraId="4B9A41B6" w14:textId="77777777" w:rsidR="002A3970" w:rsidRDefault="002A3970">
            <w:pPr>
              <w:rPr>
                <w:rFonts w:ascii="宋体"/>
              </w:rPr>
            </w:pPr>
          </w:p>
        </w:tc>
        <w:tc>
          <w:tcPr>
            <w:tcW w:w="26" w:type="pct"/>
            <w:shd w:val="clear" w:color="auto" w:fill="auto"/>
            <w:vAlign w:val="bottom"/>
          </w:tcPr>
          <w:p w14:paraId="4B9A41B7" w14:textId="77777777" w:rsidR="002A3970" w:rsidRDefault="002A3970">
            <w:pPr>
              <w:rPr>
                <w:rFonts w:ascii="宋体"/>
              </w:rPr>
            </w:pPr>
          </w:p>
        </w:tc>
        <w:tc>
          <w:tcPr>
            <w:tcW w:w="5" w:type="pct"/>
            <w:shd w:val="clear" w:color="auto" w:fill="auto"/>
            <w:vAlign w:val="bottom"/>
          </w:tcPr>
          <w:p w14:paraId="4B9A41B8" w14:textId="77777777" w:rsidR="002A3970" w:rsidRDefault="002A3970">
            <w:pPr>
              <w:rPr>
                <w:rFonts w:ascii="宋体"/>
              </w:rPr>
            </w:pPr>
          </w:p>
        </w:tc>
        <w:tc>
          <w:tcPr>
            <w:tcW w:w="50" w:type="pct"/>
            <w:shd w:val="clear" w:color="auto" w:fill="auto"/>
            <w:vAlign w:val="bottom"/>
          </w:tcPr>
          <w:p w14:paraId="4B9A41B9" w14:textId="77777777" w:rsidR="002A3970" w:rsidRDefault="002A3970">
            <w:pPr>
              <w:rPr>
                <w:rFonts w:ascii="宋体"/>
              </w:rPr>
            </w:pPr>
          </w:p>
        </w:tc>
        <w:tc>
          <w:tcPr>
            <w:tcW w:w="383" w:type="pct"/>
            <w:shd w:val="clear" w:color="auto" w:fill="auto"/>
            <w:vAlign w:val="bottom"/>
          </w:tcPr>
          <w:p w14:paraId="4B9A41BA" w14:textId="77777777" w:rsidR="002A3970" w:rsidRDefault="002A3970">
            <w:pPr>
              <w:rPr>
                <w:rFonts w:ascii="宋体"/>
              </w:rPr>
            </w:pPr>
          </w:p>
        </w:tc>
        <w:tc>
          <w:tcPr>
            <w:tcW w:w="5" w:type="pct"/>
            <w:shd w:val="clear" w:color="auto" w:fill="auto"/>
            <w:vAlign w:val="bottom"/>
          </w:tcPr>
          <w:p w14:paraId="4B9A41BB" w14:textId="77777777" w:rsidR="002A3970" w:rsidRDefault="002A3970">
            <w:pPr>
              <w:rPr>
                <w:rFonts w:ascii="宋体"/>
              </w:rPr>
            </w:pPr>
          </w:p>
        </w:tc>
        <w:tc>
          <w:tcPr>
            <w:tcW w:w="5" w:type="pct"/>
            <w:shd w:val="clear" w:color="auto" w:fill="auto"/>
            <w:vAlign w:val="bottom"/>
          </w:tcPr>
          <w:p w14:paraId="4B9A41BC" w14:textId="77777777" w:rsidR="002A3970" w:rsidRDefault="002A3970">
            <w:pPr>
              <w:rPr>
                <w:rFonts w:ascii="宋体"/>
              </w:rPr>
            </w:pPr>
          </w:p>
        </w:tc>
        <w:tc>
          <w:tcPr>
            <w:tcW w:w="26" w:type="pct"/>
            <w:shd w:val="clear" w:color="auto" w:fill="auto"/>
            <w:vAlign w:val="bottom"/>
          </w:tcPr>
          <w:p w14:paraId="4B9A41BD" w14:textId="77777777" w:rsidR="002A3970" w:rsidRDefault="002A3970">
            <w:pPr>
              <w:rPr>
                <w:rFonts w:ascii="宋体"/>
              </w:rPr>
            </w:pPr>
          </w:p>
        </w:tc>
        <w:tc>
          <w:tcPr>
            <w:tcW w:w="5" w:type="pct"/>
            <w:shd w:val="clear" w:color="auto" w:fill="auto"/>
            <w:vAlign w:val="bottom"/>
          </w:tcPr>
          <w:p w14:paraId="4B9A41BE" w14:textId="77777777" w:rsidR="002A3970" w:rsidRDefault="002A3970">
            <w:pPr>
              <w:rPr>
                <w:rFonts w:ascii="宋体"/>
              </w:rPr>
            </w:pPr>
          </w:p>
        </w:tc>
        <w:tc>
          <w:tcPr>
            <w:tcW w:w="50" w:type="pct"/>
            <w:shd w:val="clear" w:color="auto" w:fill="auto"/>
            <w:vAlign w:val="bottom"/>
          </w:tcPr>
          <w:p w14:paraId="4B9A41BF" w14:textId="77777777" w:rsidR="002A3970" w:rsidRDefault="002A3970">
            <w:pPr>
              <w:rPr>
                <w:rFonts w:ascii="宋体"/>
              </w:rPr>
            </w:pPr>
          </w:p>
        </w:tc>
        <w:tc>
          <w:tcPr>
            <w:tcW w:w="383" w:type="pct"/>
            <w:shd w:val="clear" w:color="auto" w:fill="auto"/>
            <w:vAlign w:val="bottom"/>
          </w:tcPr>
          <w:p w14:paraId="4B9A41C0" w14:textId="77777777" w:rsidR="002A3970" w:rsidRDefault="002A3970">
            <w:pPr>
              <w:rPr>
                <w:rFonts w:ascii="宋体"/>
              </w:rPr>
            </w:pPr>
          </w:p>
        </w:tc>
        <w:tc>
          <w:tcPr>
            <w:tcW w:w="5" w:type="pct"/>
            <w:shd w:val="clear" w:color="auto" w:fill="auto"/>
            <w:vAlign w:val="bottom"/>
          </w:tcPr>
          <w:p w14:paraId="4B9A41C1" w14:textId="77777777" w:rsidR="002A3970" w:rsidRDefault="002A3970">
            <w:pPr>
              <w:rPr>
                <w:rFonts w:ascii="宋体"/>
              </w:rPr>
            </w:pPr>
          </w:p>
        </w:tc>
        <w:tc>
          <w:tcPr>
            <w:tcW w:w="5" w:type="pct"/>
            <w:shd w:val="clear" w:color="auto" w:fill="auto"/>
            <w:vAlign w:val="bottom"/>
          </w:tcPr>
          <w:p w14:paraId="4B9A41C2" w14:textId="77777777" w:rsidR="002A3970" w:rsidRDefault="002A3970">
            <w:pPr>
              <w:rPr>
                <w:rFonts w:ascii="宋体"/>
              </w:rPr>
            </w:pPr>
          </w:p>
        </w:tc>
        <w:tc>
          <w:tcPr>
            <w:tcW w:w="26" w:type="pct"/>
            <w:shd w:val="clear" w:color="auto" w:fill="auto"/>
            <w:vAlign w:val="bottom"/>
          </w:tcPr>
          <w:p w14:paraId="4B9A41C3" w14:textId="77777777" w:rsidR="002A3970" w:rsidRDefault="002A3970">
            <w:pPr>
              <w:rPr>
                <w:rFonts w:ascii="宋体"/>
              </w:rPr>
            </w:pPr>
          </w:p>
        </w:tc>
        <w:tc>
          <w:tcPr>
            <w:tcW w:w="5" w:type="pct"/>
            <w:shd w:val="clear" w:color="auto" w:fill="auto"/>
            <w:vAlign w:val="bottom"/>
          </w:tcPr>
          <w:p w14:paraId="4B9A41C4" w14:textId="77777777" w:rsidR="002A3970" w:rsidRDefault="002A3970">
            <w:pPr>
              <w:rPr>
                <w:rFonts w:ascii="宋体"/>
              </w:rPr>
            </w:pPr>
          </w:p>
        </w:tc>
        <w:tc>
          <w:tcPr>
            <w:tcW w:w="50" w:type="pct"/>
            <w:shd w:val="clear" w:color="auto" w:fill="auto"/>
            <w:vAlign w:val="bottom"/>
          </w:tcPr>
          <w:p w14:paraId="4B9A41C5" w14:textId="77777777" w:rsidR="002A3970" w:rsidRDefault="002A3970">
            <w:pPr>
              <w:rPr>
                <w:rFonts w:ascii="宋体"/>
              </w:rPr>
            </w:pPr>
          </w:p>
        </w:tc>
        <w:tc>
          <w:tcPr>
            <w:tcW w:w="384" w:type="pct"/>
            <w:shd w:val="clear" w:color="auto" w:fill="auto"/>
            <w:vAlign w:val="bottom"/>
          </w:tcPr>
          <w:p w14:paraId="4B9A41C6" w14:textId="77777777" w:rsidR="002A3970" w:rsidRDefault="002A3970">
            <w:pPr>
              <w:rPr>
                <w:rFonts w:ascii="宋体"/>
              </w:rPr>
            </w:pPr>
          </w:p>
        </w:tc>
        <w:tc>
          <w:tcPr>
            <w:tcW w:w="5" w:type="pct"/>
            <w:shd w:val="clear" w:color="auto" w:fill="auto"/>
            <w:vAlign w:val="bottom"/>
          </w:tcPr>
          <w:p w14:paraId="4B9A41C7" w14:textId="77777777" w:rsidR="002A3970" w:rsidRDefault="002A3970">
            <w:pPr>
              <w:rPr>
                <w:rFonts w:ascii="宋体"/>
              </w:rPr>
            </w:pPr>
          </w:p>
        </w:tc>
      </w:tr>
      <w:tr w:rsidR="002A3970" w14:paraId="4B9A41CE" w14:textId="77777777">
        <w:trPr>
          <w:jc w:val="center"/>
        </w:trPr>
        <w:tc>
          <w:tcPr>
            <w:tcW w:w="0" w:type="auto"/>
            <w:gridSpan w:val="3"/>
            <w:shd w:val="clear" w:color="auto" w:fill="auto"/>
            <w:tcMar>
              <w:top w:w="40" w:type="dxa"/>
              <w:left w:w="20" w:type="dxa"/>
              <w:bottom w:w="40" w:type="dxa"/>
              <w:right w:w="20" w:type="dxa"/>
            </w:tcMar>
            <w:vAlign w:val="center"/>
          </w:tcPr>
          <w:p w14:paraId="4B9A41C9"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1CA" w14:textId="77777777" w:rsidR="002A3970" w:rsidRDefault="002A3970">
            <w:pPr>
              <w:rPr>
                <w:rFonts w:ascii="宋体"/>
              </w:rPr>
            </w:pPr>
          </w:p>
        </w:tc>
        <w:tc>
          <w:tcPr>
            <w:tcW w:w="0" w:type="auto"/>
            <w:gridSpan w:val="21"/>
            <w:shd w:val="clear" w:color="auto" w:fill="auto"/>
            <w:tcMar>
              <w:top w:w="40" w:type="dxa"/>
              <w:left w:w="20" w:type="dxa"/>
              <w:bottom w:w="40" w:type="dxa"/>
              <w:right w:w="20" w:type="dxa"/>
            </w:tcMar>
            <w:vAlign w:val="center"/>
          </w:tcPr>
          <w:p w14:paraId="4B9A41CB" w14:textId="77777777" w:rsidR="002A3970" w:rsidRDefault="00C35E63">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1CC" w14:textId="77777777" w:rsidR="002A3970" w:rsidRDefault="002A3970">
            <w:pPr>
              <w:rPr>
                <w:rFonts w:ascii="宋体"/>
              </w:rPr>
            </w:pPr>
          </w:p>
        </w:tc>
        <w:tc>
          <w:tcPr>
            <w:tcW w:w="0" w:type="auto"/>
            <w:gridSpan w:val="21"/>
            <w:shd w:val="clear" w:color="auto" w:fill="auto"/>
            <w:tcMar>
              <w:top w:w="40" w:type="dxa"/>
              <w:left w:w="20" w:type="dxa"/>
              <w:bottom w:w="40" w:type="dxa"/>
              <w:right w:w="20" w:type="dxa"/>
            </w:tcMar>
            <w:vAlign w:val="center"/>
          </w:tcPr>
          <w:p w14:paraId="4B9A41CD" w14:textId="77777777" w:rsidR="002A3970" w:rsidRDefault="00C35E63">
            <w:pPr>
              <w:jc w:val="center"/>
              <w:textAlignment w:val="center"/>
            </w:pPr>
            <w:r>
              <w:rPr>
                <w:rFonts w:ascii="Times New Roman" w:eastAsia="宋体" w:hAnsi="Times New Roman"/>
                <w:b/>
                <w:bCs/>
                <w:color w:val="000000"/>
                <w:sz w:val="16"/>
                <w:szCs w:val="16"/>
              </w:rPr>
              <w:t>Nine Months Ended October 31,</w:t>
            </w:r>
          </w:p>
        </w:tc>
      </w:tr>
      <w:tr w:rsidR="002A3970" w14:paraId="4B9A41E0" w14:textId="77777777">
        <w:trPr>
          <w:jc w:val="center"/>
        </w:trPr>
        <w:tc>
          <w:tcPr>
            <w:tcW w:w="0" w:type="auto"/>
            <w:gridSpan w:val="3"/>
            <w:shd w:val="clear" w:color="auto" w:fill="auto"/>
            <w:tcMar>
              <w:top w:w="40" w:type="dxa"/>
              <w:left w:w="20" w:type="dxa"/>
              <w:bottom w:w="40" w:type="dxa"/>
              <w:right w:w="20" w:type="dxa"/>
            </w:tcMar>
            <w:vAlign w:val="center"/>
          </w:tcPr>
          <w:p w14:paraId="4B9A41CF"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1D0"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1D1"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1D2" w14:textId="77777777" w:rsidR="002A3970" w:rsidRDefault="002A397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B9A41D3"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1D4"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1D5"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1D6" w14:textId="77777777" w:rsidR="002A3970" w:rsidRDefault="002A397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B9A41D7"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1D8"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1D9"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1DA" w14:textId="77777777" w:rsidR="002A3970" w:rsidRDefault="002A397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B9A41DB"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1DC"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1DD"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1DE" w14:textId="77777777" w:rsidR="002A3970" w:rsidRDefault="002A397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B9A41DF" w14:textId="77777777" w:rsidR="002A3970" w:rsidRDefault="00C35E63">
            <w:pPr>
              <w:jc w:val="center"/>
              <w:textAlignment w:val="center"/>
            </w:pPr>
            <w:r>
              <w:rPr>
                <w:rFonts w:ascii="Times New Roman" w:eastAsia="宋体" w:hAnsi="Times New Roman"/>
                <w:b/>
                <w:bCs/>
                <w:color w:val="000000"/>
                <w:sz w:val="16"/>
                <w:szCs w:val="16"/>
              </w:rPr>
              <w:t>2021</w:t>
            </w:r>
          </w:p>
        </w:tc>
      </w:tr>
      <w:tr w:rsidR="002A3970" w14:paraId="4B9A41EA" w14:textId="77777777">
        <w:trPr>
          <w:jc w:val="center"/>
        </w:trPr>
        <w:tc>
          <w:tcPr>
            <w:tcW w:w="0" w:type="auto"/>
            <w:gridSpan w:val="3"/>
            <w:shd w:val="clear" w:color="auto" w:fill="auto"/>
            <w:tcMar>
              <w:top w:w="40" w:type="dxa"/>
              <w:left w:w="20" w:type="dxa"/>
              <w:bottom w:w="40" w:type="dxa"/>
              <w:right w:w="20" w:type="dxa"/>
            </w:tcMar>
            <w:vAlign w:val="center"/>
          </w:tcPr>
          <w:p w14:paraId="4B9A41E1"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1E2" w14:textId="77777777" w:rsidR="002A3970" w:rsidRDefault="002A397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B9A41E3" w14:textId="77777777" w:rsidR="002A3970" w:rsidRDefault="00C35E63">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4B9A41E4" w14:textId="77777777" w:rsidR="002A3970" w:rsidRDefault="002A397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B9A41E5" w14:textId="77777777" w:rsidR="002A3970" w:rsidRDefault="00C35E63">
            <w:pPr>
              <w:jc w:val="center"/>
              <w:textAlignment w:val="center"/>
            </w:pPr>
            <w:r>
              <w:rPr>
                <w:rFonts w:ascii="Times New Roman" w:eastAsia="宋体" w:hAnsi="Times New Roman"/>
                <w:b/>
                <w:bCs/>
                <w:color w:val="000000"/>
                <w:sz w:val="16"/>
                <w:szCs w:val="16"/>
              </w:rPr>
              <w:t>Fuel Impact</w:t>
            </w:r>
          </w:p>
        </w:tc>
        <w:tc>
          <w:tcPr>
            <w:tcW w:w="0" w:type="auto"/>
            <w:gridSpan w:val="3"/>
            <w:shd w:val="clear" w:color="auto" w:fill="auto"/>
            <w:tcMar>
              <w:top w:w="0" w:type="dxa"/>
              <w:left w:w="20" w:type="dxa"/>
              <w:bottom w:w="0" w:type="dxa"/>
              <w:right w:w="20" w:type="dxa"/>
            </w:tcMar>
            <w:vAlign w:val="bottom"/>
          </w:tcPr>
          <w:p w14:paraId="4B9A41E6" w14:textId="77777777" w:rsidR="002A3970" w:rsidRDefault="002A397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B9A41E7" w14:textId="77777777" w:rsidR="002A3970" w:rsidRDefault="00C35E63">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4B9A41E8" w14:textId="77777777" w:rsidR="002A3970" w:rsidRDefault="002A397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B9A41E9" w14:textId="77777777" w:rsidR="002A3970" w:rsidRDefault="00C35E63">
            <w:pPr>
              <w:jc w:val="center"/>
              <w:textAlignment w:val="center"/>
            </w:pPr>
            <w:r>
              <w:rPr>
                <w:rFonts w:ascii="Times New Roman" w:eastAsia="宋体" w:hAnsi="Times New Roman"/>
                <w:b/>
                <w:bCs/>
                <w:color w:val="000000"/>
                <w:sz w:val="16"/>
                <w:szCs w:val="16"/>
              </w:rPr>
              <w:t>Fuel Impact</w:t>
            </w:r>
          </w:p>
        </w:tc>
      </w:tr>
      <w:tr w:rsidR="002A3970" w14:paraId="4B9A4204" w14:textId="77777777">
        <w:trPr>
          <w:jc w:val="center"/>
        </w:trPr>
        <w:tc>
          <w:tcPr>
            <w:tcW w:w="0" w:type="auto"/>
            <w:gridSpan w:val="3"/>
            <w:shd w:val="clear" w:color="auto" w:fill="CCEEFF"/>
            <w:tcMar>
              <w:top w:w="40" w:type="dxa"/>
              <w:left w:w="20" w:type="dxa"/>
              <w:bottom w:w="40" w:type="dxa"/>
              <w:right w:w="20" w:type="dxa"/>
            </w:tcMar>
            <w:vAlign w:val="center"/>
          </w:tcPr>
          <w:p w14:paraId="4B9A41EB" w14:textId="77777777" w:rsidR="002A3970" w:rsidRDefault="00C35E63">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4B9A41EC"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ED" w14:textId="77777777" w:rsidR="002A3970" w:rsidRDefault="00C35E63">
            <w:pPr>
              <w:jc w:val="right"/>
              <w:textAlignment w:val="center"/>
            </w:pPr>
            <w:r>
              <w:rPr>
                <w:rFonts w:ascii="Times New Roman" w:eastAsia="宋体" w:hAnsi="Times New Roman"/>
                <w:color w:val="000000"/>
                <w:sz w:val="16"/>
                <w:szCs w:val="16"/>
              </w:rPr>
              <w:t>8.5 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1EE"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41EF"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F0" w14:textId="77777777" w:rsidR="002A3970" w:rsidRDefault="00C35E63">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1F1"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1F2"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F3" w14:textId="77777777" w:rsidR="002A3970" w:rsidRDefault="00C35E63">
            <w:pPr>
              <w:jc w:val="right"/>
              <w:textAlignment w:val="center"/>
            </w:pPr>
            <w:r>
              <w:rPr>
                <w:rFonts w:ascii="Times New Roman" w:eastAsia="宋体" w:hAnsi="Times New Roman"/>
                <w:color w:val="000000"/>
                <w:sz w:val="16"/>
                <w:szCs w:val="16"/>
              </w:rPr>
              <w:t>0.3 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1F4"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41F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F6" w14:textId="77777777" w:rsidR="002A3970" w:rsidRDefault="00C35E63">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1F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1F8"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F9" w14:textId="77777777" w:rsidR="002A3970" w:rsidRDefault="00C35E63">
            <w:pPr>
              <w:jc w:val="right"/>
              <w:textAlignment w:val="center"/>
            </w:pPr>
            <w:r>
              <w:rPr>
                <w:rFonts w:ascii="Times New Roman" w:eastAsia="宋体" w:hAnsi="Times New Roman"/>
                <w:color w:val="000000"/>
                <w:sz w:val="16"/>
                <w:szCs w:val="16"/>
              </w:rPr>
              <w:t>6.5 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1F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41F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FC" w14:textId="77777777" w:rsidR="002A3970" w:rsidRDefault="00C35E63">
            <w:pPr>
              <w:jc w:val="right"/>
              <w:textAlignment w:val="center"/>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1FD"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1FE"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1FF" w14:textId="77777777" w:rsidR="002A3970" w:rsidRDefault="00C35E63">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00"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B9A4201"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02" w14:textId="77777777" w:rsidR="002A3970" w:rsidRDefault="00C35E63">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03"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21E" w14:textId="77777777">
        <w:trPr>
          <w:jc w:val="center"/>
        </w:trPr>
        <w:tc>
          <w:tcPr>
            <w:tcW w:w="0" w:type="auto"/>
            <w:gridSpan w:val="3"/>
            <w:shd w:val="clear" w:color="auto" w:fill="FFFFFF"/>
            <w:tcMar>
              <w:top w:w="40" w:type="dxa"/>
              <w:left w:w="20" w:type="dxa"/>
              <w:bottom w:w="40" w:type="dxa"/>
              <w:right w:w="20" w:type="dxa"/>
            </w:tcMar>
            <w:vAlign w:val="center"/>
          </w:tcPr>
          <w:p w14:paraId="4B9A4205" w14:textId="77777777" w:rsidR="002A3970" w:rsidRDefault="00C35E63">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vAlign w:val="bottom"/>
          </w:tcPr>
          <w:p w14:paraId="4B9A420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07" w14:textId="77777777" w:rsidR="002A3970" w:rsidRDefault="00C35E63">
            <w:pPr>
              <w:jc w:val="right"/>
              <w:textAlignment w:val="center"/>
            </w:pPr>
            <w:r>
              <w:rPr>
                <w:rFonts w:ascii="Times New Roman" w:eastAsia="宋体" w:hAnsi="Times New Roman"/>
                <w:color w:val="000000"/>
                <w:sz w:val="16"/>
                <w:szCs w:val="16"/>
              </w:rPr>
              <w:t>12.8 </w:t>
            </w:r>
          </w:p>
        </w:tc>
        <w:tc>
          <w:tcPr>
            <w:tcW w:w="0" w:type="auto"/>
            <w:shd w:val="clear" w:color="auto" w:fill="FFFFFF"/>
            <w:tcMar>
              <w:top w:w="40" w:type="dxa"/>
              <w:left w:w="0" w:type="dxa"/>
              <w:bottom w:w="40" w:type="dxa"/>
              <w:right w:w="20" w:type="dxa"/>
            </w:tcMar>
            <w:vAlign w:val="center"/>
          </w:tcPr>
          <w:p w14:paraId="4B9A4208"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0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0A" w14:textId="77777777" w:rsidR="002A3970" w:rsidRDefault="00C35E63">
            <w:pPr>
              <w:jc w:val="right"/>
              <w:textAlignment w:val="center"/>
            </w:pPr>
            <w:r>
              <w:rPr>
                <w:rFonts w:ascii="Times New Roman" w:eastAsia="宋体" w:hAnsi="Times New Roman"/>
                <w:color w:val="000000"/>
                <w:sz w:val="16"/>
                <w:szCs w:val="16"/>
              </w:rPr>
              <w:t>19.6 </w:t>
            </w:r>
          </w:p>
        </w:tc>
        <w:tc>
          <w:tcPr>
            <w:tcW w:w="0" w:type="auto"/>
            <w:shd w:val="clear" w:color="auto" w:fill="FFFFFF"/>
            <w:tcMar>
              <w:top w:w="40" w:type="dxa"/>
              <w:left w:w="0" w:type="dxa"/>
              <w:bottom w:w="40" w:type="dxa"/>
              <w:right w:w="20" w:type="dxa"/>
            </w:tcMar>
            <w:vAlign w:val="center"/>
          </w:tcPr>
          <w:p w14:paraId="4B9A420B"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0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0D" w14:textId="77777777" w:rsidR="002A3970" w:rsidRDefault="00C35E63">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4B9A420E"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0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10" w14:textId="77777777" w:rsidR="002A3970" w:rsidRDefault="00C35E63">
            <w:pPr>
              <w:jc w:val="right"/>
              <w:textAlignment w:val="center"/>
            </w:pPr>
            <w:r>
              <w:rPr>
                <w:rFonts w:ascii="Times New Roman" w:eastAsia="宋体" w:hAnsi="Times New Roman"/>
                <w:color w:val="000000"/>
                <w:sz w:val="16"/>
                <w:szCs w:val="16"/>
              </w:rPr>
              <w:t>5.9 </w:t>
            </w:r>
          </w:p>
        </w:tc>
        <w:tc>
          <w:tcPr>
            <w:tcW w:w="0" w:type="auto"/>
            <w:shd w:val="clear" w:color="auto" w:fill="FFFFFF"/>
            <w:tcMar>
              <w:top w:w="40" w:type="dxa"/>
              <w:left w:w="0" w:type="dxa"/>
              <w:bottom w:w="40" w:type="dxa"/>
              <w:right w:w="20" w:type="dxa"/>
            </w:tcMar>
            <w:vAlign w:val="center"/>
          </w:tcPr>
          <w:p w14:paraId="4B9A4211"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1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13" w14:textId="77777777" w:rsidR="002A3970" w:rsidRDefault="00C35E63">
            <w:pPr>
              <w:jc w:val="right"/>
              <w:textAlignment w:val="center"/>
            </w:pPr>
            <w:r>
              <w:rPr>
                <w:rFonts w:ascii="Times New Roman" w:eastAsia="宋体" w:hAnsi="Times New Roman"/>
                <w:color w:val="000000"/>
                <w:sz w:val="16"/>
                <w:szCs w:val="16"/>
              </w:rPr>
              <w:t>15.8 </w:t>
            </w:r>
          </w:p>
        </w:tc>
        <w:tc>
          <w:tcPr>
            <w:tcW w:w="0" w:type="auto"/>
            <w:shd w:val="clear" w:color="auto" w:fill="FFFFFF"/>
            <w:tcMar>
              <w:top w:w="40" w:type="dxa"/>
              <w:left w:w="0" w:type="dxa"/>
              <w:bottom w:w="40" w:type="dxa"/>
              <w:right w:w="20" w:type="dxa"/>
            </w:tcMar>
            <w:vAlign w:val="center"/>
          </w:tcPr>
          <w:p w14:paraId="4B9A4214"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1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16" w14:textId="77777777" w:rsidR="002A3970" w:rsidRDefault="00C35E63">
            <w:pPr>
              <w:jc w:val="right"/>
              <w:textAlignment w:val="center"/>
            </w:pPr>
            <w:r>
              <w:rPr>
                <w:rFonts w:ascii="Times New Roman" w:eastAsia="宋体" w:hAnsi="Times New Roman"/>
                <w:color w:val="000000"/>
                <w:sz w:val="16"/>
                <w:szCs w:val="16"/>
              </w:rPr>
              <w:t>14.6 </w:t>
            </w:r>
          </w:p>
        </w:tc>
        <w:tc>
          <w:tcPr>
            <w:tcW w:w="0" w:type="auto"/>
            <w:shd w:val="clear" w:color="auto" w:fill="FFFFFF"/>
            <w:tcMar>
              <w:top w:w="40" w:type="dxa"/>
              <w:left w:w="0" w:type="dxa"/>
              <w:bottom w:w="40" w:type="dxa"/>
              <w:right w:w="20" w:type="dxa"/>
            </w:tcMar>
            <w:vAlign w:val="center"/>
          </w:tcPr>
          <w:p w14:paraId="4B9A421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1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19" w14:textId="77777777" w:rsidR="002A3970" w:rsidRDefault="00C35E63">
            <w:pPr>
              <w:jc w:val="right"/>
              <w:textAlignment w:val="center"/>
            </w:pPr>
            <w:r>
              <w:rPr>
                <w:rFonts w:ascii="Times New Roman" w:eastAsia="宋体" w:hAnsi="Times New Roman"/>
                <w:color w:val="000000"/>
                <w:sz w:val="16"/>
                <w:szCs w:val="16"/>
              </w:rPr>
              <w:t>5.8 </w:t>
            </w:r>
          </w:p>
        </w:tc>
        <w:tc>
          <w:tcPr>
            <w:tcW w:w="0" w:type="auto"/>
            <w:shd w:val="clear" w:color="auto" w:fill="FFFFFF"/>
            <w:tcMar>
              <w:top w:w="40" w:type="dxa"/>
              <w:left w:w="0" w:type="dxa"/>
              <w:bottom w:w="40" w:type="dxa"/>
              <w:right w:w="20" w:type="dxa"/>
            </w:tcMar>
            <w:vAlign w:val="center"/>
          </w:tcPr>
          <w:p w14:paraId="4B9A421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1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1C" w14:textId="77777777" w:rsidR="002A3970" w:rsidRDefault="00C35E63">
            <w:pPr>
              <w:jc w:val="right"/>
              <w:textAlignment w:val="center"/>
            </w:pPr>
            <w:r>
              <w:rPr>
                <w:rFonts w:ascii="Times New Roman" w:eastAsia="宋体" w:hAnsi="Times New Roman"/>
                <w:color w:val="000000"/>
                <w:sz w:val="16"/>
                <w:szCs w:val="16"/>
              </w:rPr>
              <w:t>5.4 </w:t>
            </w:r>
          </w:p>
        </w:tc>
        <w:tc>
          <w:tcPr>
            <w:tcW w:w="0" w:type="auto"/>
            <w:shd w:val="clear" w:color="auto" w:fill="FFFFFF"/>
            <w:tcMar>
              <w:top w:w="40" w:type="dxa"/>
              <w:left w:w="0" w:type="dxa"/>
              <w:bottom w:w="40" w:type="dxa"/>
              <w:right w:w="20" w:type="dxa"/>
            </w:tcMar>
            <w:vAlign w:val="center"/>
          </w:tcPr>
          <w:p w14:paraId="4B9A421D"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238" w14:textId="77777777">
        <w:trPr>
          <w:jc w:val="center"/>
        </w:trPr>
        <w:tc>
          <w:tcPr>
            <w:tcW w:w="0" w:type="auto"/>
            <w:gridSpan w:val="3"/>
            <w:shd w:val="clear" w:color="auto" w:fill="CCEEFF"/>
            <w:tcMar>
              <w:top w:w="40" w:type="dxa"/>
              <w:left w:w="20" w:type="dxa"/>
              <w:bottom w:w="40" w:type="dxa"/>
              <w:right w:w="20" w:type="dxa"/>
            </w:tcMar>
            <w:vAlign w:val="center"/>
          </w:tcPr>
          <w:p w14:paraId="4B9A421F" w14:textId="77777777" w:rsidR="002A3970" w:rsidRDefault="00C35E63">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vAlign w:val="bottom"/>
          </w:tcPr>
          <w:p w14:paraId="4B9A4220"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21" w14:textId="77777777" w:rsidR="002A3970" w:rsidRDefault="00C35E63">
            <w:pPr>
              <w:jc w:val="right"/>
              <w:textAlignment w:val="center"/>
            </w:pPr>
            <w:r>
              <w:rPr>
                <w:rFonts w:ascii="Times New Roman" w:eastAsia="宋体" w:hAnsi="Times New Roman"/>
                <w:color w:val="000000"/>
                <w:sz w:val="16"/>
                <w:szCs w:val="16"/>
              </w:rPr>
              <w:t>9.2 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22"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23"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24" w14:textId="77777777" w:rsidR="002A3970" w:rsidRDefault="00C35E63">
            <w:pPr>
              <w:jc w:val="right"/>
              <w:textAlignment w:val="center"/>
            </w:pPr>
            <w:r>
              <w:rPr>
                <w:rFonts w:ascii="Times New Roman" w:eastAsia="宋体" w:hAnsi="Times New Roman"/>
                <w:color w:val="000000"/>
                <w:sz w:val="16"/>
                <w:szCs w:val="16"/>
              </w:rPr>
              <w:t>11.0 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25"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26"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27" w14:textId="77777777" w:rsidR="002A3970" w:rsidRDefault="00C35E63">
            <w:pPr>
              <w:jc w:val="right"/>
              <w:textAlignment w:val="center"/>
            </w:pPr>
            <w:r>
              <w:rPr>
                <w:rFonts w:ascii="Times New Roman" w:eastAsia="宋体" w:hAnsi="Times New Roman"/>
                <w:color w:val="000000"/>
                <w:sz w:val="16"/>
                <w:szCs w:val="16"/>
              </w:rPr>
              <w:t>0.7 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28"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29"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2A" w14:textId="77777777" w:rsidR="002A3970" w:rsidRDefault="00C35E63">
            <w:pPr>
              <w:jc w:val="right"/>
              <w:textAlignment w:val="center"/>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2B"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2C"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2D" w14:textId="77777777" w:rsidR="002A3970" w:rsidRDefault="00C35E63">
            <w:pPr>
              <w:jc w:val="right"/>
              <w:textAlignment w:val="center"/>
            </w:pPr>
            <w:r>
              <w:rPr>
                <w:rFonts w:ascii="Times New Roman" w:eastAsia="宋体" w:hAnsi="Times New Roman"/>
                <w:color w:val="000000"/>
                <w:sz w:val="16"/>
                <w:szCs w:val="16"/>
              </w:rPr>
              <w:t>8.0 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2E"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2F"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30" w14:textId="77777777" w:rsidR="002A3970" w:rsidRDefault="00C35E63">
            <w:pPr>
              <w:jc w:val="right"/>
              <w:textAlignment w:val="center"/>
            </w:pPr>
            <w:r>
              <w:rPr>
                <w:rFonts w:ascii="Times New Roman" w:eastAsia="宋体" w:hAnsi="Times New Roman"/>
                <w:color w:val="000000"/>
                <w:sz w:val="16"/>
                <w:szCs w:val="16"/>
              </w:rPr>
              <w:t>7.9 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31"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32"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33" w14:textId="77777777" w:rsidR="002A3970" w:rsidRDefault="00C35E63">
            <w:pPr>
              <w:jc w:val="right"/>
              <w:textAlignment w:val="center"/>
            </w:pPr>
            <w:r>
              <w:rPr>
                <w:rFonts w:ascii="Times New Roman" w:eastAsia="宋体" w:hAnsi="Times New Roman"/>
                <w:color w:val="000000"/>
                <w:sz w:val="16"/>
                <w:szCs w:val="16"/>
              </w:rPr>
              <w:t>1.4 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34"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35"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236" w14:textId="77777777" w:rsidR="002A3970" w:rsidRDefault="00C35E63">
            <w:pPr>
              <w:jc w:val="right"/>
              <w:textAlignment w:val="center"/>
            </w:pPr>
            <w:r>
              <w:rPr>
                <w:rFonts w:ascii="Times New Roman" w:eastAsia="宋体" w:hAnsi="Times New Roman"/>
                <w:color w:val="000000"/>
                <w:sz w:val="16"/>
                <w:szCs w:val="16"/>
              </w:rPr>
              <w:t>1.2 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37" w14:textId="77777777" w:rsidR="002A3970" w:rsidRDefault="00C35E63">
            <w:pPr>
              <w:jc w:val="right"/>
              <w:textAlignment w:val="center"/>
            </w:pPr>
            <w:r>
              <w:rPr>
                <w:rFonts w:ascii="Times New Roman" w:eastAsia="宋体" w:hAnsi="Times New Roman"/>
                <w:color w:val="000000"/>
                <w:sz w:val="16"/>
                <w:szCs w:val="16"/>
              </w:rPr>
              <w:t>%</w:t>
            </w:r>
          </w:p>
        </w:tc>
      </w:tr>
    </w:tbl>
    <w:p w14:paraId="4B9A4239" w14:textId="77777777" w:rsidR="002A3970" w:rsidRDefault="00C35E63">
      <w:pPr>
        <w:spacing w:before="100"/>
      </w:pPr>
      <w:r>
        <w:rPr>
          <w:rFonts w:ascii="Times New Roman" w:eastAsia="宋体" w:hAnsi="Times New Roman"/>
          <w:color w:val="000000"/>
          <w:sz w:val="20"/>
          <w:szCs w:val="20"/>
        </w:rPr>
        <w:t>Comparable sales in the U.S., including fuel, increased 9.2% and 8.0% for the three and nine months ended October 31, 2022, re</w:t>
      </w:r>
      <w:r>
        <w:rPr>
          <w:rFonts w:ascii="Times New Roman" w:eastAsia="宋体" w:hAnsi="Times New Roman"/>
          <w:color w:val="000000"/>
          <w:sz w:val="20"/>
          <w:szCs w:val="20"/>
        </w:rPr>
        <w:t>spectively, when compared to the same period in the previous fiscal year. The Walmart U.S. segment had comparable sales growth of 8.5% and 6.5% for the three and nine months ended October 31, 2022, respectively, driven by growth in average ticket, includin</w:t>
      </w:r>
      <w:r>
        <w:rPr>
          <w:rFonts w:ascii="Times New Roman" w:eastAsia="宋体" w:hAnsi="Times New Roman"/>
          <w:color w:val="000000"/>
          <w:sz w:val="20"/>
          <w:szCs w:val="20"/>
        </w:rPr>
        <w:t>g strong food sales and higher inflation impacts in certain merchandise categories, as well as growth in transactions. The Walmart U.S. segment's eCommerce sales positively contributed approximately 1.0% and 0.4% for the three and nine months ended October</w:t>
      </w:r>
      <w:r>
        <w:rPr>
          <w:rFonts w:ascii="Times New Roman" w:eastAsia="宋体" w:hAnsi="Times New Roman"/>
          <w:color w:val="000000"/>
          <w:sz w:val="20"/>
          <w:szCs w:val="20"/>
        </w:rPr>
        <w:t xml:space="preserve"> 31, 2022, respectively, which was primarily driven by store pickup and delivery. </w:t>
      </w:r>
    </w:p>
    <w:p w14:paraId="4B9A423A" w14:textId="77777777" w:rsidR="002A3970" w:rsidRDefault="00C35E63">
      <w:pPr>
        <w:jc w:val="center"/>
      </w:pPr>
      <w:r>
        <w:rPr>
          <w:rFonts w:ascii="Times New Roman" w:eastAsia="宋体" w:hAnsi="Times New Roman"/>
          <w:color w:val="000000"/>
          <w:sz w:val="20"/>
          <w:szCs w:val="20"/>
        </w:rPr>
        <w:t>18</w:t>
      </w:r>
    </w:p>
    <w:p w14:paraId="4B9A423B" w14:textId="77777777" w:rsidR="002A3970" w:rsidRDefault="00C35E63">
      <w:r>
        <w:pict w14:anchorId="4B9A4C27">
          <v:rect id="_x0000_i1042" style="width:415.3pt;height:1.5pt" o:hralign="center" o:hrstd="t" o:hr="t" fillcolor="#a0a0a0" stroked="f"/>
        </w:pict>
      </w:r>
    </w:p>
    <w:p w14:paraId="4B9A423C" w14:textId="77777777" w:rsidR="002A3970" w:rsidRDefault="00C35E63">
      <w:hyperlink r:id="rId60" w:anchor="i0522a2f6333e456295d59e779af751cb_7" w:history="1">
        <w:r>
          <w:rPr>
            <w:rStyle w:val="a5"/>
            <w:rFonts w:ascii="Times New Roman" w:eastAsia="宋体" w:hAnsi="Times New Roman"/>
            <w:sz w:val="20"/>
            <w:szCs w:val="20"/>
          </w:rPr>
          <w:t>Table of Contents</w:t>
        </w:r>
      </w:hyperlink>
    </w:p>
    <w:p w14:paraId="4B9A423D" w14:textId="77777777" w:rsidR="002A3970" w:rsidRDefault="00C35E63">
      <w:pPr>
        <w:spacing w:before="100"/>
      </w:pPr>
      <w:r>
        <w:rPr>
          <w:rFonts w:ascii="Times New Roman" w:eastAsia="宋体" w:hAnsi="Times New Roman"/>
          <w:color w:val="000000"/>
          <w:sz w:val="20"/>
          <w:szCs w:val="20"/>
        </w:rPr>
        <w:t>Comparable sales at the Sam's Club segment increased 12.8% and 15.8% for the three and nine months ended October 31, 2022, respectively. Growth in comparable sales benefited from growth in transactions and average ticket and included higher inflation impac</w:t>
      </w:r>
      <w:r>
        <w:rPr>
          <w:rFonts w:ascii="Times New Roman" w:eastAsia="宋体" w:hAnsi="Times New Roman"/>
          <w:color w:val="000000"/>
          <w:sz w:val="20"/>
          <w:szCs w:val="20"/>
        </w:rPr>
        <w:t>ts in certain merchandise categories. The Sam's Club segment's eCommerce sales positively contributed approximately 0.8% and 0.7% to comparable sales for the three and nine months ended October 31, 2022, respectively, which was primarily driven by curbside</w:t>
      </w:r>
      <w:r>
        <w:rPr>
          <w:rFonts w:ascii="Times New Roman" w:eastAsia="宋体" w:hAnsi="Times New Roman"/>
          <w:color w:val="000000"/>
          <w:sz w:val="20"/>
          <w:szCs w:val="20"/>
        </w:rPr>
        <w:t xml:space="preserve"> and ship to home. </w:t>
      </w:r>
    </w:p>
    <w:p w14:paraId="4B9A423E" w14:textId="77777777" w:rsidR="002A3970" w:rsidRDefault="00C35E63">
      <w:pPr>
        <w:spacing w:before="180"/>
      </w:pPr>
      <w:r>
        <w:rPr>
          <w:rFonts w:ascii="Times New Roman" w:eastAsia="宋体" w:hAnsi="Times New Roman"/>
          <w:b/>
          <w:bCs/>
          <w:color w:val="000000"/>
          <w:sz w:val="20"/>
          <w:szCs w:val="20"/>
          <w:u w:val="single"/>
        </w:rPr>
        <w:t>Consistent Operating Discipline</w:t>
      </w:r>
    </w:p>
    <w:p w14:paraId="4B9A423F" w14:textId="77777777" w:rsidR="002A3970" w:rsidRDefault="00C35E63">
      <w:pPr>
        <w:spacing w:before="100"/>
      </w:pPr>
      <w:r>
        <w:rPr>
          <w:rFonts w:ascii="Times New Roman" w:eastAsia="宋体" w:hAnsi="Times New Roman"/>
          <w:color w:val="000000"/>
          <w:sz w:val="20"/>
          <w:szCs w:val="20"/>
        </w:rPr>
        <w:t>We operate with discipline by managing expenses and optimizing the efficiency of how we work and creating an environment in which we have sustainable lowest cost to serve. We invest in technology and proc</w:t>
      </w:r>
      <w:r>
        <w:rPr>
          <w:rFonts w:ascii="Times New Roman" w:eastAsia="宋体" w:hAnsi="Times New Roman"/>
          <w:color w:val="000000"/>
          <w:sz w:val="20"/>
          <w:szCs w:val="20"/>
        </w:rPr>
        <w:t>ess improvements to increase productivity, manage inventory, and reduce costs. We measure operating discipline through expense leverage, which we define as net sales growing at a faster rate than operating, selling, general and administrative ("operating")</w:t>
      </w:r>
      <w:r>
        <w:rPr>
          <w:rFonts w:ascii="Times New Roman" w:eastAsia="宋体" w:hAnsi="Times New Roman"/>
          <w:color w:val="000000"/>
          <w:sz w:val="20"/>
          <w:szCs w:val="20"/>
        </w:rPr>
        <w:t xml:space="preserve"> expenses. </w:t>
      </w:r>
    </w:p>
    <w:tbl>
      <w:tblPr>
        <w:tblW w:w="4934" w:type="pct"/>
        <w:jc w:val="center"/>
        <w:tblCellMar>
          <w:top w:w="15" w:type="dxa"/>
          <w:left w:w="15" w:type="dxa"/>
          <w:bottom w:w="15" w:type="dxa"/>
          <w:right w:w="15" w:type="dxa"/>
        </w:tblCellMar>
        <w:tblLook w:val="04A0" w:firstRow="1" w:lastRow="0" w:firstColumn="1" w:lastColumn="0" w:noHBand="0" w:noVBand="1"/>
      </w:tblPr>
      <w:tblGrid>
        <w:gridCol w:w="39"/>
        <w:gridCol w:w="4070"/>
        <w:gridCol w:w="38"/>
        <w:gridCol w:w="36"/>
        <w:gridCol w:w="36"/>
        <w:gridCol w:w="36"/>
        <w:gridCol w:w="100"/>
        <w:gridCol w:w="657"/>
        <w:gridCol w:w="154"/>
        <w:gridCol w:w="36"/>
        <w:gridCol w:w="36"/>
        <w:gridCol w:w="36"/>
        <w:gridCol w:w="100"/>
        <w:gridCol w:w="658"/>
        <w:gridCol w:w="154"/>
        <w:gridCol w:w="36"/>
        <w:gridCol w:w="36"/>
        <w:gridCol w:w="36"/>
        <w:gridCol w:w="100"/>
        <w:gridCol w:w="658"/>
        <w:gridCol w:w="154"/>
        <w:gridCol w:w="36"/>
        <w:gridCol w:w="36"/>
        <w:gridCol w:w="36"/>
        <w:gridCol w:w="100"/>
        <w:gridCol w:w="658"/>
        <w:gridCol w:w="154"/>
      </w:tblGrid>
      <w:tr w:rsidR="002A3970" w14:paraId="4B9A425B" w14:textId="77777777">
        <w:trPr>
          <w:jc w:val="center"/>
        </w:trPr>
        <w:tc>
          <w:tcPr>
            <w:tcW w:w="50" w:type="pct"/>
            <w:shd w:val="clear" w:color="auto" w:fill="auto"/>
            <w:vAlign w:val="bottom"/>
          </w:tcPr>
          <w:p w14:paraId="4B9A4240" w14:textId="77777777" w:rsidR="002A3970" w:rsidRDefault="002A3970">
            <w:pPr>
              <w:rPr>
                <w:rFonts w:ascii="宋体"/>
              </w:rPr>
            </w:pPr>
          </w:p>
        </w:tc>
        <w:tc>
          <w:tcPr>
            <w:tcW w:w="2633" w:type="pct"/>
            <w:shd w:val="clear" w:color="auto" w:fill="auto"/>
            <w:vAlign w:val="bottom"/>
          </w:tcPr>
          <w:p w14:paraId="4B9A4241" w14:textId="77777777" w:rsidR="002A3970" w:rsidRDefault="002A3970">
            <w:pPr>
              <w:rPr>
                <w:rFonts w:ascii="宋体"/>
              </w:rPr>
            </w:pPr>
          </w:p>
        </w:tc>
        <w:tc>
          <w:tcPr>
            <w:tcW w:w="5" w:type="pct"/>
            <w:shd w:val="clear" w:color="auto" w:fill="auto"/>
            <w:vAlign w:val="bottom"/>
          </w:tcPr>
          <w:p w14:paraId="4B9A4242" w14:textId="77777777" w:rsidR="002A3970" w:rsidRDefault="002A3970">
            <w:pPr>
              <w:rPr>
                <w:rFonts w:ascii="宋体"/>
              </w:rPr>
            </w:pPr>
          </w:p>
        </w:tc>
        <w:tc>
          <w:tcPr>
            <w:tcW w:w="5" w:type="pct"/>
            <w:shd w:val="clear" w:color="auto" w:fill="auto"/>
            <w:vAlign w:val="bottom"/>
          </w:tcPr>
          <w:p w14:paraId="4B9A4243" w14:textId="77777777" w:rsidR="002A3970" w:rsidRDefault="002A3970">
            <w:pPr>
              <w:rPr>
                <w:rFonts w:ascii="宋体"/>
              </w:rPr>
            </w:pPr>
          </w:p>
        </w:tc>
        <w:tc>
          <w:tcPr>
            <w:tcW w:w="19" w:type="pct"/>
            <w:shd w:val="clear" w:color="auto" w:fill="auto"/>
            <w:vAlign w:val="bottom"/>
          </w:tcPr>
          <w:p w14:paraId="4B9A4244" w14:textId="77777777" w:rsidR="002A3970" w:rsidRDefault="002A3970">
            <w:pPr>
              <w:rPr>
                <w:rFonts w:ascii="宋体"/>
              </w:rPr>
            </w:pPr>
          </w:p>
        </w:tc>
        <w:tc>
          <w:tcPr>
            <w:tcW w:w="5" w:type="pct"/>
            <w:shd w:val="clear" w:color="auto" w:fill="auto"/>
            <w:vAlign w:val="bottom"/>
          </w:tcPr>
          <w:p w14:paraId="4B9A4245" w14:textId="77777777" w:rsidR="002A3970" w:rsidRDefault="002A3970">
            <w:pPr>
              <w:rPr>
                <w:rFonts w:ascii="宋体"/>
              </w:rPr>
            </w:pPr>
          </w:p>
        </w:tc>
        <w:tc>
          <w:tcPr>
            <w:tcW w:w="50" w:type="pct"/>
            <w:shd w:val="clear" w:color="auto" w:fill="auto"/>
            <w:vAlign w:val="bottom"/>
          </w:tcPr>
          <w:p w14:paraId="4B9A4246" w14:textId="77777777" w:rsidR="002A3970" w:rsidRDefault="002A3970">
            <w:pPr>
              <w:rPr>
                <w:rFonts w:ascii="宋体"/>
              </w:rPr>
            </w:pPr>
          </w:p>
        </w:tc>
        <w:tc>
          <w:tcPr>
            <w:tcW w:w="493" w:type="pct"/>
            <w:shd w:val="clear" w:color="auto" w:fill="auto"/>
            <w:vAlign w:val="bottom"/>
          </w:tcPr>
          <w:p w14:paraId="4B9A4247" w14:textId="77777777" w:rsidR="002A3970" w:rsidRDefault="002A3970">
            <w:pPr>
              <w:rPr>
                <w:rFonts w:ascii="宋体"/>
              </w:rPr>
            </w:pPr>
          </w:p>
        </w:tc>
        <w:tc>
          <w:tcPr>
            <w:tcW w:w="5" w:type="pct"/>
            <w:shd w:val="clear" w:color="auto" w:fill="auto"/>
            <w:vAlign w:val="bottom"/>
          </w:tcPr>
          <w:p w14:paraId="4B9A4248" w14:textId="77777777" w:rsidR="002A3970" w:rsidRDefault="002A3970">
            <w:pPr>
              <w:rPr>
                <w:rFonts w:ascii="宋体"/>
              </w:rPr>
            </w:pPr>
          </w:p>
        </w:tc>
        <w:tc>
          <w:tcPr>
            <w:tcW w:w="5" w:type="pct"/>
            <w:shd w:val="clear" w:color="auto" w:fill="auto"/>
            <w:vAlign w:val="bottom"/>
          </w:tcPr>
          <w:p w14:paraId="4B9A4249" w14:textId="77777777" w:rsidR="002A3970" w:rsidRDefault="002A3970">
            <w:pPr>
              <w:rPr>
                <w:rFonts w:ascii="宋体"/>
              </w:rPr>
            </w:pPr>
          </w:p>
        </w:tc>
        <w:tc>
          <w:tcPr>
            <w:tcW w:w="19" w:type="pct"/>
            <w:shd w:val="clear" w:color="auto" w:fill="auto"/>
            <w:vAlign w:val="bottom"/>
          </w:tcPr>
          <w:p w14:paraId="4B9A424A" w14:textId="77777777" w:rsidR="002A3970" w:rsidRDefault="002A3970">
            <w:pPr>
              <w:rPr>
                <w:rFonts w:ascii="宋体"/>
              </w:rPr>
            </w:pPr>
          </w:p>
        </w:tc>
        <w:tc>
          <w:tcPr>
            <w:tcW w:w="5" w:type="pct"/>
            <w:shd w:val="clear" w:color="auto" w:fill="auto"/>
            <w:vAlign w:val="bottom"/>
          </w:tcPr>
          <w:p w14:paraId="4B9A424B" w14:textId="77777777" w:rsidR="002A3970" w:rsidRDefault="002A3970">
            <w:pPr>
              <w:rPr>
                <w:rFonts w:ascii="宋体"/>
              </w:rPr>
            </w:pPr>
          </w:p>
        </w:tc>
        <w:tc>
          <w:tcPr>
            <w:tcW w:w="50" w:type="pct"/>
            <w:shd w:val="clear" w:color="auto" w:fill="auto"/>
            <w:vAlign w:val="bottom"/>
          </w:tcPr>
          <w:p w14:paraId="4B9A424C" w14:textId="77777777" w:rsidR="002A3970" w:rsidRDefault="002A3970">
            <w:pPr>
              <w:rPr>
                <w:rFonts w:ascii="宋体"/>
              </w:rPr>
            </w:pPr>
          </w:p>
        </w:tc>
        <w:tc>
          <w:tcPr>
            <w:tcW w:w="493" w:type="pct"/>
            <w:shd w:val="clear" w:color="auto" w:fill="auto"/>
            <w:vAlign w:val="bottom"/>
          </w:tcPr>
          <w:p w14:paraId="4B9A424D" w14:textId="77777777" w:rsidR="002A3970" w:rsidRDefault="002A3970">
            <w:pPr>
              <w:rPr>
                <w:rFonts w:ascii="宋体"/>
              </w:rPr>
            </w:pPr>
          </w:p>
        </w:tc>
        <w:tc>
          <w:tcPr>
            <w:tcW w:w="5" w:type="pct"/>
            <w:shd w:val="clear" w:color="auto" w:fill="auto"/>
            <w:vAlign w:val="bottom"/>
          </w:tcPr>
          <w:p w14:paraId="4B9A424E" w14:textId="77777777" w:rsidR="002A3970" w:rsidRDefault="002A3970">
            <w:pPr>
              <w:rPr>
                <w:rFonts w:ascii="宋体"/>
              </w:rPr>
            </w:pPr>
          </w:p>
        </w:tc>
        <w:tc>
          <w:tcPr>
            <w:tcW w:w="5" w:type="pct"/>
            <w:shd w:val="clear" w:color="auto" w:fill="auto"/>
            <w:vAlign w:val="bottom"/>
          </w:tcPr>
          <w:p w14:paraId="4B9A424F" w14:textId="77777777" w:rsidR="002A3970" w:rsidRDefault="002A3970">
            <w:pPr>
              <w:rPr>
                <w:rFonts w:ascii="宋体"/>
              </w:rPr>
            </w:pPr>
          </w:p>
        </w:tc>
        <w:tc>
          <w:tcPr>
            <w:tcW w:w="19" w:type="pct"/>
            <w:shd w:val="clear" w:color="auto" w:fill="auto"/>
            <w:vAlign w:val="bottom"/>
          </w:tcPr>
          <w:p w14:paraId="4B9A4250" w14:textId="77777777" w:rsidR="002A3970" w:rsidRDefault="002A3970">
            <w:pPr>
              <w:rPr>
                <w:rFonts w:ascii="宋体"/>
              </w:rPr>
            </w:pPr>
          </w:p>
        </w:tc>
        <w:tc>
          <w:tcPr>
            <w:tcW w:w="5" w:type="pct"/>
            <w:shd w:val="clear" w:color="auto" w:fill="auto"/>
            <w:vAlign w:val="bottom"/>
          </w:tcPr>
          <w:p w14:paraId="4B9A4251" w14:textId="77777777" w:rsidR="002A3970" w:rsidRDefault="002A3970">
            <w:pPr>
              <w:rPr>
                <w:rFonts w:ascii="宋体"/>
              </w:rPr>
            </w:pPr>
          </w:p>
        </w:tc>
        <w:tc>
          <w:tcPr>
            <w:tcW w:w="50" w:type="pct"/>
            <w:shd w:val="clear" w:color="auto" w:fill="auto"/>
            <w:vAlign w:val="bottom"/>
          </w:tcPr>
          <w:p w14:paraId="4B9A4252" w14:textId="77777777" w:rsidR="002A3970" w:rsidRDefault="002A3970">
            <w:pPr>
              <w:rPr>
                <w:rFonts w:ascii="宋体"/>
              </w:rPr>
            </w:pPr>
          </w:p>
        </w:tc>
        <w:tc>
          <w:tcPr>
            <w:tcW w:w="493" w:type="pct"/>
            <w:shd w:val="clear" w:color="auto" w:fill="auto"/>
            <w:vAlign w:val="bottom"/>
          </w:tcPr>
          <w:p w14:paraId="4B9A4253" w14:textId="77777777" w:rsidR="002A3970" w:rsidRDefault="002A3970">
            <w:pPr>
              <w:rPr>
                <w:rFonts w:ascii="宋体"/>
              </w:rPr>
            </w:pPr>
          </w:p>
        </w:tc>
        <w:tc>
          <w:tcPr>
            <w:tcW w:w="5" w:type="pct"/>
            <w:shd w:val="clear" w:color="auto" w:fill="auto"/>
            <w:vAlign w:val="bottom"/>
          </w:tcPr>
          <w:p w14:paraId="4B9A4254" w14:textId="77777777" w:rsidR="002A3970" w:rsidRDefault="002A3970">
            <w:pPr>
              <w:rPr>
                <w:rFonts w:ascii="宋体"/>
              </w:rPr>
            </w:pPr>
          </w:p>
        </w:tc>
        <w:tc>
          <w:tcPr>
            <w:tcW w:w="5" w:type="pct"/>
            <w:shd w:val="clear" w:color="auto" w:fill="auto"/>
            <w:vAlign w:val="bottom"/>
          </w:tcPr>
          <w:p w14:paraId="4B9A4255" w14:textId="77777777" w:rsidR="002A3970" w:rsidRDefault="002A3970">
            <w:pPr>
              <w:rPr>
                <w:rFonts w:ascii="宋体"/>
              </w:rPr>
            </w:pPr>
          </w:p>
        </w:tc>
        <w:tc>
          <w:tcPr>
            <w:tcW w:w="19" w:type="pct"/>
            <w:shd w:val="clear" w:color="auto" w:fill="auto"/>
            <w:vAlign w:val="bottom"/>
          </w:tcPr>
          <w:p w14:paraId="4B9A4256" w14:textId="77777777" w:rsidR="002A3970" w:rsidRDefault="002A3970">
            <w:pPr>
              <w:rPr>
                <w:rFonts w:ascii="宋体"/>
              </w:rPr>
            </w:pPr>
          </w:p>
        </w:tc>
        <w:tc>
          <w:tcPr>
            <w:tcW w:w="5" w:type="pct"/>
            <w:shd w:val="clear" w:color="auto" w:fill="auto"/>
            <w:vAlign w:val="bottom"/>
          </w:tcPr>
          <w:p w14:paraId="4B9A4257" w14:textId="77777777" w:rsidR="002A3970" w:rsidRDefault="002A3970">
            <w:pPr>
              <w:rPr>
                <w:rFonts w:ascii="宋体"/>
              </w:rPr>
            </w:pPr>
          </w:p>
        </w:tc>
        <w:tc>
          <w:tcPr>
            <w:tcW w:w="50" w:type="pct"/>
            <w:shd w:val="clear" w:color="auto" w:fill="auto"/>
            <w:vAlign w:val="bottom"/>
          </w:tcPr>
          <w:p w14:paraId="4B9A4258" w14:textId="77777777" w:rsidR="002A3970" w:rsidRDefault="002A3970">
            <w:pPr>
              <w:rPr>
                <w:rFonts w:ascii="宋体"/>
              </w:rPr>
            </w:pPr>
          </w:p>
        </w:tc>
        <w:tc>
          <w:tcPr>
            <w:tcW w:w="493" w:type="pct"/>
            <w:shd w:val="clear" w:color="auto" w:fill="auto"/>
            <w:vAlign w:val="bottom"/>
          </w:tcPr>
          <w:p w14:paraId="4B9A4259" w14:textId="77777777" w:rsidR="002A3970" w:rsidRDefault="002A3970">
            <w:pPr>
              <w:rPr>
                <w:rFonts w:ascii="宋体"/>
              </w:rPr>
            </w:pPr>
          </w:p>
        </w:tc>
        <w:tc>
          <w:tcPr>
            <w:tcW w:w="5" w:type="pct"/>
            <w:shd w:val="clear" w:color="auto" w:fill="auto"/>
            <w:vAlign w:val="bottom"/>
          </w:tcPr>
          <w:p w14:paraId="4B9A425A" w14:textId="77777777" w:rsidR="002A3970" w:rsidRDefault="002A3970">
            <w:pPr>
              <w:rPr>
                <w:rFonts w:ascii="宋体"/>
              </w:rPr>
            </w:pPr>
          </w:p>
        </w:tc>
      </w:tr>
      <w:tr w:rsidR="002A3970" w14:paraId="4B9A4261" w14:textId="77777777">
        <w:trPr>
          <w:jc w:val="center"/>
        </w:trPr>
        <w:tc>
          <w:tcPr>
            <w:tcW w:w="0" w:type="auto"/>
            <w:gridSpan w:val="3"/>
            <w:shd w:val="clear" w:color="auto" w:fill="auto"/>
            <w:tcMar>
              <w:top w:w="0" w:type="dxa"/>
              <w:left w:w="20" w:type="dxa"/>
              <w:bottom w:w="0" w:type="dxa"/>
              <w:right w:w="20" w:type="dxa"/>
            </w:tcMar>
            <w:vAlign w:val="bottom"/>
          </w:tcPr>
          <w:p w14:paraId="4B9A425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25D"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tcPr>
          <w:p w14:paraId="4B9A425E" w14:textId="77777777" w:rsidR="002A3970" w:rsidRDefault="00C35E63">
            <w:pPr>
              <w:jc w:val="center"/>
              <w:textAlignment w:val="top"/>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25F"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tcPr>
          <w:p w14:paraId="4B9A4260" w14:textId="77777777" w:rsidR="002A3970" w:rsidRDefault="00C35E63">
            <w:pPr>
              <w:jc w:val="center"/>
              <w:textAlignment w:val="top"/>
            </w:pPr>
            <w:r>
              <w:rPr>
                <w:rFonts w:ascii="Times New Roman" w:eastAsia="宋体" w:hAnsi="Times New Roman"/>
                <w:b/>
                <w:bCs/>
                <w:color w:val="000000"/>
                <w:sz w:val="16"/>
                <w:szCs w:val="16"/>
              </w:rPr>
              <w:t>Nine Months Ended October 31,</w:t>
            </w:r>
          </w:p>
        </w:tc>
      </w:tr>
      <w:tr w:rsidR="002A3970" w14:paraId="4B9A426B" w14:textId="77777777">
        <w:trPr>
          <w:jc w:val="center"/>
        </w:trPr>
        <w:tc>
          <w:tcPr>
            <w:tcW w:w="0" w:type="auto"/>
            <w:gridSpan w:val="3"/>
            <w:shd w:val="clear" w:color="auto" w:fill="auto"/>
            <w:tcMar>
              <w:top w:w="40" w:type="dxa"/>
              <w:left w:w="20" w:type="dxa"/>
              <w:bottom w:w="40" w:type="dxa"/>
              <w:right w:w="20" w:type="dxa"/>
            </w:tcMar>
            <w:vAlign w:val="bottom"/>
          </w:tcPr>
          <w:p w14:paraId="4B9A4262"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263"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264"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265"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266"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267"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268"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269"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26A"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27D" w14:textId="77777777">
        <w:trPr>
          <w:jc w:val="center"/>
        </w:trPr>
        <w:tc>
          <w:tcPr>
            <w:tcW w:w="0" w:type="auto"/>
            <w:gridSpan w:val="3"/>
            <w:shd w:val="clear" w:color="auto" w:fill="CCEEFF"/>
            <w:tcMar>
              <w:top w:w="40" w:type="dxa"/>
              <w:left w:w="20" w:type="dxa"/>
              <w:bottom w:w="40" w:type="dxa"/>
              <w:right w:w="20" w:type="dxa"/>
            </w:tcMar>
            <w:vAlign w:val="center"/>
          </w:tcPr>
          <w:p w14:paraId="4B9A426C"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B9A426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26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26F" w14:textId="77777777" w:rsidR="002A3970" w:rsidRDefault="00C35E63">
            <w:pPr>
              <w:jc w:val="right"/>
              <w:textAlignment w:val="center"/>
            </w:pPr>
            <w:r>
              <w:rPr>
                <w:rFonts w:ascii="Times New Roman" w:eastAsia="宋体" w:hAnsi="Times New Roman"/>
                <w:color w:val="000000"/>
                <w:sz w:val="16"/>
                <w:szCs w:val="16"/>
              </w:rPr>
              <w:t>151,469 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7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7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27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273" w14:textId="77777777" w:rsidR="002A3970" w:rsidRDefault="00C35E63">
            <w:pPr>
              <w:jc w:val="right"/>
              <w:textAlignment w:val="center"/>
            </w:pPr>
            <w:r>
              <w:rPr>
                <w:rFonts w:ascii="Times New Roman" w:eastAsia="宋体" w:hAnsi="Times New Roman"/>
                <w:color w:val="000000"/>
                <w:sz w:val="16"/>
                <w:szCs w:val="16"/>
              </w:rPr>
              <w:t>139,207 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7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7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27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277" w14:textId="77777777" w:rsidR="002A3970" w:rsidRDefault="00C35E63">
            <w:pPr>
              <w:jc w:val="right"/>
              <w:textAlignment w:val="center"/>
            </w:pPr>
            <w:r>
              <w:rPr>
                <w:rFonts w:ascii="Times New Roman" w:eastAsia="宋体" w:hAnsi="Times New Roman"/>
                <w:color w:val="000000"/>
                <w:sz w:val="16"/>
                <w:szCs w:val="16"/>
              </w:rPr>
              <w:t>443,138 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7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7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27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27B" w14:textId="77777777" w:rsidR="002A3970" w:rsidRDefault="00C35E63">
            <w:pPr>
              <w:jc w:val="right"/>
              <w:textAlignment w:val="center"/>
            </w:pPr>
            <w:r>
              <w:rPr>
                <w:rFonts w:ascii="Times New Roman" w:eastAsia="宋体" w:hAnsi="Times New Roman"/>
                <w:color w:val="000000"/>
                <w:sz w:val="16"/>
                <w:szCs w:val="16"/>
              </w:rPr>
              <w:t>416,237 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7C" w14:textId="77777777" w:rsidR="002A3970" w:rsidRDefault="002A3970">
            <w:pPr>
              <w:jc w:val="right"/>
              <w:rPr>
                <w:rFonts w:ascii="宋体"/>
              </w:rPr>
            </w:pPr>
          </w:p>
        </w:tc>
      </w:tr>
      <w:tr w:rsidR="002A3970" w14:paraId="4B9A428B" w14:textId="77777777">
        <w:trPr>
          <w:jc w:val="center"/>
        </w:trPr>
        <w:tc>
          <w:tcPr>
            <w:tcW w:w="0" w:type="auto"/>
            <w:gridSpan w:val="3"/>
            <w:shd w:val="clear" w:color="auto" w:fill="FFFFFF"/>
            <w:tcMar>
              <w:top w:w="40" w:type="dxa"/>
              <w:left w:w="20" w:type="dxa"/>
              <w:bottom w:w="40" w:type="dxa"/>
              <w:right w:w="20" w:type="dxa"/>
            </w:tcMar>
            <w:vAlign w:val="center"/>
          </w:tcPr>
          <w:p w14:paraId="4B9A427E"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B9A427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80" w14:textId="77777777" w:rsidR="002A3970" w:rsidRDefault="00C35E63">
            <w:pPr>
              <w:jc w:val="right"/>
              <w:textAlignment w:val="center"/>
            </w:pPr>
            <w:r>
              <w:rPr>
                <w:rFonts w:ascii="Times New Roman" w:eastAsia="宋体" w:hAnsi="Times New Roman"/>
                <w:color w:val="000000"/>
                <w:sz w:val="16"/>
                <w:szCs w:val="16"/>
              </w:rPr>
              <w:t>8.8 </w:t>
            </w:r>
          </w:p>
        </w:tc>
        <w:tc>
          <w:tcPr>
            <w:tcW w:w="0" w:type="auto"/>
            <w:shd w:val="clear" w:color="auto" w:fill="FFFFFF"/>
            <w:tcMar>
              <w:top w:w="40" w:type="dxa"/>
              <w:left w:w="0" w:type="dxa"/>
              <w:bottom w:w="40" w:type="dxa"/>
              <w:right w:w="20" w:type="dxa"/>
            </w:tcMar>
            <w:vAlign w:val="center"/>
          </w:tcPr>
          <w:p w14:paraId="4B9A4281"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8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83" w14:textId="77777777" w:rsidR="002A3970" w:rsidRDefault="00C35E63">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4B9A4284"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8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86" w14:textId="77777777" w:rsidR="002A3970" w:rsidRDefault="00C35E63">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4B9A428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8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89" w14:textId="77777777" w:rsidR="002A3970" w:rsidRDefault="00C35E63">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B9A428A"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29D" w14:textId="77777777">
        <w:trPr>
          <w:jc w:val="center"/>
        </w:trPr>
        <w:tc>
          <w:tcPr>
            <w:tcW w:w="0" w:type="auto"/>
            <w:gridSpan w:val="3"/>
            <w:shd w:val="clear" w:color="auto" w:fill="CCEEFF"/>
            <w:tcMar>
              <w:top w:w="40" w:type="dxa"/>
              <w:left w:w="20" w:type="dxa"/>
              <w:bottom w:w="40" w:type="dxa"/>
              <w:right w:w="20" w:type="dxa"/>
            </w:tcMar>
            <w:vAlign w:val="center"/>
          </w:tcPr>
          <w:p w14:paraId="4B9A428C" w14:textId="77777777" w:rsidR="002A3970" w:rsidRDefault="00C35E63">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4B9A428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28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28F" w14:textId="77777777" w:rsidR="002A3970" w:rsidRDefault="00C35E63">
            <w:pPr>
              <w:jc w:val="right"/>
              <w:textAlignment w:val="center"/>
            </w:pPr>
            <w:r>
              <w:rPr>
                <w:rFonts w:ascii="Times New Roman" w:eastAsia="宋体" w:hAnsi="Times New Roman"/>
                <w:color w:val="000000"/>
                <w:sz w:val="16"/>
                <w:szCs w:val="16"/>
              </w:rPr>
              <w:t>34,505 </w:t>
            </w:r>
          </w:p>
        </w:tc>
        <w:tc>
          <w:tcPr>
            <w:tcW w:w="0" w:type="auto"/>
            <w:shd w:val="clear" w:color="auto" w:fill="CCEEFF"/>
            <w:tcMar>
              <w:top w:w="40" w:type="dxa"/>
              <w:left w:w="0" w:type="dxa"/>
              <w:bottom w:w="40" w:type="dxa"/>
              <w:right w:w="20" w:type="dxa"/>
            </w:tcMar>
            <w:vAlign w:val="center"/>
          </w:tcPr>
          <w:p w14:paraId="4B9A429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9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29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293" w14:textId="77777777" w:rsidR="002A3970" w:rsidRDefault="00C35E63">
            <w:pPr>
              <w:jc w:val="right"/>
              <w:textAlignment w:val="center"/>
            </w:pPr>
            <w:r>
              <w:rPr>
                <w:rFonts w:ascii="Times New Roman" w:eastAsia="宋体" w:hAnsi="Times New Roman"/>
                <w:color w:val="000000"/>
                <w:sz w:val="16"/>
                <w:szCs w:val="16"/>
              </w:rPr>
              <w:t>29,710 </w:t>
            </w:r>
          </w:p>
        </w:tc>
        <w:tc>
          <w:tcPr>
            <w:tcW w:w="0" w:type="auto"/>
            <w:shd w:val="clear" w:color="auto" w:fill="CCEEFF"/>
            <w:tcMar>
              <w:top w:w="40" w:type="dxa"/>
              <w:left w:w="0" w:type="dxa"/>
              <w:bottom w:w="40" w:type="dxa"/>
              <w:right w:w="20" w:type="dxa"/>
            </w:tcMar>
            <w:vAlign w:val="center"/>
          </w:tcPr>
          <w:p w14:paraId="4B9A429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95"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29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297" w14:textId="77777777" w:rsidR="002A3970" w:rsidRDefault="00C35E63">
            <w:pPr>
              <w:jc w:val="right"/>
              <w:textAlignment w:val="center"/>
            </w:pPr>
            <w:r>
              <w:rPr>
                <w:rFonts w:ascii="Times New Roman" w:eastAsia="宋体" w:hAnsi="Times New Roman"/>
                <w:color w:val="000000"/>
                <w:sz w:val="16"/>
                <w:szCs w:val="16"/>
              </w:rPr>
              <w:t>94,076 </w:t>
            </w:r>
          </w:p>
        </w:tc>
        <w:tc>
          <w:tcPr>
            <w:tcW w:w="0" w:type="auto"/>
            <w:shd w:val="clear" w:color="auto" w:fill="CCEEFF"/>
            <w:tcMar>
              <w:top w:w="40" w:type="dxa"/>
              <w:left w:w="0" w:type="dxa"/>
              <w:bottom w:w="40" w:type="dxa"/>
              <w:right w:w="20" w:type="dxa"/>
            </w:tcMar>
            <w:vAlign w:val="center"/>
          </w:tcPr>
          <w:p w14:paraId="4B9A429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99"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29A"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29B" w14:textId="77777777" w:rsidR="002A3970" w:rsidRDefault="00C35E63">
            <w:pPr>
              <w:jc w:val="right"/>
              <w:textAlignment w:val="center"/>
            </w:pPr>
            <w:r>
              <w:rPr>
                <w:rFonts w:ascii="Times New Roman" w:eastAsia="宋体" w:hAnsi="Times New Roman"/>
                <w:color w:val="000000"/>
                <w:sz w:val="16"/>
                <w:szCs w:val="16"/>
              </w:rPr>
              <w:t>86,350 </w:t>
            </w:r>
          </w:p>
        </w:tc>
        <w:tc>
          <w:tcPr>
            <w:tcW w:w="0" w:type="auto"/>
            <w:shd w:val="clear" w:color="auto" w:fill="CCEEFF"/>
            <w:tcMar>
              <w:top w:w="40" w:type="dxa"/>
              <w:left w:w="0" w:type="dxa"/>
              <w:bottom w:w="40" w:type="dxa"/>
              <w:right w:w="20" w:type="dxa"/>
            </w:tcMar>
            <w:vAlign w:val="center"/>
          </w:tcPr>
          <w:p w14:paraId="4B9A429C" w14:textId="77777777" w:rsidR="002A3970" w:rsidRDefault="002A3970">
            <w:pPr>
              <w:jc w:val="right"/>
              <w:rPr>
                <w:rFonts w:ascii="宋体"/>
              </w:rPr>
            </w:pPr>
          </w:p>
        </w:tc>
      </w:tr>
      <w:tr w:rsidR="002A3970" w14:paraId="4B9A42AB" w14:textId="77777777">
        <w:trPr>
          <w:jc w:val="center"/>
        </w:trPr>
        <w:tc>
          <w:tcPr>
            <w:tcW w:w="0" w:type="auto"/>
            <w:gridSpan w:val="3"/>
            <w:shd w:val="clear" w:color="auto" w:fill="FFFFFF"/>
            <w:tcMar>
              <w:top w:w="40" w:type="dxa"/>
              <w:left w:w="20" w:type="dxa"/>
              <w:bottom w:w="40" w:type="dxa"/>
              <w:right w:w="20" w:type="dxa"/>
            </w:tcMar>
            <w:vAlign w:val="center"/>
          </w:tcPr>
          <w:p w14:paraId="4B9A429E"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B9A429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A0" w14:textId="77777777" w:rsidR="002A3970" w:rsidRDefault="00C35E63">
            <w:pPr>
              <w:jc w:val="right"/>
              <w:textAlignment w:val="center"/>
            </w:pPr>
            <w:r>
              <w:rPr>
                <w:rFonts w:ascii="Times New Roman" w:eastAsia="宋体" w:hAnsi="Times New Roman"/>
                <w:color w:val="000000"/>
                <w:sz w:val="16"/>
                <w:szCs w:val="16"/>
              </w:rPr>
              <w:t>16.1 </w:t>
            </w:r>
          </w:p>
        </w:tc>
        <w:tc>
          <w:tcPr>
            <w:tcW w:w="0" w:type="auto"/>
            <w:shd w:val="clear" w:color="auto" w:fill="FFFFFF"/>
            <w:tcMar>
              <w:top w:w="40" w:type="dxa"/>
              <w:left w:w="0" w:type="dxa"/>
              <w:bottom w:w="40" w:type="dxa"/>
              <w:right w:w="20" w:type="dxa"/>
            </w:tcMar>
            <w:vAlign w:val="center"/>
          </w:tcPr>
          <w:p w14:paraId="4B9A42A1"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A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A3" w14:textId="77777777" w:rsidR="002A3970" w:rsidRDefault="00C35E63">
            <w:pPr>
              <w:jc w:val="right"/>
              <w:textAlignment w:val="center"/>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center"/>
          </w:tcPr>
          <w:p w14:paraId="4B9A42A4"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A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A6" w14:textId="77777777" w:rsidR="002A3970" w:rsidRDefault="00C35E63">
            <w:pPr>
              <w:jc w:val="right"/>
              <w:textAlignment w:val="center"/>
            </w:pPr>
            <w:r>
              <w:rPr>
                <w:rFonts w:ascii="Times New Roman" w:eastAsia="宋体" w:hAnsi="Times New Roman"/>
                <w:color w:val="000000"/>
                <w:sz w:val="16"/>
                <w:szCs w:val="16"/>
              </w:rPr>
              <w:t>8.9 </w:t>
            </w:r>
          </w:p>
        </w:tc>
        <w:tc>
          <w:tcPr>
            <w:tcW w:w="0" w:type="auto"/>
            <w:shd w:val="clear" w:color="auto" w:fill="FFFFFF"/>
            <w:tcMar>
              <w:top w:w="40" w:type="dxa"/>
              <w:left w:w="0" w:type="dxa"/>
              <w:bottom w:w="40" w:type="dxa"/>
              <w:right w:w="20" w:type="dxa"/>
            </w:tcMar>
            <w:vAlign w:val="center"/>
          </w:tcPr>
          <w:p w14:paraId="4B9A42A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2A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A9" w14:textId="77777777" w:rsidR="002A3970" w:rsidRDefault="00C35E63">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4B9A42AA"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2B9" w14:textId="77777777">
        <w:trPr>
          <w:jc w:val="center"/>
        </w:trPr>
        <w:tc>
          <w:tcPr>
            <w:tcW w:w="0" w:type="auto"/>
            <w:gridSpan w:val="3"/>
            <w:shd w:val="clear" w:color="auto" w:fill="CCEEFF"/>
            <w:tcMar>
              <w:top w:w="40" w:type="dxa"/>
              <w:left w:w="20" w:type="dxa"/>
              <w:bottom w:w="40" w:type="dxa"/>
              <w:right w:w="20" w:type="dxa"/>
            </w:tcMar>
            <w:vAlign w:val="center"/>
          </w:tcPr>
          <w:p w14:paraId="4B9A42AC" w14:textId="77777777" w:rsidR="002A3970" w:rsidRDefault="00C35E63">
            <w:pPr>
              <w:textAlignment w:val="center"/>
            </w:pPr>
            <w:r>
              <w:rPr>
                <w:rFonts w:ascii="Times New Roman" w:eastAsia="宋体" w:hAnsi="Times New Roman"/>
                <w:color w:val="00000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vAlign w:val="bottom"/>
          </w:tcPr>
          <w:p w14:paraId="4B9A42AD"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2AE" w14:textId="77777777" w:rsidR="002A3970" w:rsidRDefault="00C35E63">
            <w:pPr>
              <w:jc w:val="right"/>
              <w:textAlignment w:val="center"/>
            </w:pPr>
            <w:r>
              <w:rPr>
                <w:rFonts w:ascii="Times New Roman" w:eastAsia="宋体" w:hAnsi="Times New Roman"/>
                <w:color w:val="000000"/>
                <w:sz w:val="16"/>
                <w:szCs w:val="16"/>
              </w:rPr>
              <w:t>22.8 </w:t>
            </w:r>
          </w:p>
        </w:tc>
        <w:tc>
          <w:tcPr>
            <w:tcW w:w="0" w:type="auto"/>
            <w:shd w:val="clear" w:color="auto" w:fill="CCEEFF"/>
            <w:tcMar>
              <w:top w:w="40" w:type="dxa"/>
              <w:left w:w="0" w:type="dxa"/>
              <w:bottom w:w="40" w:type="dxa"/>
              <w:right w:w="20" w:type="dxa"/>
            </w:tcMar>
            <w:vAlign w:val="center"/>
          </w:tcPr>
          <w:p w14:paraId="4B9A42AF"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B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2B1" w14:textId="77777777" w:rsidR="002A3970" w:rsidRDefault="00C35E63">
            <w:pPr>
              <w:jc w:val="right"/>
              <w:textAlignment w:val="center"/>
            </w:pPr>
            <w:r>
              <w:rPr>
                <w:rFonts w:ascii="Times New Roman" w:eastAsia="宋体" w:hAnsi="Times New Roman"/>
                <w:color w:val="000000"/>
                <w:sz w:val="16"/>
                <w:szCs w:val="16"/>
              </w:rPr>
              <w:t>21.3 </w:t>
            </w:r>
          </w:p>
        </w:tc>
        <w:tc>
          <w:tcPr>
            <w:tcW w:w="0" w:type="auto"/>
            <w:shd w:val="clear" w:color="auto" w:fill="CCEEFF"/>
            <w:tcMar>
              <w:top w:w="40" w:type="dxa"/>
              <w:left w:w="0" w:type="dxa"/>
              <w:bottom w:w="40" w:type="dxa"/>
              <w:right w:w="20" w:type="dxa"/>
            </w:tcMar>
            <w:vAlign w:val="center"/>
          </w:tcPr>
          <w:p w14:paraId="4B9A42B2"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B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2B4" w14:textId="77777777" w:rsidR="002A3970" w:rsidRDefault="00C35E63">
            <w:pPr>
              <w:jc w:val="right"/>
              <w:textAlignment w:val="center"/>
            </w:pPr>
            <w:r>
              <w:rPr>
                <w:rFonts w:ascii="Times New Roman" w:eastAsia="宋体" w:hAnsi="Times New Roman"/>
                <w:color w:val="000000"/>
                <w:sz w:val="16"/>
                <w:szCs w:val="16"/>
              </w:rPr>
              <w:t>21.2 </w:t>
            </w:r>
          </w:p>
        </w:tc>
        <w:tc>
          <w:tcPr>
            <w:tcW w:w="0" w:type="auto"/>
            <w:shd w:val="clear" w:color="auto" w:fill="CCEEFF"/>
            <w:tcMar>
              <w:top w:w="40" w:type="dxa"/>
              <w:left w:w="0" w:type="dxa"/>
              <w:bottom w:w="40" w:type="dxa"/>
              <w:right w:w="20" w:type="dxa"/>
            </w:tcMar>
            <w:vAlign w:val="center"/>
          </w:tcPr>
          <w:p w14:paraId="4B9A42B5"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2B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2B7" w14:textId="77777777" w:rsidR="002A3970" w:rsidRDefault="00C35E63">
            <w:pPr>
              <w:jc w:val="right"/>
              <w:textAlignment w:val="center"/>
            </w:pPr>
            <w:r>
              <w:rPr>
                <w:rFonts w:ascii="Times New Roman" w:eastAsia="宋体" w:hAnsi="Times New Roman"/>
                <w:color w:val="000000"/>
                <w:sz w:val="16"/>
                <w:szCs w:val="16"/>
              </w:rPr>
              <w:t>20.7 </w:t>
            </w:r>
          </w:p>
        </w:tc>
        <w:tc>
          <w:tcPr>
            <w:tcW w:w="0" w:type="auto"/>
            <w:shd w:val="clear" w:color="auto" w:fill="CCEEFF"/>
            <w:tcMar>
              <w:top w:w="40" w:type="dxa"/>
              <w:left w:w="0" w:type="dxa"/>
              <w:bottom w:w="40" w:type="dxa"/>
              <w:right w:w="20" w:type="dxa"/>
            </w:tcMar>
            <w:vAlign w:val="center"/>
          </w:tcPr>
          <w:p w14:paraId="4B9A42B8" w14:textId="77777777" w:rsidR="002A3970" w:rsidRDefault="00C35E63">
            <w:pPr>
              <w:jc w:val="right"/>
              <w:textAlignment w:val="center"/>
            </w:pPr>
            <w:r>
              <w:rPr>
                <w:rFonts w:ascii="Times New Roman" w:eastAsia="宋体" w:hAnsi="Times New Roman"/>
                <w:color w:val="000000"/>
                <w:sz w:val="16"/>
                <w:szCs w:val="16"/>
              </w:rPr>
              <w:t>%</w:t>
            </w:r>
          </w:p>
        </w:tc>
      </w:tr>
    </w:tbl>
    <w:p w14:paraId="4B9A42BA" w14:textId="77777777" w:rsidR="002A3970" w:rsidRDefault="00C35E63">
      <w:pPr>
        <w:spacing w:before="100"/>
      </w:pPr>
      <w:r>
        <w:rPr>
          <w:rFonts w:ascii="Times New Roman" w:eastAsia="宋体" w:hAnsi="Times New Roman"/>
          <w:color w:val="000000"/>
          <w:sz w:val="20"/>
          <w:szCs w:val="20"/>
        </w:rPr>
        <w:t>Operating expenses as a percentage of net sales increased 144 and 48 basis points for the three and nine months ended October 31, 2022, respectively. The increases were largely driven by charg</w:t>
      </w:r>
      <w:r>
        <w:rPr>
          <w:rFonts w:ascii="Times New Roman" w:eastAsia="宋体" w:hAnsi="Times New Roman"/>
          <w:color w:val="000000"/>
          <w:sz w:val="20"/>
          <w:szCs w:val="20"/>
        </w:rPr>
        <w:t>es of $3.3 billion related to opioid-related legal settlements recorded in the third quarter of fiscal 2023, partially offset by growth in net sales and lower incremental COVID-19 costs. In addition, the nine months ended October 31, 2022 were also impacte</w:t>
      </w:r>
      <w:r>
        <w:rPr>
          <w:rFonts w:ascii="Times New Roman" w:eastAsia="宋体" w:hAnsi="Times New Roman"/>
          <w:color w:val="000000"/>
          <w:sz w:val="20"/>
          <w:szCs w:val="20"/>
        </w:rPr>
        <w:t>d by increased wage costs in Walmart U.S.</w:t>
      </w:r>
    </w:p>
    <w:p w14:paraId="4B9A42BB" w14:textId="77777777" w:rsidR="002A3970" w:rsidRDefault="00C35E63">
      <w:pPr>
        <w:spacing w:before="180"/>
      </w:pPr>
      <w:r>
        <w:rPr>
          <w:rFonts w:ascii="Times New Roman" w:eastAsia="宋体" w:hAnsi="Times New Roman"/>
          <w:b/>
          <w:bCs/>
          <w:color w:val="000000"/>
          <w:sz w:val="20"/>
          <w:szCs w:val="20"/>
          <w:u w:val="single"/>
        </w:rPr>
        <w:t>Strategic Capital Allocation</w:t>
      </w:r>
    </w:p>
    <w:p w14:paraId="4B9A42BC" w14:textId="77777777" w:rsidR="002A3970" w:rsidRDefault="00C35E63">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are allocating more ca</w:t>
      </w:r>
      <w:r>
        <w:rPr>
          <w:rFonts w:ascii="Times New Roman" w:eastAsia="宋体" w:hAnsi="Times New Roman"/>
          <w:color w:val="000000"/>
          <w:sz w:val="20"/>
          <w:szCs w:val="20"/>
        </w:rPr>
        <w:t>pital to supply chain, customer-facing initiatives, technology and store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8"/>
        <w:gridCol w:w="36"/>
        <w:gridCol w:w="36"/>
        <w:gridCol w:w="36"/>
        <w:gridCol w:w="36"/>
        <w:gridCol w:w="36"/>
        <w:gridCol w:w="36"/>
        <w:gridCol w:w="36"/>
        <w:gridCol w:w="100"/>
        <w:gridCol w:w="749"/>
        <w:gridCol w:w="36"/>
        <w:gridCol w:w="36"/>
        <w:gridCol w:w="36"/>
        <w:gridCol w:w="36"/>
        <w:gridCol w:w="100"/>
        <w:gridCol w:w="750"/>
        <w:gridCol w:w="36"/>
      </w:tblGrid>
      <w:tr w:rsidR="002A3970" w14:paraId="4B9A42D0" w14:textId="77777777">
        <w:tc>
          <w:tcPr>
            <w:tcW w:w="50" w:type="pct"/>
            <w:shd w:val="clear" w:color="auto" w:fill="auto"/>
            <w:vAlign w:val="bottom"/>
          </w:tcPr>
          <w:p w14:paraId="4B9A42BD" w14:textId="77777777" w:rsidR="002A3970" w:rsidRDefault="002A3970">
            <w:pPr>
              <w:rPr>
                <w:rFonts w:ascii="宋体"/>
              </w:rPr>
            </w:pPr>
          </w:p>
        </w:tc>
        <w:tc>
          <w:tcPr>
            <w:tcW w:w="3759" w:type="pct"/>
            <w:shd w:val="clear" w:color="auto" w:fill="auto"/>
            <w:vAlign w:val="bottom"/>
          </w:tcPr>
          <w:p w14:paraId="4B9A42BE" w14:textId="77777777" w:rsidR="002A3970" w:rsidRDefault="002A3970">
            <w:pPr>
              <w:rPr>
                <w:rFonts w:ascii="宋体"/>
              </w:rPr>
            </w:pPr>
          </w:p>
        </w:tc>
        <w:tc>
          <w:tcPr>
            <w:tcW w:w="5" w:type="pct"/>
            <w:shd w:val="clear" w:color="auto" w:fill="auto"/>
            <w:vAlign w:val="bottom"/>
          </w:tcPr>
          <w:p w14:paraId="4B9A42BF" w14:textId="77777777" w:rsidR="002A3970" w:rsidRDefault="002A3970">
            <w:pPr>
              <w:rPr>
                <w:rFonts w:ascii="宋体"/>
              </w:rPr>
            </w:pPr>
          </w:p>
        </w:tc>
        <w:tc>
          <w:tcPr>
            <w:tcW w:w="5" w:type="pct"/>
            <w:shd w:val="clear" w:color="auto" w:fill="auto"/>
            <w:vAlign w:val="bottom"/>
          </w:tcPr>
          <w:p w14:paraId="4B9A42C0" w14:textId="77777777" w:rsidR="002A3970" w:rsidRDefault="002A3970">
            <w:pPr>
              <w:rPr>
                <w:rFonts w:ascii="宋体"/>
              </w:rPr>
            </w:pPr>
          </w:p>
        </w:tc>
        <w:tc>
          <w:tcPr>
            <w:tcW w:w="26" w:type="pct"/>
            <w:shd w:val="clear" w:color="auto" w:fill="auto"/>
            <w:vAlign w:val="bottom"/>
          </w:tcPr>
          <w:p w14:paraId="4B9A42C1" w14:textId="77777777" w:rsidR="002A3970" w:rsidRDefault="002A3970">
            <w:pPr>
              <w:rPr>
                <w:rFonts w:ascii="宋体"/>
              </w:rPr>
            </w:pPr>
          </w:p>
        </w:tc>
        <w:tc>
          <w:tcPr>
            <w:tcW w:w="5" w:type="pct"/>
            <w:shd w:val="clear" w:color="auto" w:fill="auto"/>
            <w:vAlign w:val="bottom"/>
          </w:tcPr>
          <w:p w14:paraId="4B9A42C2" w14:textId="77777777" w:rsidR="002A3970" w:rsidRDefault="002A3970">
            <w:pPr>
              <w:rPr>
                <w:rFonts w:ascii="宋体"/>
              </w:rPr>
            </w:pPr>
          </w:p>
        </w:tc>
        <w:tc>
          <w:tcPr>
            <w:tcW w:w="0" w:type="auto"/>
            <w:shd w:val="clear" w:color="auto" w:fill="auto"/>
            <w:vAlign w:val="bottom"/>
          </w:tcPr>
          <w:p w14:paraId="4B9A42C3" w14:textId="77777777" w:rsidR="002A3970" w:rsidRDefault="002A3970">
            <w:pPr>
              <w:rPr>
                <w:rFonts w:ascii="宋体"/>
                <w:vanish/>
              </w:rPr>
            </w:pPr>
          </w:p>
        </w:tc>
        <w:tc>
          <w:tcPr>
            <w:tcW w:w="0" w:type="auto"/>
            <w:shd w:val="clear" w:color="auto" w:fill="auto"/>
            <w:vAlign w:val="bottom"/>
          </w:tcPr>
          <w:p w14:paraId="4B9A42C4" w14:textId="77777777" w:rsidR="002A3970" w:rsidRDefault="002A3970">
            <w:pPr>
              <w:rPr>
                <w:rFonts w:ascii="宋体"/>
                <w:vanish/>
              </w:rPr>
            </w:pPr>
          </w:p>
        </w:tc>
        <w:tc>
          <w:tcPr>
            <w:tcW w:w="0" w:type="auto"/>
            <w:shd w:val="clear" w:color="auto" w:fill="auto"/>
            <w:vAlign w:val="bottom"/>
          </w:tcPr>
          <w:p w14:paraId="4B9A42C5" w14:textId="77777777" w:rsidR="002A3970" w:rsidRDefault="002A3970">
            <w:pPr>
              <w:rPr>
                <w:rFonts w:ascii="宋体"/>
                <w:vanish/>
              </w:rPr>
            </w:pPr>
          </w:p>
        </w:tc>
        <w:tc>
          <w:tcPr>
            <w:tcW w:w="0" w:type="auto"/>
            <w:shd w:val="clear" w:color="auto" w:fill="auto"/>
            <w:vAlign w:val="bottom"/>
          </w:tcPr>
          <w:p w14:paraId="4B9A42C6" w14:textId="77777777" w:rsidR="002A3970" w:rsidRDefault="002A3970">
            <w:pPr>
              <w:rPr>
                <w:rFonts w:ascii="宋体"/>
                <w:vanish/>
              </w:rPr>
            </w:pPr>
          </w:p>
        </w:tc>
        <w:tc>
          <w:tcPr>
            <w:tcW w:w="50" w:type="pct"/>
            <w:shd w:val="clear" w:color="auto" w:fill="auto"/>
            <w:vAlign w:val="bottom"/>
          </w:tcPr>
          <w:p w14:paraId="4B9A42C7" w14:textId="77777777" w:rsidR="002A3970" w:rsidRDefault="002A3970">
            <w:pPr>
              <w:rPr>
                <w:rFonts w:ascii="宋体"/>
              </w:rPr>
            </w:pPr>
          </w:p>
        </w:tc>
        <w:tc>
          <w:tcPr>
            <w:tcW w:w="501" w:type="pct"/>
            <w:shd w:val="clear" w:color="auto" w:fill="auto"/>
            <w:vAlign w:val="bottom"/>
          </w:tcPr>
          <w:p w14:paraId="4B9A42C8" w14:textId="77777777" w:rsidR="002A3970" w:rsidRDefault="002A3970">
            <w:pPr>
              <w:rPr>
                <w:rFonts w:ascii="宋体"/>
              </w:rPr>
            </w:pPr>
          </w:p>
        </w:tc>
        <w:tc>
          <w:tcPr>
            <w:tcW w:w="5" w:type="pct"/>
            <w:shd w:val="clear" w:color="auto" w:fill="auto"/>
            <w:vAlign w:val="bottom"/>
          </w:tcPr>
          <w:p w14:paraId="4B9A42C9" w14:textId="77777777" w:rsidR="002A3970" w:rsidRDefault="002A3970">
            <w:pPr>
              <w:rPr>
                <w:rFonts w:ascii="宋体"/>
              </w:rPr>
            </w:pPr>
          </w:p>
        </w:tc>
        <w:tc>
          <w:tcPr>
            <w:tcW w:w="5" w:type="pct"/>
            <w:shd w:val="clear" w:color="auto" w:fill="auto"/>
            <w:vAlign w:val="bottom"/>
          </w:tcPr>
          <w:p w14:paraId="4B9A42CA" w14:textId="77777777" w:rsidR="002A3970" w:rsidRDefault="002A3970">
            <w:pPr>
              <w:rPr>
                <w:rFonts w:ascii="宋体"/>
              </w:rPr>
            </w:pPr>
          </w:p>
        </w:tc>
        <w:tc>
          <w:tcPr>
            <w:tcW w:w="26" w:type="pct"/>
            <w:shd w:val="clear" w:color="auto" w:fill="auto"/>
            <w:vAlign w:val="bottom"/>
          </w:tcPr>
          <w:p w14:paraId="4B9A42CB" w14:textId="77777777" w:rsidR="002A3970" w:rsidRDefault="002A3970">
            <w:pPr>
              <w:rPr>
                <w:rFonts w:ascii="宋体"/>
              </w:rPr>
            </w:pPr>
          </w:p>
        </w:tc>
        <w:tc>
          <w:tcPr>
            <w:tcW w:w="5" w:type="pct"/>
            <w:shd w:val="clear" w:color="auto" w:fill="auto"/>
            <w:vAlign w:val="bottom"/>
          </w:tcPr>
          <w:p w14:paraId="4B9A42CC" w14:textId="77777777" w:rsidR="002A3970" w:rsidRDefault="002A3970">
            <w:pPr>
              <w:rPr>
                <w:rFonts w:ascii="宋体"/>
              </w:rPr>
            </w:pPr>
          </w:p>
        </w:tc>
        <w:tc>
          <w:tcPr>
            <w:tcW w:w="50" w:type="pct"/>
            <w:shd w:val="clear" w:color="auto" w:fill="auto"/>
            <w:vAlign w:val="bottom"/>
          </w:tcPr>
          <w:p w14:paraId="4B9A42CD" w14:textId="77777777" w:rsidR="002A3970" w:rsidRDefault="002A3970">
            <w:pPr>
              <w:rPr>
                <w:rFonts w:ascii="宋体"/>
              </w:rPr>
            </w:pPr>
          </w:p>
        </w:tc>
        <w:tc>
          <w:tcPr>
            <w:tcW w:w="501" w:type="pct"/>
            <w:shd w:val="clear" w:color="auto" w:fill="auto"/>
            <w:vAlign w:val="bottom"/>
          </w:tcPr>
          <w:p w14:paraId="4B9A42CE" w14:textId="77777777" w:rsidR="002A3970" w:rsidRDefault="002A3970">
            <w:pPr>
              <w:rPr>
                <w:rFonts w:ascii="宋体"/>
              </w:rPr>
            </w:pPr>
          </w:p>
        </w:tc>
        <w:tc>
          <w:tcPr>
            <w:tcW w:w="5" w:type="pct"/>
            <w:shd w:val="clear" w:color="auto" w:fill="auto"/>
            <w:vAlign w:val="bottom"/>
          </w:tcPr>
          <w:p w14:paraId="4B9A42CF" w14:textId="77777777" w:rsidR="002A3970" w:rsidRDefault="002A3970">
            <w:pPr>
              <w:rPr>
                <w:rFonts w:ascii="宋体"/>
              </w:rPr>
            </w:pPr>
          </w:p>
        </w:tc>
      </w:tr>
      <w:tr w:rsidR="002A3970" w14:paraId="4B9A42DC" w14:textId="77777777">
        <w:tc>
          <w:tcPr>
            <w:tcW w:w="0" w:type="auto"/>
            <w:gridSpan w:val="3"/>
            <w:shd w:val="clear" w:color="auto" w:fill="auto"/>
            <w:tcMar>
              <w:top w:w="40" w:type="dxa"/>
              <w:left w:w="20" w:type="dxa"/>
              <w:bottom w:w="40" w:type="dxa"/>
              <w:right w:w="20" w:type="dxa"/>
            </w:tcMar>
            <w:vAlign w:val="bottom"/>
          </w:tcPr>
          <w:p w14:paraId="4B9A42D1"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2D2" w14:textId="77777777" w:rsidR="002A3970" w:rsidRDefault="002A3970">
            <w:pPr>
              <w:rPr>
                <w:rFonts w:ascii="宋体"/>
              </w:rPr>
            </w:pPr>
          </w:p>
        </w:tc>
        <w:tc>
          <w:tcPr>
            <w:tcW w:w="0" w:type="auto"/>
            <w:shd w:val="clear" w:color="auto" w:fill="auto"/>
            <w:vAlign w:val="bottom"/>
          </w:tcPr>
          <w:p w14:paraId="4B9A42D3" w14:textId="77777777" w:rsidR="002A3970" w:rsidRDefault="002A3970">
            <w:pPr>
              <w:rPr>
                <w:rFonts w:ascii="宋体"/>
                <w:vanish/>
              </w:rPr>
            </w:pPr>
          </w:p>
        </w:tc>
        <w:tc>
          <w:tcPr>
            <w:tcW w:w="0" w:type="auto"/>
            <w:shd w:val="clear" w:color="auto" w:fill="auto"/>
            <w:vAlign w:val="bottom"/>
          </w:tcPr>
          <w:p w14:paraId="4B9A42D4" w14:textId="77777777" w:rsidR="002A3970" w:rsidRDefault="002A3970">
            <w:pPr>
              <w:rPr>
                <w:rFonts w:ascii="宋体"/>
                <w:vanish/>
              </w:rPr>
            </w:pPr>
          </w:p>
        </w:tc>
        <w:tc>
          <w:tcPr>
            <w:tcW w:w="0" w:type="auto"/>
            <w:gridSpan w:val="5"/>
            <w:shd w:val="clear" w:color="auto" w:fill="auto"/>
            <w:tcMar>
              <w:top w:w="40" w:type="dxa"/>
              <w:left w:w="20" w:type="dxa"/>
              <w:bottom w:w="40" w:type="dxa"/>
              <w:right w:w="20" w:type="dxa"/>
            </w:tcMar>
            <w:vAlign w:val="bottom"/>
          </w:tcPr>
          <w:p w14:paraId="4B9A42D5"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4B9A42D6" w14:textId="77777777" w:rsidR="002A3970" w:rsidRDefault="002A3970">
            <w:pPr>
              <w:rPr>
                <w:rFonts w:ascii="宋体"/>
              </w:rPr>
            </w:pPr>
          </w:p>
        </w:tc>
        <w:tc>
          <w:tcPr>
            <w:tcW w:w="0" w:type="auto"/>
            <w:shd w:val="clear" w:color="auto" w:fill="auto"/>
            <w:vAlign w:val="bottom"/>
          </w:tcPr>
          <w:p w14:paraId="4B9A42D7" w14:textId="77777777" w:rsidR="002A3970" w:rsidRDefault="002A3970">
            <w:pPr>
              <w:rPr>
                <w:rFonts w:ascii="宋体"/>
              </w:rPr>
            </w:pPr>
          </w:p>
        </w:tc>
        <w:tc>
          <w:tcPr>
            <w:tcW w:w="0" w:type="auto"/>
            <w:shd w:val="clear" w:color="auto" w:fill="auto"/>
            <w:vAlign w:val="bottom"/>
          </w:tcPr>
          <w:p w14:paraId="4B9A42D8" w14:textId="77777777" w:rsidR="002A3970" w:rsidRDefault="002A3970">
            <w:pPr>
              <w:rPr>
                <w:rFonts w:ascii="宋体"/>
              </w:rPr>
            </w:pPr>
          </w:p>
        </w:tc>
        <w:tc>
          <w:tcPr>
            <w:tcW w:w="0" w:type="auto"/>
            <w:shd w:val="clear" w:color="auto" w:fill="auto"/>
            <w:vAlign w:val="bottom"/>
          </w:tcPr>
          <w:p w14:paraId="4B9A42D9" w14:textId="77777777" w:rsidR="002A3970" w:rsidRDefault="002A3970">
            <w:pPr>
              <w:rPr>
                <w:rFonts w:ascii="宋体"/>
              </w:rPr>
            </w:pPr>
          </w:p>
        </w:tc>
        <w:tc>
          <w:tcPr>
            <w:tcW w:w="0" w:type="auto"/>
            <w:shd w:val="clear" w:color="auto" w:fill="auto"/>
            <w:vAlign w:val="bottom"/>
          </w:tcPr>
          <w:p w14:paraId="4B9A42DA" w14:textId="77777777" w:rsidR="002A3970" w:rsidRDefault="002A3970">
            <w:pPr>
              <w:rPr>
                <w:rFonts w:ascii="宋体"/>
              </w:rPr>
            </w:pPr>
          </w:p>
        </w:tc>
        <w:tc>
          <w:tcPr>
            <w:tcW w:w="0" w:type="auto"/>
            <w:shd w:val="clear" w:color="auto" w:fill="auto"/>
            <w:vAlign w:val="bottom"/>
          </w:tcPr>
          <w:p w14:paraId="4B9A42DB" w14:textId="77777777" w:rsidR="002A3970" w:rsidRDefault="002A3970">
            <w:pPr>
              <w:rPr>
                <w:rFonts w:ascii="宋体"/>
              </w:rPr>
            </w:pPr>
          </w:p>
        </w:tc>
      </w:tr>
      <w:tr w:rsidR="002A3970" w14:paraId="4B9A42E6" w14:textId="77777777">
        <w:tc>
          <w:tcPr>
            <w:tcW w:w="0" w:type="auto"/>
            <w:gridSpan w:val="3"/>
            <w:shd w:val="clear" w:color="auto" w:fill="auto"/>
            <w:tcMar>
              <w:top w:w="40" w:type="dxa"/>
              <w:left w:w="20" w:type="dxa"/>
              <w:bottom w:w="40" w:type="dxa"/>
              <w:right w:w="20" w:type="dxa"/>
            </w:tcMar>
            <w:vAlign w:val="bottom"/>
          </w:tcPr>
          <w:p w14:paraId="4B9A42DD" w14:textId="77777777" w:rsidR="002A3970" w:rsidRDefault="00C35E63">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vAlign w:val="bottom"/>
          </w:tcPr>
          <w:p w14:paraId="4B9A42DE" w14:textId="77777777" w:rsidR="002A3970" w:rsidRDefault="002A3970">
            <w:pPr>
              <w:rPr>
                <w:rFonts w:ascii="宋体"/>
              </w:rPr>
            </w:pPr>
          </w:p>
        </w:tc>
        <w:tc>
          <w:tcPr>
            <w:tcW w:w="0" w:type="auto"/>
            <w:shd w:val="clear" w:color="auto" w:fill="auto"/>
            <w:vAlign w:val="bottom"/>
          </w:tcPr>
          <w:p w14:paraId="4B9A42DF" w14:textId="77777777" w:rsidR="002A3970" w:rsidRDefault="002A3970">
            <w:pPr>
              <w:rPr>
                <w:rFonts w:ascii="宋体"/>
                <w:vanish/>
              </w:rPr>
            </w:pPr>
          </w:p>
        </w:tc>
        <w:tc>
          <w:tcPr>
            <w:tcW w:w="0" w:type="auto"/>
            <w:shd w:val="clear" w:color="auto" w:fill="auto"/>
            <w:vAlign w:val="bottom"/>
          </w:tcPr>
          <w:p w14:paraId="4B9A42E0" w14:textId="77777777" w:rsidR="002A3970" w:rsidRDefault="002A3970">
            <w:pPr>
              <w:rPr>
                <w:rFonts w:ascii="宋体"/>
                <w:vanish/>
              </w:rPr>
            </w:pPr>
          </w:p>
        </w:tc>
        <w:tc>
          <w:tcPr>
            <w:tcW w:w="0" w:type="auto"/>
            <w:shd w:val="clear" w:color="auto" w:fill="auto"/>
            <w:vAlign w:val="bottom"/>
          </w:tcPr>
          <w:p w14:paraId="4B9A42E1" w14:textId="77777777" w:rsidR="002A3970" w:rsidRDefault="002A3970">
            <w:pPr>
              <w:rPr>
                <w:rFonts w:ascii="宋体"/>
                <w:vanish/>
              </w:rPr>
            </w:pPr>
          </w:p>
        </w:tc>
        <w:tc>
          <w:tcPr>
            <w:tcW w:w="0" w:type="auto"/>
            <w:shd w:val="clear" w:color="auto" w:fill="auto"/>
            <w:vAlign w:val="bottom"/>
          </w:tcPr>
          <w:p w14:paraId="4B9A42E2" w14:textId="77777777" w:rsidR="002A3970" w:rsidRDefault="002A397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2E3"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2E4"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2E5"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2F4" w14:textId="77777777">
        <w:tc>
          <w:tcPr>
            <w:tcW w:w="0" w:type="auto"/>
            <w:gridSpan w:val="3"/>
            <w:shd w:val="clear" w:color="auto" w:fill="CCEEFF"/>
            <w:tcMar>
              <w:top w:w="40" w:type="dxa"/>
              <w:left w:w="20" w:type="dxa"/>
              <w:bottom w:w="40" w:type="dxa"/>
              <w:right w:w="20" w:type="dxa"/>
            </w:tcMar>
            <w:vAlign w:val="center"/>
          </w:tcPr>
          <w:p w14:paraId="4B9A42E7" w14:textId="77777777" w:rsidR="002A3970" w:rsidRDefault="00C35E63">
            <w:pPr>
              <w:textAlignment w:val="center"/>
            </w:pPr>
            <w:r>
              <w:rPr>
                <w:rFonts w:ascii="Times New Roman" w:eastAsia="宋体" w:hAnsi="Times New Roman"/>
                <w:color w:val="000000"/>
                <w:sz w:val="16"/>
                <w:szCs w:val="16"/>
              </w:rPr>
              <w:t>Supply chain, customer-facing initiatives and technology</w:t>
            </w:r>
          </w:p>
        </w:tc>
        <w:tc>
          <w:tcPr>
            <w:tcW w:w="0" w:type="auto"/>
            <w:gridSpan w:val="3"/>
            <w:shd w:val="clear" w:color="auto" w:fill="CCEEFF"/>
            <w:tcMar>
              <w:top w:w="0" w:type="dxa"/>
              <w:left w:w="20" w:type="dxa"/>
              <w:bottom w:w="0" w:type="dxa"/>
              <w:right w:w="20" w:type="dxa"/>
            </w:tcMar>
            <w:vAlign w:val="bottom"/>
          </w:tcPr>
          <w:p w14:paraId="4B9A42E8" w14:textId="77777777" w:rsidR="002A3970" w:rsidRDefault="002A3970">
            <w:pPr>
              <w:rPr>
                <w:rFonts w:ascii="宋体"/>
              </w:rPr>
            </w:pPr>
          </w:p>
        </w:tc>
        <w:tc>
          <w:tcPr>
            <w:tcW w:w="0" w:type="auto"/>
            <w:shd w:val="clear" w:color="auto" w:fill="auto"/>
            <w:vAlign w:val="bottom"/>
          </w:tcPr>
          <w:p w14:paraId="4B9A42E9" w14:textId="77777777" w:rsidR="002A3970" w:rsidRDefault="002A3970">
            <w:pPr>
              <w:rPr>
                <w:rFonts w:ascii="宋体"/>
                <w:vanish/>
              </w:rPr>
            </w:pPr>
          </w:p>
        </w:tc>
        <w:tc>
          <w:tcPr>
            <w:tcW w:w="0" w:type="auto"/>
            <w:shd w:val="clear" w:color="auto" w:fill="auto"/>
            <w:vAlign w:val="bottom"/>
          </w:tcPr>
          <w:p w14:paraId="4B9A42EA" w14:textId="77777777" w:rsidR="002A3970" w:rsidRDefault="002A3970">
            <w:pPr>
              <w:rPr>
                <w:rFonts w:ascii="宋体"/>
                <w:vanish/>
              </w:rPr>
            </w:pPr>
          </w:p>
        </w:tc>
        <w:tc>
          <w:tcPr>
            <w:tcW w:w="0" w:type="auto"/>
            <w:shd w:val="clear" w:color="auto" w:fill="auto"/>
            <w:vAlign w:val="bottom"/>
          </w:tcPr>
          <w:p w14:paraId="4B9A42EB" w14:textId="77777777" w:rsidR="002A3970" w:rsidRDefault="002A3970">
            <w:pPr>
              <w:rPr>
                <w:rFonts w:ascii="宋体"/>
                <w:vanish/>
              </w:rPr>
            </w:pPr>
          </w:p>
        </w:tc>
        <w:tc>
          <w:tcPr>
            <w:tcW w:w="0" w:type="auto"/>
            <w:shd w:val="clear" w:color="auto" w:fill="auto"/>
            <w:vAlign w:val="bottom"/>
          </w:tcPr>
          <w:p w14:paraId="4B9A42EC" w14:textId="77777777" w:rsidR="002A3970" w:rsidRDefault="002A3970">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2E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2EE" w14:textId="77777777" w:rsidR="002A3970" w:rsidRDefault="00C35E63">
            <w:pPr>
              <w:jc w:val="right"/>
              <w:textAlignment w:val="center"/>
            </w:pPr>
            <w:r>
              <w:rPr>
                <w:rFonts w:ascii="Times New Roman" w:eastAsia="宋体" w:hAnsi="Times New Roman"/>
                <w:color w:val="000000"/>
                <w:sz w:val="16"/>
                <w:szCs w:val="16"/>
              </w:rPr>
              <w:t>6,304 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E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2F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2F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2F2" w14:textId="77777777" w:rsidR="002A3970" w:rsidRDefault="00C35E63">
            <w:pPr>
              <w:jc w:val="right"/>
              <w:textAlignment w:val="center"/>
            </w:pPr>
            <w:r>
              <w:rPr>
                <w:rFonts w:ascii="Times New Roman" w:eastAsia="宋体" w:hAnsi="Times New Roman"/>
                <w:color w:val="000000"/>
                <w:sz w:val="16"/>
                <w:szCs w:val="16"/>
              </w:rPr>
              <w:t>4,408 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2F3" w14:textId="77777777" w:rsidR="002A3970" w:rsidRDefault="002A3970">
            <w:pPr>
              <w:jc w:val="right"/>
              <w:rPr>
                <w:rFonts w:ascii="宋体"/>
              </w:rPr>
            </w:pPr>
          </w:p>
        </w:tc>
      </w:tr>
      <w:tr w:rsidR="002A3970" w14:paraId="4B9A4300" w14:textId="77777777">
        <w:tc>
          <w:tcPr>
            <w:tcW w:w="0" w:type="auto"/>
            <w:gridSpan w:val="3"/>
            <w:shd w:val="clear" w:color="auto" w:fill="FFFFFF"/>
            <w:tcMar>
              <w:top w:w="40" w:type="dxa"/>
              <w:left w:w="20" w:type="dxa"/>
              <w:bottom w:w="40" w:type="dxa"/>
              <w:right w:w="20" w:type="dxa"/>
            </w:tcMar>
            <w:vAlign w:val="center"/>
          </w:tcPr>
          <w:p w14:paraId="4B9A42F5" w14:textId="77777777" w:rsidR="002A3970" w:rsidRDefault="00C35E63">
            <w:pPr>
              <w:textAlignment w:val="center"/>
            </w:pPr>
            <w:r>
              <w:rPr>
                <w:rFonts w:ascii="Times New Roman" w:eastAsia="宋体" w:hAnsi="Times New Roman"/>
                <w:color w:val="000000"/>
                <w:sz w:val="16"/>
                <w:szCs w:val="16"/>
              </w:rPr>
              <w:t>Store and club remodels</w:t>
            </w:r>
          </w:p>
        </w:tc>
        <w:tc>
          <w:tcPr>
            <w:tcW w:w="0" w:type="auto"/>
            <w:gridSpan w:val="3"/>
            <w:shd w:val="clear" w:color="auto" w:fill="FFFFFF"/>
            <w:tcMar>
              <w:top w:w="0" w:type="dxa"/>
              <w:left w:w="20" w:type="dxa"/>
              <w:bottom w:w="0" w:type="dxa"/>
              <w:right w:w="20" w:type="dxa"/>
            </w:tcMar>
            <w:vAlign w:val="bottom"/>
          </w:tcPr>
          <w:p w14:paraId="4B9A42F6" w14:textId="77777777" w:rsidR="002A3970" w:rsidRDefault="002A3970">
            <w:pPr>
              <w:rPr>
                <w:rFonts w:ascii="宋体"/>
              </w:rPr>
            </w:pPr>
          </w:p>
        </w:tc>
        <w:tc>
          <w:tcPr>
            <w:tcW w:w="0" w:type="auto"/>
            <w:shd w:val="clear" w:color="auto" w:fill="auto"/>
            <w:vAlign w:val="bottom"/>
          </w:tcPr>
          <w:p w14:paraId="4B9A42F7" w14:textId="77777777" w:rsidR="002A3970" w:rsidRDefault="002A3970">
            <w:pPr>
              <w:rPr>
                <w:rFonts w:ascii="宋体"/>
                <w:vanish/>
              </w:rPr>
            </w:pPr>
          </w:p>
        </w:tc>
        <w:tc>
          <w:tcPr>
            <w:tcW w:w="0" w:type="auto"/>
            <w:shd w:val="clear" w:color="auto" w:fill="auto"/>
            <w:vAlign w:val="bottom"/>
          </w:tcPr>
          <w:p w14:paraId="4B9A42F8" w14:textId="77777777" w:rsidR="002A3970" w:rsidRDefault="002A3970">
            <w:pPr>
              <w:rPr>
                <w:rFonts w:ascii="宋体"/>
                <w:vanish/>
              </w:rPr>
            </w:pPr>
          </w:p>
        </w:tc>
        <w:tc>
          <w:tcPr>
            <w:tcW w:w="0" w:type="auto"/>
            <w:shd w:val="clear" w:color="auto" w:fill="auto"/>
            <w:vAlign w:val="bottom"/>
          </w:tcPr>
          <w:p w14:paraId="4B9A42F9" w14:textId="77777777" w:rsidR="002A3970" w:rsidRDefault="002A3970">
            <w:pPr>
              <w:rPr>
                <w:rFonts w:ascii="宋体"/>
                <w:vanish/>
              </w:rPr>
            </w:pPr>
          </w:p>
        </w:tc>
        <w:tc>
          <w:tcPr>
            <w:tcW w:w="0" w:type="auto"/>
            <w:shd w:val="clear" w:color="auto" w:fill="auto"/>
            <w:vAlign w:val="bottom"/>
          </w:tcPr>
          <w:p w14:paraId="4B9A42FA" w14:textId="77777777" w:rsidR="002A3970" w:rsidRDefault="002A3970">
            <w:pPr>
              <w:rPr>
                <w:rFonts w:ascii="宋体"/>
                <w:vanish/>
              </w:rPr>
            </w:pPr>
          </w:p>
        </w:tc>
        <w:tc>
          <w:tcPr>
            <w:tcW w:w="0" w:type="auto"/>
            <w:gridSpan w:val="2"/>
            <w:shd w:val="clear" w:color="auto" w:fill="FFFFFF"/>
            <w:tcMar>
              <w:top w:w="40" w:type="dxa"/>
              <w:left w:w="20" w:type="dxa"/>
              <w:bottom w:w="40" w:type="dxa"/>
              <w:right w:w="0" w:type="dxa"/>
            </w:tcMar>
            <w:vAlign w:val="center"/>
          </w:tcPr>
          <w:p w14:paraId="4B9A42FB" w14:textId="77777777" w:rsidR="002A3970" w:rsidRDefault="00C35E63">
            <w:pPr>
              <w:jc w:val="right"/>
              <w:textAlignment w:val="center"/>
            </w:pPr>
            <w:r>
              <w:rPr>
                <w:rFonts w:ascii="Times New Roman" w:eastAsia="宋体" w:hAnsi="Times New Roman"/>
                <w:color w:val="000000"/>
                <w:sz w:val="16"/>
                <w:szCs w:val="16"/>
              </w:rPr>
              <w:t>3,965 </w:t>
            </w:r>
          </w:p>
        </w:tc>
        <w:tc>
          <w:tcPr>
            <w:tcW w:w="0" w:type="auto"/>
            <w:shd w:val="clear" w:color="auto" w:fill="FFFFFF"/>
            <w:tcMar>
              <w:top w:w="40" w:type="dxa"/>
              <w:left w:w="0" w:type="dxa"/>
              <w:bottom w:w="40" w:type="dxa"/>
              <w:right w:w="20" w:type="dxa"/>
            </w:tcMar>
            <w:vAlign w:val="center"/>
          </w:tcPr>
          <w:p w14:paraId="4B9A42FC"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2F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2FE" w14:textId="77777777" w:rsidR="002A3970" w:rsidRDefault="00C35E63">
            <w:pPr>
              <w:jc w:val="right"/>
              <w:textAlignment w:val="center"/>
            </w:pPr>
            <w:r>
              <w:rPr>
                <w:rFonts w:ascii="Times New Roman" w:eastAsia="宋体" w:hAnsi="Times New Roman"/>
                <w:color w:val="000000"/>
                <w:sz w:val="16"/>
                <w:szCs w:val="16"/>
              </w:rPr>
              <w:t>2,375 </w:t>
            </w:r>
          </w:p>
        </w:tc>
        <w:tc>
          <w:tcPr>
            <w:tcW w:w="0" w:type="auto"/>
            <w:shd w:val="clear" w:color="auto" w:fill="FFFFFF"/>
            <w:tcMar>
              <w:top w:w="40" w:type="dxa"/>
              <w:left w:w="0" w:type="dxa"/>
              <w:bottom w:w="40" w:type="dxa"/>
              <w:right w:w="20" w:type="dxa"/>
            </w:tcMar>
            <w:vAlign w:val="center"/>
          </w:tcPr>
          <w:p w14:paraId="4B9A42FF" w14:textId="77777777" w:rsidR="002A3970" w:rsidRDefault="002A3970">
            <w:pPr>
              <w:jc w:val="right"/>
              <w:rPr>
                <w:rFonts w:ascii="宋体"/>
              </w:rPr>
            </w:pPr>
          </w:p>
        </w:tc>
      </w:tr>
      <w:tr w:rsidR="002A3970" w14:paraId="4B9A430C" w14:textId="77777777">
        <w:tc>
          <w:tcPr>
            <w:tcW w:w="0" w:type="auto"/>
            <w:gridSpan w:val="3"/>
            <w:shd w:val="clear" w:color="auto" w:fill="CCEEFF"/>
            <w:tcMar>
              <w:top w:w="40" w:type="dxa"/>
              <w:left w:w="20" w:type="dxa"/>
              <w:bottom w:w="40" w:type="dxa"/>
              <w:right w:w="20" w:type="dxa"/>
            </w:tcMar>
            <w:vAlign w:val="center"/>
          </w:tcPr>
          <w:p w14:paraId="4B9A4301" w14:textId="77777777" w:rsidR="002A3970" w:rsidRDefault="00C35E63">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bottom"/>
          </w:tcPr>
          <w:p w14:paraId="4B9A4302" w14:textId="77777777" w:rsidR="002A3970" w:rsidRDefault="002A3970">
            <w:pPr>
              <w:rPr>
                <w:rFonts w:ascii="宋体"/>
              </w:rPr>
            </w:pPr>
          </w:p>
        </w:tc>
        <w:tc>
          <w:tcPr>
            <w:tcW w:w="0" w:type="auto"/>
            <w:shd w:val="clear" w:color="auto" w:fill="auto"/>
            <w:vAlign w:val="bottom"/>
          </w:tcPr>
          <w:p w14:paraId="4B9A4303" w14:textId="77777777" w:rsidR="002A3970" w:rsidRDefault="002A3970">
            <w:pPr>
              <w:rPr>
                <w:rFonts w:ascii="宋体"/>
                <w:vanish/>
              </w:rPr>
            </w:pPr>
          </w:p>
        </w:tc>
        <w:tc>
          <w:tcPr>
            <w:tcW w:w="0" w:type="auto"/>
            <w:shd w:val="clear" w:color="auto" w:fill="auto"/>
            <w:vAlign w:val="bottom"/>
          </w:tcPr>
          <w:p w14:paraId="4B9A4304" w14:textId="77777777" w:rsidR="002A3970" w:rsidRDefault="002A3970">
            <w:pPr>
              <w:rPr>
                <w:rFonts w:ascii="宋体"/>
                <w:vanish/>
              </w:rPr>
            </w:pPr>
          </w:p>
        </w:tc>
        <w:tc>
          <w:tcPr>
            <w:tcW w:w="0" w:type="auto"/>
            <w:shd w:val="clear" w:color="auto" w:fill="auto"/>
            <w:vAlign w:val="bottom"/>
          </w:tcPr>
          <w:p w14:paraId="4B9A4305" w14:textId="77777777" w:rsidR="002A3970" w:rsidRDefault="002A3970">
            <w:pPr>
              <w:rPr>
                <w:rFonts w:ascii="宋体"/>
                <w:vanish/>
              </w:rPr>
            </w:pPr>
          </w:p>
        </w:tc>
        <w:tc>
          <w:tcPr>
            <w:tcW w:w="0" w:type="auto"/>
            <w:shd w:val="clear" w:color="auto" w:fill="auto"/>
            <w:vAlign w:val="bottom"/>
          </w:tcPr>
          <w:p w14:paraId="4B9A4306" w14:textId="77777777" w:rsidR="002A3970" w:rsidRDefault="002A3970">
            <w:pPr>
              <w:rPr>
                <w:rFonts w:ascii="宋体"/>
                <w:vanish/>
              </w:rPr>
            </w:pPr>
          </w:p>
        </w:tc>
        <w:tc>
          <w:tcPr>
            <w:tcW w:w="0" w:type="auto"/>
            <w:gridSpan w:val="2"/>
            <w:shd w:val="clear" w:color="auto" w:fill="CCEEFF"/>
            <w:tcMar>
              <w:top w:w="40" w:type="dxa"/>
              <w:left w:w="20" w:type="dxa"/>
              <w:bottom w:w="40" w:type="dxa"/>
              <w:right w:w="0" w:type="dxa"/>
            </w:tcMar>
            <w:vAlign w:val="center"/>
          </w:tcPr>
          <w:p w14:paraId="4B9A4307" w14:textId="77777777" w:rsidR="002A3970" w:rsidRDefault="00C35E63">
            <w:pPr>
              <w:jc w:val="right"/>
              <w:textAlignment w:val="center"/>
            </w:pPr>
            <w:r>
              <w:rPr>
                <w:rFonts w:ascii="Times New Roman" w:eastAsia="宋体" w:hAnsi="Times New Roman"/>
                <w:color w:val="000000"/>
                <w:sz w:val="16"/>
                <w:szCs w:val="16"/>
              </w:rPr>
              <w:t>33 </w:t>
            </w:r>
          </w:p>
        </w:tc>
        <w:tc>
          <w:tcPr>
            <w:tcW w:w="0" w:type="auto"/>
            <w:shd w:val="clear" w:color="auto" w:fill="CCEEFF"/>
            <w:tcMar>
              <w:top w:w="40" w:type="dxa"/>
              <w:left w:w="0" w:type="dxa"/>
              <w:bottom w:w="40" w:type="dxa"/>
              <w:right w:w="20" w:type="dxa"/>
            </w:tcMar>
            <w:vAlign w:val="center"/>
          </w:tcPr>
          <w:p w14:paraId="4B9A430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0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0A" w14:textId="77777777" w:rsidR="002A3970" w:rsidRDefault="00C35E63">
            <w:pPr>
              <w:jc w:val="right"/>
              <w:textAlignment w:val="center"/>
            </w:pPr>
            <w:r>
              <w:rPr>
                <w:rFonts w:ascii="Times New Roman" w:eastAsia="宋体" w:hAnsi="Times New Roman"/>
                <w:color w:val="000000"/>
                <w:sz w:val="16"/>
                <w:szCs w:val="16"/>
              </w:rPr>
              <w:t>112 </w:t>
            </w:r>
          </w:p>
        </w:tc>
        <w:tc>
          <w:tcPr>
            <w:tcW w:w="0" w:type="auto"/>
            <w:shd w:val="clear" w:color="auto" w:fill="CCEEFF"/>
            <w:tcMar>
              <w:top w:w="40" w:type="dxa"/>
              <w:left w:w="0" w:type="dxa"/>
              <w:bottom w:w="40" w:type="dxa"/>
              <w:right w:w="20" w:type="dxa"/>
            </w:tcMar>
            <w:vAlign w:val="center"/>
          </w:tcPr>
          <w:p w14:paraId="4B9A430B" w14:textId="77777777" w:rsidR="002A3970" w:rsidRDefault="002A3970">
            <w:pPr>
              <w:jc w:val="right"/>
              <w:rPr>
                <w:rFonts w:ascii="宋体"/>
              </w:rPr>
            </w:pPr>
          </w:p>
        </w:tc>
      </w:tr>
      <w:tr w:rsidR="002A3970" w14:paraId="4B9A4318" w14:textId="77777777">
        <w:tc>
          <w:tcPr>
            <w:tcW w:w="0" w:type="auto"/>
            <w:gridSpan w:val="3"/>
            <w:shd w:val="clear" w:color="auto" w:fill="FFFFFF"/>
            <w:tcMar>
              <w:top w:w="40" w:type="dxa"/>
              <w:left w:w="20" w:type="dxa"/>
              <w:bottom w:w="40" w:type="dxa"/>
              <w:right w:w="20" w:type="dxa"/>
            </w:tcMar>
            <w:vAlign w:val="center"/>
          </w:tcPr>
          <w:p w14:paraId="4B9A430D" w14:textId="77777777" w:rsidR="002A3970" w:rsidRDefault="00C35E63">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vAlign w:val="bottom"/>
          </w:tcPr>
          <w:p w14:paraId="4B9A430E" w14:textId="77777777" w:rsidR="002A3970" w:rsidRDefault="002A3970">
            <w:pPr>
              <w:rPr>
                <w:rFonts w:ascii="宋体"/>
              </w:rPr>
            </w:pPr>
          </w:p>
        </w:tc>
        <w:tc>
          <w:tcPr>
            <w:tcW w:w="0" w:type="auto"/>
            <w:shd w:val="clear" w:color="auto" w:fill="auto"/>
            <w:vAlign w:val="bottom"/>
          </w:tcPr>
          <w:p w14:paraId="4B9A430F" w14:textId="77777777" w:rsidR="002A3970" w:rsidRDefault="002A3970">
            <w:pPr>
              <w:rPr>
                <w:rFonts w:ascii="宋体"/>
                <w:vanish/>
              </w:rPr>
            </w:pPr>
          </w:p>
        </w:tc>
        <w:tc>
          <w:tcPr>
            <w:tcW w:w="0" w:type="auto"/>
            <w:shd w:val="clear" w:color="auto" w:fill="auto"/>
            <w:vAlign w:val="bottom"/>
          </w:tcPr>
          <w:p w14:paraId="4B9A4310" w14:textId="77777777" w:rsidR="002A3970" w:rsidRDefault="002A3970">
            <w:pPr>
              <w:rPr>
                <w:rFonts w:ascii="宋体"/>
                <w:vanish/>
              </w:rPr>
            </w:pPr>
          </w:p>
        </w:tc>
        <w:tc>
          <w:tcPr>
            <w:tcW w:w="0" w:type="auto"/>
            <w:shd w:val="clear" w:color="auto" w:fill="auto"/>
            <w:vAlign w:val="bottom"/>
          </w:tcPr>
          <w:p w14:paraId="4B9A4311" w14:textId="77777777" w:rsidR="002A3970" w:rsidRDefault="002A3970">
            <w:pPr>
              <w:rPr>
                <w:rFonts w:ascii="宋体"/>
                <w:vanish/>
              </w:rPr>
            </w:pPr>
          </w:p>
        </w:tc>
        <w:tc>
          <w:tcPr>
            <w:tcW w:w="0" w:type="auto"/>
            <w:shd w:val="clear" w:color="auto" w:fill="auto"/>
            <w:vAlign w:val="bottom"/>
          </w:tcPr>
          <w:p w14:paraId="4B9A4312" w14:textId="77777777" w:rsidR="002A3970" w:rsidRDefault="002A3970">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4313" w14:textId="77777777" w:rsidR="002A3970" w:rsidRDefault="00C35E63">
            <w:pPr>
              <w:jc w:val="right"/>
              <w:textAlignment w:val="center"/>
            </w:pPr>
            <w:r>
              <w:rPr>
                <w:rFonts w:ascii="Times New Roman" w:eastAsia="宋体" w:hAnsi="Times New Roman"/>
                <w:color w:val="000000"/>
                <w:sz w:val="16"/>
                <w:szCs w:val="16"/>
              </w:rPr>
              <w:t>10,302 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431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15"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4316" w14:textId="77777777" w:rsidR="002A3970" w:rsidRDefault="00C35E63">
            <w:pPr>
              <w:jc w:val="right"/>
              <w:textAlignment w:val="center"/>
            </w:pPr>
            <w:r>
              <w:rPr>
                <w:rFonts w:ascii="Times New Roman" w:eastAsia="宋体" w:hAnsi="Times New Roman"/>
                <w:color w:val="000000"/>
                <w:sz w:val="16"/>
                <w:szCs w:val="16"/>
              </w:rPr>
              <w:t>6,895 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4317" w14:textId="77777777" w:rsidR="002A3970" w:rsidRDefault="002A3970">
            <w:pPr>
              <w:jc w:val="right"/>
              <w:rPr>
                <w:rFonts w:ascii="宋体"/>
              </w:rPr>
            </w:pPr>
          </w:p>
        </w:tc>
      </w:tr>
      <w:tr w:rsidR="002A3970" w14:paraId="4B9A4324" w14:textId="77777777">
        <w:tc>
          <w:tcPr>
            <w:tcW w:w="0" w:type="auto"/>
            <w:gridSpan w:val="3"/>
            <w:shd w:val="clear" w:color="auto" w:fill="CCEEFF"/>
            <w:tcMar>
              <w:top w:w="40" w:type="dxa"/>
              <w:left w:w="20" w:type="dxa"/>
              <w:bottom w:w="40" w:type="dxa"/>
              <w:right w:w="20" w:type="dxa"/>
            </w:tcMar>
            <w:vAlign w:val="center"/>
          </w:tcPr>
          <w:p w14:paraId="4B9A4319" w14:textId="77777777" w:rsidR="002A3970" w:rsidRDefault="00C35E63">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vAlign w:val="bottom"/>
          </w:tcPr>
          <w:p w14:paraId="4B9A431A" w14:textId="77777777" w:rsidR="002A3970" w:rsidRDefault="002A3970">
            <w:pPr>
              <w:rPr>
                <w:rFonts w:ascii="宋体"/>
              </w:rPr>
            </w:pPr>
          </w:p>
        </w:tc>
        <w:tc>
          <w:tcPr>
            <w:tcW w:w="0" w:type="auto"/>
            <w:shd w:val="clear" w:color="auto" w:fill="auto"/>
            <w:vAlign w:val="bottom"/>
          </w:tcPr>
          <w:p w14:paraId="4B9A431B" w14:textId="77777777" w:rsidR="002A3970" w:rsidRDefault="002A3970">
            <w:pPr>
              <w:rPr>
                <w:rFonts w:ascii="宋体"/>
                <w:vanish/>
              </w:rPr>
            </w:pPr>
          </w:p>
        </w:tc>
        <w:tc>
          <w:tcPr>
            <w:tcW w:w="0" w:type="auto"/>
            <w:shd w:val="clear" w:color="auto" w:fill="auto"/>
            <w:vAlign w:val="bottom"/>
          </w:tcPr>
          <w:p w14:paraId="4B9A431C" w14:textId="77777777" w:rsidR="002A3970" w:rsidRDefault="002A3970">
            <w:pPr>
              <w:rPr>
                <w:rFonts w:ascii="宋体"/>
                <w:vanish/>
              </w:rPr>
            </w:pPr>
          </w:p>
        </w:tc>
        <w:tc>
          <w:tcPr>
            <w:tcW w:w="0" w:type="auto"/>
            <w:shd w:val="clear" w:color="auto" w:fill="auto"/>
            <w:vAlign w:val="bottom"/>
          </w:tcPr>
          <w:p w14:paraId="4B9A431D" w14:textId="77777777" w:rsidR="002A3970" w:rsidRDefault="002A3970">
            <w:pPr>
              <w:rPr>
                <w:rFonts w:ascii="宋体"/>
                <w:vanish/>
              </w:rPr>
            </w:pPr>
          </w:p>
        </w:tc>
        <w:tc>
          <w:tcPr>
            <w:tcW w:w="0" w:type="auto"/>
            <w:shd w:val="clear" w:color="auto" w:fill="auto"/>
            <w:vAlign w:val="bottom"/>
          </w:tcPr>
          <w:p w14:paraId="4B9A431E" w14:textId="77777777" w:rsidR="002A3970" w:rsidRDefault="002A3970">
            <w:pPr>
              <w:rPr>
                <w:rFonts w:ascii="宋体"/>
                <w:vanish/>
              </w:rPr>
            </w:pPr>
          </w:p>
        </w:tc>
        <w:tc>
          <w:tcPr>
            <w:tcW w:w="0" w:type="auto"/>
            <w:gridSpan w:val="2"/>
            <w:shd w:val="clear" w:color="auto" w:fill="CCEEFF"/>
            <w:tcMar>
              <w:top w:w="40" w:type="dxa"/>
              <w:left w:w="20" w:type="dxa"/>
              <w:bottom w:w="40" w:type="dxa"/>
              <w:right w:w="0" w:type="dxa"/>
            </w:tcMar>
            <w:vAlign w:val="center"/>
          </w:tcPr>
          <w:p w14:paraId="4B9A431F" w14:textId="77777777" w:rsidR="002A3970" w:rsidRDefault="00C35E63">
            <w:pPr>
              <w:jc w:val="right"/>
              <w:textAlignment w:val="center"/>
            </w:pPr>
            <w:r>
              <w:rPr>
                <w:rFonts w:ascii="Times New Roman" w:eastAsia="宋体" w:hAnsi="Times New Roman"/>
                <w:color w:val="000000"/>
                <w:sz w:val="16"/>
                <w:szCs w:val="16"/>
              </w:rPr>
              <w:t>1,759 </w:t>
            </w:r>
          </w:p>
        </w:tc>
        <w:tc>
          <w:tcPr>
            <w:tcW w:w="0" w:type="auto"/>
            <w:shd w:val="clear" w:color="auto" w:fill="CCEEFF"/>
            <w:tcMar>
              <w:top w:w="40" w:type="dxa"/>
              <w:left w:w="0" w:type="dxa"/>
              <w:bottom w:w="40" w:type="dxa"/>
              <w:right w:w="20" w:type="dxa"/>
            </w:tcMar>
            <w:vAlign w:val="center"/>
          </w:tcPr>
          <w:p w14:paraId="4B9A432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2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22" w14:textId="77777777" w:rsidR="002A3970" w:rsidRDefault="00C35E63">
            <w:pPr>
              <w:jc w:val="right"/>
              <w:textAlignment w:val="center"/>
            </w:pPr>
            <w:r>
              <w:rPr>
                <w:rFonts w:ascii="Times New Roman" w:eastAsia="宋体" w:hAnsi="Times New Roman"/>
                <w:color w:val="000000"/>
                <w:sz w:val="16"/>
                <w:szCs w:val="16"/>
              </w:rPr>
              <w:t>1,693 </w:t>
            </w:r>
          </w:p>
        </w:tc>
        <w:tc>
          <w:tcPr>
            <w:tcW w:w="0" w:type="auto"/>
            <w:shd w:val="clear" w:color="auto" w:fill="CCEEFF"/>
            <w:tcMar>
              <w:top w:w="40" w:type="dxa"/>
              <w:left w:w="0" w:type="dxa"/>
              <w:bottom w:w="40" w:type="dxa"/>
              <w:right w:w="20" w:type="dxa"/>
            </w:tcMar>
            <w:vAlign w:val="center"/>
          </w:tcPr>
          <w:p w14:paraId="4B9A4323" w14:textId="77777777" w:rsidR="002A3970" w:rsidRDefault="002A3970">
            <w:pPr>
              <w:jc w:val="right"/>
              <w:rPr>
                <w:rFonts w:ascii="宋体"/>
              </w:rPr>
            </w:pPr>
          </w:p>
        </w:tc>
      </w:tr>
      <w:tr w:rsidR="002A3970" w14:paraId="4B9A4332" w14:textId="77777777">
        <w:tc>
          <w:tcPr>
            <w:tcW w:w="0" w:type="auto"/>
            <w:gridSpan w:val="3"/>
            <w:shd w:val="clear" w:color="auto" w:fill="FFFFFF"/>
            <w:tcMar>
              <w:top w:w="40" w:type="dxa"/>
              <w:left w:w="20" w:type="dxa"/>
              <w:bottom w:w="40" w:type="dxa"/>
              <w:right w:w="20" w:type="dxa"/>
            </w:tcMar>
            <w:vAlign w:val="center"/>
          </w:tcPr>
          <w:p w14:paraId="4B9A4325" w14:textId="77777777" w:rsidR="002A3970" w:rsidRDefault="00C35E63">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vAlign w:val="bottom"/>
          </w:tcPr>
          <w:p w14:paraId="4B9A4326" w14:textId="77777777" w:rsidR="002A3970" w:rsidRDefault="002A3970">
            <w:pPr>
              <w:rPr>
                <w:rFonts w:ascii="宋体"/>
              </w:rPr>
            </w:pPr>
          </w:p>
        </w:tc>
        <w:tc>
          <w:tcPr>
            <w:tcW w:w="0" w:type="auto"/>
            <w:shd w:val="clear" w:color="auto" w:fill="auto"/>
            <w:vAlign w:val="bottom"/>
          </w:tcPr>
          <w:p w14:paraId="4B9A4327" w14:textId="77777777" w:rsidR="002A3970" w:rsidRDefault="002A3970">
            <w:pPr>
              <w:rPr>
                <w:rFonts w:ascii="宋体"/>
                <w:vanish/>
              </w:rPr>
            </w:pPr>
          </w:p>
        </w:tc>
        <w:tc>
          <w:tcPr>
            <w:tcW w:w="0" w:type="auto"/>
            <w:shd w:val="clear" w:color="auto" w:fill="auto"/>
            <w:vAlign w:val="bottom"/>
          </w:tcPr>
          <w:p w14:paraId="4B9A4328" w14:textId="77777777" w:rsidR="002A3970" w:rsidRDefault="002A3970">
            <w:pPr>
              <w:rPr>
                <w:rFonts w:ascii="宋体"/>
                <w:vanish/>
              </w:rPr>
            </w:pPr>
          </w:p>
        </w:tc>
        <w:tc>
          <w:tcPr>
            <w:tcW w:w="0" w:type="auto"/>
            <w:shd w:val="clear" w:color="auto" w:fill="auto"/>
            <w:vAlign w:val="bottom"/>
          </w:tcPr>
          <w:p w14:paraId="4B9A4329" w14:textId="77777777" w:rsidR="002A3970" w:rsidRDefault="002A3970">
            <w:pPr>
              <w:rPr>
                <w:rFonts w:ascii="宋体"/>
                <w:vanish/>
              </w:rPr>
            </w:pPr>
          </w:p>
        </w:tc>
        <w:tc>
          <w:tcPr>
            <w:tcW w:w="0" w:type="auto"/>
            <w:shd w:val="clear" w:color="auto" w:fill="auto"/>
            <w:vAlign w:val="bottom"/>
          </w:tcPr>
          <w:p w14:paraId="4B9A432A" w14:textId="77777777" w:rsidR="002A3970" w:rsidRDefault="002A3970">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32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32C" w14:textId="77777777" w:rsidR="002A3970" w:rsidRDefault="00C35E63">
            <w:pPr>
              <w:jc w:val="right"/>
              <w:textAlignment w:val="center"/>
            </w:pPr>
            <w:r>
              <w:rPr>
                <w:rFonts w:ascii="Times New Roman" w:eastAsia="宋体" w:hAnsi="Times New Roman"/>
                <w:color w:val="000000"/>
                <w:sz w:val="16"/>
                <w:szCs w:val="16"/>
              </w:rPr>
              <w:t>12,061 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32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2E"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32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330" w14:textId="77777777" w:rsidR="002A3970" w:rsidRDefault="00C35E63">
            <w:pPr>
              <w:jc w:val="right"/>
              <w:textAlignment w:val="center"/>
            </w:pPr>
            <w:r>
              <w:rPr>
                <w:rFonts w:ascii="Times New Roman" w:eastAsia="宋体" w:hAnsi="Times New Roman"/>
                <w:color w:val="000000"/>
                <w:sz w:val="16"/>
                <w:szCs w:val="16"/>
              </w:rPr>
              <w:t>8,588 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331" w14:textId="77777777" w:rsidR="002A3970" w:rsidRDefault="002A3970">
            <w:pPr>
              <w:jc w:val="right"/>
              <w:rPr>
                <w:rFonts w:ascii="宋体"/>
              </w:rPr>
            </w:pPr>
          </w:p>
        </w:tc>
      </w:tr>
    </w:tbl>
    <w:p w14:paraId="4B9A4333" w14:textId="77777777" w:rsidR="002A3970" w:rsidRDefault="002A3970"/>
    <w:p w14:paraId="4B9A4334" w14:textId="77777777" w:rsidR="002A3970" w:rsidRDefault="00C35E63">
      <w:r>
        <w:rPr>
          <w:rFonts w:ascii="Times New Roman" w:eastAsia="宋体" w:hAnsi="Times New Roman"/>
          <w:b/>
          <w:bCs/>
          <w:color w:val="000000"/>
          <w:sz w:val="20"/>
          <w:szCs w:val="20"/>
          <w:u w:val="single"/>
        </w:rPr>
        <w:t>Returns</w:t>
      </w:r>
    </w:p>
    <w:p w14:paraId="4B9A4335" w14:textId="77777777" w:rsidR="002A3970" w:rsidRDefault="00C35E63">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w:t>
      </w:r>
      <w:r>
        <w:rPr>
          <w:rFonts w:ascii="Times New Roman" w:eastAsia="宋体" w:hAnsi="Times New Roman"/>
          <w:color w:val="000000"/>
          <w:sz w:val="20"/>
          <w:szCs w:val="20"/>
        </w:rPr>
        <w:t xml:space="preserve">rm of share repurchases and dividends, which are discussed in the </w:t>
      </w:r>
      <w:hyperlink r:id="rId61" w:anchor="i0522a2f6333e456295d59e779af751cb_97"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4B9A4336" w14:textId="77777777" w:rsidR="002A3970" w:rsidRDefault="00C35E63">
      <w:pPr>
        <w:spacing w:before="100"/>
      </w:pPr>
      <w:r>
        <w:rPr>
          <w:rFonts w:ascii="Times New Roman" w:eastAsia="宋体" w:hAnsi="Times New Roman"/>
          <w:i/>
          <w:iCs/>
          <w:color w:val="000000"/>
          <w:sz w:val="20"/>
          <w:szCs w:val="20"/>
        </w:rPr>
        <w:t xml:space="preserve">Return on Assets and Return on Investment </w:t>
      </w:r>
    </w:p>
    <w:p w14:paraId="4B9A4337" w14:textId="77777777" w:rsidR="002A3970" w:rsidRDefault="00C35E63">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("GAAP"), and</w:t>
      </w:r>
      <w:r>
        <w:rPr>
          <w:rFonts w:ascii="Times New Roman" w:eastAsia="宋体" w:hAnsi="Times New Roman"/>
          <w:color w:val="000000"/>
          <w:sz w:val="20"/>
          <w:szCs w:val="20"/>
        </w:rPr>
        <w:t xml:space="preserve"> Return on Investment ("ROI") as metrics to assess returns on assets. While ROI is considered a non-GAAP financial measure, management believes ROI is a meaningful metric to share with investors because it helps investors assess how effectively Walmart is </w:t>
      </w:r>
      <w:r>
        <w:rPr>
          <w:rFonts w:ascii="Times New Roman" w:eastAsia="宋体" w:hAnsi="Times New Roman"/>
          <w:color w:val="000000"/>
          <w:sz w:val="20"/>
          <w:szCs w:val="20"/>
        </w:rPr>
        <w:t>deploying its assets. Trends in ROI can fluctuate over time as management balances long-term strategic initiatives with possible short-term impacts. ROA was 3.7% and 3.3% for the trailing twelve months ended October 31, 2022 and 2021, respectively. The inc</w:t>
      </w:r>
      <w:r>
        <w:rPr>
          <w:rFonts w:ascii="Times New Roman" w:eastAsia="宋体" w:hAnsi="Times New Roman"/>
          <w:color w:val="000000"/>
          <w:sz w:val="20"/>
          <w:szCs w:val="20"/>
        </w:rPr>
        <w:t>rease in ROA was primarily due to the increase in net income due primarily to lapping losses associated with our dispositions of Asda and Seiyu. ROI was 12.8% and 14.5% for the trailing twelve months ended October 31, 2022 and 2021, respectively. The decre</w:t>
      </w:r>
      <w:r>
        <w:rPr>
          <w:rFonts w:ascii="Times New Roman" w:eastAsia="宋体" w:hAnsi="Times New Roman"/>
          <w:color w:val="000000"/>
          <w:sz w:val="20"/>
          <w:szCs w:val="20"/>
        </w:rPr>
        <w:t xml:space="preserve">ase in ROI was primarily due to a decrease in operating income which included charges associated with opioid-related legal settlements recorded in the third quarter of fiscal 2023. </w:t>
      </w:r>
    </w:p>
    <w:p w14:paraId="4B9A4338" w14:textId="77777777" w:rsidR="002A3970" w:rsidRDefault="00C35E63">
      <w:pPr>
        <w:spacing w:before="100"/>
      </w:pPr>
      <w:r>
        <w:rPr>
          <w:rFonts w:ascii="Times New Roman" w:eastAsia="宋体" w:hAnsi="Times New Roman"/>
          <w:color w:val="000000"/>
          <w:sz w:val="20"/>
          <w:szCs w:val="20"/>
        </w:rPr>
        <w:t>We define ROI as adjusted operating income (operating income plus interest</w:t>
      </w:r>
      <w:r>
        <w:rPr>
          <w:rFonts w:ascii="Times New Roman" w:eastAsia="宋体" w:hAnsi="Times New Roman"/>
          <w:color w:val="000000"/>
          <w:sz w:val="20"/>
          <w:szCs w:val="20"/>
        </w:rPr>
        <w:t xml:space="preserve"> income, depreciation and amortization, and rent expense) for the trailing 12 months divided by average invested capital during that period. We consider average invested capital to be the average of our beginning and ending total assets, plus average accum</w:t>
      </w:r>
      <w:r>
        <w:rPr>
          <w:rFonts w:ascii="Times New Roman" w:eastAsia="宋体" w:hAnsi="Times New Roman"/>
          <w:color w:val="000000"/>
          <w:sz w:val="20"/>
          <w:szCs w:val="20"/>
        </w:rPr>
        <w:t xml:space="preserve">ulated depreciation and amortization, less average accounts payable and average accrued liabilities for that period. </w:t>
      </w:r>
    </w:p>
    <w:p w14:paraId="4B9A4339" w14:textId="77777777" w:rsidR="002A3970" w:rsidRDefault="00C35E63">
      <w:pPr>
        <w:jc w:val="center"/>
      </w:pPr>
      <w:r>
        <w:rPr>
          <w:rFonts w:ascii="Times New Roman" w:eastAsia="宋体" w:hAnsi="Times New Roman"/>
          <w:color w:val="000000"/>
          <w:sz w:val="20"/>
          <w:szCs w:val="20"/>
        </w:rPr>
        <w:t>19</w:t>
      </w:r>
    </w:p>
    <w:p w14:paraId="4B9A433A" w14:textId="77777777" w:rsidR="002A3970" w:rsidRDefault="00C35E63">
      <w:r>
        <w:pict w14:anchorId="4B9A4C28">
          <v:rect id="_x0000_i1043" style="width:415.3pt;height:1.5pt" o:hralign="center" o:hrstd="t" o:hr="t" fillcolor="#a0a0a0" stroked="f"/>
        </w:pict>
      </w:r>
    </w:p>
    <w:p w14:paraId="4B9A433B" w14:textId="77777777" w:rsidR="002A3970" w:rsidRDefault="00C35E63">
      <w:hyperlink r:id="rId62" w:anchor="i0522a2f6333e456295d59e779af751cb_7" w:history="1">
        <w:r>
          <w:rPr>
            <w:rStyle w:val="a5"/>
            <w:rFonts w:ascii="Times New Roman" w:eastAsia="宋体" w:hAnsi="Times New Roman"/>
            <w:sz w:val="20"/>
            <w:szCs w:val="20"/>
          </w:rPr>
          <w:t>Table of Contents</w:t>
        </w:r>
      </w:hyperlink>
    </w:p>
    <w:p w14:paraId="4B9A433C" w14:textId="77777777" w:rsidR="002A3970" w:rsidRDefault="00C35E63">
      <w:pPr>
        <w:spacing w:before="100"/>
      </w:pPr>
      <w:r>
        <w:rPr>
          <w:rFonts w:ascii="Times New Roman" w:eastAsia="宋体" w:hAnsi="Times New Roman"/>
          <w:color w:val="000000"/>
          <w:sz w:val="20"/>
          <w:szCs w:val="20"/>
        </w:rPr>
        <w:t>Our calculation of ROI is considered a non-GAAP financial measure because we calculate</w:t>
      </w:r>
      <w:r>
        <w:rPr>
          <w:rFonts w:ascii="Times New Roman" w:eastAsia="宋体" w:hAnsi="Times New Roman"/>
          <w:color w:val="000000"/>
          <w:sz w:val="20"/>
          <w:szCs w:val="20"/>
        </w:rPr>
        <w:t xml:space="preserve"> ROI using financial measures that exclude and include amounts that are included and excluded in the most directly comparable GAAP financial measure. For example, we exclude the impact of depreciation and amortization from our reported operating income in </w:t>
      </w:r>
      <w:r>
        <w:rPr>
          <w:rFonts w:ascii="Times New Roman" w:eastAsia="宋体" w:hAnsi="Times New Roman"/>
          <w:color w:val="000000"/>
          <w:sz w:val="20"/>
          <w:szCs w:val="20"/>
        </w:rPr>
        <w:t>calculating the numerator of our calculation of ROI. As mentioned above, we consider ROA to be the financial measure computed in accordance with GAAP most directly comparable to our calculation of ROI. ROI differs from ROA (which is consolidated net income</w:t>
      </w:r>
      <w:r>
        <w:rPr>
          <w:rFonts w:ascii="Times New Roman" w:eastAsia="宋体" w:hAnsi="Times New Roman"/>
          <w:color w:val="000000"/>
          <w:sz w:val="20"/>
          <w:szCs w:val="20"/>
        </w:rPr>
        <w:t xml:space="preserve"> for the period divided by average total assets for the period) because ROI: adjusts operating income to exclude certain expense items and adds interest income; and adjusts total assets for the impact of accumulated depreciation and amortization, accounts </w:t>
      </w:r>
      <w:r>
        <w:rPr>
          <w:rFonts w:ascii="Times New Roman" w:eastAsia="宋体" w:hAnsi="Times New Roman"/>
          <w:color w:val="000000"/>
          <w:sz w:val="20"/>
          <w:szCs w:val="20"/>
        </w:rPr>
        <w:t>payable and accrued liabilities to arrive at total invested capital. Because of the adjustments mentioned above, we believe ROI more accurately measures how we are deploying our key assets and is more meaningful to investors than ROA. Although ROI is a sta</w:t>
      </w:r>
      <w:r>
        <w:rPr>
          <w:rFonts w:ascii="Times New Roman" w:eastAsia="宋体" w:hAnsi="Times New Roman"/>
          <w:color w:val="000000"/>
          <w:sz w:val="20"/>
          <w:szCs w:val="20"/>
        </w:rPr>
        <w:t>ndard financial measure, numerous methods exist for calculating a company's ROI. As a result, the method used by management to calculate our ROI may differ from the methods used by other companies to calculate their ROI.</w:t>
      </w:r>
    </w:p>
    <w:p w14:paraId="4B9A433D" w14:textId="77777777" w:rsidR="002A3970" w:rsidRDefault="00C35E63">
      <w:pPr>
        <w:spacing w:before="100"/>
      </w:pPr>
      <w:r>
        <w:rPr>
          <w:rFonts w:ascii="Times New Roman" w:eastAsia="宋体" w:hAnsi="Times New Roman"/>
          <w:color w:val="000000"/>
          <w:sz w:val="20"/>
          <w:szCs w:val="20"/>
        </w:rPr>
        <w:t>The calculation of ROA and ROI, alo</w:t>
      </w:r>
      <w:r>
        <w:rPr>
          <w:rFonts w:ascii="Times New Roman" w:eastAsia="宋体" w:hAnsi="Times New Roman"/>
          <w:color w:val="000000"/>
          <w:sz w:val="20"/>
          <w:szCs w:val="20"/>
        </w:rPr>
        <w:t>ng with a reconciliation of ROI to the calculation of ROA, the most comparable GAAP financial measure,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65"/>
        <w:gridCol w:w="38"/>
        <w:gridCol w:w="36"/>
        <w:gridCol w:w="36"/>
        <w:gridCol w:w="36"/>
        <w:gridCol w:w="100"/>
        <w:gridCol w:w="735"/>
        <w:gridCol w:w="154"/>
        <w:gridCol w:w="36"/>
        <w:gridCol w:w="36"/>
        <w:gridCol w:w="36"/>
        <w:gridCol w:w="100"/>
        <w:gridCol w:w="735"/>
        <w:gridCol w:w="154"/>
      </w:tblGrid>
      <w:tr w:rsidR="002A3970" w14:paraId="4B9A434D" w14:textId="77777777">
        <w:tc>
          <w:tcPr>
            <w:tcW w:w="50" w:type="pct"/>
            <w:shd w:val="clear" w:color="auto" w:fill="auto"/>
            <w:vAlign w:val="bottom"/>
          </w:tcPr>
          <w:p w14:paraId="4B9A433E" w14:textId="77777777" w:rsidR="002A3970" w:rsidRDefault="002A3970">
            <w:pPr>
              <w:rPr>
                <w:rFonts w:ascii="宋体"/>
              </w:rPr>
            </w:pPr>
          </w:p>
        </w:tc>
        <w:tc>
          <w:tcPr>
            <w:tcW w:w="3702" w:type="pct"/>
            <w:shd w:val="clear" w:color="auto" w:fill="auto"/>
            <w:vAlign w:val="bottom"/>
          </w:tcPr>
          <w:p w14:paraId="4B9A433F" w14:textId="77777777" w:rsidR="002A3970" w:rsidRDefault="002A3970">
            <w:pPr>
              <w:rPr>
                <w:rFonts w:ascii="宋体"/>
              </w:rPr>
            </w:pPr>
          </w:p>
        </w:tc>
        <w:tc>
          <w:tcPr>
            <w:tcW w:w="5" w:type="pct"/>
            <w:shd w:val="clear" w:color="auto" w:fill="auto"/>
            <w:vAlign w:val="bottom"/>
          </w:tcPr>
          <w:p w14:paraId="4B9A4340" w14:textId="77777777" w:rsidR="002A3970" w:rsidRDefault="002A3970">
            <w:pPr>
              <w:rPr>
                <w:rFonts w:ascii="宋体"/>
              </w:rPr>
            </w:pPr>
          </w:p>
        </w:tc>
        <w:tc>
          <w:tcPr>
            <w:tcW w:w="5" w:type="pct"/>
            <w:shd w:val="clear" w:color="auto" w:fill="auto"/>
            <w:vAlign w:val="bottom"/>
          </w:tcPr>
          <w:p w14:paraId="4B9A4341" w14:textId="77777777" w:rsidR="002A3970" w:rsidRDefault="002A3970">
            <w:pPr>
              <w:rPr>
                <w:rFonts w:ascii="宋体"/>
              </w:rPr>
            </w:pPr>
          </w:p>
        </w:tc>
        <w:tc>
          <w:tcPr>
            <w:tcW w:w="26" w:type="pct"/>
            <w:shd w:val="clear" w:color="auto" w:fill="auto"/>
            <w:vAlign w:val="bottom"/>
          </w:tcPr>
          <w:p w14:paraId="4B9A4342" w14:textId="77777777" w:rsidR="002A3970" w:rsidRDefault="002A3970">
            <w:pPr>
              <w:rPr>
                <w:rFonts w:ascii="宋体"/>
              </w:rPr>
            </w:pPr>
          </w:p>
        </w:tc>
        <w:tc>
          <w:tcPr>
            <w:tcW w:w="5" w:type="pct"/>
            <w:shd w:val="clear" w:color="auto" w:fill="auto"/>
            <w:vAlign w:val="bottom"/>
          </w:tcPr>
          <w:p w14:paraId="4B9A4343" w14:textId="77777777" w:rsidR="002A3970" w:rsidRDefault="002A3970">
            <w:pPr>
              <w:rPr>
                <w:rFonts w:ascii="宋体"/>
              </w:rPr>
            </w:pPr>
          </w:p>
        </w:tc>
        <w:tc>
          <w:tcPr>
            <w:tcW w:w="50" w:type="pct"/>
            <w:shd w:val="clear" w:color="auto" w:fill="auto"/>
            <w:vAlign w:val="bottom"/>
          </w:tcPr>
          <w:p w14:paraId="4B9A4344" w14:textId="77777777" w:rsidR="002A3970" w:rsidRDefault="002A3970">
            <w:pPr>
              <w:rPr>
                <w:rFonts w:ascii="宋体"/>
              </w:rPr>
            </w:pPr>
          </w:p>
        </w:tc>
        <w:tc>
          <w:tcPr>
            <w:tcW w:w="529" w:type="pct"/>
            <w:shd w:val="clear" w:color="auto" w:fill="auto"/>
            <w:vAlign w:val="bottom"/>
          </w:tcPr>
          <w:p w14:paraId="4B9A4345" w14:textId="77777777" w:rsidR="002A3970" w:rsidRDefault="002A3970">
            <w:pPr>
              <w:rPr>
                <w:rFonts w:ascii="宋体"/>
              </w:rPr>
            </w:pPr>
          </w:p>
        </w:tc>
        <w:tc>
          <w:tcPr>
            <w:tcW w:w="5" w:type="pct"/>
            <w:shd w:val="clear" w:color="auto" w:fill="auto"/>
            <w:vAlign w:val="bottom"/>
          </w:tcPr>
          <w:p w14:paraId="4B9A4346" w14:textId="77777777" w:rsidR="002A3970" w:rsidRDefault="002A3970">
            <w:pPr>
              <w:rPr>
                <w:rFonts w:ascii="宋体"/>
              </w:rPr>
            </w:pPr>
          </w:p>
        </w:tc>
        <w:tc>
          <w:tcPr>
            <w:tcW w:w="5" w:type="pct"/>
            <w:shd w:val="clear" w:color="auto" w:fill="auto"/>
            <w:vAlign w:val="bottom"/>
          </w:tcPr>
          <w:p w14:paraId="4B9A4347" w14:textId="77777777" w:rsidR="002A3970" w:rsidRDefault="002A3970">
            <w:pPr>
              <w:rPr>
                <w:rFonts w:ascii="宋体"/>
              </w:rPr>
            </w:pPr>
          </w:p>
        </w:tc>
        <w:tc>
          <w:tcPr>
            <w:tcW w:w="26" w:type="pct"/>
            <w:shd w:val="clear" w:color="auto" w:fill="auto"/>
            <w:vAlign w:val="bottom"/>
          </w:tcPr>
          <w:p w14:paraId="4B9A4348" w14:textId="77777777" w:rsidR="002A3970" w:rsidRDefault="002A3970">
            <w:pPr>
              <w:rPr>
                <w:rFonts w:ascii="宋体"/>
              </w:rPr>
            </w:pPr>
          </w:p>
        </w:tc>
        <w:tc>
          <w:tcPr>
            <w:tcW w:w="5" w:type="pct"/>
            <w:shd w:val="clear" w:color="auto" w:fill="auto"/>
            <w:vAlign w:val="bottom"/>
          </w:tcPr>
          <w:p w14:paraId="4B9A4349" w14:textId="77777777" w:rsidR="002A3970" w:rsidRDefault="002A3970">
            <w:pPr>
              <w:rPr>
                <w:rFonts w:ascii="宋体"/>
              </w:rPr>
            </w:pPr>
          </w:p>
        </w:tc>
        <w:tc>
          <w:tcPr>
            <w:tcW w:w="50" w:type="pct"/>
            <w:shd w:val="clear" w:color="auto" w:fill="auto"/>
            <w:vAlign w:val="bottom"/>
          </w:tcPr>
          <w:p w14:paraId="4B9A434A" w14:textId="77777777" w:rsidR="002A3970" w:rsidRDefault="002A3970">
            <w:pPr>
              <w:rPr>
                <w:rFonts w:ascii="宋体"/>
              </w:rPr>
            </w:pPr>
          </w:p>
        </w:tc>
        <w:tc>
          <w:tcPr>
            <w:tcW w:w="529" w:type="pct"/>
            <w:shd w:val="clear" w:color="auto" w:fill="auto"/>
            <w:vAlign w:val="bottom"/>
          </w:tcPr>
          <w:p w14:paraId="4B9A434B" w14:textId="77777777" w:rsidR="002A3970" w:rsidRDefault="002A3970">
            <w:pPr>
              <w:rPr>
                <w:rFonts w:ascii="宋体"/>
              </w:rPr>
            </w:pPr>
          </w:p>
        </w:tc>
        <w:tc>
          <w:tcPr>
            <w:tcW w:w="5" w:type="pct"/>
            <w:shd w:val="clear" w:color="auto" w:fill="auto"/>
            <w:vAlign w:val="bottom"/>
          </w:tcPr>
          <w:p w14:paraId="4B9A434C" w14:textId="77777777" w:rsidR="002A3970" w:rsidRDefault="002A3970">
            <w:pPr>
              <w:rPr>
                <w:rFonts w:ascii="宋体"/>
              </w:rPr>
            </w:pPr>
          </w:p>
        </w:tc>
      </w:tr>
      <w:tr w:rsidR="002A3970" w14:paraId="4B9A4351" w14:textId="77777777">
        <w:tc>
          <w:tcPr>
            <w:tcW w:w="0" w:type="auto"/>
            <w:gridSpan w:val="3"/>
            <w:shd w:val="clear" w:color="auto" w:fill="auto"/>
            <w:tcMar>
              <w:top w:w="40" w:type="dxa"/>
              <w:left w:w="20" w:type="dxa"/>
              <w:bottom w:w="40" w:type="dxa"/>
              <w:right w:w="20" w:type="dxa"/>
            </w:tcMar>
            <w:vAlign w:val="bottom"/>
          </w:tcPr>
          <w:p w14:paraId="4B9A434E"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34F"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350" w14:textId="77777777" w:rsidR="002A3970" w:rsidRDefault="00C35E63">
            <w:pPr>
              <w:jc w:val="center"/>
              <w:textAlignment w:val="bottom"/>
            </w:pPr>
            <w:r>
              <w:rPr>
                <w:rFonts w:ascii="Times New Roman" w:eastAsia="宋体" w:hAnsi="Times New Roman"/>
                <w:b/>
                <w:bCs/>
                <w:color w:val="000000"/>
                <w:sz w:val="16"/>
                <w:szCs w:val="16"/>
              </w:rPr>
              <w:t>For the Trailing Twelve Months Ending October 31,</w:t>
            </w:r>
          </w:p>
        </w:tc>
      </w:tr>
      <w:tr w:rsidR="002A3970" w14:paraId="4B9A4357" w14:textId="77777777">
        <w:tc>
          <w:tcPr>
            <w:tcW w:w="0" w:type="auto"/>
            <w:gridSpan w:val="3"/>
            <w:shd w:val="clear" w:color="auto" w:fill="auto"/>
            <w:tcMar>
              <w:top w:w="40" w:type="dxa"/>
              <w:left w:w="20" w:type="dxa"/>
              <w:bottom w:w="40" w:type="dxa"/>
              <w:right w:w="20" w:type="dxa"/>
            </w:tcMar>
            <w:vAlign w:val="bottom"/>
          </w:tcPr>
          <w:p w14:paraId="4B9A4352"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353" w14:textId="77777777" w:rsidR="002A3970" w:rsidRDefault="002A397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B9A4354"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355" w14:textId="77777777" w:rsidR="002A3970" w:rsidRDefault="002A397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B9A4356"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359" w14:textId="77777777">
        <w:tc>
          <w:tcPr>
            <w:tcW w:w="0" w:type="auto"/>
            <w:gridSpan w:val="15"/>
            <w:shd w:val="clear" w:color="auto" w:fill="CCEEFF"/>
            <w:tcMar>
              <w:top w:w="40" w:type="dxa"/>
              <w:left w:w="20" w:type="dxa"/>
              <w:bottom w:w="40" w:type="dxa"/>
              <w:right w:w="20" w:type="dxa"/>
            </w:tcMar>
            <w:vAlign w:val="center"/>
          </w:tcPr>
          <w:p w14:paraId="4B9A4358" w14:textId="77777777" w:rsidR="002A3970" w:rsidRDefault="00C35E63">
            <w:pPr>
              <w:textAlignment w:val="center"/>
            </w:pPr>
            <w:r>
              <w:rPr>
                <w:rFonts w:ascii="Times New Roman" w:eastAsia="宋体" w:hAnsi="Times New Roman"/>
                <w:b/>
                <w:bCs/>
                <w:color w:val="000000"/>
                <w:sz w:val="16"/>
                <w:szCs w:val="16"/>
              </w:rPr>
              <w:t xml:space="preserve">CALCULATION OF RETURN ON </w:t>
            </w:r>
            <w:r>
              <w:rPr>
                <w:rFonts w:ascii="Times New Roman" w:eastAsia="宋体" w:hAnsi="Times New Roman"/>
                <w:b/>
                <w:bCs/>
                <w:color w:val="000000"/>
                <w:sz w:val="16"/>
                <w:szCs w:val="16"/>
              </w:rPr>
              <w:t>ASSETS</w:t>
            </w:r>
          </w:p>
        </w:tc>
      </w:tr>
      <w:tr w:rsidR="002A3970" w14:paraId="4B9A435F" w14:textId="77777777">
        <w:tc>
          <w:tcPr>
            <w:tcW w:w="0" w:type="auto"/>
            <w:gridSpan w:val="3"/>
            <w:shd w:val="clear" w:color="auto" w:fill="FFFFFF"/>
            <w:tcMar>
              <w:top w:w="40" w:type="dxa"/>
              <w:left w:w="20" w:type="dxa"/>
              <w:bottom w:w="40" w:type="dxa"/>
              <w:right w:w="20" w:type="dxa"/>
            </w:tcMar>
            <w:vAlign w:val="center"/>
          </w:tcPr>
          <w:p w14:paraId="4B9A435A" w14:textId="77777777" w:rsidR="002A3970" w:rsidRDefault="00C35E63">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vAlign w:val="bottom"/>
          </w:tcPr>
          <w:p w14:paraId="4B9A435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5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5D"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5E" w14:textId="77777777" w:rsidR="002A3970" w:rsidRDefault="002A3970">
            <w:pPr>
              <w:rPr>
                <w:rFonts w:ascii="宋体"/>
              </w:rPr>
            </w:pPr>
          </w:p>
        </w:tc>
      </w:tr>
      <w:tr w:rsidR="002A3970" w14:paraId="4B9A4369" w14:textId="77777777">
        <w:tc>
          <w:tcPr>
            <w:tcW w:w="0" w:type="auto"/>
            <w:gridSpan w:val="3"/>
            <w:shd w:val="clear" w:color="auto" w:fill="CCEEFF"/>
            <w:tcMar>
              <w:top w:w="40" w:type="dxa"/>
              <w:left w:w="380" w:type="dxa"/>
              <w:bottom w:w="40" w:type="dxa"/>
              <w:right w:w="20" w:type="dxa"/>
            </w:tcMar>
            <w:vAlign w:val="center"/>
          </w:tcPr>
          <w:p w14:paraId="4B9A4360" w14:textId="77777777" w:rsidR="002A3970" w:rsidRDefault="00C35E63">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4B9A436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36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363" w14:textId="77777777" w:rsidR="002A3970" w:rsidRDefault="00C35E63">
            <w:pPr>
              <w:jc w:val="right"/>
              <w:textAlignment w:val="center"/>
            </w:pPr>
            <w:r>
              <w:rPr>
                <w:rFonts w:ascii="Times New Roman" w:eastAsia="宋体" w:hAnsi="Times New Roman"/>
                <w:color w:val="000000"/>
                <w:sz w:val="16"/>
                <w:szCs w:val="16"/>
              </w:rPr>
              <w:t>9,116 </w:t>
            </w:r>
          </w:p>
        </w:tc>
        <w:tc>
          <w:tcPr>
            <w:tcW w:w="0" w:type="auto"/>
            <w:shd w:val="clear" w:color="auto" w:fill="CCEEFF"/>
            <w:tcMar>
              <w:top w:w="40" w:type="dxa"/>
              <w:left w:w="0" w:type="dxa"/>
              <w:bottom w:w="40" w:type="dxa"/>
              <w:right w:w="20" w:type="dxa"/>
            </w:tcMar>
            <w:vAlign w:val="center"/>
          </w:tcPr>
          <w:p w14:paraId="4B9A436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65"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36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367" w14:textId="77777777" w:rsidR="002A3970" w:rsidRDefault="00C35E63">
            <w:pPr>
              <w:jc w:val="right"/>
              <w:textAlignment w:val="center"/>
            </w:pPr>
            <w:r>
              <w:rPr>
                <w:rFonts w:ascii="Times New Roman" w:eastAsia="宋体" w:hAnsi="Times New Roman"/>
                <w:color w:val="000000"/>
                <w:sz w:val="16"/>
                <w:szCs w:val="16"/>
              </w:rPr>
              <w:t>8,299 </w:t>
            </w:r>
          </w:p>
        </w:tc>
        <w:tc>
          <w:tcPr>
            <w:tcW w:w="0" w:type="auto"/>
            <w:shd w:val="clear" w:color="auto" w:fill="CCEEFF"/>
            <w:tcMar>
              <w:top w:w="40" w:type="dxa"/>
              <w:left w:w="0" w:type="dxa"/>
              <w:bottom w:w="40" w:type="dxa"/>
              <w:right w:w="20" w:type="dxa"/>
            </w:tcMar>
            <w:vAlign w:val="center"/>
          </w:tcPr>
          <w:p w14:paraId="4B9A4368" w14:textId="77777777" w:rsidR="002A3970" w:rsidRDefault="002A3970">
            <w:pPr>
              <w:jc w:val="right"/>
              <w:rPr>
                <w:rFonts w:ascii="宋体"/>
              </w:rPr>
            </w:pPr>
          </w:p>
        </w:tc>
      </w:tr>
      <w:tr w:rsidR="002A3970" w14:paraId="4B9A436F" w14:textId="77777777">
        <w:tc>
          <w:tcPr>
            <w:tcW w:w="0" w:type="auto"/>
            <w:gridSpan w:val="3"/>
            <w:shd w:val="clear" w:color="auto" w:fill="FFFFFF"/>
            <w:tcMar>
              <w:top w:w="40" w:type="dxa"/>
              <w:left w:w="20" w:type="dxa"/>
              <w:bottom w:w="40" w:type="dxa"/>
              <w:right w:w="20" w:type="dxa"/>
            </w:tcMar>
            <w:vAlign w:val="center"/>
          </w:tcPr>
          <w:p w14:paraId="4B9A436A" w14:textId="77777777" w:rsidR="002A3970" w:rsidRDefault="00C35E63">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4B9A436B"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436C"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6D" w14:textId="77777777" w:rsidR="002A3970" w:rsidRDefault="002A397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B9A436E" w14:textId="77777777" w:rsidR="002A3970" w:rsidRDefault="002A3970">
            <w:pPr>
              <w:rPr>
                <w:rFonts w:ascii="宋体"/>
              </w:rPr>
            </w:pPr>
          </w:p>
        </w:tc>
      </w:tr>
      <w:tr w:rsidR="002A3970" w14:paraId="4B9A4379" w14:textId="77777777">
        <w:tc>
          <w:tcPr>
            <w:tcW w:w="0" w:type="auto"/>
            <w:gridSpan w:val="3"/>
            <w:shd w:val="clear" w:color="auto" w:fill="CCEEFF"/>
            <w:tcMar>
              <w:top w:w="40" w:type="dxa"/>
              <w:left w:w="20" w:type="dxa"/>
              <w:bottom w:w="40" w:type="dxa"/>
              <w:right w:w="20" w:type="dxa"/>
            </w:tcMar>
            <w:vAlign w:val="center"/>
          </w:tcPr>
          <w:p w14:paraId="4B9A4370" w14:textId="77777777" w:rsidR="002A3970" w:rsidRDefault="00C35E63">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B9A437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37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373" w14:textId="77777777" w:rsidR="002A3970" w:rsidRDefault="00C35E63">
            <w:pPr>
              <w:jc w:val="right"/>
              <w:textAlignment w:val="center"/>
            </w:pPr>
            <w:r>
              <w:rPr>
                <w:rFonts w:ascii="Times New Roman" w:eastAsia="宋体" w:hAnsi="Times New Roman"/>
                <w:color w:val="000000"/>
                <w:sz w:val="16"/>
                <w:szCs w:val="16"/>
              </w:rPr>
              <w:t>246,254 </w:t>
            </w:r>
          </w:p>
        </w:tc>
        <w:tc>
          <w:tcPr>
            <w:tcW w:w="0" w:type="auto"/>
            <w:shd w:val="clear" w:color="auto" w:fill="CCEEFF"/>
            <w:tcMar>
              <w:top w:w="40" w:type="dxa"/>
              <w:left w:w="0" w:type="dxa"/>
              <w:bottom w:w="40" w:type="dxa"/>
              <w:right w:w="20" w:type="dxa"/>
            </w:tcMar>
            <w:vAlign w:val="center"/>
          </w:tcPr>
          <w:p w14:paraId="4B9A437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75"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37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377" w14:textId="77777777" w:rsidR="002A3970" w:rsidRDefault="00C35E63">
            <w:pPr>
              <w:jc w:val="right"/>
              <w:textAlignment w:val="center"/>
            </w:pPr>
            <w:r>
              <w:rPr>
                <w:rFonts w:ascii="Times New Roman" w:eastAsia="宋体" w:hAnsi="Times New Roman"/>
                <w:color w:val="000000"/>
                <w:sz w:val="16"/>
                <w:szCs w:val="16"/>
              </w:rPr>
              <w:t>247,857 </w:t>
            </w:r>
          </w:p>
        </w:tc>
        <w:tc>
          <w:tcPr>
            <w:tcW w:w="0" w:type="auto"/>
            <w:shd w:val="clear" w:color="auto" w:fill="CCEEFF"/>
            <w:tcMar>
              <w:top w:w="40" w:type="dxa"/>
              <w:left w:w="0" w:type="dxa"/>
              <w:bottom w:w="40" w:type="dxa"/>
              <w:right w:w="20" w:type="dxa"/>
            </w:tcMar>
            <w:vAlign w:val="center"/>
          </w:tcPr>
          <w:p w14:paraId="4B9A4378" w14:textId="77777777" w:rsidR="002A3970" w:rsidRDefault="002A3970">
            <w:pPr>
              <w:jc w:val="right"/>
              <w:rPr>
                <w:rFonts w:ascii="宋体"/>
              </w:rPr>
            </w:pPr>
          </w:p>
        </w:tc>
      </w:tr>
      <w:tr w:rsidR="002A3970" w14:paraId="4B9A4381" w14:textId="77777777">
        <w:tc>
          <w:tcPr>
            <w:tcW w:w="0" w:type="auto"/>
            <w:gridSpan w:val="3"/>
            <w:shd w:val="clear" w:color="auto" w:fill="FFFFFF"/>
            <w:tcMar>
              <w:top w:w="40" w:type="dxa"/>
              <w:left w:w="20" w:type="dxa"/>
              <w:bottom w:w="40" w:type="dxa"/>
              <w:right w:w="20" w:type="dxa"/>
            </w:tcMar>
            <w:vAlign w:val="center"/>
          </w:tcPr>
          <w:p w14:paraId="4B9A437A" w14:textId="77777777" w:rsidR="002A3970" w:rsidRDefault="00C35E63">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vAlign w:val="bottom"/>
          </w:tcPr>
          <w:p w14:paraId="4B9A437B"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437C" w14:textId="77777777" w:rsidR="002A3970" w:rsidRDefault="00C35E63">
            <w:pPr>
              <w:jc w:val="right"/>
              <w:textAlignment w:val="center"/>
            </w:pPr>
            <w:r>
              <w:rPr>
                <w:rFonts w:ascii="Times New Roman" w:eastAsia="宋体" w:hAnsi="Times New Roman"/>
                <w:color w:val="000000"/>
                <w:sz w:val="16"/>
                <w:szCs w:val="16"/>
              </w:rPr>
              <w:t>3.7 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437D"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37E" w14:textId="77777777" w:rsidR="002A3970" w:rsidRDefault="002A397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B9A437F" w14:textId="77777777" w:rsidR="002A3970" w:rsidRDefault="00C35E63">
            <w:pPr>
              <w:jc w:val="right"/>
              <w:textAlignment w:val="center"/>
            </w:pPr>
            <w:r>
              <w:rPr>
                <w:rFonts w:ascii="Times New Roman" w:eastAsia="宋体" w:hAnsi="Times New Roman"/>
                <w:color w:val="000000"/>
                <w:sz w:val="16"/>
                <w:szCs w:val="16"/>
              </w:rPr>
              <w:t>3.3 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4380"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387" w14:textId="77777777">
        <w:trPr>
          <w:trHeight w:val="220"/>
        </w:trPr>
        <w:tc>
          <w:tcPr>
            <w:tcW w:w="0" w:type="auto"/>
            <w:gridSpan w:val="3"/>
            <w:shd w:val="clear" w:color="auto" w:fill="CCEEFF"/>
            <w:tcMar>
              <w:top w:w="0" w:type="dxa"/>
              <w:left w:w="20" w:type="dxa"/>
              <w:bottom w:w="0" w:type="dxa"/>
              <w:right w:w="20" w:type="dxa"/>
            </w:tcMar>
            <w:vAlign w:val="bottom"/>
          </w:tcPr>
          <w:p w14:paraId="4B9A4382"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83"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4384"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85"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4386" w14:textId="77777777" w:rsidR="002A3970" w:rsidRDefault="002A3970">
            <w:pPr>
              <w:rPr>
                <w:rFonts w:ascii="宋体"/>
              </w:rPr>
            </w:pPr>
          </w:p>
        </w:tc>
      </w:tr>
      <w:tr w:rsidR="002A3970" w14:paraId="4B9A4389" w14:textId="77777777">
        <w:tc>
          <w:tcPr>
            <w:tcW w:w="0" w:type="auto"/>
            <w:gridSpan w:val="15"/>
            <w:shd w:val="clear" w:color="auto" w:fill="FFFFFF"/>
            <w:tcMar>
              <w:top w:w="40" w:type="dxa"/>
              <w:left w:w="20" w:type="dxa"/>
              <w:bottom w:w="40" w:type="dxa"/>
              <w:right w:w="20" w:type="dxa"/>
            </w:tcMar>
            <w:vAlign w:val="center"/>
          </w:tcPr>
          <w:p w14:paraId="4B9A4388" w14:textId="77777777" w:rsidR="002A3970" w:rsidRDefault="00C35E63">
            <w:pPr>
              <w:textAlignment w:val="center"/>
            </w:pPr>
            <w:r>
              <w:rPr>
                <w:rFonts w:ascii="Times New Roman" w:eastAsia="宋体" w:hAnsi="Times New Roman"/>
                <w:b/>
                <w:bCs/>
                <w:color w:val="000000"/>
                <w:sz w:val="16"/>
                <w:szCs w:val="16"/>
              </w:rPr>
              <w:t>CALCULATION OF RETURN ON INVESTMENT</w:t>
            </w:r>
          </w:p>
        </w:tc>
      </w:tr>
      <w:tr w:rsidR="002A3970" w14:paraId="4B9A438F" w14:textId="77777777">
        <w:tc>
          <w:tcPr>
            <w:tcW w:w="0" w:type="auto"/>
            <w:gridSpan w:val="3"/>
            <w:shd w:val="clear" w:color="auto" w:fill="CCEEFF"/>
            <w:tcMar>
              <w:top w:w="40" w:type="dxa"/>
              <w:left w:w="20" w:type="dxa"/>
              <w:bottom w:w="40" w:type="dxa"/>
              <w:right w:w="20" w:type="dxa"/>
            </w:tcMar>
            <w:vAlign w:val="center"/>
          </w:tcPr>
          <w:p w14:paraId="4B9A438A" w14:textId="77777777" w:rsidR="002A3970" w:rsidRDefault="00C35E63">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4B9A438B"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8C"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8D"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8E" w14:textId="77777777" w:rsidR="002A3970" w:rsidRDefault="002A3970">
            <w:pPr>
              <w:rPr>
                <w:rFonts w:ascii="宋体"/>
              </w:rPr>
            </w:pPr>
          </w:p>
        </w:tc>
      </w:tr>
      <w:tr w:rsidR="002A3970" w14:paraId="4B9A4399" w14:textId="77777777">
        <w:tc>
          <w:tcPr>
            <w:tcW w:w="0" w:type="auto"/>
            <w:gridSpan w:val="3"/>
            <w:shd w:val="clear" w:color="auto" w:fill="FFFFFF"/>
            <w:tcMar>
              <w:top w:w="40" w:type="dxa"/>
              <w:left w:w="380" w:type="dxa"/>
              <w:bottom w:w="40" w:type="dxa"/>
              <w:right w:w="20" w:type="dxa"/>
            </w:tcMar>
            <w:vAlign w:val="center"/>
          </w:tcPr>
          <w:p w14:paraId="4B9A4390" w14:textId="77777777" w:rsidR="002A3970" w:rsidRDefault="00C35E63">
            <w:pPr>
              <w:textAlignment w:val="center"/>
            </w:pPr>
            <w:r>
              <w:rPr>
                <w:rFonts w:ascii="Times New Roman" w:eastAsia="宋体" w:hAnsi="Times New Roman"/>
                <w:color w:val="000000"/>
                <w:sz w:val="16"/>
                <w:szCs w:val="16"/>
              </w:rPr>
              <w:t xml:space="preserve">Operating </w:t>
            </w:r>
            <w:r>
              <w:rPr>
                <w:rFonts w:ascii="Times New Roman" w:eastAsia="宋体" w:hAnsi="Times New Roman"/>
                <w:color w:val="000000"/>
                <w:sz w:val="16"/>
                <w:szCs w:val="16"/>
              </w:rPr>
              <w:t>income</w:t>
            </w:r>
          </w:p>
        </w:tc>
        <w:tc>
          <w:tcPr>
            <w:tcW w:w="0" w:type="auto"/>
            <w:gridSpan w:val="3"/>
            <w:shd w:val="clear" w:color="auto" w:fill="FFFFFF"/>
            <w:tcMar>
              <w:top w:w="0" w:type="dxa"/>
              <w:left w:w="20" w:type="dxa"/>
              <w:bottom w:w="0" w:type="dxa"/>
              <w:right w:w="20" w:type="dxa"/>
            </w:tcMar>
            <w:vAlign w:val="bottom"/>
          </w:tcPr>
          <w:p w14:paraId="4B9A4391"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39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393" w14:textId="77777777" w:rsidR="002A3970" w:rsidRDefault="00C35E63">
            <w:pPr>
              <w:jc w:val="right"/>
              <w:textAlignment w:val="center"/>
            </w:pPr>
            <w:r>
              <w:rPr>
                <w:rFonts w:ascii="Times New Roman" w:eastAsia="宋体" w:hAnsi="Times New Roman"/>
                <w:color w:val="000000"/>
                <w:sz w:val="16"/>
                <w:szCs w:val="16"/>
              </w:rPr>
              <w:t>20,754 </w:t>
            </w:r>
          </w:p>
        </w:tc>
        <w:tc>
          <w:tcPr>
            <w:tcW w:w="0" w:type="auto"/>
            <w:shd w:val="clear" w:color="auto" w:fill="FFFFFF"/>
            <w:tcMar>
              <w:top w:w="40" w:type="dxa"/>
              <w:left w:w="0" w:type="dxa"/>
              <w:bottom w:w="40" w:type="dxa"/>
              <w:right w:w="20" w:type="dxa"/>
            </w:tcMar>
            <w:vAlign w:val="center"/>
          </w:tcPr>
          <w:p w14:paraId="4B9A439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95"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39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397" w14:textId="77777777" w:rsidR="002A3970" w:rsidRDefault="00C35E63">
            <w:pPr>
              <w:jc w:val="right"/>
              <w:textAlignment w:val="center"/>
            </w:pPr>
            <w:r>
              <w:rPr>
                <w:rFonts w:ascii="Times New Roman" w:eastAsia="宋体" w:hAnsi="Times New Roman"/>
                <w:color w:val="000000"/>
                <w:sz w:val="16"/>
                <w:szCs w:val="16"/>
              </w:rPr>
              <w:t>25,542 </w:t>
            </w:r>
          </w:p>
        </w:tc>
        <w:tc>
          <w:tcPr>
            <w:tcW w:w="0" w:type="auto"/>
            <w:shd w:val="clear" w:color="auto" w:fill="FFFFFF"/>
            <w:tcMar>
              <w:top w:w="40" w:type="dxa"/>
              <w:left w:w="0" w:type="dxa"/>
              <w:bottom w:w="40" w:type="dxa"/>
              <w:right w:w="20" w:type="dxa"/>
            </w:tcMar>
            <w:vAlign w:val="center"/>
          </w:tcPr>
          <w:p w14:paraId="4B9A4398" w14:textId="77777777" w:rsidR="002A3970" w:rsidRDefault="002A3970">
            <w:pPr>
              <w:jc w:val="right"/>
              <w:rPr>
                <w:rFonts w:ascii="宋体"/>
              </w:rPr>
            </w:pPr>
          </w:p>
        </w:tc>
      </w:tr>
      <w:tr w:rsidR="002A3970" w14:paraId="4B9A43A1" w14:textId="77777777">
        <w:tc>
          <w:tcPr>
            <w:tcW w:w="0" w:type="auto"/>
            <w:gridSpan w:val="3"/>
            <w:shd w:val="clear" w:color="auto" w:fill="CCEEFF"/>
            <w:tcMar>
              <w:top w:w="40" w:type="dxa"/>
              <w:left w:w="380" w:type="dxa"/>
              <w:bottom w:w="40" w:type="dxa"/>
              <w:right w:w="20" w:type="dxa"/>
            </w:tcMar>
            <w:vAlign w:val="center"/>
          </w:tcPr>
          <w:p w14:paraId="4B9A439A" w14:textId="77777777" w:rsidR="002A3970" w:rsidRDefault="00C35E63">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vAlign w:val="bottom"/>
          </w:tcPr>
          <w:p w14:paraId="4B9A439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9C" w14:textId="77777777" w:rsidR="002A3970" w:rsidRDefault="00C35E63">
            <w:pPr>
              <w:jc w:val="right"/>
              <w:textAlignment w:val="center"/>
            </w:pPr>
            <w:r>
              <w:rPr>
                <w:rFonts w:ascii="Times New Roman" w:eastAsia="宋体" w:hAnsi="Times New Roman"/>
                <w:color w:val="000000"/>
                <w:sz w:val="16"/>
                <w:szCs w:val="16"/>
              </w:rPr>
              <w:t>196 </w:t>
            </w:r>
          </w:p>
        </w:tc>
        <w:tc>
          <w:tcPr>
            <w:tcW w:w="0" w:type="auto"/>
            <w:shd w:val="clear" w:color="auto" w:fill="CCEEFF"/>
            <w:tcMar>
              <w:top w:w="40" w:type="dxa"/>
              <w:left w:w="0" w:type="dxa"/>
              <w:bottom w:w="40" w:type="dxa"/>
              <w:right w:w="20" w:type="dxa"/>
            </w:tcMar>
            <w:vAlign w:val="center"/>
          </w:tcPr>
          <w:p w14:paraId="4B9A439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9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9F" w14:textId="77777777" w:rsidR="002A3970" w:rsidRDefault="00C35E63">
            <w:pPr>
              <w:jc w:val="right"/>
              <w:textAlignment w:val="center"/>
            </w:pPr>
            <w:r>
              <w:rPr>
                <w:rFonts w:ascii="Times New Roman" w:eastAsia="宋体" w:hAnsi="Times New Roman"/>
                <w:color w:val="000000"/>
                <w:sz w:val="16"/>
                <w:szCs w:val="16"/>
              </w:rPr>
              <w:t>141 </w:t>
            </w:r>
          </w:p>
        </w:tc>
        <w:tc>
          <w:tcPr>
            <w:tcW w:w="0" w:type="auto"/>
            <w:shd w:val="clear" w:color="auto" w:fill="CCEEFF"/>
            <w:tcMar>
              <w:top w:w="40" w:type="dxa"/>
              <w:left w:w="0" w:type="dxa"/>
              <w:bottom w:w="40" w:type="dxa"/>
              <w:right w:w="20" w:type="dxa"/>
            </w:tcMar>
            <w:vAlign w:val="center"/>
          </w:tcPr>
          <w:p w14:paraId="4B9A43A0" w14:textId="77777777" w:rsidR="002A3970" w:rsidRDefault="002A3970">
            <w:pPr>
              <w:jc w:val="right"/>
              <w:rPr>
                <w:rFonts w:ascii="宋体"/>
              </w:rPr>
            </w:pPr>
          </w:p>
        </w:tc>
      </w:tr>
      <w:tr w:rsidR="002A3970" w14:paraId="4B9A43A9" w14:textId="77777777">
        <w:tc>
          <w:tcPr>
            <w:tcW w:w="0" w:type="auto"/>
            <w:gridSpan w:val="3"/>
            <w:shd w:val="clear" w:color="auto" w:fill="FFFFFF"/>
            <w:tcMar>
              <w:top w:w="40" w:type="dxa"/>
              <w:left w:w="380" w:type="dxa"/>
              <w:bottom w:w="40" w:type="dxa"/>
              <w:right w:w="20" w:type="dxa"/>
            </w:tcMar>
            <w:vAlign w:val="center"/>
          </w:tcPr>
          <w:p w14:paraId="4B9A43A2" w14:textId="77777777" w:rsidR="002A3970" w:rsidRDefault="00C35E63">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vAlign w:val="bottom"/>
          </w:tcPr>
          <w:p w14:paraId="4B9A43A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3A4" w14:textId="77777777" w:rsidR="002A3970" w:rsidRDefault="00C35E63">
            <w:pPr>
              <w:jc w:val="right"/>
              <w:textAlignment w:val="center"/>
            </w:pPr>
            <w:r>
              <w:rPr>
                <w:rFonts w:ascii="Times New Roman" w:eastAsia="宋体" w:hAnsi="Times New Roman"/>
                <w:color w:val="000000"/>
                <w:sz w:val="16"/>
                <w:szCs w:val="16"/>
              </w:rPr>
              <w:t>10,840 </w:t>
            </w:r>
          </w:p>
        </w:tc>
        <w:tc>
          <w:tcPr>
            <w:tcW w:w="0" w:type="auto"/>
            <w:shd w:val="clear" w:color="auto" w:fill="FFFFFF"/>
            <w:tcMar>
              <w:top w:w="40" w:type="dxa"/>
              <w:left w:w="0" w:type="dxa"/>
              <w:bottom w:w="40" w:type="dxa"/>
              <w:right w:w="20" w:type="dxa"/>
            </w:tcMar>
            <w:vAlign w:val="center"/>
          </w:tcPr>
          <w:p w14:paraId="4B9A43A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A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3A7" w14:textId="77777777" w:rsidR="002A3970" w:rsidRDefault="00C35E63">
            <w:pPr>
              <w:jc w:val="right"/>
              <w:textAlignment w:val="center"/>
            </w:pPr>
            <w:r>
              <w:rPr>
                <w:rFonts w:ascii="Times New Roman" w:eastAsia="宋体" w:hAnsi="Times New Roman"/>
                <w:color w:val="000000"/>
                <w:sz w:val="16"/>
                <w:szCs w:val="16"/>
              </w:rPr>
              <w:t>10,771 </w:t>
            </w:r>
          </w:p>
        </w:tc>
        <w:tc>
          <w:tcPr>
            <w:tcW w:w="0" w:type="auto"/>
            <w:shd w:val="clear" w:color="auto" w:fill="FFFFFF"/>
            <w:tcMar>
              <w:top w:w="40" w:type="dxa"/>
              <w:left w:w="0" w:type="dxa"/>
              <w:bottom w:w="40" w:type="dxa"/>
              <w:right w:w="20" w:type="dxa"/>
            </w:tcMar>
            <w:vAlign w:val="center"/>
          </w:tcPr>
          <w:p w14:paraId="4B9A43A8" w14:textId="77777777" w:rsidR="002A3970" w:rsidRDefault="002A3970">
            <w:pPr>
              <w:jc w:val="right"/>
              <w:rPr>
                <w:rFonts w:ascii="宋体"/>
              </w:rPr>
            </w:pPr>
          </w:p>
        </w:tc>
      </w:tr>
      <w:tr w:rsidR="002A3970" w14:paraId="4B9A43B1" w14:textId="77777777">
        <w:tc>
          <w:tcPr>
            <w:tcW w:w="0" w:type="auto"/>
            <w:gridSpan w:val="3"/>
            <w:shd w:val="clear" w:color="auto" w:fill="CCEEFF"/>
            <w:tcMar>
              <w:top w:w="40" w:type="dxa"/>
              <w:left w:w="380" w:type="dxa"/>
              <w:bottom w:w="40" w:type="dxa"/>
              <w:right w:w="20" w:type="dxa"/>
            </w:tcMar>
            <w:vAlign w:val="center"/>
          </w:tcPr>
          <w:p w14:paraId="4B9A43AA" w14:textId="77777777" w:rsidR="002A3970" w:rsidRDefault="00C35E63">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vAlign w:val="bottom"/>
          </w:tcPr>
          <w:p w14:paraId="4B9A43A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AC" w14:textId="77777777" w:rsidR="002A3970" w:rsidRDefault="00C35E63">
            <w:pPr>
              <w:jc w:val="right"/>
              <w:textAlignment w:val="center"/>
            </w:pPr>
            <w:r>
              <w:rPr>
                <w:rFonts w:ascii="Times New Roman" w:eastAsia="宋体" w:hAnsi="Times New Roman"/>
                <w:color w:val="000000"/>
                <w:sz w:val="16"/>
                <w:szCs w:val="16"/>
              </w:rPr>
              <w:t>2,296 </w:t>
            </w:r>
          </w:p>
        </w:tc>
        <w:tc>
          <w:tcPr>
            <w:tcW w:w="0" w:type="auto"/>
            <w:shd w:val="clear" w:color="auto" w:fill="CCEEFF"/>
            <w:tcMar>
              <w:top w:w="40" w:type="dxa"/>
              <w:left w:w="0" w:type="dxa"/>
              <w:bottom w:w="40" w:type="dxa"/>
              <w:right w:w="20" w:type="dxa"/>
            </w:tcMar>
            <w:vAlign w:val="center"/>
          </w:tcPr>
          <w:p w14:paraId="4B9A43A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A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AF" w14:textId="77777777" w:rsidR="002A3970" w:rsidRDefault="00C35E63">
            <w:pPr>
              <w:jc w:val="right"/>
              <w:textAlignment w:val="center"/>
            </w:pPr>
            <w:r>
              <w:rPr>
                <w:rFonts w:ascii="Times New Roman" w:eastAsia="宋体" w:hAnsi="Times New Roman"/>
                <w:color w:val="000000"/>
                <w:sz w:val="16"/>
                <w:szCs w:val="16"/>
              </w:rPr>
              <w:t>2,360 </w:t>
            </w:r>
          </w:p>
        </w:tc>
        <w:tc>
          <w:tcPr>
            <w:tcW w:w="0" w:type="auto"/>
            <w:shd w:val="clear" w:color="auto" w:fill="CCEEFF"/>
            <w:tcMar>
              <w:top w:w="40" w:type="dxa"/>
              <w:left w:w="0" w:type="dxa"/>
              <w:bottom w:w="40" w:type="dxa"/>
              <w:right w:w="20" w:type="dxa"/>
            </w:tcMar>
            <w:vAlign w:val="center"/>
          </w:tcPr>
          <w:p w14:paraId="4B9A43B0" w14:textId="77777777" w:rsidR="002A3970" w:rsidRDefault="002A3970">
            <w:pPr>
              <w:jc w:val="right"/>
              <w:rPr>
                <w:rFonts w:ascii="宋体"/>
              </w:rPr>
            </w:pPr>
          </w:p>
        </w:tc>
      </w:tr>
      <w:tr w:rsidR="002A3970" w14:paraId="4B9A43BB" w14:textId="77777777">
        <w:tc>
          <w:tcPr>
            <w:tcW w:w="0" w:type="auto"/>
            <w:gridSpan w:val="3"/>
            <w:shd w:val="clear" w:color="auto" w:fill="FFFFFF"/>
            <w:tcMar>
              <w:top w:w="40" w:type="dxa"/>
              <w:left w:w="380" w:type="dxa"/>
              <w:bottom w:w="40" w:type="dxa"/>
              <w:right w:w="20" w:type="dxa"/>
            </w:tcMar>
            <w:vAlign w:val="center"/>
          </w:tcPr>
          <w:p w14:paraId="4B9A43B2" w14:textId="77777777" w:rsidR="002A3970" w:rsidRDefault="00C35E63">
            <w:pPr>
              <w:textAlignment w:val="center"/>
            </w:pPr>
            <w:r>
              <w:rPr>
                <w:rFonts w:ascii="Times New Roman" w:eastAsia="宋体" w:hAnsi="Times New Roman"/>
                <w:color w:val="000000"/>
                <w:sz w:val="16"/>
                <w:szCs w:val="16"/>
              </w:rPr>
              <w:t>= ROI operating income</w:t>
            </w:r>
          </w:p>
        </w:tc>
        <w:tc>
          <w:tcPr>
            <w:tcW w:w="0" w:type="auto"/>
            <w:gridSpan w:val="3"/>
            <w:shd w:val="clear" w:color="auto" w:fill="FFFFFF"/>
            <w:tcMar>
              <w:top w:w="0" w:type="dxa"/>
              <w:left w:w="20" w:type="dxa"/>
              <w:bottom w:w="0" w:type="dxa"/>
              <w:right w:w="20" w:type="dxa"/>
            </w:tcMar>
            <w:vAlign w:val="bottom"/>
          </w:tcPr>
          <w:p w14:paraId="4B9A43B3"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43B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43B5" w14:textId="77777777" w:rsidR="002A3970" w:rsidRDefault="00C35E63">
            <w:pPr>
              <w:jc w:val="right"/>
              <w:textAlignment w:val="center"/>
            </w:pPr>
            <w:r>
              <w:rPr>
                <w:rFonts w:ascii="Times New Roman" w:eastAsia="宋体" w:hAnsi="Times New Roman"/>
                <w:color w:val="000000"/>
                <w:sz w:val="16"/>
                <w:szCs w:val="16"/>
              </w:rPr>
              <w:t>34,086 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43B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B7" w14:textId="77777777" w:rsidR="002A3970" w:rsidRDefault="002A397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B9A43B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B9A43B9" w14:textId="77777777" w:rsidR="002A3970" w:rsidRDefault="00C35E63">
            <w:pPr>
              <w:jc w:val="right"/>
              <w:textAlignment w:val="center"/>
            </w:pPr>
            <w:r>
              <w:rPr>
                <w:rFonts w:ascii="Times New Roman" w:eastAsia="宋体" w:hAnsi="Times New Roman"/>
                <w:color w:val="000000"/>
                <w:sz w:val="16"/>
                <w:szCs w:val="16"/>
              </w:rPr>
              <w:t>38,814 </w:t>
            </w:r>
          </w:p>
        </w:tc>
        <w:tc>
          <w:tcPr>
            <w:tcW w:w="0" w:type="auto"/>
            <w:tcBorders>
              <w:top w:val="single" w:sz="8" w:space="0" w:color="000000"/>
            </w:tcBorders>
            <w:shd w:val="clear" w:color="auto" w:fill="FFFFFF"/>
            <w:tcMar>
              <w:top w:w="40" w:type="dxa"/>
              <w:left w:w="0" w:type="dxa"/>
              <w:bottom w:w="40" w:type="dxa"/>
              <w:right w:w="20" w:type="dxa"/>
            </w:tcMar>
            <w:vAlign w:val="center"/>
          </w:tcPr>
          <w:p w14:paraId="4B9A43BA" w14:textId="77777777" w:rsidR="002A3970" w:rsidRDefault="002A3970">
            <w:pPr>
              <w:jc w:val="right"/>
              <w:rPr>
                <w:rFonts w:ascii="宋体"/>
              </w:rPr>
            </w:pPr>
          </w:p>
        </w:tc>
      </w:tr>
      <w:tr w:rsidR="002A3970" w14:paraId="4B9A43C1" w14:textId="77777777">
        <w:trPr>
          <w:trHeight w:val="220"/>
        </w:trPr>
        <w:tc>
          <w:tcPr>
            <w:tcW w:w="0" w:type="auto"/>
            <w:gridSpan w:val="3"/>
            <w:shd w:val="clear" w:color="auto" w:fill="CCEEFF"/>
            <w:tcMar>
              <w:top w:w="0" w:type="dxa"/>
              <w:left w:w="20" w:type="dxa"/>
              <w:bottom w:w="0" w:type="dxa"/>
              <w:right w:w="20" w:type="dxa"/>
            </w:tcMar>
            <w:vAlign w:val="bottom"/>
          </w:tcPr>
          <w:p w14:paraId="4B9A43BC"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BD"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43B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3BF" w14:textId="77777777" w:rsidR="002A3970" w:rsidRDefault="002A397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B9A43C0" w14:textId="77777777" w:rsidR="002A3970" w:rsidRDefault="002A3970">
            <w:pPr>
              <w:rPr>
                <w:rFonts w:ascii="宋体"/>
              </w:rPr>
            </w:pPr>
          </w:p>
        </w:tc>
      </w:tr>
      <w:tr w:rsidR="002A3970" w14:paraId="4B9A43C7" w14:textId="77777777">
        <w:tc>
          <w:tcPr>
            <w:tcW w:w="0" w:type="auto"/>
            <w:gridSpan w:val="3"/>
            <w:shd w:val="clear" w:color="auto" w:fill="FFFFFF"/>
            <w:tcMar>
              <w:top w:w="40" w:type="dxa"/>
              <w:left w:w="20" w:type="dxa"/>
              <w:bottom w:w="40" w:type="dxa"/>
              <w:right w:w="20" w:type="dxa"/>
            </w:tcMar>
            <w:vAlign w:val="center"/>
          </w:tcPr>
          <w:p w14:paraId="4B9A43C2" w14:textId="77777777" w:rsidR="002A3970" w:rsidRDefault="00C35E63">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4B9A43C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C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C5"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3C6" w14:textId="77777777" w:rsidR="002A3970" w:rsidRDefault="002A3970">
            <w:pPr>
              <w:rPr>
                <w:rFonts w:ascii="宋体"/>
              </w:rPr>
            </w:pPr>
          </w:p>
        </w:tc>
      </w:tr>
      <w:tr w:rsidR="002A3970" w14:paraId="4B9A43D1" w14:textId="77777777">
        <w:tc>
          <w:tcPr>
            <w:tcW w:w="0" w:type="auto"/>
            <w:gridSpan w:val="3"/>
            <w:shd w:val="clear" w:color="auto" w:fill="CCEEFF"/>
            <w:tcMar>
              <w:top w:w="40" w:type="dxa"/>
              <w:left w:w="20" w:type="dxa"/>
              <w:bottom w:w="40" w:type="dxa"/>
              <w:right w:w="20" w:type="dxa"/>
            </w:tcMar>
            <w:vAlign w:val="center"/>
          </w:tcPr>
          <w:p w14:paraId="4B9A43C8" w14:textId="77777777" w:rsidR="002A3970" w:rsidRDefault="00C35E63">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B9A43C9"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3CA"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3CB" w14:textId="77777777" w:rsidR="002A3970" w:rsidRDefault="00C35E63">
            <w:pPr>
              <w:jc w:val="right"/>
              <w:textAlignment w:val="center"/>
            </w:pPr>
            <w:r>
              <w:rPr>
                <w:rFonts w:ascii="Times New Roman" w:eastAsia="宋体" w:hAnsi="Times New Roman"/>
                <w:color w:val="000000"/>
                <w:sz w:val="16"/>
                <w:szCs w:val="16"/>
              </w:rPr>
              <w:t>246,254 </w:t>
            </w:r>
          </w:p>
        </w:tc>
        <w:tc>
          <w:tcPr>
            <w:tcW w:w="0" w:type="auto"/>
            <w:shd w:val="clear" w:color="auto" w:fill="CCEEFF"/>
            <w:tcMar>
              <w:top w:w="40" w:type="dxa"/>
              <w:left w:w="0" w:type="dxa"/>
              <w:bottom w:w="40" w:type="dxa"/>
              <w:right w:w="20" w:type="dxa"/>
            </w:tcMar>
            <w:vAlign w:val="center"/>
          </w:tcPr>
          <w:p w14:paraId="4B9A43C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C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3C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3CF" w14:textId="77777777" w:rsidR="002A3970" w:rsidRDefault="00C35E63">
            <w:pPr>
              <w:jc w:val="right"/>
              <w:textAlignment w:val="center"/>
            </w:pPr>
            <w:r>
              <w:rPr>
                <w:rFonts w:ascii="Times New Roman" w:eastAsia="宋体" w:hAnsi="Times New Roman"/>
                <w:color w:val="000000"/>
                <w:sz w:val="16"/>
                <w:szCs w:val="16"/>
              </w:rPr>
              <w:t>247,857 </w:t>
            </w:r>
          </w:p>
        </w:tc>
        <w:tc>
          <w:tcPr>
            <w:tcW w:w="0" w:type="auto"/>
            <w:shd w:val="clear" w:color="auto" w:fill="CCEEFF"/>
            <w:tcMar>
              <w:top w:w="40" w:type="dxa"/>
              <w:left w:w="0" w:type="dxa"/>
              <w:bottom w:w="40" w:type="dxa"/>
              <w:right w:w="20" w:type="dxa"/>
            </w:tcMar>
            <w:vAlign w:val="center"/>
          </w:tcPr>
          <w:p w14:paraId="4B9A43D0" w14:textId="77777777" w:rsidR="002A3970" w:rsidRDefault="002A3970">
            <w:pPr>
              <w:jc w:val="right"/>
              <w:rPr>
                <w:rFonts w:ascii="宋体"/>
              </w:rPr>
            </w:pPr>
          </w:p>
        </w:tc>
      </w:tr>
      <w:tr w:rsidR="002A3970" w14:paraId="4B9A43D9" w14:textId="77777777">
        <w:tc>
          <w:tcPr>
            <w:tcW w:w="0" w:type="auto"/>
            <w:gridSpan w:val="3"/>
            <w:shd w:val="clear" w:color="auto" w:fill="FFFFFF"/>
            <w:tcMar>
              <w:top w:w="40" w:type="dxa"/>
              <w:left w:w="20" w:type="dxa"/>
              <w:bottom w:w="40" w:type="dxa"/>
              <w:right w:w="20" w:type="dxa"/>
            </w:tcMar>
            <w:vAlign w:val="center"/>
          </w:tcPr>
          <w:p w14:paraId="4B9A43D2" w14:textId="77777777" w:rsidR="002A3970" w:rsidRDefault="00C35E63">
            <w:pPr>
              <w:textAlignment w:val="center"/>
            </w:pPr>
            <w:r>
              <w:rPr>
                <w:rFonts w:ascii="Times New Roman" w:eastAsia="宋体" w:hAnsi="Times New Roman"/>
                <w:color w:val="FFFFFF"/>
                <w:sz w:val="16"/>
                <w:szCs w:val="16"/>
              </w:rPr>
              <w:t>'</w:t>
            </w: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4B9A43D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3D4" w14:textId="77777777" w:rsidR="002A3970" w:rsidRDefault="00C35E63">
            <w:pPr>
              <w:jc w:val="right"/>
              <w:textAlignment w:val="center"/>
            </w:pPr>
            <w:r>
              <w:rPr>
                <w:rFonts w:ascii="Times New Roman" w:eastAsia="宋体" w:hAnsi="Times New Roman"/>
                <w:color w:val="000000"/>
                <w:sz w:val="16"/>
                <w:szCs w:val="16"/>
              </w:rPr>
              <w:t>103,898 </w:t>
            </w:r>
          </w:p>
        </w:tc>
        <w:tc>
          <w:tcPr>
            <w:tcW w:w="0" w:type="auto"/>
            <w:shd w:val="clear" w:color="auto" w:fill="FFFFFF"/>
            <w:tcMar>
              <w:top w:w="40" w:type="dxa"/>
              <w:left w:w="0" w:type="dxa"/>
              <w:bottom w:w="40" w:type="dxa"/>
              <w:right w:w="20" w:type="dxa"/>
            </w:tcMar>
            <w:vAlign w:val="center"/>
          </w:tcPr>
          <w:p w14:paraId="4B9A43D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D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3D7" w14:textId="77777777" w:rsidR="002A3970" w:rsidRDefault="00C35E63">
            <w:pPr>
              <w:jc w:val="right"/>
              <w:textAlignment w:val="center"/>
            </w:pPr>
            <w:r>
              <w:rPr>
                <w:rFonts w:ascii="Times New Roman" w:eastAsia="宋体" w:hAnsi="Times New Roman"/>
                <w:color w:val="000000"/>
                <w:sz w:val="16"/>
                <w:szCs w:val="16"/>
              </w:rPr>
              <w:t>99,872 </w:t>
            </w:r>
          </w:p>
        </w:tc>
        <w:tc>
          <w:tcPr>
            <w:tcW w:w="0" w:type="auto"/>
            <w:shd w:val="clear" w:color="auto" w:fill="FFFFFF"/>
            <w:tcMar>
              <w:top w:w="40" w:type="dxa"/>
              <w:left w:w="0" w:type="dxa"/>
              <w:bottom w:w="40" w:type="dxa"/>
              <w:right w:w="20" w:type="dxa"/>
            </w:tcMar>
            <w:vAlign w:val="center"/>
          </w:tcPr>
          <w:p w14:paraId="4B9A43D8" w14:textId="77777777" w:rsidR="002A3970" w:rsidRDefault="002A3970">
            <w:pPr>
              <w:jc w:val="right"/>
              <w:rPr>
                <w:rFonts w:ascii="宋体"/>
              </w:rPr>
            </w:pPr>
          </w:p>
        </w:tc>
      </w:tr>
      <w:tr w:rsidR="002A3970" w14:paraId="4B9A43E1" w14:textId="77777777">
        <w:tc>
          <w:tcPr>
            <w:tcW w:w="0" w:type="auto"/>
            <w:gridSpan w:val="3"/>
            <w:shd w:val="clear" w:color="auto" w:fill="CCEEFF"/>
            <w:tcMar>
              <w:top w:w="40" w:type="dxa"/>
              <w:left w:w="20" w:type="dxa"/>
              <w:bottom w:w="40" w:type="dxa"/>
              <w:right w:w="20" w:type="dxa"/>
            </w:tcMar>
            <w:vAlign w:val="center"/>
          </w:tcPr>
          <w:p w14:paraId="4B9A43DA" w14:textId="77777777" w:rsidR="002A3970" w:rsidRDefault="00C35E63">
            <w:pPr>
              <w:textAlignment w:val="center"/>
            </w:pPr>
            <w:r>
              <w:rPr>
                <w:rFonts w:ascii="Times New Roman" w:eastAsia="宋体" w:hAnsi="Times New Roman"/>
                <w:color w:val="CCEEFF"/>
                <w:sz w:val="16"/>
                <w:szCs w:val="16"/>
              </w:rPr>
              <w:t>'</w:t>
            </w: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B9A43D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DC" w14:textId="77777777" w:rsidR="002A3970" w:rsidRDefault="00C35E63">
            <w:pPr>
              <w:jc w:val="right"/>
              <w:textAlignment w:val="center"/>
            </w:pPr>
            <w:r>
              <w:rPr>
                <w:rFonts w:ascii="Times New Roman" w:eastAsia="宋体" w:hAnsi="Times New Roman"/>
                <w:color w:val="000000"/>
                <w:sz w:val="16"/>
                <w:szCs w:val="16"/>
              </w:rPr>
              <w:t>57,210 </w:t>
            </w:r>
          </w:p>
        </w:tc>
        <w:tc>
          <w:tcPr>
            <w:tcW w:w="0" w:type="auto"/>
            <w:shd w:val="clear" w:color="auto" w:fill="CCEEFF"/>
            <w:tcMar>
              <w:top w:w="40" w:type="dxa"/>
              <w:left w:w="0" w:type="dxa"/>
              <w:bottom w:w="40" w:type="dxa"/>
              <w:right w:w="20" w:type="dxa"/>
            </w:tcMar>
            <w:vAlign w:val="center"/>
          </w:tcPr>
          <w:p w14:paraId="4B9A43D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D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3DF" w14:textId="77777777" w:rsidR="002A3970" w:rsidRDefault="00C35E63">
            <w:pPr>
              <w:jc w:val="right"/>
              <w:textAlignment w:val="center"/>
            </w:pPr>
            <w:r>
              <w:rPr>
                <w:rFonts w:ascii="Times New Roman" w:eastAsia="宋体" w:hAnsi="Times New Roman"/>
                <w:color w:val="000000"/>
                <w:sz w:val="16"/>
                <w:szCs w:val="16"/>
              </w:rPr>
              <w:t>55,654 </w:t>
            </w:r>
          </w:p>
        </w:tc>
        <w:tc>
          <w:tcPr>
            <w:tcW w:w="0" w:type="auto"/>
            <w:shd w:val="clear" w:color="auto" w:fill="CCEEFF"/>
            <w:tcMar>
              <w:top w:w="40" w:type="dxa"/>
              <w:left w:w="0" w:type="dxa"/>
              <w:bottom w:w="40" w:type="dxa"/>
              <w:right w:w="20" w:type="dxa"/>
            </w:tcMar>
            <w:vAlign w:val="center"/>
          </w:tcPr>
          <w:p w14:paraId="4B9A43E0" w14:textId="77777777" w:rsidR="002A3970" w:rsidRDefault="002A3970">
            <w:pPr>
              <w:jc w:val="right"/>
              <w:rPr>
                <w:rFonts w:ascii="宋体"/>
              </w:rPr>
            </w:pPr>
          </w:p>
        </w:tc>
      </w:tr>
      <w:tr w:rsidR="002A3970" w14:paraId="4B9A43E9" w14:textId="77777777">
        <w:tc>
          <w:tcPr>
            <w:tcW w:w="0" w:type="auto"/>
            <w:gridSpan w:val="3"/>
            <w:shd w:val="clear" w:color="auto" w:fill="FFFFFF"/>
            <w:tcMar>
              <w:top w:w="40" w:type="dxa"/>
              <w:left w:w="20" w:type="dxa"/>
              <w:bottom w:w="40" w:type="dxa"/>
              <w:right w:w="20" w:type="dxa"/>
            </w:tcMar>
            <w:vAlign w:val="center"/>
          </w:tcPr>
          <w:p w14:paraId="4B9A43E2" w14:textId="77777777" w:rsidR="002A3970" w:rsidRDefault="00C35E63">
            <w:pPr>
              <w:textAlignment w:val="center"/>
            </w:pPr>
            <w:r>
              <w:rPr>
                <w:rFonts w:ascii="Times New Roman" w:eastAsia="宋体" w:hAnsi="Times New Roman"/>
                <w:color w:val="000000"/>
                <w:sz w:val="16"/>
                <w:szCs w:val="16"/>
              </w:rPr>
              <w:t> - Average accrued 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4B9A43E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3E4" w14:textId="77777777" w:rsidR="002A3970" w:rsidRDefault="00C35E63">
            <w:pPr>
              <w:jc w:val="right"/>
              <w:textAlignment w:val="center"/>
            </w:pPr>
            <w:r>
              <w:rPr>
                <w:rFonts w:ascii="Times New Roman" w:eastAsia="宋体" w:hAnsi="Times New Roman"/>
                <w:color w:val="000000"/>
                <w:sz w:val="16"/>
                <w:szCs w:val="16"/>
              </w:rPr>
              <w:t>25,959 </w:t>
            </w:r>
          </w:p>
        </w:tc>
        <w:tc>
          <w:tcPr>
            <w:tcW w:w="0" w:type="auto"/>
            <w:shd w:val="clear" w:color="auto" w:fill="FFFFFF"/>
            <w:tcMar>
              <w:top w:w="40" w:type="dxa"/>
              <w:left w:w="0" w:type="dxa"/>
              <w:bottom w:w="40" w:type="dxa"/>
              <w:right w:w="20" w:type="dxa"/>
            </w:tcMar>
            <w:vAlign w:val="center"/>
          </w:tcPr>
          <w:p w14:paraId="4B9A43E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3E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3E7" w14:textId="77777777" w:rsidR="002A3970" w:rsidRDefault="00C35E63">
            <w:pPr>
              <w:jc w:val="right"/>
              <w:textAlignment w:val="center"/>
            </w:pPr>
            <w:r>
              <w:rPr>
                <w:rFonts w:ascii="Times New Roman" w:eastAsia="宋体" w:hAnsi="Times New Roman"/>
                <w:color w:val="000000"/>
                <w:sz w:val="16"/>
                <w:szCs w:val="16"/>
              </w:rPr>
              <w:t>24,735 </w:t>
            </w:r>
          </w:p>
        </w:tc>
        <w:tc>
          <w:tcPr>
            <w:tcW w:w="0" w:type="auto"/>
            <w:shd w:val="clear" w:color="auto" w:fill="FFFFFF"/>
            <w:tcMar>
              <w:top w:w="40" w:type="dxa"/>
              <w:left w:w="0" w:type="dxa"/>
              <w:bottom w:w="40" w:type="dxa"/>
              <w:right w:w="20" w:type="dxa"/>
            </w:tcMar>
            <w:vAlign w:val="center"/>
          </w:tcPr>
          <w:p w14:paraId="4B9A43E8" w14:textId="77777777" w:rsidR="002A3970" w:rsidRDefault="002A3970">
            <w:pPr>
              <w:jc w:val="right"/>
              <w:rPr>
                <w:rFonts w:ascii="宋体"/>
              </w:rPr>
            </w:pPr>
          </w:p>
        </w:tc>
      </w:tr>
      <w:tr w:rsidR="002A3970" w14:paraId="4B9A43F3" w14:textId="77777777">
        <w:tc>
          <w:tcPr>
            <w:tcW w:w="0" w:type="auto"/>
            <w:gridSpan w:val="3"/>
            <w:shd w:val="clear" w:color="auto" w:fill="CCEEFF"/>
            <w:tcMar>
              <w:top w:w="40" w:type="dxa"/>
              <w:left w:w="380" w:type="dxa"/>
              <w:bottom w:w="40" w:type="dxa"/>
              <w:right w:w="20" w:type="dxa"/>
            </w:tcMar>
            <w:vAlign w:val="center"/>
          </w:tcPr>
          <w:p w14:paraId="4B9A43EA" w14:textId="77777777" w:rsidR="002A3970" w:rsidRDefault="00C35E63">
            <w:pPr>
              <w:textAlignment w:val="center"/>
            </w:pPr>
            <w:r>
              <w:rPr>
                <w:rFonts w:ascii="Times New Roman" w:eastAsia="宋体" w:hAnsi="Times New Roman"/>
                <w:color w:val="000000"/>
                <w:sz w:val="16"/>
                <w:szCs w:val="16"/>
              </w:rPr>
              <w:t>= Average invested capital</w:t>
            </w:r>
          </w:p>
        </w:tc>
        <w:tc>
          <w:tcPr>
            <w:tcW w:w="0" w:type="auto"/>
            <w:gridSpan w:val="3"/>
            <w:shd w:val="clear" w:color="auto" w:fill="CCEEFF"/>
            <w:tcMar>
              <w:top w:w="0" w:type="dxa"/>
              <w:left w:w="20" w:type="dxa"/>
              <w:bottom w:w="0" w:type="dxa"/>
              <w:right w:w="20" w:type="dxa"/>
            </w:tcMar>
            <w:vAlign w:val="bottom"/>
          </w:tcPr>
          <w:p w14:paraId="4B9A43EB"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3E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3ED" w14:textId="77777777" w:rsidR="002A3970" w:rsidRDefault="00C35E63">
            <w:pPr>
              <w:jc w:val="right"/>
              <w:textAlignment w:val="center"/>
            </w:pPr>
            <w:r>
              <w:rPr>
                <w:rFonts w:ascii="Times New Roman" w:eastAsia="宋体" w:hAnsi="Times New Roman"/>
                <w:color w:val="000000"/>
                <w:sz w:val="16"/>
                <w:szCs w:val="16"/>
              </w:rPr>
              <w:t>266,983 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3E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3EF"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3F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3F1" w14:textId="77777777" w:rsidR="002A3970" w:rsidRDefault="00C35E63">
            <w:pPr>
              <w:jc w:val="right"/>
              <w:textAlignment w:val="center"/>
            </w:pPr>
            <w:r>
              <w:rPr>
                <w:rFonts w:ascii="Times New Roman" w:eastAsia="宋体" w:hAnsi="Times New Roman"/>
                <w:color w:val="000000"/>
                <w:sz w:val="16"/>
                <w:szCs w:val="16"/>
              </w:rPr>
              <w:t>267,340 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3F2" w14:textId="77777777" w:rsidR="002A3970" w:rsidRDefault="002A3970">
            <w:pPr>
              <w:jc w:val="right"/>
              <w:rPr>
                <w:rFonts w:ascii="宋体"/>
              </w:rPr>
            </w:pPr>
          </w:p>
        </w:tc>
      </w:tr>
      <w:tr w:rsidR="002A3970" w14:paraId="4B9A43FB" w14:textId="77777777">
        <w:tc>
          <w:tcPr>
            <w:tcW w:w="0" w:type="auto"/>
            <w:gridSpan w:val="3"/>
            <w:shd w:val="clear" w:color="auto" w:fill="FFFFFF"/>
            <w:tcMar>
              <w:top w:w="40" w:type="dxa"/>
              <w:left w:w="20" w:type="dxa"/>
              <w:bottom w:w="40" w:type="dxa"/>
              <w:right w:w="20" w:type="dxa"/>
            </w:tcMar>
            <w:vAlign w:val="center"/>
          </w:tcPr>
          <w:p w14:paraId="4B9A43F4" w14:textId="77777777" w:rsidR="002A3970" w:rsidRDefault="00C35E63">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vAlign w:val="bottom"/>
          </w:tcPr>
          <w:p w14:paraId="4B9A43F5" w14:textId="77777777" w:rsidR="002A3970" w:rsidRDefault="002A397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3F6" w14:textId="77777777" w:rsidR="002A3970" w:rsidRDefault="00C35E63">
            <w:pPr>
              <w:jc w:val="right"/>
              <w:textAlignment w:val="center"/>
            </w:pPr>
            <w:r>
              <w:rPr>
                <w:rFonts w:ascii="Times New Roman" w:eastAsia="宋体" w:hAnsi="Times New Roman"/>
                <w:color w:val="000000"/>
                <w:sz w:val="16"/>
                <w:szCs w:val="16"/>
              </w:rPr>
              <w:t>12.8 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3F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3F8" w14:textId="77777777" w:rsidR="002A3970" w:rsidRDefault="002A397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3F9" w14:textId="77777777" w:rsidR="002A3970" w:rsidRDefault="00C35E63">
            <w:pPr>
              <w:jc w:val="right"/>
              <w:textAlignment w:val="center"/>
            </w:pPr>
            <w:r>
              <w:rPr>
                <w:rFonts w:ascii="Times New Roman" w:eastAsia="宋体" w:hAnsi="Times New Roman"/>
                <w:color w:val="000000"/>
                <w:sz w:val="16"/>
                <w:szCs w:val="16"/>
              </w:rPr>
              <w:t>14.5 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3FA" w14:textId="77777777" w:rsidR="002A3970" w:rsidRDefault="00C35E63">
            <w:pPr>
              <w:jc w:val="right"/>
              <w:textAlignment w:val="center"/>
            </w:pPr>
            <w:r>
              <w:rPr>
                <w:rFonts w:ascii="Times New Roman" w:eastAsia="宋体" w:hAnsi="Times New Roman"/>
                <w:color w:val="000000"/>
                <w:sz w:val="16"/>
                <w:szCs w:val="16"/>
              </w:rPr>
              <w:t>%</w:t>
            </w:r>
          </w:p>
        </w:tc>
      </w:tr>
    </w:tbl>
    <w:p w14:paraId="4B9A43FC" w14:textId="77777777" w:rsidR="002A3970" w:rsidRDefault="00C35E63">
      <w:pPr>
        <w:ind w:hanging="180"/>
      </w:pPr>
      <w:r>
        <w:rPr>
          <w:rFonts w:ascii="Times New Roman" w:eastAsia="宋体" w:hAnsi="Times New Roman"/>
          <w:color w:val="000000"/>
          <w:sz w:val="18"/>
          <w:szCs w:val="18"/>
        </w:rPr>
        <w:t> </w:t>
      </w:r>
      <w:r>
        <w:rPr>
          <w:rFonts w:ascii="Times New Roman" w:eastAsia="宋体" w:hAnsi="Times New Roman"/>
          <w:color w:val="000000"/>
          <w:sz w:val="10"/>
          <w:szCs w:val="10"/>
        </w:rPr>
        <w:t xml:space="preserve">(1) </w:t>
      </w:r>
      <w:r>
        <w:rPr>
          <w:rFonts w:ascii="Times New Roman" w:eastAsia="宋体" w:hAnsi="Times New Roman"/>
          <w:color w:val="000000"/>
          <w:sz w:val="16"/>
          <w:szCs w:val="16"/>
        </w:rPr>
        <w:t>The average is based on the addition of the account balance at the end of the current period to the account balance at the end of the prior period and dividing by 2.</w:t>
      </w:r>
    </w:p>
    <w:tbl>
      <w:tblPr>
        <w:tblW w:w="5000" w:type="pct"/>
        <w:tblCellMar>
          <w:top w:w="15" w:type="dxa"/>
          <w:left w:w="15" w:type="dxa"/>
          <w:bottom w:w="15" w:type="dxa"/>
          <w:right w:w="15" w:type="dxa"/>
        </w:tblCellMar>
        <w:tblLook w:val="04A0" w:firstRow="1" w:lastRow="0" w:firstColumn="1" w:lastColumn="0" w:noHBand="0" w:noVBand="1"/>
      </w:tblPr>
      <w:tblGrid>
        <w:gridCol w:w="42"/>
        <w:gridCol w:w="5097"/>
        <w:gridCol w:w="37"/>
        <w:gridCol w:w="36"/>
        <w:gridCol w:w="36"/>
        <w:gridCol w:w="36"/>
        <w:gridCol w:w="100"/>
        <w:gridCol w:w="808"/>
        <w:gridCol w:w="36"/>
        <w:gridCol w:w="36"/>
        <w:gridCol w:w="36"/>
        <w:gridCol w:w="36"/>
        <w:gridCol w:w="100"/>
        <w:gridCol w:w="809"/>
        <w:gridCol w:w="36"/>
        <w:gridCol w:w="36"/>
        <w:gridCol w:w="36"/>
        <w:gridCol w:w="36"/>
        <w:gridCol w:w="100"/>
        <w:gridCol w:w="811"/>
        <w:gridCol w:w="36"/>
      </w:tblGrid>
      <w:tr w:rsidR="002A3970" w14:paraId="4B9A4412" w14:textId="77777777">
        <w:tc>
          <w:tcPr>
            <w:tcW w:w="50" w:type="pct"/>
            <w:shd w:val="clear" w:color="auto" w:fill="auto"/>
            <w:vAlign w:val="bottom"/>
          </w:tcPr>
          <w:p w14:paraId="4B9A43FD" w14:textId="77777777" w:rsidR="002A3970" w:rsidRDefault="002A3970">
            <w:pPr>
              <w:rPr>
                <w:rFonts w:ascii="宋体"/>
              </w:rPr>
            </w:pPr>
          </w:p>
        </w:tc>
        <w:tc>
          <w:tcPr>
            <w:tcW w:w="3080" w:type="pct"/>
            <w:shd w:val="clear" w:color="auto" w:fill="auto"/>
            <w:vAlign w:val="bottom"/>
          </w:tcPr>
          <w:p w14:paraId="4B9A43FE" w14:textId="77777777" w:rsidR="002A3970" w:rsidRDefault="002A3970">
            <w:pPr>
              <w:rPr>
                <w:rFonts w:ascii="宋体"/>
              </w:rPr>
            </w:pPr>
          </w:p>
        </w:tc>
        <w:tc>
          <w:tcPr>
            <w:tcW w:w="5" w:type="pct"/>
            <w:shd w:val="clear" w:color="auto" w:fill="auto"/>
            <w:vAlign w:val="bottom"/>
          </w:tcPr>
          <w:p w14:paraId="4B9A43FF" w14:textId="77777777" w:rsidR="002A3970" w:rsidRDefault="002A3970">
            <w:pPr>
              <w:rPr>
                <w:rFonts w:ascii="宋体"/>
              </w:rPr>
            </w:pPr>
          </w:p>
        </w:tc>
        <w:tc>
          <w:tcPr>
            <w:tcW w:w="5" w:type="pct"/>
            <w:shd w:val="clear" w:color="auto" w:fill="auto"/>
            <w:vAlign w:val="bottom"/>
          </w:tcPr>
          <w:p w14:paraId="4B9A4400" w14:textId="77777777" w:rsidR="002A3970" w:rsidRDefault="002A3970">
            <w:pPr>
              <w:rPr>
                <w:rFonts w:ascii="宋体"/>
              </w:rPr>
            </w:pPr>
          </w:p>
        </w:tc>
        <w:tc>
          <w:tcPr>
            <w:tcW w:w="26" w:type="pct"/>
            <w:shd w:val="clear" w:color="auto" w:fill="auto"/>
            <w:vAlign w:val="bottom"/>
          </w:tcPr>
          <w:p w14:paraId="4B9A4401" w14:textId="77777777" w:rsidR="002A3970" w:rsidRDefault="002A3970">
            <w:pPr>
              <w:rPr>
                <w:rFonts w:ascii="宋体"/>
              </w:rPr>
            </w:pPr>
          </w:p>
        </w:tc>
        <w:tc>
          <w:tcPr>
            <w:tcW w:w="5" w:type="pct"/>
            <w:shd w:val="clear" w:color="auto" w:fill="auto"/>
            <w:vAlign w:val="bottom"/>
          </w:tcPr>
          <w:p w14:paraId="4B9A4402" w14:textId="77777777" w:rsidR="002A3970" w:rsidRDefault="002A3970">
            <w:pPr>
              <w:rPr>
                <w:rFonts w:ascii="宋体"/>
              </w:rPr>
            </w:pPr>
          </w:p>
        </w:tc>
        <w:tc>
          <w:tcPr>
            <w:tcW w:w="50" w:type="pct"/>
            <w:shd w:val="clear" w:color="auto" w:fill="auto"/>
            <w:vAlign w:val="bottom"/>
          </w:tcPr>
          <w:p w14:paraId="4B9A4403" w14:textId="77777777" w:rsidR="002A3970" w:rsidRDefault="002A3970">
            <w:pPr>
              <w:rPr>
                <w:rFonts w:ascii="宋体"/>
              </w:rPr>
            </w:pPr>
          </w:p>
        </w:tc>
        <w:tc>
          <w:tcPr>
            <w:tcW w:w="529" w:type="pct"/>
            <w:shd w:val="clear" w:color="auto" w:fill="auto"/>
            <w:vAlign w:val="bottom"/>
          </w:tcPr>
          <w:p w14:paraId="4B9A4404" w14:textId="77777777" w:rsidR="002A3970" w:rsidRDefault="002A3970">
            <w:pPr>
              <w:rPr>
                <w:rFonts w:ascii="宋体"/>
              </w:rPr>
            </w:pPr>
          </w:p>
        </w:tc>
        <w:tc>
          <w:tcPr>
            <w:tcW w:w="5" w:type="pct"/>
            <w:shd w:val="clear" w:color="auto" w:fill="auto"/>
            <w:vAlign w:val="bottom"/>
          </w:tcPr>
          <w:p w14:paraId="4B9A4405" w14:textId="77777777" w:rsidR="002A3970" w:rsidRDefault="002A3970">
            <w:pPr>
              <w:rPr>
                <w:rFonts w:ascii="宋体"/>
              </w:rPr>
            </w:pPr>
          </w:p>
        </w:tc>
        <w:tc>
          <w:tcPr>
            <w:tcW w:w="5" w:type="pct"/>
            <w:shd w:val="clear" w:color="auto" w:fill="auto"/>
            <w:vAlign w:val="bottom"/>
          </w:tcPr>
          <w:p w14:paraId="4B9A4406" w14:textId="77777777" w:rsidR="002A3970" w:rsidRDefault="002A3970">
            <w:pPr>
              <w:rPr>
                <w:rFonts w:ascii="宋体"/>
              </w:rPr>
            </w:pPr>
          </w:p>
        </w:tc>
        <w:tc>
          <w:tcPr>
            <w:tcW w:w="26" w:type="pct"/>
            <w:shd w:val="clear" w:color="auto" w:fill="auto"/>
            <w:vAlign w:val="bottom"/>
          </w:tcPr>
          <w:p w14:paraId="4B9A4407" w14:textId="77777777" w:rsidR="002A3970" w:rsidRDefault="002A3970">
            <w:pPr>
              <w:rPr>
                <w:rFonts w:ascii="宋体"/>
              </w:rPr>
            </w:pPr>
          </w:p>
        </w:tc>
        <w:tc>
          <w:tcPr>
            <w:tcW w:w="5" w:type="pct"/>
            <w:shd w:val="clear" w:color="auto" w:fill="auto"/>
            <w:vAlign w:val="bottom"/>
          </w:tcPr>
          <w:p w14:paraId="4B9A4408" w14:textId="77777777" w:rsidR="002A3970" w:rsidRDefault="002A3970">
            <w:pPr>
              <w:rPr>
                <w:rFonts w:ascii="宋体"/>
              </w:rPr>
            </w:pPr>
          </w:p>
        </w:tc>
        <w:tc>
          <w:tcPr>
            <w:tcW w:w="50" w:type="pct"/>
            <w:shd w:val="clear" w:color="auto" w:fill="auto"/>
            <w:vAlign w:val="bottom"/>
          </w:tcPr>
          <w:p w14:paraId="4B9A4409" w14:textId="77777777" w:rsidR="002A3970" w:rsidRDefault="002A3970">
            <w:pPr>
              <w:rPr>
                <w:rFonts w:ascii="宋体"/>
              </w:rPr>
            </w:pPr>
          </w:p>
        </w:tc>
        <w:tc>
          <w:tcPr>
            <w:tcW w:w="529" w:type="pct"/>
            <w:shd w:val="clear" w:color="auto" w:fill="auto"/>
            <w:vAlign w:val="bottom"/>
          </w:tcPr>
          <w:p w14:paraId="4B9A440A" w14:textId="77777777" w:rsidR="002A3970" w:rsidRDefault="002A3970">
            <w:pPr>
              <w:rPr>
                <w:rFonts w:ascii="宋体"/>
              </w:rPr>
            </w:pPr>
          </w:p>
        </w:tc>
        <w:tc>
          <w:tcPr>
            <w:tcW w:w="5" w:type="pct"/>
            <w:shd w:val="clear" w:color="auto" w:fill="auto"/>
            <w:vAlign w:val="bottom"/>
          </w:tcPr>
          <w:p w14:paraId="4B9A440B" w14:textId="77777777" w:rsidR="002A3970" w:rsidRDefault="002A3970">
            <w:pPr>
              <w:rPr>
                <w:rFonts w:ascii="宋体"/>
              </w:rPr>
            </w:pPr>
          </w:p>
        </w:tc>
        <w:tc>
          <w:tcPr>
            <w:tcW w:w="5" w:type="pct"/>
            <w:shd w:val="clear" w:color="auto" w:fill="auto"/>
            <w:vAlign w:val="bottom"/>
          </w:tcPr>
          <w:p w14:paraId="4B9A440C" w14:textId="77777777" w:rsidR="002A3970" w:rsidRDefault="002A3970">
            <w:pPr>
              <w:rPr>
                <w:rFonts w:ascii="宋体"/>
              </w:rPr>
            </w:pPr>
          </w:p>
        </w:tc>
        <w:tc>
          <w:tcPr>
            <w:tcW w:w="26" w:type="pct"/>
            <w:shd w:val="clear" w:color="auto" w:fill="auto"/>
            <w:vAlign w:val="bottom"/>
          </w:tcPr>
          <w:p w14:paraId="4B9A440D" w14:textId="77777777" w:rsidR="002A3970" w:rsidRDefault="002A3970">
            <w:pPr>
              <w:rPr>
                <w:rFonts w:ascii="宋体"/>
              </w:rPr>
            </w:pPr>
          </w:p>
        </w:tc>
        <w:tc>
          <w:tcPr>
            <w:tcW w:w="5" w:type="pct"/>
            <w:shd w:val="clear" w:color="auto" w:fill="auto"/>
            <w:vAlign w:val="bottom"/>
          </w:tcPr>
          <w:p w14:paraId="4B9A440E" w14:textId="77777777" w:rsidR="002A3970" w:rsidRDefault="002A3970">
            <w:pPr>
              <w:rPr>
                <w:rFonts w:ascii="宋体"/>
              </w:rPr>
            </w:pPr>
          </w:p>
        </w:tc>
        <w:tc>
          <w:tcPr>
            <w:tcW w:w="50" w:type="pct"/>
            <w:shd w:val="clear" w:color="auto" w:fill="auto"/>
            <w:vAlign w:val="bottom"/>
          </w:tcPr>
          <w:p w14:paraId="4B9A440F" w14:textId="77777777" w:rsidR="002A3970" w:rsidRDefault="002A3970">
            <w:pPr>
              <w:rPr>
                <w:rFonts w:ascii="宋体"/>
              </w:rPr>
            </w:pPr>
          </w:p>
        </w:tc>
        <w:tc>
          <w:tcPr>
            <w:tcW w:w="530" w:type="pct"/>
            <w:shd w:val="clear" w:color="auto" w:fill="auto"/>
            <w:vAlign w:val="bottom"/>
          </w:tcPr>
          <w:p w14:paraId="4B9A4410" w14:textId="77777777" w:rsidR="002A3970" w:rsidRDefault="002A3970">
            <w:pPr>
              <w:rPr>
                <w:rFonts w:ascii="宋体"/>
              </w:rPr>
            </w:pPr>
          </w:p>
        </w:tc>
        <w:tc>
          <w:tcPr>
            <w:tcW w:w="5" w:type="pct"/>
            <w:shd w:val="clear" w:color="auto" w:fill="auto"/>
            <w:vAlign w:val="bottom"/>
          </w:tcPr>
          <w:p w14:paraId="4B9A4411" w14:textId="77777777" w:rsidR="002A3970" w:rsidRDefault="002A3970">
            <w:pPr>
              <w:rPr>
                <w:rFonts w:ascii="宋体"/>
              </w:rPr>
            </w:pPr>
          </w:p>
        </w:tc>
      </w:tr>
      <w:tr w:rsidR="002A3970" w14:paraId="4B9A4416" w14:textId="77777777">
        <w:tc>
          <w:tcPr>
            <w:tcW w:w="0" w:type="auto"/>
            <w:gridSpan w:val="3"/>
            <w:shd w:val="clear" w:color="auto" w:fill="auto"/>
            <w:tcMar>
              <w:top w:w="40" w:type="dxa"/>
              <w:left w:w="20" w:type="dxa"/>
              <w:bottom w:w="40" w:type="dxa"/>
              <w:right w:w="20" w:type="dxa"/>
            </w:tcMar>
            <w:vAlign w:val="bottom"/>
          </w:tcPr>
          <w:p w14:paraId="4B9A4413"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414" w14:textId="77777777" w:rsidR="002A3970" w:rsidRDefault="002A3970">
            <w:pPr>
              <w:rPr>
                <w:rFonts w:ascii="宋体"/>
              </w:rPr>
            </w:pPr>
          </w:p>
        </w:tc>
        <w:tc>
          <w:tcPr>
            <w:tcW w:w="0" w:type="auto"/>
            <w:gridSpan w:val="15"/>
            <w:shd w:val="clear" w:color="auto" w:fill="auto"/>
            <w:tcMar>
              <w:top w:w="40" w:type="dxa"/>
              <w:left w:w="20" w:type="dxa"/>
              <w:bottom w:w="40" w:type="dxa"/>
              <w:right w:w="20" w:type="dxa"/>
            </w:tcMar>
            <w:vAlign w:val="bottom"/>
          </w:tcPr>
          <w:p w14:paraId="4B9A4415" w14:textId="77777777" w:rsidR="002A3970" w:rsidRDefault="00C35E63">
            <w:pPr>
              <w:jc w:val="center"/>
              <w:textAlignment w:val="bottom"/>
            </w:pPr>
            <w:r>
              <w:rPr>
                <w:rFonts w:ascii="Times New Roman" w:eastAsia="宋体" w:hAnsi="Times New Roman"/>
                <w:b/>
                <w:bCs/>
                <w:color w:val="000000"/>
                <w:sz w:val="16"/>
                <w:szCs w:val="16"/>
              </w:rPr>
              <w:t xml:space="preserve">As of </w:t>
            </w:r>
            <w:r>
              <w:rPr>
                <w:rFonts w:ascii="Times New Roman" w:eastAsia="宋体" w:hAnsi="Times New Roman"/>
                <w:b/>
                <w:bCs/>
                <w:color w:val="000000"/>
                <w:sz w:val="16"/>
                <w:szCs w:val="16"/>
              </w:rPr>
              <w:t>October 31,</w:t>
            </w:r>
          </w:p>
        </w:tc>
      </w:tr>
      <w:tr w:rsidR="002A3970" w14:paraId="4B9A441E" w14:textId="77777777">
        <w:tc>
          <w:tcPr>
            <w:tcW w:w="0" w:type="auto"/>
            <w:gridSpan w:val="3"/>
            <w:shd w:val="clear" w:color="auto" w:fill="auto"/>
            <w:tcMar>
              <w:top w:w="40" w:type="dxa"/>
              <w:left w:w="20" w:type="dxa"/>
              <w:bottom w:w="40" w:type="dxa"/>
              <w:right w:w="20" w:type="dxa"/>
            </w:tcMar>
            <w:vAlign w:val="bottom"/>
          </w:tcPr>
          <w:p w14:paraId="4B9A4417"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418"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419"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41A"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41B"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41C"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41D" w14:textId="77777777" w:rsidR="002A3970" w:rsidRDefault="00C35E63">
            <w:pPr>
              <w:jc w:val="center"/>
              <w:textAlignment w:val="bottom"/>
            </w:pPr>
            <w:r>
              <w:rPr>
                <w:rFonts w:ascii="Times New Roman" w:eastAsia="宋体" w:hAnsi="Times New Roman"/>
                <w:b/>
                <w:bCs/>
                <w:color w:val="000000"/>
                <w:sz w:val="16"/>
                <w:szCs w:val="16"/>
              </w:rPr>
              <w:t>2020</w:t>
            </w:r>
          </w:p>
        </w:tc>
      </w:tr>
      <w:tr w:rsidR="002A3970" w14:paraId="4B9A4426" w14:textId="77777777">
        <w:tc>
          <w:tcPr>
            <w:tcW w:w="0" w:type="auto"/>
            <w:gridSpan w:val="3"/>
            <w:shd w:val="clear" w:color="auto" w:fill="auto"/>
            <w:tcMar>
              <w:top w:w="40" w:type="dxa"/>
              <w:left w:w="20" w:type="dxa"/>
              <w:bottom w:w="40" w:type="dxa"/>
              <w:right w:w="20" w:type="dxa"/>
            </w:tcMar>
            <w:vAlign w:val="bottom"/>
          </w:tcPr>
          <w:p w14:paraId="4B9A441F" w14:textId="77777777" w:rsidR="002A3970" w:rsidRDefault="00C35E63">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vAlign w:val="bottom"/>
          </w:tcPr>
          <w:p w14:paraId="4B9A4420"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42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422"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42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424"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425" w14:textId="77777777" w:rsidR="002A3970" w:rsidRDefault="002A3970">
            <w:pPr>
              <w:rPr>
                <w:rFonts w:ascii="宋体"/>
              </w:rPr>
            </w:pPr>
          </w:p>
        </w:tc>
      </w:tr>
      <w:tr w:rsidR="002A3970" w14:paraId="4B9A4434" w14:textId="77777777">
        <w:tc>
          <w:tcPr>
            <w:tcW w:w="0" w:type="auto"/>
            <w:gridSpan w:val="3"/>
            <w:shd w:val="clear" w:color="auto" w:fill="CCEEFF"/>
            <w:tcMar>
              <w:top w:w="40" w:type="dxa"/>
              <w:left w:w="20" w:type="dxa"/>
              <w:bottom w:w="40" w:type="dxa"/>
              <w:right w:w="20" w:type="dxa"/>
            </w:tcMar>
            <w:vAlign w:val="center"/>
          </w:tcPr>
          <w:p w14:paraId="4B9A4427" w14:textId="77777777" w:rsidR="002A3970" w:rsidRDefault="00C35E63">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vAlign w:val="bottom"/>
          </w:tcPr>
          <w:p w14:paraId="4B9A4428"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429"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42A" w14:textId="77777777" w:rsidR="002A3970" w:rsidRDefault="00C35E63">
            <w:pPr>
              <w:jc w:val="right"/>
              <w:textAlignment w:val="center"/>
            </w:pPr>
            <w:r>
              <w:rPr>
                <w:rFonts w:ascii="Times New Roman" w:eastAsia="宋体" w:hAnsi="Times New Roman"/>
                <w:color w:val="000000"/>
                <w:sz w:val="16"/>
                <w:szCs w:val="16"/>
              </w:rPr>
              <w:t>247,656 </w:t>
            </w:r>
          </w:p>
        </w:tc>
        <w:tc>
          <w:tcPr>
            <w:tcW w:w="0" w:type="auto"/>
            <w:shd w:val="clear" w:color="auto" w:fill="CCEEFF"/>
            <w:tcMar>
              <w:top w:w="40" w:type="dxa"/>
              <w:left w:w="0" w:type="dxa"/>
              <w:bottom w:w="40" w:type="dxa"/>
              <w:right w:w="20" w:type="dxa"/>
            </w:tcMar>
            <w:vAlign w:val="center"/>
          </w:tcPr>
          <w:p w14:paraId="4B9A442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2C"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42D"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42E" w14:textId="77777777" w:rsidR="002A3970" w:rsidRDefault="00C35E63">
            <w:pPr>
              <w:jc w:val="right"/>
              <w:textAlignment w:val="center"/>
            </w:pPr>
            <w:r>
              <w:rPr>
                <w:rFonts w:ascii="Times New Roman" w:eastAsia="宋体" w:hAnsi="Times New Roman"/>
                <w:color w:val="000000"/>
                <w:sz w:val="16"/>
                <w:szCs w:val="16"/>
              </w:rPr>
              <w:t>244,851 </w:t>
            </w:r>
          </w:p>
        </w:tc>
        <w:tc>
          <w:tcPr>
            <w:tcW w:w="0" w:type="auto"/>
            <w:shd w:val="clear" w:color="auto" w:fill="CCEEFF"/>
            <w:tcMar>
              <w:top w:w="40" w:type="dxa"/>
              <w:left w:w="0" w:type="dxa"/>
              <w:bottom w:w="40" w:type="dxa"/>
              <w:right w:w="20" w:type="dxa"/>
            </w:tcMar>
            <w:vAlign w:val="center"/>
          </w:tcPr>
          <w:p w14:paraId="4B9A442F"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30"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431"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432" w14:textId="77777777" w:rsidR="002A3970" w:rsidRDefault="00C35E63">
            <w:pPr>
              <w:jc w:val="right"/>
              <w:textAlignment w:val="center"/>
            </w:pPr>
            <w:r>
              <w:rPr>
                <w:rFonts w:ascii="Times New Roman" w:eastAsia="宋体" w:hAnsi="Times New Roman"/>
                <w:color w:val="000000"/>
                <w:sz w:val="16"/>
                <w:szCs w:val="16"/>
              </w:rPr>
              <w:t>250,863 </w:t>
            </w:r>
          </w:p>
        </w:tc>
        <w:tc>
          <w:tcPr>
            <w:tcW w:w="0" w:type="auto"/>
            <w:shd w:val="clear" w:color="auto" w:fill="CCEEFF"/>
            <w:tcMar>
              <w:top w:w="40" w:type="dxa"/>
              <w:left w:w="0" w:type="dxa"/>
              <w:bottom w:w="40" w:type="dxa"/>
              <w:right w:w="20" w:type="dxa"/>
            </w:tcMar>
            <w:vAlign w:val="center"/>
          </w:tcPr>
          <w:p w14:paraId="4B9A4433" w14:textId="77777777" w:rsidR="002A3970" w:rsidRDefault="002A3970">
            <w:pPr>
              <w:jc w:val="right"/>
              <w:rPr>
                <w:rFonts w:ascii="宋体"/>
              </w:rPr>
            </w:pPr>
          </w:p>
        </w:tc>
      </w:tr>
      <w:tr w:rsidR="002A3970" w14:paraId="4B9A443F" w14:textId="77777777">
        <w:tc>
          <w:tcPr>
            <w:tcW w:w="0" w:type="auto"/>
            <w:gridSpan w:val="3"/>
            <w:shd w:val="clear" w:color="auto" w:fill="FFFFFF"/>
            <w:tcMar>
              <w:top w:w="40" w:type="dxa"/>
              <w:left w:w="20" w:type="dxa"/>
              <w:bottom w:w="40" w:type="dxa"/>
              <w:right w:w="20" w:type="dxa"/>
            </w:tcMar>
            <w:vAlign w:val="center"/>
          </w:tcPr>
          <w:p w14:paraId="4B9A4435" w14:textId="77777777" w:rsidR="002A3970" w:rsidRDefault="00C35E63">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vAlign w:val="bottom"/>
          </w:tcPr>
          <w:p w14:paraId="4B9A443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37" w14:textId="77777777" w:rsidR="002A3970" w:rsidRDefault="00C35E63">
            <w:pPr>
              <w:jc w:val="right"/>
              <w:textAlignment w:val="center"/>
            </w:pPr>
            <w:r>
              <w:rPr>
                <w:rFonts w:ascii="Times New Roman" w:eastAsia="宋体" w:hAnsi="Times New Roman"/>
                <w:color w:val="000000"/>
                <w:sz w:val="16"/>
                <w:szCs w:val="16"/>
              </w:rPr>
              <w:t>107,628 </w:t>
            </w:r>
          </w:p>
        </w:tc>
        <w:tc>
          <w:tcPr>
            <w:tcW w:w="0" w:type="auto"/>
            <w:shd w:val="clear" w:color="auto" w:fill="FFFFFF"/>
            <w:tcMar>
              <w:top w:w="40" w:type="dxa"/>
              <w:left w:w="0" w:type="dxa"/>
              <w:bottom w:w="40" w:type="dxa"/>
              <w:right w:w="20" w:type="dxa"/>
            </w:tcMar>
            <w:vAlign w:val="center"/>
          </w:tcPr>
          <w:p w14:paraId="4B9A443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43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3A" w14:textId="77777777" w:rsidR="002A3970" w:rsidRDefault="00C35E63">
            <w:pPr>
              <w:jc w:val="right"/>
              <w:textAlignment w:val="center"/>
            </w:pPr>
            <w:r>
              <w:rPr>
                <w:rFonts w:ascii="Times New Roman" w:eastAsia="宋体" w:hAnsi="Times New Roman"/>
                <w:color w:val="000000"/>
                <w:sz w:val="16"/>
                <w:szCs w:val="16"/>
              </w:rPr>
              <w:t>100,168 </w:t>
            </w:r>
          </w:p>
        </w:tc>
        <w:tc>
          <w:tcPr>
            <w:tcW w:w="0" w:type="auto"/>
            <w:shd w:val="clear" w:color="auto" w:fill="FFFFFF"/>
            <w:tcMar>
              <w:top w:w="40" w:type="dxa"/>
              <w:left w:w="0" w:type="dxa"/>
              <w:bottom w:w="40" w:type="dxa"/>
              <w:right w:w="20" w:type="dxa"/>
            </w:tcMar>
            <w:vAlign w:val="center"/>
          </w:tcPr>
          <w:p w14:paraId="4B9A443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43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3D" w14:textId="77777777" w:rsidR="002A3970" w:rsidRDefault="00C35E63">
            <w:pPr>
              <w:jc w:val="right"/>
              <w:textAlignment w:val="center"/>
            </w:pPr>
            <w:r>
              <w:rPr>
                <w:rFonts w:ascii="Times New Roman" w:eastAsia="宋体" w:hAnsi="Times New Roman"/>
                <w:color w:val="000000"/>
                <w:sz w:val="16"/>
                <w:szCs w:val="16"/>
              </w:rPr>
              <w:t>99,576 </w:t>
            </w:r>
          </w:p>
        </w:tc>
        <w:tc>
          <w:tcPr>
            <w:tcW w:w="0" w:type="auto"/>
            <w:shd w:val="clear" w:color="auto" w:fill="FFFFFF"/>
            <w:tcMar>
              <w:top w:w="40" w:type="dxa"/>
              <w:left w:w="0" w:type="dxa"/>
              <w:bottom w:w="40" w:type="dxa"/>
              <w:right w:w="20" w:type="dxa"/>
            </w:tcMar>
            <w:vAlign w:val="center"/>
          </w:tcPr>
          <w:p w14:paraId="4B9A443E" w14:textId="77777777" w:rsidR="002A3970" w:rsidRDefault="002A3970">
            <w:pPr>
              <w:jc w:val="right"/>
              <w:rPr>
                <w:rFonts w:ascii="宋体"/>
              </w:rPr>
            </w:pPr>
          </w:p>
        </w:tc>
      </w:tr>
      <w:tr w:rsidR="002A3970" w14:paraId="4B9A444A" w14:textId="77777777">
        <w:tc>
          <w:tcPr>
            <w:tcW w:w="0" w:type="auto"/>
            <w:gridSpan w:val="3"/>
            <w:shd w:val="clear" w:color="auto" w:fill="CCEEFF"/>
            <w:tcMar>
              <w:top w:w="40" w:type="dxa"/>
              <w:left w:w="20" w:type="dxa"/>
              <w:bottom w:w="40" w:type="dxa"/>
              <w:right w:w="20" w:type="dxa"/>
            </w:tcMar>
            <w:vAlign w:val="center"/>
          </w:tcPr>
          <w:p w14:paraId="4B9A4440" w14:textId="77777777" w:rsidR="002A3970" w:rsidRDefault="00C35E63">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4B9A444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442" w14:textId="77777777" w:rsidR="002A3970" w:rsidRDefault="00C35E63">
            <w:pPr>
              <w:jc w:val="right"/>
              <w:textAlignment w:val="center"/>
            </w:pPr>
            <w:r>
              <w:rPr>
                <w:rFonts w:ascii="Times New Roman" w:eastAsia="宋体" w:hAnsi="Times New Roman"/>
                <w:color w:val="000000"/>
                <w:sz w:val="16"/>
                <w:szCs w:val="16"/>
              </w:rPr>
              <w:t>57,263 </w:t>
            </w:r>
          </w:p>
        </w:tc>
        <w:tc>
          <w:tcPr>
            <w:tcW w:w="0" w:type="auto"/>
            <w:shd w:val="clear" w:color="auto" w:fill="CCEEFF"/>
            <w:tcMar>
              <w:top w:w="40" w:type="dxa"/>
              <w:left w:w="0" w:type="dxa"/>
              <w:bottom w:w="40" w:type="dxa"/>
              <w:right w:w="20" w:type="dxa"/>
            </w:tcMar>
            <w:vAlign w:val="center"/>
          </w:tcPr>
          <w:p w14:paraId="4B9A444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4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445" w14:textId="77777777" w:rsidR="002A3970" w:rsidRDefault="00C35E63">
            <w:pPr>
              <w:jc w:val="right"/>
              <w:textAlignment w:val="center"/>
            </w:pPr>
            <w:r>
              <w:rPr>
                <w:rFonts w:ascii="Times New Roman" w:eastAsia="宋体" w:hAnsi="Times New Roman"/>
                <w:color w:val="000000"/>
                <w:sz w:val="16"/>
                <w:szCs w:val="16"/>
              </w:rPr>
              <w:t>57,156 </w:t>
            </w:r>
          </w:p>
        </w:tc>
        <w:tc>
          <w:tcPr>
            <w:tcW w:w="0" w:type="auto"/>
            <w:shd w:val="clear" w:color="auto" w:fill="CCEEFF"/>
            <w:tcMar>
              <w:top w:w="40" w:type="dxa"/>
              <w:left w:w="0" w:type="dxa"/>
              <w:bottom w:w="40" w:type="dxa"/>
              <w:right w:w="20" w:type="dxa"/>
            </w:tcMar>
            <w:vAlign w:val="center"/>
          </w:tcPr>
          <w:p w14:paraId="4B9A444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4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448" w14:textId="77777777" w:rsidR="002A3970" w:rsidRDefault="00C35E63">
            <w:pPr>
              <w:jc w:val="right"/>
              <w:textAlignment w:val="center"/>
            </w:pPr>
            <w:r>
              <w:rPr>
                <w:rFonts w:ascii="Times New Roman" w:eastAsia="宋体" w:hAnsi="Times New Roman"/>
                <w:color w:val="000000"/>
                <w:sz w:val="16"/>
                <w:szCs w:val="16"/>
              </w:rPr>
              <w:t>54,152 </w:t>
            </w:r>
          </w:p>
        </w:tc>
        <w:tc>
          <w:tcPr>
            <w:tcW w:w="0" w:type="auto"/>
            <w:shd w:val="clear" w:color="auto" w:fill="CCEEFF"/>
            <w:tcMar>
              <w:top w:w="40" w:type="dxa"/>
              <w:left w:w="0" w:type="dxa"/>
              <w:bottom w:w="40" w:type="dxa"/>
              <w:right w:w="20" w:type="dxa"/>
            </w:tcMar>
            <w:vAlign w:val="center"/>
          </w:tcPr>
          <w:p w14:paraId="4B9A4449" w14:textId="77777777" w:rsidR="002A3970" w:rsidRDefault="002A3970">
            <w:pPr>
              <w:jc w:val="right"/>
              <w:rPr>
                <w:rFonts w:ascii="宋体"/>
              </w:rPr>
            </w:pPr>
          </w:p>
        </w:tc>
      </w:tr>
      <w:tr w:rsidR="002A3970" w14:paraId="4B9A4455" w14:textId="77777777">
        <w:tc>
          <w:tcPr>
            <w:tcW w:w="0" w:type="auto"/>
            <w:gridSpan w:val="3"/>
            <w:shd w:val="clear" w:color="auto" w:fill="FFFFFF"/>
            <w:tcMar>
              <w:top w:w="40" w:type="dxa"/>
              <w:left w:w="20" w:type="dxa"/>
              <w:bottom w:w="40" w:type="dxa"/>
              <w:right w:w="20" w:type="dxa"/>
            </w:tcMar>
            <w:vAlign w:val="center"/>
          </w:tcPr>
          <w:p w14:paraId="4B9A444B" w14:textId="77777777" w:rsidR="002A3970" w:rsidRDefault="00C35E63">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4B9A444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4D" w14:textId="77777777" w:rsidR="002A3970" w:rsidRDefault="00C35E63">
            <w:pPr>
              <w:jc w:val="right"/>
              <w:textAlignment w:val="center"/>
            </w:pPr>
            <w:r>
              <w:rPr>
                <w:rFonts w:ascii="Times New Roman" w:eastAsia="宋体" w:hAnsi="Times New Roman"/>
                <w:color w:val="000000"/>
                <w:sz w:val="16"/>
                <w:szCs w:val="16"/>
              </w:rPr>
              <w:t>27,443 </w:t>
            </w:r>
          </w:p>
        </w:tc>
        <w:tc>
          <w:tcPr>
            <w:tcW w:w="0" w:type="auto"/>
            <w:shd w:val="clear" w:color="auto" w:fill="FFFFFF"/>
            <w:tcMar>
              <w:top w:w="40" w:type="dxa"/>
              <w:left w:w="0" w:type="dxa"/>
              <w:bottom w:w="40" w:type="dxa"/>
              <w:right w:w="20" w:type="dxa"/>
            </w:tcMar>
            <w:vAlign w:val="center"/>
          </w:tcPr>
          <w:p w14:paraId="4B9A444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44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50" w14:textId="77777777" w:rsidR="002A3970" w:rsidRDefault="00C35E63">
            <w:pPr>
              <w:jc w:val="right"/>
              <w:textAlignment w:val="center"/>
            </w:pPr>
            <w:r>
              <w:rPr>
                <w:rFonts w:ascii="Times New Roman" w:eastAsia="宋体" w:hAnsi="Times New Roman"/>
                <w:color w:val="000000"/>
                <w:sz w:val="16"/>
                <w:szCs w:val="16"/>
              </w:rPr>
              <w:t>24,474 </w:t>
            </w:r>
          </w:p>
        </w:tc>
        <w:tc>
          <w:tcPr>
            <w:tcW w:w="0" w:type="auto"/>
            <w:shd w:val="clear" w:color="auto" w:fill="FFFFFF"/>
            <w:tcMar>
              <w:top w:w="40" w:type="dxa"/>
              <w:left w:w="0" w:type="dxa"/>
              <w:bottom w:w="40" w:type="dxa"/>
              <w:right w:w="20" w:type="dxa"/>
            </w:tcMar>
            <w:vAlign w:val="center"/>
          </w:tcPr>
          <w:p w14:paraId="4B9A445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45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53" w14:textId="77777777" w:rsidR="002A3970" w:rsidRDefault="00C35E63">
            <w:pPr>
              <w:jc w:val="right"/>
              <w:textAlignment w:val="center"/>
            </w:pPr>
            <w:r>
              <w:rPr>
                <w:rFonts w:ascii="Times New Roman" w:eastAsia="宋体" w:hAnsi="Times New Roman"/>
                <w:color w:val="000000"/>
                <w:sz w:val="16"/>
                <w:szCs w:val="16"/>
              </w:rPr>
              <w:t>24,995 </w:t>
            </w:r>
          </w:p>
        </w:tc>
        <w:tc>
          <w:tcPr>
            <w:tcW w:w="0" w:type="auto"/>
            <w:shd w:val="clear" w:color="auto" w:fill="FFFFFF"/>
            <w:tcMar>
              <w:top w:w="40" w:type="dxa"/>
              <w:left w:w="0" w:type="dxa"/>
              <w:bottom w:w="40" w:type="dxa"/>
              <w:right w:w="20" w:type="dxa"/>
            </w:tcMar>
            <w:vAlign w:val="center"/>
          </w:tcPr>
          <w:p w14:paraId="4B9A4454" w14:textId="77777777" w:rsidR="002A3970" w:rsidRDefault="002A3970">
            <w:pPr>
              <w:jc w:val="right"/>
              <w:rPr>
                <w:rFonts w:ascii="宋体"/>
              </w:rPr>
            </w:pPr>
          </w:p>
        </w:tc>
      </w:tr>
    </w:tbl>
    <w:p w14:paraId="4B9A4456" w14:textId="77777777" w:rsidR="002A3970" w:rsidRDefault="00C35E63">
      <w:r>
        <w:rPr>
          <w:rFonts w:ascii="Times New Roman" w:eastAsia="宋体" w:hAnsi="Times New Roman"/>
          <w:color w:val="000000"/>
          <w:sz w:val="20"/>
          <w:szCs w:val="20"/>
        </w:rPr>
        <w:t> </w:t>
      </w:r>
    </w:p>
    <w:p w14:paraId="4B9A4457" w14:textId="77777777" w:rsidR="002A3970" w:rsidRDefault="002A3970">
      <w:pPr>
        <w:ind w:hanging="180"/>
      </w:pPr>
    </w:p>
    <w:p w14:paraId="4B9A4458" w14:textId="77777777" w:rsidR="002A3970" w:rsidRDefault="002A3970">
      <w:pPr>
        <w:ind w:hanging="360"/>
      </w:pPr>
    </w:p>
    <w:p w14:paraId="4B9A4459" w14:textId="77777777" w:rsidR="002A3970" w:rsidRDefault="002A3970">
      <w:pPr>
        <w:ind w:hanging="360"/>
      </w:pPr>
    </w:p>
    <w:p w14:paraId="4B9A445A" w14:textId="77777777" w:rsidR="002A3970" w:rsidRDefault="002A3970">
      <w:pPr>
        <w:ind w:hanging="360"/>
      </w:pPr>
    </w:p>
    <w:p w14:paraId="4B9A445B" w14:textId="77777777" w:rsidR="002A3970" w:rsidRDefault="00C35E63">
      <w:pPr>
        <w:jc w:val="center"/>
      </w:pPr>
      <w:r>
        <w:rPr>
          <w:rFonts w:ascii="Times New Roman" w:eastAsia="宋体" w:hAnsi="Times New Roman"/>
          <w:color w:val="000000"/>
          <w:sz w:val="20"/>
          <w:szCs w:val="20"/>
        </w:rPr>
        <w:t>20</w:t>
      </w:r>
    </w:p>
    <w:p w14:paraId="4B9A445C" w14:textId="77777777" w:rsidR="002A3970" w:rsidRDefault="00C35E63">
      <w:r>
        <w:pict w14:anchorId="4B9A4C29">
          <v:rect id="_x0000_i1044" style="width:415.3pt;height:1.5pt" o:hralign="center" o:hrstd="t" o:hr="t" fillcolor="#a0a0a0" stroked="f"/>
        </w:pict>
      </w:r>
    </w:p>
    <w:p w14:paraId="4B9A445D" w14:textId="77777777" w:rsidR="002A3970" w:rsidRDefault="00C35E63">
      <w:hyperlink r:id="rId63" w:anchor="i0522a2f6333e456295d59e779af751cb_7" w:history="1">
        <w:r>
          <w:rPr>
            <w:rStyle w:val="a5"/>
            <w:rFonts w:ascii="Times New Roman" w:eastAsia="宋体" w:hAnsi="Times New Roman"/>
            <w:sz w:val="20"/>
            <w:szCs w:val="20"/>
          </w:rPr>
          <w:t>Table of Contents</w:t>
        </w:r>
      </w:hyperlink>
    </w:p>
    <w:p w14:paraId="4B9A445E" w14:textId="77777777" w:rsidR="002A3970" w:rsidRDefault="00C35E63">
      <w:r>
        <w:rPr>
          <w:rFonts w:ascii="Times New Roman" w:eastAsia="宋体" w:hAnsi="Times New Roman"/>
          <w:i/>
          <w:iCs/>
          <w:color w:val="000000"/>
          <w:sz w:val="20"/>
          <w:szCs w:val="20"/>
        </w:rPr>
        <w:t>Free Cash Flow</w:t>
      </w:r>
    </w:p>
    <w:p w14:paraId="4B9A445F" w14:textId="77777777" w:rsidR="002A3970" w:rsidRDefault="00C35E63">
      <w:pPr>
        <w:spacing w:before="100"/>
      </w:pPr>
      <w:r>
        <w:rPr>
          <w:rFonts w:ascii="Times New Roman" w:eastAsia="宋体" w:hAnsi="Times New Roman"/>
          <w:color w:val="000000"/>
          <w:sz w:val="20"/>
          <w:szCs w:val="20"/>
        </w:rPr>
        <w:t>Free cash flow is considered a non-GAAP financial measure. Management b</w:t>
      </w:r>
      <w:r>
        <w:rPr>
          <w:rFonts w:ascii="Times New Roman" w:eastAsia="宋体" w:hAnsi="Times New Roman"/>
          <w:color w:val="000000"/>
          <w:sz w:val="20"/>
          <w:szCs w:val="20"/>
        </w:rPr>
        <w:t xml:space="preserve">elieves, however, that free cash flow, which measures our ability to generate additional cash from our business operations, is an important financial measure for use in evaluating the Company's financial performance. Free cash flow should be considered in </w:t>
      </w:r>
      <w:r>
        <w:rPr>
          <w:rFonts w:ascii="Times New Roman" w:eastAsia="宋体" w:hAnsi="Times New Roman"/>
          <w:color w:val="000000"/>
          <w:sz w:val="20"/>
          <w:szCs w:val="20"/>
        </w:rPr>
        <w:t xml:space="preserve">addition to, rather than as a substitute for, consolidated net income as a measure of our performance and net cash provided by operating activities as a measure of our liquidity. See </w:t>
      </w:r>
      <w:hyperlink r:id="rId64" w:anchor="i0522a2f6333e456295d59e779af751cb_97"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 </w:t>
      </w:r>
      <w:r>
        <w:rPr>
          <w:rFonts w:ascii="Times New Roman" w:eastAsia="宋体" w:hAnsi="Times New Roman"/>
          <w:color w:val="000000"/>
          <w:sz w:val="20"/>
          <w:szCs w:val="20"/>
        </w:rPr>
        <w:t>financing activities.</w:t>
      </w:r>
    </w:p>
    <w:p w14:paraId="4B9A4460" w14:textId="77777777" w:rsidR="002A3970" w:rsidRDefault="00C35E63">
      <w:pPr>
        <w:spacing w:before="100" w:after="100"/>
      </w:pPr>
      <w:r>
        <w:rPr>
          <w:rFonts w:ascii="Times New Roman" w:eastAsia="宋体" w:hAnsi="Times New Roman"/>
          <w:color w:val="000000"/>
          <w:sz w:val="20"/>
          <w:szCs w:val="20"/>
        </w:rPr>
        <w:t>We define free cash flow as net cash provided by operating activities in a period minus payments for property and equipment made in that period. Net cash provided by operating activities was $15.7 billion for the nine months ended Oct</w:t>
      </w:r>
      <w:r>
        <w:rPr>
          <w:rFonts w:ascii="Times New Roman" w:eastAsia="宋体" w:hAnsi="Times New Roman"/>
          <w:color w:val="000000"/>
          <w:sz w:val="20"/>
          <w:szCs w:val="20"/>
        </w:rPr>
        <w:t>ober 31, 2022, which represents a decline of $0.6 billion when compared to the same period in the prior year. The decline is primarily due to the timing of certain payments and a decrease in operating income, partially offset by moderated inventory purchas</w:t>
      </w:r>
      <w:r>
        <w:rPr>
          <w:rFonts w:ascii="Times New Roman" w:eastAsia="宋体" w:hAnsi="Times New Roman"/>
          <w:color w:val="000000"/>
          <w:sz w:val="20"/>
          <w:szCs w:val="20"/>
        </w:rPr>
        <w:t>es. Free cash flow for the nine months ended October 31, 2022 was $3.6 billion, which represents a decline of $4.1 billion when compared to the same period in the prior year. The decline in free cash flow is due to the reduction in operating cash flows des</w:t>
      </w:r>
      <w:r>
        <w:rPr>
          <w:rFonts w:ascii="Times New Roman" w:eastAsia="宋体" w:hAnsi="Times New Roman"/>
          <w:color w:val="000000"/>
          <w:sz w:val="20"/>
          <w:szCs w:val="20"/>
        </w:rPr>
        <w:t xml:space="preserve">cribed above, as well as an increase of $3.5 billion in capital expenditures to support our investment strategy. </w:t>
      </w:r>
    </w:p>
    <w:p w14:paraId="4B9A4461" w14:textId="77777777" w:rsidR="002A3970" w:rsidRDefault="00C35E63">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 d</w:t>
      </w:r>
      <w:r>
        <w:rPr>
          <w:rFonts w:ascii="Times New Roman" w:eastAsia="宋体" w:hAnsi="Times New Roman"/>
          <w:color w:val="000000"/>
          <w:sz w:val="20"/>
          <w:szCs w:val="20"/>
        </w:rPr>
        <w:t>ue to the fact that the measure does not deduct the payments required for debt service and other contractual obligations or payments made for business acquisitions. Therefore, we believe it is important to view free cash flow as a measure that provides sup</w:t>
      </w:r>
      <w:r>
        <w:rPr>
          <w:rFonts w:ascii="Times New Roman" w:eastAsia="宋体" w:hAnsi="Times New Roman"/>
          <w:color w:val="000000"/>
          <w:sz w:val="20"/>
          <w:szCs w:val="20"/>
        </w:rPr>
        <w:t>plemental information to our Condensed Consolidated Statements of Cash Flows.</w:t>
      </w:r>
    </w:p>
    <w:p w14:paraId="4B9A4462" w14:textId="77777777" w:rsidR="002A3970" w:rsidRDefault="00C35E63">
      <w:pPr>
        <w:spacing w:before="100"/>
      </w:pPr>
      <w:r>
        <w:rPr>
          <w:rFonts w:ascii="Times New Roman" w:eastAsia="宋体" w:hAnsi="Times New Roman"/>
          <w:color w:val="000000"/>
          <w:sz w:val="20"/>
          <w:szCs w:val="20"/>
        </w:rPr>
        <w:t>Although other companies report their free cash flow, numerous methods may exist for calculating a company's free cash flow. As a result, the method used by management to calcula</w:t>
      </w:r>
      <w:r>
        <w:rPr>
          <w:rFonts w:ascii="Times New Roman" w:eastAsia="宋体" w:hAnsi="Times New Roman"/>
          <w:color w:val="000000"/>
          <w:sz w:val="20"/>
          <w:szCs w:val="20"/>
        </w:rPr>
        <w:t>te our free cash flow may differ from the methods used by other companies to calculate their free cash flow.</w:t>
      </w:r>
    </w:p>
    <w:p w14:paraId="4B9A4463" w14:textId="77777777" w:rsidR="002A3970" w:rsidRDefault="00C35E63">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activities, whic</w:t>
      </w:r>
      <w:r>
        <w:rPr>
          <w:rFonts w:ascii="Times New Roman" w:eastAsia="宋体" w:hAnsi="Times New Roman"/>
          <w:color w:val="000000"/>
          <w:sz w:val="20"/>
          <w:szCs w:val="20"/>
        </w:rPr>
        <w:t>h we believe to be the GAAP financial measure most directly comparable to free cash flow, as well as information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493"/>
        <w:gridCol w:w="37"/>
        <w:gridCol w:w="36"/>
        <w:gridCol w:w="36"/>
        <w:gridCol w:w="36"/>
        <w:gridCol w:w="36"/>
        <w:gridCol w:w="36"/>
        <w:gridCol w:w="200"/>
        <w:gridCol w:w="200"/>
        <w:gridCol w:w="200"/>
        <w:gridCol w:w="36"/>
        <w:gridCol w:w="36"/>
        <w:gridCol w:w="36"/>
        <w:gridCol w:w="100"/>
        <w:gridCol w:w="732"/>
        <w:gridCol w:w="36"/>
        <w:gridCol w:w="36"/>
        <w:gridCol w:w="36"/>
        <w:gridCol w:w="36"/>
        <w:gridCol w:w="100"/>
        <w:gridCol w:w="756"/>
        <w:gridCol w:w="36"/>
      </w:tblGrid>
      <w:tr w:rsidR="002A3970" w14:paraId="4B9A4479" w14:textId="77777777">
        <w:trPr>
          <w:jc w:val="center"/>
        </w:trPr>
        <w:tc>
          <w:tcPr>
            <w:tcW w:w="50" w:type="pct"/>
            <w:shd w:val="clear" w:color="auto" w:fill="auto"/>
            <w:vAlign w:val="bottom"/>
          </w:tcPr>
          <w:p w14:paraId="4B9A4464" w14:textId="77777777" w:rsidR="002A3970" w:rsidRDefault="002A3970">
            <w:pPr>
              <w:rPr>
                <w:rFonts w:ascii="宋体"/>
              </w:rPr>
            </w:pPr>
          </w:p>
        </w:tc>
        <w:tc>
          <w:tcPr>
            <w:tcW w:w="3671" w:type="pct"/>
            <w:shd w:val="clear" w:color="auto" w:fill="auto"/>
            <w:vAlign w:val="bottom"/>
          </w:tcPr>
          <w:p w14:paraId="4B9A4465" w14:textId="77777777" w:rsidR="002A3970" w:rsidRDefault="002A3970">
            <w:pPr>
              <w:rPr>
                <w:rFonts w:ascii="宋体"/>
              </w:rPr>
            </w:pPr>
          </w:p>
        </w:tc>
        <w:tc>
          <w:tcPr>
            <w:tcW w:w="5" w:type="pct"/>
            <w:shd w:val="clear" w:color="auto" w:fill="auto"/>
            <w:vAlign w:val="bottom"/>
          </w:tcPr>
          <w:p w14:paraId="4B9A4466" w14:textId="77777777" w:rsidR="002A3970" w:rsidRDefault="002A3970">
            <w:pPr>
              <w:rPr>
                <w:rFonts w:ascii="宋体"/>
              </w:rPr>
            </w:pPr>
          </w:p>
        </w:tc>
        <w:tc>
          <w:tcPr>
            <w:tcW w:w="5" w:type="pct"/>
            <w:shd w:val="clear" w:color="auto" w:fill="auto"/>
            <w:vAlign w:val="bottom"/>
          </w:tcPr>
          <w:p w14:paraId="4B9A4467" w14:textId="77777777" w:rsidR="002A3970" w:rsidRDefault="002A3970">
            <w:pPr>
              <w:rPr>
                <w:rFonts w:ascii="宋体"/>
              </w:rPr>
            </w:pPr>
          </w:p>
        </w:tc>
        <w:tc>
          <w:tcPr>
            <w:tcW w:w="26" w:type="pct"/>
            <w:shd w:val="clear" w:color="auto" w:fill="auto"/>
            <w:vAlign w:val="bottom"/>
          </w:tcPr>
          <w:p w14:paraId="4B9A4468" w14:textId="77777777" w:rsidR="002A3970" w:rsidRDefault="002A3970">
            <w:pPr>
              <w:rPr>
                <w:rFonts w:ascii="宋体"/>
              </w:rPr>
            </w:pPr>
          </w:p>
        </w:tc>
        <w:tc>
          <w:tcPr>
            <w:tcW w:w="5" w:type="pct"/>
            <w:shd w:val="clear" w:color="auto" w:fill="auto"/>
            <w:vAlign w:val="bottom"/>
          </w:tcPr>
          <w:p w14:paraId="4B9A4469" w14:textId="77777777" w:rsidR="002A3970" w:rsidRDefault="002A3970">
            <w:pPr>
              <w:rPr>
                <w:rFonts w:ascii="宋体"/>
              </w:rPr>
            </w:pPr>
          </w:p>
        </w:tc>
        <w:tc>
          <w:tcPr>
            <w:tcW w:w="0" w:type="auto"/>
            <w:shd w:val="clear" w:color="auto" w:fill="auto"/>
            <w:vAlign w:val="bottom"/>
          </w:tcPr>
          <w:p w14:paraId="4B9A446A" w14:textId="77777777" w:rsidR="002A3970" w:rsidRDefault="002A3970">
            <w:pPr>
              <w:rPr>
                <w:rFonts w:ascii="宋体"/>
                <w:vanish/>
              </w:rPr>
            </w:pPr>
          </w:p>
        </w:tc>
        <w:tc>
          <w:tcPr>
            <w:tcW w:w="0" w:type="auto"/>
            <w:shd w:val="clear" w:color="auto" w:fill="auto"/>
            <w:vAlign w:val="bottom"/>
          </w:tcPr>
          <w:p w14:paraId="4B9A446B" w14:textId="77777777" w:rsidR="002A3970" w:rsidRDefault="002A3970">
            <w:pPr>
              <w:rPr>
                <w:rFonts w:ascii="宋体"/>
                <w:vanish/>
              </w:rPr>
            </w:pPr>
          </w:p>
        </w:tc>
        <w:tc>
          <w:tcPr>
            <w:tcW w:w="0" w:type="auto"/>
            <w:shd w:val="clear" w:color="auto" w:fill="auto"/>
            <w:vAlign w:val="bottom"/>
          </w:tcPr>
          <w:p w14:paraId="4B9A446C" w14:textId="77777777" w:rsidR="002A3970" w:rsidRDefault="002A3970">
            <w:pPr>
              <w:rPr>
                <w:rFonts w:ascii="宋体"/>
                <w:vanish/>
              </w:rPr>
            </w:pPr>
          </w:p>
        </w:tc>
        <w:tc>
          <w:tcPr>
            <w:tcW w:w="0" w:type="auto"/>
            <w:shd w:val="clear" w:color="auto" w:fill="auto"/>
            <w:vAlign w:val="bottom"/>
          </w:tcPr>
          <w:p w14:paraId="4B9A446D" w14:textId="77777777" w:rsidR="002A3970" w:rsidRDefault="002A3970">
            <w:pPr>
              <w:rPr>
                <w:rFonts w:ascii="宋体"/>
                <w:vanish/>
              </w:rPr>
            </w:pPr>
          </w:p>
        </w:tc>
        <w:tc>
          <w:tcPr>
            <w:tcW w:w="0" w:type="auto"/>
            <w:shd w:val="clear" w:color="auto" w:fill="auto"/>
            <w:vAlign w:val="bottom"/>
          </w:tcPr>
          <w:p w14:paraId="4B9A446E" w14:textId="77777777" w:rsidR="002A3970" w:rsidRDefault="002A3970">
            <w:pPr>
              <w:rPr>
                <w:rFonts w:ascii="宋体"/>
                <w:vanish/>
              </w:rPr>
            </w:pPr>
          </w:p>
        </w:tc>
        <w:tc>
          <w:tcPr>
            <w:tcW w:w="0" w:type="auto"/>
            <w:gridSpan w:val="3"/>
            <w:shd w:val="clear" w:color="auto" w:fill="auto"/>
            <w:vAlign w:val="bottom"/>
          </w:tcPr>
          <w:p w14:paraId="4B9A446F" w14:textId="77777777" w:rsidR="002A3970" w:rsidRDefault="002A3970">
            <w:pPr>
              <w:rPr>
                <w:rFonts w:ascii="宋体"/>
                <w:vanish/>
              </w:rPr>
            </w:pPr>
          </w:p>
        </w:tc>
        <w:tc>
          <w:tcPr>
            <w:tcW w:w="50" w:type="pct"/>
            <w:shd w:val="clear" w:color="auto" w:fill="auto"/>
            <w:vAlign w:val="bottom"/>
          </w:tcPr>
          <w:p w14:paraId="4B9A4470" w14:textId="77777777" w:rsidR="002A3970" w:rsidRDefault="002A3970">
            <w:pPr>
              <w:rPr>
                <w:rFonts w:ascii="宋体"/>
              </w:rPr>
            </w:pPr>
          </w:p>
        </w:tc>
        <w:tc>
          <w:tcPr>
            <w:tcW w:w="537" w:type="pct"/>
            <w:shd w:val="clear" w:color="auto" w:fill="auto"/>
            <w:vAlign w:val="bottom"/>
          </w:tcPr>
          <w:p w14:paraId="4B9A4471" w14:textId="77777777" w:rsidR="002A3970" w:rsidRDefault="002A3970">
            <w:pPr>
              <w:rPr>
                <w:rFonts w:ascii="宋体"/>
              </w:rPr>
            </w:pPr>
          </w:p>
        </w:tc>
        <w:tc>
          <w:tcPr>
            <w:tcW w:w="5" w:type="pct"/>
            <w:shd w:val="clear" w:color="auto" w:fill="auto"/>
            <w:vAlign w:val="bottom"/>
          </w:tcPr>
          <w:p w14:paraId="4B9A4472" w14:textId="77777777" w:rsidR="002A3970" w:rsidRDefault="002A3970">
            <w:pPr>
              <w:rPr>
                <w:rFonts w:ascii="宋体"/>
              </w:rPr>
            </w:pPr>
          </w:p>
        </w:tc>
        <w:tc>
          <w:tcPr>
            <w:tcW w:w="5" w:type="pct"/>
            <w:shd w:val="clear" w:color="auto" w:fill="auto"/>
            <w:vAlign w:val="bottom"/>
          </w:tcPr>
          <w:p w14:paraId="4B9A4473" w14:textId="77777777" w:rsidR="002A3970" w:rsidRDefault="002A3970">
            <w:pPr>
              <w:rPr>
                <w:rFonts w:ascii="宋体"/>
              </w:rPr>
            </w:pPr>
          </w:p>
        </w:tc>
        <w:tc>
          <w:tcPr>
            <w:tcW w:w="41" w:type="pct"/>
            <w:shd w:val="clear" w:color="auto" w:fill="auto"/>
            <w:vAlign w:val="bottom"/>
          </w:tcPr>
          <w:p w14:paraId="4B9A4474" w14:textId="77777777" w:rsidR="002A3970" w:rsidRDefault="002A3970">
            <w:pPr>
              <w:rPr>
                <w:rFonts w:ascii="宋体"/>
              </w:rPr>
            </w:pPr>
          </w:p>
        </w:tc>
        <w:tc>
          <w:tcPr>
            <w:tcW w:w="5" w:type="pct"/>
            <w:shd w:val="clear" w:color="auto" w:fill="auto"/>
            <w:vAlign w:val="bottom"/>
          </w:tcPr>
          <w:p w14:paraId="4B9A4475" w14:textId="77777777" w:rsidR="002A3970" w:rsidRDefault="002A3970">
            <w:pPr>
              <w:rPr>
                <w:rFonts w:ascii="宋体"/>
              </w:rPr>
            </w:pPr>
          </w:p>
        </w:tc>
        <w:tc>
          <w:tcPr>
            <w:tcW w:w="50" w:type="pct"/>
            <w:shd w:val="clear" w:color="auto" w:fill="auto"/>
            <w:vAlign w:val="bottom"/>
          </w:tcPr>
          <w:p w14:paraId="4B9A4476" w14:textId="77777777" w:rsidR="002A3970" w:rsidRDefault="002A3970">
            <w:pPr>
              <w:rPr>
                <w:rFonts w:ascii="宋体"/>
              </w:rPr>
            </w:pPr>
          </w:p>
        </w:tc>
        <w:tc>
          <w:tcPr>
            <w:tcW w:w="538" w:type="pct"/>
            <w:shd w:val="clear" w:color="auto" w:fill="auto"/>
            <w:vAlign w:val="bottom"/>
          </w:tcPr>
          <w:p w14:paraId="4B9A4477" w14:textId="77777777" w:rsidR="002A3970" w:rsidRDefault="002A3970">
            <w:pPr>
              <w:rPr>
                <w:rFonts w:ascii="宋体"/>
              </w:rPr>
            </w:pPr>
          </w:p>
        </w:tc>
        <w:tc>
          <w:tcPr>
            <w:tcW w:w="5" w:type="pct"/>
            <w:shd w:val="clear" w:color="auto" w:fill="auto"/>
            <w:vAlign w:val="bottom"/>
          </w:tcPr>
          <w:p w14:paraId="4B9A4478" w14:textId="77777777" w:rsidR="002A3970" w:rsidRDefault="002A3970">
            <w:pPr>
              <w:rPr>
                <w:rFonts w:ascii="宋体"/>
              </w:rPr>
            </w:pPr>
          </w:p>
        </w:tc>
      </w:tr>
      <w:tr w:rsidR="002A3970" w14:paraId="4B9A448B" w14:textId="77777777">
        <w:trPr>
          <w:jc w:val="center"/>
        </w:trPr>
        <w:tc>
          <w:tcPr>
            <w:tcW w:w="0" w:type="auto"/>
            <w:gridSpan w:val="3"/>
            <w:shd w:val="clear" w:color="auto" w:fill="auto"/>
            <w:tcMar>
              <w:top w:w="40" w:type="dxa"/>
              <w:left w:w="20" w:type="dxa"/>
              <w:bottom w:w="40" w:type="dxa"/>
              <w:right w:w="20" w:type="dxa"/>
            </w:tcMar>
            <w:vAlign w:val="bottom"/>
          </w:tcPr>
          <w:p w14:paraId="4B9A447A"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47B" w14:textId="77777777" w:rsidR="002A3970" w:rsidRDefault="002A3970">
            <w:pPr>
              <w:rPr>
                <w:rFonts w:ascii="宋体"/>
              </w:rPr>
            </w:pPr>
          </w:p>
        </w:tc>
        <w:tc>
          <w:tcPr>
            <w:tcW w:w="0" w:type="auto"/>
            <w:shd w:val="clear" w:color="auto" w:fill="auto"/>
            <w:vAlign w:val="bottom"/>
          </w:tcPr>
          <w:p w14:paraId="4B9A447C" w14:textId="77777777" w:rsidR="002A3970" w:rsidRDefault="002A3970">
            <w:pPr>
              <w:rPr>
                <w:rFonts w:ascii="宋体"/>
                <w:vanish/>
              </w:rPr>
            </w:pPr>
          </w:p>
        </w:tc>
        <w:tc>
          <w:tcPr>
            <w:tcW w:w="0" w:type="auto"/>
            <w:shd w:val="clear" w:color="auto" w:fill="auto"/>
            <w:vAlign w:val="bottom"/>
          </w:tcPr>
          <w:p w14:paraId="4B9A447D" w14:textId="77777777" w:rsidR="002A3970" w:rsidRDefault="002A3970">
            <w:pPr>
              <w:rPr>
                <w:rFonts w:ascii="宋体"/>
                <w:vanish/>
              </w:rPr>
            </w:pPr>
          </w:p>
        </w:tc>
        <w:tc>
          <w:tcPr>
            <w:tcW w:w="0" w:type="auto"/>
            <w:gridSpan w:val="3"/>
            <w:shd w:val="clear" w:color="auto" w:fill="auto"/>
            <w:tcMar>
              <w:top w:w="40" w:type="dxa"/>
              <w:left w:w="20" w:type="dxa"/>
              <w:bottom w:w="40" w:type="dxa"/>
              <w:right w:w="20" w:type="dxa"/>
            </w:tcMar>
            <w:vAlign w:val="bottom"/>
          </w:tcPr>
          <w:p w14:paraId="4B9A447E" w14:textId="77777777" w:rsidR="002A3970" w:rsidRDefault="00C35E63">
            <w:pPr>
              <w:jc w:val="center"/>
              <w:textAlignment w:val="bottom"/>
            </w:pPr>
            <w:r>
              <w:rPr>
                <w:rFonts w:ascii="Times New Roman" w:eastAsia="宋体" w:hAnsi="Times New Roman"/>
                <w:b/>
                <w:bCs/>
                <w:color w:val="000000"/>
                <w:sz w:val="16"/>
                <w:szCs w:val="16"/>
              </w:rPr>
              <w:t xml:space="preserve">Nine Months Ended </w:t>
            </w:r>
            <w:r>
              <w:rPr>
                <w:rFonts w:ascii="Times New Roman" w:eastAsia="宋体" w:hAnsi="Times New Roman"/>
                <w:b/>
                <w:bCs/>
                <w:color w:val="000000"/>
                <w:sz w:val="16"/>
                <w:szCs w:val="16"/>
              </w:rPr>
              <w:t>October 31,</w:t>
            </w:r>
          </w:p>
        </w:tc>
        <w:tc>
          <w:tcPr>
            <w:tcW w:w="0" w:type="auto"/>
            <w:shd w:val="clear" w:color="auto" w:fill="auto"/>
            <w:vAlign w:val="bottom"/>
          </w:tcPr>
          <w:p w14:paraId="4B9A447F" w14:textId="77777777" w:rsidR="002A3970" w:rsidRDefault="002A3970">
            <w:pPr>
              <w:rPr>
                <w:rFonts w:ascii="宋体"/>
              </w:rPr>
            </w:pPr>
          </w:p>
        </w:tc>
        <w:tc>
          <w:tcPr>
            <w:tcW w:w="0" w:type="auto"/>
            <w:shd w:val="clear" w:color="auto" w:fill="auto"/>
            <w:vAlign w:val="bottom"/>
          </w:tcPr>
          <w:p w14:paraId="4B9A4480" w14:textId="77777777" w:rsidR="002A3970" w:rsidRDefault="002A3970">
            <w:pPr>
              <w:rPr>
                <w:rFonts w:ascii="宋体"/>
              </w:rPr>
            </w:pPr>
          </w:p>
        </w:tc>
        <w:tc>
          <w:tcPr>
            <w:tcW w:w="0" w:type="auto"/>
            <w:shd w:val="clear" w:color="auto" w:fill="auto"/>
            <w:vAlign w:val="bottom"/>
          </w:tcPr>
          <w:p w14:paraId="4B9A4481" w14:textId="77777777" w:rsidR="002A3970" w:rsidRDefault="002A3970">
            <w:pPr>
              <w:rPr>
                <w:rFonts w:ascii="宋体"/>
              </w:rPr>
            </w:pPr>
          </w:p>
        </w:tc>
        <w:tc>
          <w:tcPr>
            <w:tcW w:w="0" w:type="auto"/>
            <w:shd w:val="clear" w:color="auto" w:fill="auto"/>
            <w:vAlign w:val="bottom"/>
          </w:tcPr>
          <w:p w14:paraId="4B9A4482" w14:textId="77777777" w:rsidR="002A3970" w:rsidRDefault="002A3970">
            <w:pPr>
              <w:rPr>
                <w:rFonts w:ascii="宋体"/>
              </w:rPr>
            </w:pPr>
          </w:p>
        </w:tc>
        <w:tc>
          <w:tcPr>
            <w:tcW w:w="0" w:type="auto"/>
            <w:shd w:val="clear" w:color="auto" w:fill="auto"/>
            <w:vAlign w:val="bottom"/>
          </w:tcPr>
          <w:p w14:paraId="4B9A4483" w14:textId="77777777" w:rsidR="002A3970" w:rsidRDefault="002A3970">
            <w:pPr>
              <w:rPr>
                <w:rFonts w:ascii="宋体"/>
              </w:rPr>
            </w:pPr>
          </w:p>
        </w:tc>
        <w:tc>
          <w:tcPr>
            <w:tcW w:w="0" w:type="auto"/>
            <w:shd w:val="clear" w:color="auto" w:fill="auto"/>
            <w:vAlign w:val="bottom"/>
          </w:tcPr>
          <w:p w14:paraId="4B9A4484" w14:textId="77777777" w:rsidR="002A3970" w:rsidRDefault="002A3970">
            <w:pPr>
              <w:rPr>
                <w:rFonts w:ascii="宋体"/>
              </w:rPr>
            </w:pPr>
          </w:p>
        </w:tc>
        <w:tc>
          <w:tcPr>
            <w:tcW w:w="0" w:type="auto"/>
            <w:shd w:val="clear" w:color="auto" w:fill="auto"/>
            <w:vAlign w:val="bottom"/>
          </w:tcPr>
          <w:p w14:paraId="4B9A4485" w14:textId="77777777" w:rsidR="002A3970" w:rsidRDefault="002A3970">
            <w:pPr>
              <w:rPr>
                <w:rFonts w:ascii="宋体"/>
              </w:rPr>
            </w:pPr>
          </w:p>
        </w:tc>
        <w:tc>
          <w:tcPr>
            <w:tcW w:w="0" w:type="auto"/>
            <w:shd w:val="clear" w:color="auto" w:fill="auto"/>
            <w:vAlign w:val="bottom"/>
          </w:tcPr>
          <w:p w14:paraId="4B9A4486" w14:textId="77777777" w:rsidR="002A3970" w:rsidRDefault="002A3970">
            <w:pPr>
              <w:rPr>
                <w:rFonts w:ascii="宋体"/>
              </w:rPr>
            </w:pPr>
          </w:p>
        </w:tc>
        <w:tc>
          <w:tcPr>
            <w:tcW w:w="0" w:type="auto"/>
            <w:shd w:val="clear" w:color="auto" w:fill="auto"/>
            <w:vAlign w:val="bottom"/>
          </w:tcPr>
          <w:p w14:paraId="4B9A4487" w14:textId="77777777" w:rsidR="002A3970" w:rsidRDefault="002A3970">
            <w:pPr>
              <w:rPr>
                <w:rFonts w:ascii="宋体"/>
              </w:rPr>
            </w:pPr>
          </w:p>
        </w:tc>
        <w:tc>
          <w:tcPr>
            <w:tcW w:w="0" w:type="auto"/>
            <w:shd w:val="clear" w:color="auto" w:fill="auto"/>
            <w:vAlign w:val="bottom"/>
          </w:tcPr>
          <w:p w14:paraId="4B9A4488" w14:textId="77777777" w:rsidR="002A3970" w:rsidRDefault="002A3970">
            <w:pPr>
              <w:rPr>
                <w:rFonts w:ascii="宋体"/>
              </w:rPr>
            </w:pPr>
          </w:p>
        </w:tc>
        <w:tc>
          <w:tcPr>
            <w:tcW w:w="0" w:type="auto"/>
            <w:shd w:val="clear" w:color="auto" w:fill="auto"/>
            <w:vAlign w:val="bottom"/>
          </w:tcPr>
          <w:p w14:paraId="4B9A4489" w14:textId="77777777" w:rsidR="002A3970" w:rsidRDefault="002A3970">
            <w:pPr>
              <w:rPr>
                <w:rFonts w:ascii="宋体"/>
              </w:rPr>
            </w:pPr>
          </w:p>
        </w:tc>
        <w:tc>
          <w:tcPr>
            <w:tcW w:w="0" w:type="auto"/>
            <w:shd w:val="clear" w:color="auto" w:fill="auto"/>
            <w:vAlign w:val="bottom"/>
          </w:tcPr>
          <w:p w14:paraId="4B9A448A" w14:textId="77777777" w:rsidR="002A3970" w:rsidRDefault="002A3970">
            <w:pPr>
              <w:rPr>
                <w:rFonts w:ascii="宋体"/>
              </w:rPr>
            </w:pPr>
          </w:p>
        </w:tc>
      </w:tr>
      <w:tr w:rsidR="002A3970" w14:paraId="4B9A4497" w14:textId="77777777">
        <w:trPr>
          <w:jc w:val="center"/>
        </w:trPr>
        <w:tc>
          <w:tcPr>
            <w:tcW w:w="0" w:type="auto"/>
            <w:gridSpan w:val="3"/>
            <w:shd w:val="clear" w:color="auto" w:fill="auto"/>
            <w:tcMar>
              <w:top w:w="40" w:type="dxa"/>
              <w:left w:w="20" w:type="dxa"/>
              <w:bottom w:w="40" w:type="dxa"/>
              <w:right w:w="20" w:type="dxa"/>
            </w:tcMar>
            <w:vAlign w:val="bottom"/>
          </w:tcPr>
          <w:p w14:paraId="4B9A448C"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48D" w14:textId="77777777" w:rsidR="002A3970" w:rsidRDefault="002A3970">
            <w:pPr>
              <w:rPr>
                <w:rFonts w:ascii="宋体"/>
              </w:rPr>
            </w:pPr>
          </w:p>
        </w:tc>
        <w:tc>
          <w:tcPr>
            <w:tcW w:w="0" w:type="auto"/>
            <w:shd w:val="clear" w:color="auto" w:fill="auto"/>
            <w:vAlign w:val="bottom"/>
          </w:tcPr>
          <w:p w14:paraId="4B9A448E" w14:textId="77777777" w:rsidR="002A3970" w:rsidRDefault="002A3970">
            <w:pPr>
              <w:rPr>
                <w:rFonts w:ascii="宋体"/>
                <w:vanish/>
              </w:rPr>
            </w:pPr>
          </w:p>
        </w:tc>
        <w:tc>
          <w:tcPr>
            <w:tcW w:w="0" w:type="auto"/>
            <w:shd w:val="clear" w:color="auto" w:fill="auto"/>
            <w:vAlign w:val="bottom"/>
          </w:tcPr>
          <w:p w14:paraId="4B9A448F" w14:textId="77777777" w:rsidR="002A3970" w:rsidRDefault="002A3970">
            <w:pPr>
              <w:rPr>
                <w:rFonts w:ascii="宋体"/>
                <w:vanish/>
              </w:rPr>
            </w:pPr>
          </w:p>
        </w:tc>
        <w:tc>
          <w:tcPr>
            <w:tcW w:w="0" w:type="auto"/>
            <w:shd w:val="clear" w:color="auto" w:fill="auto"/>
            <w:vAlign w:val="bottom"/>
          </w:tcPr>
          <w:p w14:paraId="4B9A4490" w14:textId="77777777" w:rsidR="002A3970" w:rsidRDefault="002A3970">
            <w:pPr>
              <w:rPr>
                <w:rFonts w:ascii="宋体"/>
                <w:vanish/>
              </w:rPr>
            </w:pPr>
          </w:p>
        </w:tc>
        <w:tc>
          <w:tcPr>
            <w:tcW w:w="0" w:type="auto"/>
            <w:shd w:val="clear" w:color="auto" w:fill="auto"/>
            <w:vAlign w:val="bottom"/>
          </w:tcPr>
          <w:p w14:paraId="4B9A4491" w14:textId="77777777" w:rsidR="002A3970" w:rsidRDefault="002A3970">
            <w:pPr>
              <w:rPr>
                <w:rFonts w:ascii="宋体"/>
                <w:vanish/>
              </w:rPr>
            </w:pPr>
          </w:p>
        </w:tc>
        <w:tc>
          <w:tcPr>
            <w:tcW w:w="0" w:type="auto"/>
            <w:shd w:val="clear" w:color="auto" w:fill="auto"/>
            <w:vAlign w:val="bottom"/>
          </w:tcPr>
          <w:p w14:paraId="4B9A4492" w14:textId="77777777" w:rsidR="002A3970" w:rsidRDefault="002A3970">
            <w:pPr>
              <w:rPr>
                <w:rFonts w:ascii="宋体"/>
                <w:vanish/>
              </w:rPr>
            </w:pPr>
          </w:p>
        </w:tc>
        <w:tc>
          <w:tcPr>
            <w:tcW w:w="0" w:type="auto"/>
            <w:gridSpan w:val="3"/>
            <w:shd w:val="clear" w:color="auto" w:fill="auto"/>
            <w:vAlign w:val="bottom"/>
          </w:tcPr>
          <w:p w14:paraId="4B9A4493" w14:textId="77777777" w:rsidR="002A3970" w:rsidRDefault="002A397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494"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495"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496"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4A7" w14:textId="77777777">
        <w:trPr>
          <w:jc w:val="center"/>
        </w:trPr>
        <w:tc>
          <w:tcPr>
            <w:tcW w:w="0" w:type="auto"/>
            <w:gridSpan w:val="3"/>
            <w:shd w:val="clear" w:color="auto" w:fill="CCEEFF"/>
            <w:tcMar>
              <w:top w:w="40" w:type="dxa"/>
              <w:left w:w="20" w:type="dxa"/>
              <w:bottom w:w="40" w:type="dxa"/>
              <w:right w:w="20" w:type="dxa"/>
            </w:tcMar>
            <w:vAlign w:val="center"/>
          </w:tcPr>
          <w:p w14:paraId="4B9A4498" w14:textId="77777777" w:rsidR="002A3970" w:rsidRDefault="00C35E63">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4B9A4499" w14:textId="77777777" w:rsidR="002A3970" w:rsidRDefault="002A3970">
            <w:pPr>
              <w:rPr>
                <w:rFonts w:ascii="宋体"/>
              </w:rPr>
            </w:pPr>
          </w:p>
        </w:tc>
        <w:tc>
          <w:tcPr>
            <w:tcW w:w="0" w:type="auto"/>
            <w:shd w:val="clear" w:color="auto" w:fill="auto"/>
            <w:vAlign w:val="bottom"/>
          </w:tcPr>
          <w:p w14:paraId="4B9A449A" w14:textId="77777777" w:rsidR="002A3970" w:rsidRDefault="002A3970">
            <w:pPr>
              <w:rPr>
                <w:rFonts w:ascii="宋体"/>
                <w:vanish/>
              </w:rPr>
            </w:pPr>
          </w:p>
        </w:tc>
        <w:tc>
          <w:tcPr>
            <w:tcW w:w="0" w:type="auto"/>
            <w:shd w:val="clear" w:color="auto" w:fill="auto"/>
            <w:vAlign w:val="bottom"/>
          </w:tcPr>
          <w:p w14:paraId="4B9A449B" w14:textId="77777777" w:rsidR="002A3970" w:rsidRDefault="002A3970">
            <w:pPr>
              <w:rPr>
                <w:rFonts w:ascii="宋体"/>
                <w:vanish/>
              </w:rPr>
            </w:pPr>
          </w:p>
        </w:tc>
        <w:tc>
          <w:tcPr>
            <w:tcW w:w="0" w:type="auto"/>
            <w:shd w:val="clear" w:color="auto" w:fill="auto"/>
            <w:vAlign w:val="bottom"/>
          </w:tcPr>
          <w:p w14:paraId="4B9A449C" w14:textId="77777777" w:rsidR="002A3970" w:rsidRDefault="002A3970">
            <w:pPr>
              <w:rPr>
                <w:rFonts w:ascii="宋体"/>
                <w:vanish/>
              </w:rPr>
            </w:pPr>
          </w:p>
        </w:tc>
        <w:tc>
          <w:tcPr>
            <w:tcW w:w="0" w:type="auto"/>
            <w:shd w:val="clear" w:color="auto" w:fill="auto"/>
            <w:vAlign w:val="bottom"/>
          </w:tcPr>
          <w:p w14:paraId="4B9A449D" w14:textId="77777777" w:rsidR="002A3970" w:rsidRDefault="002A3970">
            <w:pPr>
              <w:rPr>
                <w:rFonts w:ascii="宋体"/>
                <w:vanish/>
              </w:rPr>
            </w:pPr>
          </w:p>
        </w:tc>
        <w:tc>
          <w:tcPr>
            <w:tcW w:w="0" w:type="auto"/>
            <w:shd w:val="clear" w:color="auto" w:fill="auto"/>
            <w:vAlign w:val="bottom"/>
          </w:tcPr>
          <w:p w14:paraId="4B9A449E" w14:textId="77777777" w:rsidR="002A3970" w:rsidRDefault="002A3970">
            <w:pPr>
              <w:rPr>
                <w:rFonts w:ascii="宋体"/>
                <w:vanish/>
              </w:rPr>
            </w:pPr>
          </w:p>
        </w:tc>
        <w:tc>
          <w:tcPr>
            <w:tcW w:w="0" w:type="auto"/>
            <w:gridSpan w:val="3"/>
            <w:shd w:val="clear" w:color="auto" w:fill="auto"/>
            <w:vAlign w:val="bottom"/>
          </w:tcPr>
          <w:p w14:paraId="4B9A449F" w14:textId="77777777" w:rsidR="002A3970" w:rsidRDefault="002A3970">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4A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4A1" w14:textId="77777777" w:rsidR="002A3970" w:rsidRDefault="00C35E63">
            <w:pPr>
              <w:jc w:val="right"/>
              <w:textAlignment w:val="center"/>
            </w:pPr>
            <w:r>
              <w:rPr>
                <w:rFonts w:ascii="Times New Roman" w:eastAsia="宋体" w:hAnsi="Times New Roman"/>
                <w:color w:val="000000"/>
                <w:sz w:val="16"/>
                <w:szCs w:val="16"/>
              </w:rPr>
              <w:t>15,698 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4A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A3"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4A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4A5" w14:textId="77777777" w:rsidR="002A3970" w:rsidRDefault="00C35E63">
            <w:pPr>
              <w:jc w:val="right"/>
              <w:textAlignment w:val="center"/>
            </w:pPr>
            <w:r>
              <w:rPr>
                <w:rFonts w:ascii="Times New Roman" w:eastAsia="宋体" w:hAnsi="Times New Roman"/>
                <w:color w:val="000000"/>
                <w:sz w:val="16"/>
                <w:szCs w:val="16"/>
              </w:rPr>
              <w:t>16,291 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4A6" w14:textId="77777777" w:rsidR="002A3970" w:rsidRDefault="002A3970">
            <w:pPr>
              <w:jc w:val="right"/>
              <w:rPr>
                <w:rFonts w:ascii="宋体"/>
              </w:rPr>
            </w:pPr>
          </w:p>
        </w:tc>
      </w:tr>
      <w:tr w:rsidR="002A3970" w14:paraId="4B9A44B5" w14:textId="77777777">
        <w:trPr>
          <w:jc w:val="center"/>
        </w:trPr>
        <w:tc>
          <w:tcPr>
            <w:tcW w:w="0" w:type="auto"/>
            <w:gridSpan w:val="3"/>
            <w:shd w:val="clear" w:color="auto" w:fill="FFFFFF"/>
            <w:tcMar>
              <w:top w:w="40" w:type="dxa"/>
              <w:left w:w="20" w:type="dxa"/>
              <w:bottom w:w="40" w:type="dxa"/>
              <w:right w:w="20" w:type="dxa"/>
            </w:tcMar>
            <w:vAlign w:val="center"/>
          </w:tcPr>
          <w:p w14:paraId="4B9A44A8" w14:textId="77777777" w:rsidR="002A3970" w:rsidRDefault="00C35E63">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4B9A44A9" w14:textId="77777777" w:rsidR="002A3970" w:rsidRDefault="002A3970">
            <w:pPr>
              <w:rPr>
                <w:rFonts w:ascii="宋体"/>
              </w:rPr>
            </w:pPr>
          </w:p>
        </w:tc>
        <w:tc>
          <w:tcPr>
            <w:tcW w:w="0" w:type="auto"/>
            <w:shd w:val="clear" w:color="auto" w:fill="auto"/>
            <w:vAlign w:val="bottom"/>
          </w:tcPr>
          <w:p w14:paraId="4B9A44AA" w14:textId="77777777" w:rsidR="002A3970" w:rsidRDefault="002A3970">
            <w:pPr>
              <w:rPr>
                <w:rFonts w:ascii="宋体"/>
                <w:vanish/>
              </w:rPr>
            </w:pPr>
          </w:p>
        </w:tc>
        <w:tc>
          <w:tcPr>
            <w:tcW w:w="0" w:type="auto"/>
            <w:shd w:val="clear" w:color="auto" w:fill="auto"/>
            <w:vAlign w:val="bottom"/>
          </w:tcPr>
          <w:p w14:paraId="4B9A44AB" w14:textId="77777777" w:rsidR="002A3970" w:rsidRDefault="002A3970">
            <w:pPr>
              <w:rPr>
                <w:rFonts w:ascii="宋体"/>
                <w:vanish/>
              </w:rPr>
            </w:pPr>
          </w:p>
        </w:tc>
        <w:tc>
          <w:tcPr>
            <w:tcW w:w="0" w:type="auto"/>
            <w:shd w:val="clear" w:color="auto" w:fill="auto"/>
            <w:vAlign w:val="bottom"/>
          </w:tcPr>
          <w:p w14:paraId="4B9A44AC" w14:textId="77777777" w:rsidR="002A3970" w:rsidRDefault="002A3970">
            <w:pPr>
              <w:rPr>
                <w:rFonts w:ascii="宋体"/>
                <w:vanish/>
              </w:rPr>
            </w:pPr>
          </w:p>
        </w:tc>
        <w:tc>
          <w:tcPr>
            <w:tcW w:w="0" w:type="auto"/>
            <w:shd w:val="clear" w:color="auto" w:fill="auto"/>
            <w:vAlign w:val="bottom"/>
          </w:tcPr>
          <w:p w14:paraId="4B9A44AD" w14:textId="77777777" w:rsidR="002A3970" w:rsidRDefault="002A3970">
            <w:pPr>
              <w:rPr>
                <w:rFonts w:ascii="宋体"/>
                <w:vanish/>
              </w:rPr>
            </w:pPr>
          </w:p>
        </w:tc>
        <w:tc>
          <w:tcPr>
            <w:tcW w:w="0" w:type="auto"/>
            <w:shd w:val="clear" w:color="auto" w:fill="auto"/>
            <w:vAlign w:val="bottom"/>
          </w:tcPr>
          <w:p w14:paraId="4B9A44AE" w14:textId="77777777" w:rsidR="002A3970" w:rsidRDefault="002A3970">
            <w:pPr>
              <w:rPr>
                <w:rFonts w:ascii="宋体"/>
                <w:vanish/>
              </w:rPr>
            </w:pPr>
          </w:p>
        </w:tc>
        <w:tc>
          <w:tcPr>
            <w:tcW w:w="0" w:type="auto"/>
            <w:gridSpan w:val="3"/>
            <w:shd w:val="clear" w:color="auto" w:fill="auto"/>
            <w:vAlign w:val="bottom"/>
          </w:tcPr>
          <w:p w14:paraId="4B9A44AF" w14:textId="77777777" w:rsidR="002A3970" w:rsidRDefault="002A3970">
            <w:pPr>
              <w:rPr>
                <w:rFonts w:ascii="宋体"/>
                <w:vanish/>
              </w:rPr>
            </w:pPr>
          </w:p>
        </w:tc>
        <w:tc>
          <w:tcPr>
            <w:tcW w:w="0" w:type="auto"/>
            <w:gridSpan w:val="2"/>
            <w:shd w:val="clear" w:color="auto" w:fill="FFFFFF"/>
            <w:tcMar>
              <w:top w:w="40" w:type="dxa"/>
              <w:left w:w="20" w:type="dxa"/>
              <w:bottom w:w="40" w:type="dxa"/>
              <w:right w:w="0" w:type="dxa"/>
            </w:tcMar>
            <w:vAlign w:val="center"/>
          </w:tcPr>
          <w:p w14:paraId="4B9A44B0" w14:textId="77777777" w:rsidR="002A3970" w:rsidRDefault="00C35E63">
            <w:pPr>
              <w:jc w:val="right"/>
              <w:textAlignment w:val="center"/>
            </w:pPr>
            <w:r>
              <w:rPr>
                <w:rFonts w:ascii="Times New Roman" w:eastAsia="宋体" w:hAnsi="Times New Roman"/>
                <w:color w:val="000000"/>
                <w:sz w:val="16"/>
                <w:szCs w:val="16"/>
              </w:rPr>
              <w:t>(12,061)</w:t>
            </w:r>
          </w:p>
        </w:tc>
        <w:tc>
          <w:tcPr>
            <w:tcW w:w="0" w:type="auto"/>
            <w:shd w:val="clear" w:color="auto" w:fill="FFFFFF"/>
            <w:tcMar>
              <w:top w:w="40" w:type="dxa"/>
              <w:left w:w="0" w:type="dxa"/>
              <w:bottom w:w="40" w:type="dxa"/>
              <w:right w:w="20" w:type="dxa"/>
            </w:tcMar>
            <w:vAlign w:val="center"/>
          </w:tcPr>
          <w:p w14:paraId="4B9A44B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4B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B3" w14:textId="77777777" w:rsidR="002A3970" w:rsidRDefault="00C35E63">
            <w:pPr>
              <w:jc w:val="right"/>
              <w:textAlignment w:val="center"/>
            </w:pPr>
            <w:r>
              <w:rPr>
                <w:rFonts w:ascii="Times New Roman" w:eastAsia="宋体" w:hAnsi="Times New Roman"/>
                <w:color w:val="000000"/>
                <w:sz w:val="16"/>
                <w:szCs w:val="16"/>
              </w:rPr>
              <w:t>(8,588)</w:t>
            </w:r>
          </w:p>
        </w:tc>
        <w:tc>
          <w:tcPr>
            <w:tcW w:w="0" w:type="auto"/>
            <w:shd w:val="clear" w:color="auto" w:fill="FFFFFF"/>
            <w:tcMar>
              <w:top w:w="40" w:type="dxa"/>
              <w:left w:w="0" w:type="dxa"/>
              <w:bottom w:w="40" w:type="dxa"/>
              <w:right w:w="20" w:type="dxa"/>
            </w:tcMar>
            <w:vAlign w:val="center"/>
          </w:tcPr>
          <w:p w14:paraId="4B9A44B4" w14:textId="77777777" w:rsidR="002A3970" w:rsidRDefault="002A3970">
            <w:pPr>
              <w:jc w:val="right"/>
              <w:rPr>
                <w:rFonts w:ascii="宋体"/>
              </w:rPr>
            </w:pPr>
          </w:p>
        </w:tc>
      </w:tr>
      <w:tr w:rsidR="002A3970" w14:paraId="4B9A44C5" w14:textId="77777777">
        <w:trPr>
          <w:jc w:val="center"/>
        </w:trPr>
        <w:tc>
          <w:tcPr>
            <w:tcW w:w="0" w:type="auto"/>
            <w:gridSpan w:val="3"/>
            <w:shd w:val="clear" w:color="auto" w:fill="CCEEFF"/>
            <w:tcMar>
              <w:top w:w="40" w:type="dxa"/>
              <w:left w:w="20" w:type="dxa"/>
              <w:bottom w:w="40" w:type="dxa"/>
              <w:right w:w="20" w:type="dxa"/>
            </w:tcMar>
            <w:vAlign w:val="center"/>
          </w:tcPr>
          <w:p w14:paraId="4B9A44B6" w14:textId="77777777" w:rsidR="002A3970" w:rsidRDefault="00C35E63">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vAlign w:val="bottom"/>
          </w:tcPr>
          <w:p w14:paraId="4B9A44B7" w14:textId="77777777" w:rsidR="002A3970" w:rsidRDefault="002A3970">
            <w:pPr>
              <w:rPr>
                <w:rFonts w:ascii="宋体"/>
              </w:rPr>
            </w:pPr>
          </w:p>
        </w:tc>
        <w:tc>
          <w:tcPr>
            <w:tcW w:w="0" w:type="auto"/>
            <w:shd w:val="clear" w:color="auto" w:fill="auto"/>
            <w:vAlign w:val="bottom"/>
          </w:tcPr>
          <w:p w14:paraId="4B9A44B8" w14:textId="77777777" w:rsidR="002A3970" w:rsidRDefault="002A3970">
            <w:pPr>
              <w:rPr>
                <w:rFonts w:ascii="宋体"/>
                <w:vanish/>
              </w:rPr>
            </w:pPr>
          </w:p>
        </w:tc>
        <w:tc>
          <w:tcPr>
            <w:tcW w:w="0" w:type="auto"/>
            <w:shd w:val="clear" w:color="auto" w:fill="auto"/>
            <w:vAlign w:val="bottom"/>
          </w:tcPr>
          <w:p w14:paraId="4B9A44B9" w14:textId="77777777" w:rsidR="002A3970" w:rsidRDefault="002A3970">
            <w:pPr>
              <w:rPr>
                <w:rFonts w:ascii="宋体"/>
                <w:vanish/>
              </w:rPr>
            </w:pPr>
          </w:p>
        </w:tc>
        <w:tc>
          <w:tcPr>
            <w:tcW w:w="0" w:type="auto"/>
            <w:shd w:val="clear" w:color="auto" w:fill="auto"/>
            <w:vAlign w:val="bottom"/>
          </w:tcPr>
          <w:p w14:paraId="4B9A44BA" w14:textId="77777777" w:rsidR="002A3970" w:rsidRDefault="002A3970">
            <w:pPr>
              <w:rPr>
                <w:rFonts w:ascii="宋体"/>
                <w:vanish/>
              </w:rPr>
            </w:pPr>
          </w:p>
        </w:tc>
        <w:tc>
          <w:tcPr>
            <w:tcW w:w="0" w:type="auto"/>
            <w:shd w:val="clear" w:color="auto" w:fill="auto"/>
            <w:vAlign w:val="bottom"/>
          </w:tcPr>
          <w:p w14:paraId="4B9A44BB" w14:textId="77777777" w:rsidR="002A3970" w:rsidRDefault="002A3970">
            <w:pPr>
              <w:rPr>
                <w:rFonts w:ascii="宋体"/>
                <w:vanish/>
              </w:rPr>
            </w:pPr>
          </w:p>
        </w:tc>
        <w:tc>
          <w:tcPr>
            <w:tcW w:w="0" w:type="auto"/>
            <w:shd w:val="clear" w:color="auto" w:fill="auto"/>
            <w:vAlign w:val="bottom"/>
          </w:tcPr>
          <w:p w14:paraId="4B9A44BC" w14:textId="77777777" w:rsidR="002A3970" w:rsidRDefault="002A3970">
            <w:pPr>
              <w:rPr>
                <w:rFonts w:ascii="宋体"/>
                <w:vanish/>
              </w:rPr>
            </w:pPr>
          </w:p>
        </w:tc>
        <w:tc>
          <w:tcPr>
            <w:tcW w:w="0" w:type="auto"/>
            <w:gridSpan w:val="3"/>
            <w:shd w:val="clear" w:color="auto" w:fill="auto"/>
            <w:vAlign w:val="bottom"/>
          </w:tcPr>
          <w:p w14:paraId="4B9A44BD" w14:textId="77777777" w:rsidR="002A3970" w:rsidRDefault="002A3970">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4B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4BF" w14:textId="77777777" w:rsidR="002A3970" w:rsidRDefault="00C35E63">
            <w:pPr>
              <w:jc w:val="right"/>
              <w:textAlignment w:val="center"/>
            </w:pPr>
            <w:r>
              <w:rPr>
                <w:rFonts w:ascii="Times New Roman" w:eastAsia="宋体" w:hAnsi="Times New Roman"/>
                <w:color w:val="000000"/>
                <w:sz w:val="16"/>
                <w:szCs w:val="16"/>
              </w:rPr>
              <w:t>3,637 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4C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C1"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4C2"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4C3" w14:textId="77777777" w:rsidR="002A3970" w:rsidRDefault="00C35E63">
            <w:pPr>
              <w:jc w:val="right"/>
              <w:textAlignment w:val="center"/>
            </w:pPr>
            <w:r>
              <w:rPr>
                <w:rFonts w:ascii="Times New Roman" w:eastAsia="宋体" w:hAnsi="Times New Roman"/>
                <w:color w:val="000000"/>
                <w:sz w:val="16"/>
                <w:szCs w:val="16"/>
              </w:rPr>
              <w:t>7,703 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4C4" w14:textId="77777777" w:rsidR="002A3970" w:rsidRDefault="002A3970">
            <w:pPr>
              <w:jc w:val="right"/>
              <w:rPr>
                <w:rFonts w:ascii="宋体"/>
              </w:rPr>
            </w:pPr>
          </w:p>
        </w:tc>
      </w:tr>
      <w:tr w:rsidR="002A3970" w14:paraId="4B9A44D1" w14:textId="77777777">
        <w:trPr>
          <w:trHeight w:val="220"/>
          <w:jc w:val="center"/>
        </w:trPr>
        <w:tc>
          <w:tcPr>
            <w:tcW w:w="0" w:type="auto"/>
            <w:gridSpan w:val="3"/>
            <w:shd w:val="clear" w:color="auto" w:fill="FFFFFF"/>
            <w:tcMar>
              <w:top w:w="0" w:type="dxa"/>
              <w:left w:w="20" w:type="dxa"/>
              <w:bottom w:w="0" w:type="dxa"/>
              <w:right w:w="20" w:type="dxa"/>
            </w:tcMar>
            <w:vAlign w:val="bottom"/>
          </w:tcPr>
          <w:p w14:paraId="4B9A44C6"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4C7" w14:textId="77777777" w:rsidR="002A3970" w:rsidRDefault="002A3970">
            <w:pPr>
              <w:rPr>
                <w:rFonts w:ascii="宋体"/>
              </w:rPr>
            </w:pPr>
          </w:p>
        </w:tc>
        <w:tc>
          <w:tcPr>
            <w:tcW w:w="0" w:type="auto"/>
            <w:shd w:val="clear" w:color="auto" w:fill="auto"/>
            <w:vAlign w:val="bottom"/>
          </w:tcPr>
          <w:p w14:paraId="4B9A44C8" w14:textId="77777777" w:rsidR="002A3970" w:rsidRDefault="002A3970">
            <w:pPr>
              <w:rPr>
                <w:rFonts w:ascii="宋体"/>
                <w:vanish/>
              </w:rPr>
            </w:pPr>
          </w:p>
        </w:tc>
        <w:tc>
          <w:tcPr>
            <w:tcW w:w="0" w:type="auto"/>
            <w:shd w:val="clear" w:color="auto" w:fill="auto"/>
            <w:vAlign w:val="bottom"/>
          </w:tcPr>
          <w:p w14:paraId="4B9A44C9" w14:textId="77777777" w:rsidR="002A3970" w:rsidRDefault="002A3970">
            <w:pPr>
              <w:rPr>
                <w:rFonts w:ascii="宋体"/>
                <w:vanish/>
              </w:rPr>
            </w:pPr>
          </w:p>
        </w:tc>
        <w:tc>
          <w:tcPr>
            <w:tcW w:w="0" w:type="auto"/>
            <w:shd w:val="clear" w:color="auto" w:fill="auto"/>
            <w:vAlign w:val="bottom"/>
          </w:tcPr>
          <w:p w14:paraId="4B9A44CA" w14:textId="77777777" w:rsidR="002A3970" w:rsidRDefault="002A3970">
            <w:pPr>
              <w:rPr>
                <w:rFonts w:ascii="宋体"/>
                <w:vanish/>
              </w:rPr>
            </w:pPr>
          </w:p>
        </w:tc>
        <w:tc>
          <w:tcPr>
            <w:tcW w:w="0" w:type="auto"/>
            <w:shd w:val="clear" w:color="auto" w:fill="auto"/>
            <w:vAlign w:val="bottom"/>
          </w:tcPr>
          <w:p w14:paraId="4B9A44CB" w14:textId="77777777" w:rsidR="002A3970" w:rsidRDefault="002A3970">
            <w:pPr>
              <w:rPr>
                <w:rFonts w:ascii="宋体"/>
                <w:vanish/>
              </w:rPr>
            </w:pPr>
          </w:p>
        </w:tc>
        <w:tc>
          <w:tcPr>
            <w:tcW w:w="0" w:type="auto"/>
            <w:shd w:val="clear" w:color="auto" w:fill="auto"/>
            <w:vAlign w:val="bottom"/>
          </w:tcPr>
          <w:p w14:paraId="4B9A44CC" w14:textId="77777777" w:rsidR="002A3970" w:rsidRDefault="002A3970">
            <w:pPr>
              <w:rPr>
                <w:rFonts w:ascii="宋体"/>
                <w:vanish/>
              </w:rPr>
            </w:pPr>
          </w:p>
        </w:tc>
        <w:tc>
          <w:tcPr>
            <w:tcW w:w="0" w:type="auto"/>
            <w:gridSpan w:val="3"/>
            <w:shd w:val="clear" w:color="auto" w:fill="auto"/>
            <w:vAlign w:val="bottom"/>
          </w:tcPr>
          <w:p w14:paraId="4B9A44CD" w14:textId="77777777" w:rsidR="002A3970" w:rsidRDefault="002A3970">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44C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4CF" w14:textId="77777777" w:rsidR="002A3970" w:rsidRDefault="002A397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B9A44D0" w14:textId="77777777" w:rsidR="002A3970" w:rsidRDefault="002A3970">
            <w:pPr>
              <w:rPr>
                <w:rFonts w:ascii="宋体"/>
              </w:rPr>
            </w:pPr>
          </w:p>
        </w:tc>
      </w:tr>
      <w:tr w:rsidR="002A3970" w14:paraId="4B9A44E1" w14:textId="77777777">
        <w:trPr>
          <w:jc w:val="center"/>
        </w:trPr>
        <w:tc>
          <w:tcPr>
            <w:tcW w:w="0" w:type="auto"/>
            <w:gridSpan w:val="3"/>
            <w:shd w:val="clear" w:color="auto" w:fill="CCEEFF"/>
            <w:tcMar>
              <w:top w:w="40" w:type="dxa"/>
              <w:left w:w="20" w:type="dxa"/>
              <w:bottom w:w="40" w:type="dxa"/>
              <w:right w:w="20" w:type="dxa"/>
            </w:tcMar>
            <w:vAlign w:val="center"/>
          </w:tcPr>
          <w:p w14:paraId="4B9A44D2" w14:textId="77777777" w:rsidR="002A3970" w:rsidRDefault="00C35E63">
            <w:pPr>
              <w:textAlignment w:val="center"/>
            </w:pPr>
            <w:r>
              <w:rPr>
                <w:rFonts w:ascii="Times New Roman" w:eastAsia="宋体" w:hAnsi="Times New Roman"/>
                <w:color w:val="000000"/>
                <w:sz w:val="16"/>
                <w:szCs w:val="16"/>
              </w:rPr>
              <w:t>Net cash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B9A44D3" w14:textId="77777777" w:rsidR="002A3970" w:rsidRDefault="002A3970">
            <w:pPr>
              <w:rPr>
                <w:rFonts w:ascii="宋体"/>
              </w:rPr>
            </w:pPr>
          </w:p>
        </w:tc>
        <w:tc>
          <w:tcPr>
            <w:tcW w:w="0" w:type="auto"/>
            <w:shd w:val="clear" w:color="auto" w:fill="auto"/>
            <w:vAlign w:val="bottom"/>
          </w:tcPr>
          <w:p w14:paraId="4B9A44D4" w14:textId="77777777" w:rsidR="002A3970" w:rsidRDefault="002A3970">
            <w:pPr>
              <w:rPr>
                <w:rFonts w:ascii="宋体"/>
                <w:vanish/>
              </w:rPr>
            </w:pPr>
          </w:p>
        </w:tc>
        <w:tc>
          <w:tcPr>
            <w:tcW w:w="0" w:type="auto"/>
            <w:shd w:val="clear" w:color="auto" w:fill="auto"/>
            <w:vAlign w:val="bottom"/>
          </w:tcPr>
          <w:p w14:paraId="4B9A44D5" w14:textId="77777777" w:rsidR="002A3970" w:rsidRDefault="002A3970">
            <w:pPr>
              <w:rPr>
                <w:rFonts w:ascii="宋体"/>
                <w:vanish/>
              </w:rPr>
            </w:pPr>
          </w:p>
        </w:tc>
        <w:tc>
          <w:tcPr>
            <w:tcW w:w="0" w:type="auto"/>
            <w:shd w:val="clear" w:color="auto" w:fill="auto"/>
            <w:vAlign w:val="bottom"/>
          </w:tcPr>
          <w:p w14:paraId="4B9A44D6" w14:textId="77777777" w:rsidR="002A3970" w:rsidRDefault="002A3970">
            <w:pPr>
              <w:rPr>
                <w:rFonts w:ascii="宋体"/>
                <w:vanish/>
              </w:rPr>
            </w:pPr>
          </w:p>
        </w:tc>
        <w:tc>
          <w:tcPr>
            <w:tcW w:w="0" w:type="auto"/>
            <w:shd w:val="clear" w:color="auto" w:fill="auto"/>
            <w:vAlign w:val="bottom"/>
          </w:tcPr>
          <w:p w14:paraId="4B9A44D7" w14:textId="77777777" w:rsidR="002A3970" w:rsidRDefault="002A3970">
            <w:pPr>
              <w:rPr>
                <w:rFonts w:ascii="宋体"/>
                <w:vanish/>
              </w:rPr>
            </w:pPr>
          </w:p>
        </w:tc>
        <w:tc>
          <w:tcPr>
            <w:tcW w:w="0" w:type="auto"/>
            <w:shd w:val="clear" w:color="auto" w:fill="auto"/>
            <w:vAlign w:val="bottom"/>
          </w:tcPr>
          <w:p w14:paraId="4B9A44D8" w14:textId="77777777" w:rsidR="002A3970" w:rsidRDefault="002A3970">
            <w:pPr>
              <w:rPr>
                <w:rFonts w:ascii="宋体"/>
                <w:vanish/>
              </w:rPr>
            </w:pPr>
          </w:p>
        </w:tc>
        <w:tc>
          <w:tcPr>
            <w:tcW w:w="0" w:type="auto"/>
            <w:gridSpan w:val="3"/>
            <w:shd w:val="clear" w:color="auto" w:fill="auto"/>
            <w:vAlign w:val="bottom"/>
          </w:tcPr>
          <w:p w14:paraId="4B9A44D9" w14:textId="77777777" w:rsidR="002A3970" w:rsidRDefault="002A3970">
            <w:pPr>
              <w:rPr>
                <w:rFonts w:ascii="宋体"/>
                <w:vanish/>
              </w:rPr>
            </w:pPr>
          </w:p>
        </w:tc>
        <w:tc>
          <w:tcPr>
            <w:tcW w:w="0" w:type="auto"/>
            <w:shd w:val="clear" w:color="auto" w:fill="CCEEFF"/>
            <w:tcMar>
              <w:top w:w="40" w:type="dxa"/>
              <w:left w:w="20" w:type="dxa"/>
              <w:bottom w:w="40" w:type="dxa"/>
              <w:right w:w="0" w:type="dxa"/>
            </w:tcMar>
            <w:vAlign w:val="center"/>
          </w:tcPr>
          <w:p w14:paraId="4B9A44DA"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4DB" w14:textId="77777777" w:rsidR="002A3970" w:rsidRDefault="00C35E63">
            <w:pPr>
              <w:jc w:val="right"/>
              <w:textAlignment w:val="center"/>
            </w:pPr>
            <w:r>
              <w:rPr>
                <w:rFonts w:ascii="Times New Roman" w:eastAsia="宋体" w:hAnsi="Times New Roman"/>
                <w:color w:val="000000"/>
                <w:sz w:val="16"/>
                <w:szCs w:val="16"/>
              </w:rPr>
              <w:t>(12,965)</w:t>
            </w:r>
          </w:p>
        </w:tc>
        <w:tc>
          <w:tcPr>
            <w:tcW w:w="0" w:type="auto"/>
            <w:shd w:val="clear" w:color="auto" w:fill="CCEEFF"/>
            <w:tcMar>
              <w:top w:w="40" w:type="dxa"/>
              <w:left w:w="0" w:type="dxa"/>
              <w:bottom w:w="40" w:type="dxa"/>
              <w:right w:w="20" w:type="dxa"/>
            </w:tcMar>
            <w:vAlign w:val="center"/>
          </w:tcPr>
          <w:p w14:paraId="4B9A44D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4D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4D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4DF" w14:textId="77777777" w:rsidR="002A3970" w:rsidRDefault="00C35E63">
            <w:pPr>
              <w:jc w:val="right"/>
              <w:textAlignment w:val="center"/>
            </w:pPr>
            <w:r>
              <w:rPr>
                <w:rFonts w:ascii="Times New Roman" w:eastAsia="宋体" w:hAnsi="Times New Roman"/>
                <w:color w:val="000000"/>
                <w:sz w:val="16"/>
                <w:szCs w:val="16"/>
              </w:rPr>
              <w:t>(1,530)</w:t>
            </w:r>
          </w:p>
        </w:tc>
        <w:tc>
          <w:tcPr>
            <w:tcW w:w="0" w:type="auto"/>
            <w:shd w:val="clear" w:color="auto" w:fill="CCEEFF"/>
            <w:tcMar>
              <w:top w:w="40" w:type="dxa"/>
              <w:left w:w="0" w:type="dxa"/>
              <w:bottom w:w="40" w:type="dxa"/>
              <w:right w:w="20" w:type="dxa"/>
            </w:tcMar>
            <w:vAlign w:val="center"/>
          </w:tcPr>
          <w:p w14:paraId="4B9A44E0" w14:textId="77777777" w:rsidR="002A3970" w:rsidRDefault="002A3970">
            <w:pPr>
              <w:jc w:val="right"/>
              <w:rPr>
                <w:rFonts w:ascii="宋体"/>
              </w:rPr>
            </w:pPr>
          </w:p>
        </w:tc>
      </w:tr>
      <w:tr w:rsidR="002A3970" w14:paraId="4B9A44EF" w14:textId="77777777">
        <w:trPr>
          <w:jc w:val="center"/>
        </w:trPr>
        <w:tc>
          <w:tcPr>
            <w:tcW w:w="0" w:type="auto"/>
            <w:gridSpan w:val="3"/>
            <w:shd w:val="clear" w:color="auto" w:fill="FFFFFF"/>
            <w:tcMar>
              <w:top w:w="40" w:type="dxa"/>
              <w:left w:w="20" w:type="dxa"/>
              <w:bottom w:w="40" w:type="dxa"/>
              <w:right w:w="20" w:type="dxa"/>
            </w:tcMar>
            <w:vAlign w:val="center"/>
          </w:tcPr>
          <w:p w14:paraId="4B9A44E2" w14:textId="77777777" w:rsidR="002A3970" w:rsidRDefault="00C35E63">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vAlign w:val="bottom"/>
          </w:tcPr>
          <w:p w14:paraId="4B9A44E3" w14:textId="77777777" w:rsidR="002A3970" w:rsidRDefault="002A3970">
            <w:pPr>
              <w:rPr>
                <w:rFonts w:ascii="宋体"/>
              </w:rPr>
            </w:pPr>
          </w:p>
        </w:tc>
        <w:tc>
          <w:tcPr>
            <w:tcW w:w="0" w:type="auto"/>
            <w:shd w:val="clear" w:color="auto" w:fill="auto"/>
            <w:vAlign w:val="bottom"/>
          </w:tcPr>
          <w:p w14:paraId="4B9A44E4" w14:textId="77777777" w:rsidR="002A3970" w:rsidRDefault="002A3970">
            <w:pPr>
              <w:rPr>
                <w:rFonts w:ascii="宋体"/>
                <w:vanish/>
              </w:rPr>
            </w:pPr>
          </w:p>
        </w:tc>
        <w:tc>
          <w:tcPr>
            <w:tcW w:w="0" w:type="auto"/>
            <w:shd w:val="clear" w:color="auto" w:fill="auto"/>
            <w:vAlign w:val="bottom"/>
          </w:tcPr>
          <w:p w14:paraId="4B9A44E5" w14:textId="77777777" w:rsidR="002A3970" w:rsidRDefault="002A3970">
            <w:pPr>
              <w:rPr>
                <w:rFonts w:ascii="宋体"/>
                <w:vanish/>
              </w:rPr>
            </w:pPr>
          </w:p>
        </w:tc>
        <w:tc>
          <w:tcPr>
            <w:tcW w:w="0" w:type="auto"/>
            <w:shd w:val="clear" w:color="auto" w:fill="auto"/>
            <w:vAlign w:val="bottom"/>
          </w:tcPr>
          <w:p w14:paraId="4B9A44E6" w14:textId="77777777" w:rsidR="002A3970" w:rsidRDefault="002A3970">
            <w:pPr>
              <w:rPr>
                <w:rFonts w:ascii="宋体"/>
                <w:vanish/>
              </w:rPr>
            </w:pPr>
          </w:p>
        </w:tc>
        <w:tc>
          <w:tcPr>
            <w:tcW w:w="0" w:type="auto"/>
            <w:shd w:val="clear" w:color="auto" w:fill="auto"/>
            <w:vAlign w:val="bottom"/>
          </w:tcPr>
          <w:p w14:paraId="4B9A44E7" w14:textId="77777777" w:rsidR="002A3970" w:rsidRDefault="002A3970">
            <w:pPr>
              <w:rPr>
                <w:rFonts w:ascii="宋体"/>
                <w:vanish/>
              </w:rPr>
            </w:pPr>
          </w:p>
        </w:tc>
        <w:tc>
          <w:tcPr>
            <w:tcW w:w="0" w:type="auto"/>
            <w:shd w:val="clear" w:color="auto" w:fill="auto"/>
            <w:vAlign w:val="bottom"/>
          </w:tcPr>
          <w:p w14:paraId="4B9A44E8" w14:textId="77777777" w:rsidR="002A3970" w:rsidRDefault="002A3970">
            <w:pPr>
              <w:rPr>
                <w:rFonts w:ascii="宋体"/>
                <w:vanish/>
              </w:rPr>
            </w:pPr>
          </w:p>
        </w:tc>
        <w:tc>
          <w:tcPr>
            <w:tcW w:w="0" w:type="auto"/>
            <w:gridSpan w:val="3"/>
            <w:shd w:val="clear" w:color="auto" w:fill="auto"/>
            <w:vAlign w:val="bottom"/>
          </w:tcPr>
          <w:p w14:paraId="4B9A44E9" w14:textId="77777777" w:rsidR="002A3970" w:rsidRDefault="002A3970">
            <w:pPr>
              <w:rPr>
                <w:rFonts w:ascii="宋体"/>
                <w:vanish/>
              </w:rPr>
            </w:pPr>
          </w:p>
        </w:tc>
        <w:tc>
          <w:tcPr>
            <w:tcW w:w="0" w:type="auto"/>
            <w:gridSpan w:val="2"/>
            <w:shd w:val="clear" w:color="auto" w:fill="FFFFFF"/>
            <w:tcMar>
              <w:top w:w="40" w:type="dxa"/>
              <w:left w:w="20" w:type="dxa"/>
              <w:bottom w:w="40" w:type="dxa"/>
              <w:right w:w="0" w:type="dxa"/>
            </w:tcMar>
            <w:vAlign w:val="center"/>
          </w:tcPr>
          <w:p w14:paraId="4B9A44EA" w14:textId="77777777" w:rsidR="002A3970" w:rsidRDefault="00C35E63">
            <w:pPr>
              <w:jc w:val="right"/>
              <w:textAlignment w:val="center"/>
            </w:pPr>
            <w:r>
              <w:rPr>
                <w:rFonts w:ascii="Times New Roman" w:eastAsia="宋体" w:hAnsi="Times New Roman"/>
                <w:color w:val="000000"/>
                <w:sz w:val="16"/>
                <w:szCs w:val="16"/>
              </w:rPr>
              <w:t>(5,581)</w:t>
            </w:r>
          </w:p>
        </w:tc>
        <w:tc>
          <w:tcPr>
            <w:tcW w:w="0" w:type="auto"/>
            <w:shd w:val="clear" w:color="auto" w:fill="FFFFFF"/>
            <w:tcMar>
              <w:top w:w="40" w:type="dxa"/>
              <w:left w:w="0" w:type="dxa"/>
              <w:bottom w:w="40" w:type="dxa"/>
              <w:right w:w="20" w:type="dxa"/>
            </w:tcMar>
            <w:vAlign w:val="center"/>
          </w:tcPr>
          <w:p w14:paraId="4B9A44E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4E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4ED" w14:textId="77777777" w:rsidR="002A3970" w:rsidRDefault="00C35E63">
            <w:pPr>
              <w:jc w:val="right"/>
              <w:textAlignment w:val="center"/>
            </w:pPr>
            <w:r>
              <w:rPr>
                <w:rFonts w:ascii="Times New Roman" w:eastAsia="宋体" w:hAnsi="Times New Roman"/>
                <w:color w:val="000000"/>
                <w:sz w:val="16"/>
                <w:szCs w:val="16"/>
              </w:rPr>
              <w:t>(18,113)</w:t>
            </w:r>
          </w:p>
        </w:tc>
        <w:tc>
          <w:tcPr>
            <w:tcW w:w="0" w:type="auto"/>
            <w:shd w:val="clear" w:color="auto" w:fill="FFFFFF"/>
            <w:tcMar>
              <w:top w:w="40" w:type="dxa"/>
              <w:left w:w="0" w:type="dxa"/>
              <w:bottom w:w="40" w:type="dxa"/>
              <w:right w:w="20" w:type="dxa"/>
            </w:tcMar>
            <w:vAlign w:val="center"/>
          </w:tcPr>
          <w:p w14:paraId="4B9A44EE" w14:textId="77777777" w:rsidR="002A3970" w:rsidRDefault="002A3970">
            <w:pPr>
              <w:jc w:val="right"/>
              <w:rPr>
                <w:rFonts w:ascii="宋体"/>
              </w:rPr>
            </w:pPr>
          </w:p>
        </w:tc>
      </w:tr>
    </w:tbl>
    <w:p w14:paraId="4B9A44F0" w14:textId="77777777" w:rsidR="002A3970" w:rsidRDefault="00C35E63">
      <w:pPr>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used in investing activities" includes payments for property and equipment, which is also included in our computation of free cash flow.</w:t>
      </w:r>
    </w:p>
    <w:p w14:paraId="4B9A44F1" w14:textId="77777777" w:rsidR="002A3970" w:rsidRDefault="00C35E63">
      <w:pPr>
        <w:jc w:val="center"/>
      </w:pPr>
      <w:r>
        <w:rPr>
          <w:rFonts w:ascii="Times New Roman" w:eastAsia="宋体" w:hAnsi="Times New Roman"/>
          <w:color w:val="000000"/>
          <w:sz w:val="20"/>
          <w:szCs w:val="20"/>
        </w:rPr>
        <w:t>21</w:t>
      </w:r>
    </w:p>
    <w:p w14:paraId="4B9A44F2" w14:textId="77777777" w:rsidR="002A3970" w:rsidRDefault="00C35E63">
      <w:r>
        <w:pict w14:anchorId="4B9A4C2A">
          <v:rect id="_x0000_i1045" style="width:415.3pt;height:1.5pt" o:hralign="center" o:hrstd="t" o:hr="t" fillcolor="#a0a0a0" stroked="f"/>
        </w:pict>
      </w:r>
    </w:p>
    <w:p w14:paraId="4B9A44F3" w14:textId="77777777" w:rsidR="002A3970" w:rsidRDefault="00C35E63">
      <w:hyperlink r:id="rId65" w:anchor="i0522a2f6333e456295d59e779af751cb_7" w:history="1">
        <w:r>
          <w:rPr>
            <w:rStyle w:val="a5"/>
            <w:rFonts w:ascii="Times New Roman" w:eastAsia="宋体" w:hAnsi="Times New Roman"/>
            <w:sz w:val="20"/>
            <w:szCs w:val="20"/>
          </w:rPr>
          <w:t>Table of Contents</w:t>
        </w:r>
      </w:hyperlink>
    </w:p>
    <w:p w14:paraId="4B9A44F4" w14:textId="77777777" w:rsidR="002A3970" w:rsidRDefault="00C35E63">
      <w:r>
        <w:rPr>
          <w:rFonts w:ascii="Times New Roman" w:eastAsia="宋体" w:hAnsi="Times New Roman"/>
          <w:b/>
          <w:bCs/>
          <w:color w:val="000000"/>
          <w:sz w:val="20"/>
          <w:szCs w:val="20"/>
        </w:rPr>
        <w:t>Results of Operations</w:t>
      </w:r>
    </w:p>
    <w:p w14:paraId="4B9A44F5" w14:textId="77777777" w:rsidR="002A3970" w:rsidRDefault="00C35E63">
      <w:pPr>
        <w:spacing w:before="180"/>
      </w:pPr>
      <w:r>
        <w:rPr>
          <w:rFonts w:ascii="Times New Roman" w:eastAsia="宋体" w:hAnsi="Times New Roman"/>
          <w:b/>
          <w:bCs/>
          <w:i/>
          <w:i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60"/>
        <w:gridCol w:w="38"/>
        <w:gridCol w:w="36"/>
        <w:gridCol w:w="36"/>
        <w:gridCol w:w="36"/>
        <w:gridCol w:w="100"/>
        <w:gridCol w:w="809"/>
        <w:gridCol w:w="36"/>
        <w:gridCol w:w="36"/>
        <w:gridCol w:w="36"/>
        <w:gridCol w:w="36"/>
        <w:gridCol w:w="100"/>
        <w:gridCol w:w="730"/>
        <w:gridCol w:w="36"/>
        <w:gridCol w:w="36"/>
        <w:gridCol w:w="36"/>
        <w:gridCol w:w="36"/>
        <w:gridCol w:w="100"/>
        <w:gridCol w:w="732"/>
        <w:gridCol w:w="154"/>
        <w:gridCol w:w="36"/>
        <w:gridCol w:w="36"/>
        <w:gridCol w:w="36"/>
        <w:gridCol w:w="100"/>
        <w:gridCol w:w="734"/>
        <w:gridCol w:w="36"/>
      </w:tblGrid>
      <w:tr w:rsidR="002A3970" w14:paraId="4B9A4511" w14:textId="77777777">
        <w:tc>
          <w:tcPr>
            <w:tcW w:w="50" w:type="pct"/>
            <w:shd w:val="clear" w:color="auto" w:fill="auto"/>
            <w:vAlign w:val="bottom"/>
          </w:tcPr>
          <w:p w14:paraId="4B9A44F6" w14:textId="77777777" w:rsidR="002A3970" w:rsidRDefault="002A3970">
            <w:pPr>
              <w:rPr>
                <w:rFonts w:ascii="宋体"/>
              </w:rPr>
            </w:pPr>
          </w:p>
        </w:tc>
        <w:tc>
          <w:tcPr>
            <w:tcW w:w="2540" w:type="pct"/>
            <w:shd w:val="clear" w:color="auto" w:fill="auto"/>
            <w:vAlign w:val="bottom"/>
          </w:tcPr>
          <w:p w14:paraId="4B9A44F7" w14:textId="77777777" w:rsidR="002A3970" w:rsidRDefault="002A3970">
            <w:pPr>
              <w:rPr>
                <w:rFonts w:ascii="宋体"/>
              </w:rPr>
            </w:pPr>
          </w:p>
        </w:tc>
        <w:tc>
          <w:tcPr>
            <w:tcW w:w="5" w:type="pct"/>
            <w:shd w:val="clear" w:color="auto" w:fill="auto"/>
            <w:vAlign w:val="bottom"/>
          </w:tcPr>
          <w:p w14:paraId="4B9A44F8" w14:textId="77777777" w:rsidR="002A3970" w:rsidRDefault="002A3970">
            <w:pPr>
              <w:rPr>
                <w:rFonts w:ascii="宋体"/>
              </w:rPr>
            </w:pPr>
          </w:p>
        </w:tc>
        <w:tc>
          <w:tcPr>
            <w:tcW w:w="5" w:type="pct"/>
            <w:shd w:val="clear" w:color="auto" w:fill="auto"/>
            <w:vAlign w:val="bottom"/>
          </w:tcPr>
          <w:p w14:paraId="4B9A44F9" w14:textId="77777777" w:rsidR="002A3970" w:rsidRDefault="002A3970">
            <w:pPr>
              <w:rPr>
                <w:rFonts w:ascii="宋体"/>
              </w:rPr>
            </w:pPr>
          </w:p>
        </w:tc>
        <w:tc>
          <w:tcPr>
            <w:tcW w:w="19" w:type="pct"/>
            <w:shd w:val="clear" w:color="auto" w:fill="auto"/>
            <w:vAlign w:val="bottom"/>
          </w:tcPr>
          <w:p w14:paraId="4B9A44FA" w14:textId="77777777" w:rsidR="002A3970" w:rsidRDefault="002A3970">
            <w:pPr>
              <w:rPr>
                <w:rFonts w:ascii="宋体"/>
              </w:rPr>
            </w:pPr>
          </w:p>
        </w:tc>
        <w:tc>
          <w:tcPr>
            <w:tcW w:w="5" w:type="pct"/>
            <w:shd w:val="clear" w:color="auto" w:fill="auto"/>
            <w:vAlign w:val="bottom"/>
          </w:tcPr>
          <w:p w14:paraId="4B9A44FB" w14:textId="77777777" w:rsidR="002A3970" w:rsidRDefault="002A3970">
            <w:pPr>
              <w:rPr>
                <w:rFonts w:ascii="宋体"/>
              </w:rPr>
            </w:pPr>
          </w:p>
        </w:tc>
        <w:tc>
          <w:tcPr>
            <w:tcW w:w="50" w:type="pct"/>
            <w:shd w:val="clear" w:color="auto" w:fill="auto"/>
            <w:vAlign w:val="bottom"/>
          </w:tcPr>
          <w:p w14:paraId="4B9A44FC" w14:textId="77777777" w:rsidR="002A3970" w:rsidRDefault="002A3970">
            <w:pPr>
              <w:rPr>
                <w:rFonts w:ascii="宋体"/>
              </w:rPr>
            </w:pPr>
          </w:p>
        </w:tc>
        <w:tc>
          <w:tcPr>
            <w:tcW w:w="522" w:type="pct"/>
            <w:shd w:val="clear" w:color="auto" w:fill="auto"/>
            <w:vAlign w:val="bottom"/>
          </w:tcPr>
          <w:p w14:paraId="4B9A44FD" w14:textId="77777777" w:rsidR="002A3970" w:rsidRDefault="002A3970">
            <w:pPr>
              <w:rPr>
                <w:rFonts w:ascii="宋体"/>
              </w:rPr>
            </w:pPr>
          </w:p>
        </w:tc>
        <w:tc>
          <w:tcPr>
            <w:tcW w:w="5" w:type="pct"/>
            <w:shd w:val="clear" w:color="auto" w:fill="auto"/>
            <w:vAlign w:val="bottom"/>
          </w:tcPr>
          <w:p w14:paraId="4B9A44FE" w14:textId="77777777" w:rsidR="002A3970" w:rsidRDefault="002A3970">
            <w:pPr>
              <w:rPr>
                <w:rFonts w:ascii="宋体"/>
              </w:rPr>
            </w:pPr>
          </w:p>
        </w:tc>
        <w:tc>
          <w:tcPr>
            <w:tcW w:w="5" w:type="pct"/>
            <w:shd w:val="clear" w:color="auto" w:fill="auto"/>
            <w:vAlign w:val="bottom"/>
          </w:tcPr>
          <w:p w14:paraId="4B9A44FF" w14:textId="77777777" w:rsidR="002A3970" w:rsidRDefault="002A3970">
            <w:pPr>
              <w:rPr>
                <w:rFonts w:ascii="宋体"/>
              </w:rPr>
            </w:pPr>
          </w:p>
        </w:tc>
        <w:tc>
          <w:tcPr>
            <w:tcW w:w="26" w:type="pct"/>
            <w:shd w:val="clear" w:color="auto" w:fill="auto"/>
            <w:vAlign w:val="bottom"/>
          </w:tcPr>
          <w:p w14:paraId="4B9A4500" w14:textId="77777777" w:rsidR="002A3970" w:rsidRDefault="002A3970">
            <w:pPr>
              <w:rPr>
                <w:rFonts w:ascii="宋体"/>
              </w:rPr>
            </w:pPr>
          </w:p>
        </w:tc>
        <w:tc>
          <w:tcPr>
            <w:tcW w:w="5" w:type="pct"/>
            <w:shd w:val="clear" w:color="auto" w:fill="auto"/>
            <w:vAlign w:val="bottom"/>
          </w:tcPr>
          <w:p w14:paraId="4B9A4501" w14:textId="77777777" w:rsidR="002A3970" w:rsidRDefault="002A3970">
            <w:pPr>
              <w:rPr>
                <w:rFonts w:ascii="宋体"/>
              </w:rPr>
            </w:pPr>
          </w:p>
        </w:tc>
        <w:tc>
          <w:tcPr>
            <w:tcW w:w="50" w:type="pct"/>
            <w:shd w:val="clear" w:color="auto" w:fill="auto"/>
            <w:vAlign w:val="bottom"/>
          </w:tcPr>
          <w:p w14:paraId="4B9A4502" w14:textId="77777777" w:rsidR="002A3970" w:rsidRDefault="002A3970">
            <w:pPr>
              <w:rPr>
                <w:rFonts w:ascii="宋体"/>
              </w:rPr>
            </w:pPr>
          </w:p>
        </w:tc>
        <w:tc>
          <w:tcPr>
            <w:tcW w:w="507" w:type="pct"/>
            <w:shd w:val="clear" w:color="auto" w:fill="auto"/>
            <w:vAlign w:val="bottom"/>
          </w:tcPr>
          <w:p w14:paraId="4B9A4503" w14:textId="77777777" w:rsidR="002A3970" w:rsidRDefault="002A3970">
            <w:pPr>
              <w:rPr>
                <w:rFonts w:ascii="宋体"/>
              </w:rPr>
            </w:pPr>
          </w:p>
        </w:tc>
        <w:tc>
          <w:tcPr>
            <w:tcW w:w="5" w:type="pct"/>
            <w:shd w:val="clear" w:color="auto" w:fill="auto"/>
            <w:vAlign w:val="bottom"/>
          </w:tcPr>
          <w:p w14:paraId="4B9A4504" w14:textId="77777777" w:rsidR="002A3970" w:rsidRDefault="002A3970">
            <w:pPr>
              <w:rPr>
                <w:rFonts w:ascii="宋体"/>
              </w:rPr>
            </w:pPr>
          </w:p>
        </w:tc>
        <w:tc>
          <w:tcPr>
            <w:tcW w:w="5" w:type="pct"/>
            <w:shd w:val="clear" w:color="auto" w:fill="auto"/>
            <w:vAlign w:val="bottom"/>
          </w:tcPr>
          <w:p w14:paraId="4B9A4505" w14:textId="77777777" w:rsidR="002A3970" w:rsidRDefault="002A3970">
            <w:pPr>
              <w:rPr>
                <w:rFonts w:ascii="宋体"/>
              </w:rPr>
            </w:pPr>
          </w:p>
        </w:tc>
        <w:tc>
          <w:tcPr>
            <w:tcW w:w="26" w:type="pct"/>
            <w:shd w:val="clear" w:color="auto" w:fill="auto"/>
            <w:vAlign w:val="bottom"/>
          </w:tcPr>
          <w:p w14:paraId="4B9A4506" w14:textId="77777777" w:rsidR="002A3970" w:rsidRDefault="002A3970">
            <w:pPr>
              <w:rPr>
                <w:rFonts w:ascii="宋体"/>
              </w:rPr>
            </w:pPr>
          </w:p>
        </w:tc>
        <w:tc>
          <w:tcPr>
            <w:tcW w:w="5" w:type="pct"/>
            <w:shd w:val="clear" w:color="auto" w:fill="auto"/>
            <w:vAlign w:val="bottom"/>
          </w:tcPr>
          <w:p w14:paraId="4B9A4507" w14:textId="77777777" w:rsidR="002A3970" w:rsidRDefault="002A3970">
            <w:pPr>
              <w:rPr>
                <w:rFonts w:ascii="宋体"/>
              </w:rPr>
            </w:pPr>
          </w:p>
        </w:tc>
        <w:tc>
          <w:tcPr>
            <w:tcW w:w="50" w:type="pct"/>
            <w:shd w:val="clear" w:color="auto" w:fill="auto"/>
            <w:vAlign w:val="bottom"/>
          </w:tcPr>
          <w:p w14:paraId="4B9A4508" w14:textId="77777777" w:rsidR="002A3970" w:rsidRDefault="002A3970">
            <w:pPr>
              <w:rPr>
                <w:rFonts w:ascii="宋体"/>
              </w:rPr>
            </w:pPr>
          </w:p>
        </w:tc>
        <w:tc>
          <w:tcPr>
            <w:tcW w:w="507" w:type="pct"/>
            <w:shd w:val="clear" w:color="auto" w:fill="auto"/>
            <w:vAlign w:val="bottom"/>
          </w:tcPr>
          <w:p w14:paraId="4B9A4509" w14:textId="77777777" w:rsidR="002A3970" w:rsidRDefault="002A3970">
            <w:pPr>
              <w:rPr>
                <w:rFonts w:ascii="宋体"/>
              </w:rPr>
            </w:pPr>
          </w:p>
        </w:tc>
        <w:tc>
          <w:tcPr>
            <w:tcW w:w="5" w:type="pct"/>
            <w:shd w:val="clear" w:color="auto" w:fill="auto"/>
            <w:vAlign w:val="bottom"/>
          </w:tcPr>
          <w:p w14:paraId="4B9A450A" w14:textId="77777777" w:rsidR="002A3970" w:rsidRDefault="002A3970">
            <w:pPr>
              <w:rPr>
                <w:rFonts w:ascii="宋体"/>
              </w:rPr>
            </w:pPr>
          </w:p>
        </w:tc>
        <w:tc>
          <w:tcPr>
            <w:tcW w:w="5" w:type="pct"/>
            <w:shd w:val="clear" w:color="auto" w:fill="auto"/>
            <w:vAlign w:val="bottom"/>
          </w:tcPr>
          <w:p w14:paraId="4B9A450B" w14:textId="77777777" w:rsidR="002A3970" w:rsidRDefault="002A3970">
            <w:pPr>
              <w:rPr>
                <w:rFonts w:ascii="宋体"/>
              </w:rPr>
            </w:pPr>
          </w:p>
        </w:tc>
        <w:tc>
          <w:tcPr>
            <w:tcW w:w="26" w:type="pct"/>
            <w:shd w:val="clear" w:color="auto" w:fill="auto"/>
            <w:vAlign w:val="bottom"/>
          </w:tcPr>
          <w:p w14:paraId="4B9A450C" w14:textId="77777777" w:rsidR="002A3970" w:rsidRDefault="002A3970">
            <w:pPr>
              <w:rPr>
                <w:rFonts w:ascii="宋体"/>
              </w:rPr>
            </w:pPr>
          </w:p>
        </w:tc>
        <w:tc>
          <w:tcPr>
            <w:tcW w:w="5" w:type="pct"/>
            <w:shd w:val="clear" w:color="auto" w:fill="auto"/>
            <w:vAlign w:val="bottom"/>
          </w:tcPr>
          <w:p w14:paraId="4B9A450D" w14:textId="77777777" w:rsidR="002A3970" w:rsidRDefault="002A3970">
            <w:pPr>
              <w:rPr>
                <w:rFonts w:ascii="宋体"/>
              </w:rPr>
            </w:pPr>
          </w:p>
        </w:tc>
        <w:tc>
          <w:tcPr>
            <w:tcW w:w="50" w:type="pct"/>
            <w:shd w:val="clear" w:color="auto" w:fill="auto"/>
            <w:vAlign w:val="bottom"/>
          </w:tcPr>
          <w:p w14:paraId="4B9A450E" w14:textId="77777777" w:rsidR="002A3970" w:rsidRDefault="002A3970">
            <w:pPr>
              <w:rPr>
                <w:rFonts w:ascii="宋体"/>
              </w:rPr>
            </w:pPr>
          </w:p>
        </w:tc>
        <w:tc>
          <w:tcPr>
            <w:tcW w:w="508" w:type="pct"/>
            <w:shd w:val="clear" w:color="auto" w:fill="auto"/>
            <w:vAlign w:val="bottom"/>
          </w:tcPr>
          <w:p w14:paraId="4B9A450F" w14:textId="77777777" w:rsidR="002A3970" w:rsidRDefault="002A3970">
            <w:pPr>
              <w:rPr>
                <w:rFonts w:ascii="宋体"/>
              </w:rPr>
            </w:pPr>
          </w:p>
        </w:tc>
        <w:tc>
          <w:tcPr>
            <w:tcW w:w="5" w:type="pct"/>
            <w:shd w:val="clear" w:color="auto" w:fill="auto"/>
            <w:vAlign w:val="bottom"/>
          </w:tcPr>
          <w:p w14:paraId="4B9A4510" w14:textId="77777777" w:rsidR="002A3970" w:rsidRDefault="002A3970">
            <w:pPr>
              <w:rPr>
                <w:rFonts w:ascii="宋体"/>
              </w:rPr>
            </w:pPr>
          </w:p>
        </w:tc>
      </w:tr>
      <w:tr w:rsidR="002A3970" w14:paraId="4B9A4517" w14:textId="77777777">
        <w:tc>
          <w:tcPr>
            <w:tcW w:w="0" w:type="auto"/>
            <w:gridSpan w:val="3"/>
            <w:shd w:val="clear" w:color="auto" w:fill="auto"/>
            <w:tcMar>
              <w:top w:w="0" w:type="dxa"/>
              <w:left w:w="20" w:type="dxa"/>
              <w:bottom w:w="0" w:type="dxa"/>
              <w:right w:w="20" w:type="dxa"/>
            </w:tcMar>
            <w:vAlign w:val="bottom"/>
          </w:tcPr>
          <w:p w14:paraId="4B9A451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513"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514" w14:textId="77777777" w:rsidR="002A3970" w:rsidRDefault="00C35E63">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515"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bottom"/>
          </w:tcPr>
          <w:p w14:paraId="4B9A4516"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r>
      <w:tr w:rsidR="002A3970" w14:paraId="4B9A4521" w14:textId="77777777">
        <w:tc>
          <w:tcPr>
            <w:tcW w:w="0" w:type="auto"/>
            <w:gridSpan w:val="3"/>
            <w:shd w:val="clear" w:color="auto" w:fill="auto"/>
            <w:tcMar>
              <w:top w:w="40" w:type="dxa"/>
              <w:left w:w="20" w:type="dxa"/>
              <w:bottom w:w="40" w:type="dxa"/>
              <w:right w:w="20" w:type="dxa"/>
            </w:tcMar>
            <w:vAlign w:val="bottom"/>
          </w:tcPr>
          <w:p w14:paraId="4B9A4518" w14:textId="77777777" w:rsidR="002A3970" w:rsidRDefault="00C35E63">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B9A4519"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51A"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51B"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51C"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51D"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51E"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51F"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520"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533" w14:textId="77777777">
        <w:tc>
          <w:tcPr>
            <w:tcW w:w="0" w:type="auto"/>
            <w:gridSpan w:val="3"/>
            <w:shd w:val="clear" w:color="auto" w:fill="CCEEFF"/>
            <w:tcMar>
              <w:top w:w="40" w:type="dxa"/>
              <w:left w:w="20" w:type="dxa"/>
              <w:bottom w:w="40" w:type="dxa"/>
              <w:right w:w="20" w:type="dxa"/>
            </w:tcMar>
            <w:vAlign w:val="center"/>
          </w:tcPr>
          <w:p w14:paraId="4B9A4522" w14:textId="77777777" w:rsidR="002A3970" w:rsidRDefault="00C35E63">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4B9A4523"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52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525" w14:textId="77777777" w:rsidR="002A3970" w:rsidRDefault="00C35E63">
            <w:pPr>
              <w:jc w:val="right"/>
              <w:textAlignment w:val="center"/>
            </w:pPr>
            <w:r>
              <w:rPr>
                <w:rFonts w:ascii="Times New Roman" w:eastAsia="宋体" w:hAnsi="Times New Roman"/>
                <w:color w:val="000000"/>
                <w:sz w:val="16"/>
                <w:szCs w:val="16"/>
              </w:rPr>
              <w:t>152,813 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52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27"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52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529" w14:textId="77777777" w:rsidR="002A3970" w:rsidRDefault="00C35E63">
            <w:pPr>
              <w:jc w:val="right"/>
              <w:textAlignment w:val="center"/>
            </w:pPr>
            <w:r>
              <w:rPr>
                <w:rFonts w:ascii="Times New Roman" w:eastAsia="宋体" w:hAnsi="Times New Roman"/>
                <w:color w:val="000000"/>
                <w:sz w:val="16"/>
                <w:szCs w:val="16"/>
              </w:rPr>
              <w:t>140,525 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52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2B"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52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52D" w14:textId="77777777" w:rsidR="002A3970" w:rsidRDefault="00C35E63">
            <w:pPr>
              <w:jc w:val="right"/>
              <w:textAlignment w:val="center"/>
            </w:pPr>
            <w:r>
              <w:rPr>
                <w:rFonts w:ascii="Times New Roman" w:eastAsia="宋体" w:hAnsi="Times New Roman"/>
                <w:color w:val="000000"/>
                <w:sz w:val="16"/>
                <w:szCs w:val="16"/>
              </w:rPr>
              <w:t>447,241 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52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2F"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53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531" w14:textId="77777777" w:rsidR="002A3970" w:rsidRDefault="00C35E63">
            <w:pPr>
              <w:jc w:val="right"/>
              <w:textAlignment w:val="center"/>
            </w:pPr>
            <w:r>
              <w:rPr>
                <w:rFonts w:ascii="Times New Roman" w:eastAsia="宋体" w:hAnsi="Times New Roman"/>
                <w:color w:val="000000"/>
                <w:sz w:val="16"/>
                <w:szCs w:val="16"/>
              </w:rPr>
              <w:t>419,883 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532" w14:textId="77777777" w:rsidR="002A3970" w:rsidRDefault="002A3970">
            <w:pPr>
              <w:jc w:val="right"/>
              <w:rPr>
                <w:rFonts w:ascii="宋体"/>
              </w:rPr>
            </w:pPr>
          </w:p>
        </w:tc>
      </w:tr>
      <w:tr w:rsidR="002A3970" w14:paraId="4B9A453E" w14:textId="77777777">
        <w:tc>
          <w:tcPr>
            <w:tcW w:w="0" w:type="auto"/>
            <w:gridSpan w:val="3"/>
            <w:shd w:val="clear" w:color="auto" w:fill="FFFFFF"/>
            <w:tcMar>
              <w:top w:w="40" w:type="dxa"/>
              <w:left w:w="20" w:type="dxa"/>
              <w:bottom w:w="40" w:type="dxa"/>
              <w:right w:w="20" w:type="dxa"/>
            </w:tcMar>
            <w:vAlign w:val="center"/>
          </w:tcPr>
          <w:p w14:paraId="4B9A4534"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B9A4535"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36" w14:textId="77777777" w:rsidR="002A3970" w:rsidRDefault="00C35E63">
            <w:pPr>
              <w:jc w:val="right"/>
              <w:textAlignment w:val="center"/>
            </w:pPr>
            <w:r>
              <w:rPr>
                <w:rFonts w:ascii="Times New Roman" w:eastAsia="宋体" w:hAnsi="Times New Roman"/>
                <w:color w:val="000000"/>
                <w:sz w:val="16"/>
                <w:szCs w:val="16"/>
              </w:rPr>
              <w:t>8.7%</w:t>
            </w:r>
          </w:p>
        </w:tc>
        <w:tc>
          <w:tcPr>
            <w:tcW w:w="0" w:type="auto"/>
            <w:gridSpan w:val="3"/>
            <w:shd w:val="clear" w:color="auto" w:fill="FFFFFF"/>
            <w:tcMar>
              <w:top w:w="0" w:type="dxa"/>
              <w:left w:w="20" w:type="dxa"/>
              <w:bottom w:w="0" w:type="dxa"/>
              <w:right w:w="20" w:type="dxa"/>
            </w:tcMar>
            <w:vAlign w:val="bottom"/>
          </w:tcPr>
          <w:p w14:paraId="4B9A4537"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38" w14:textId="77777777" w:rsidR="002A3970" w:rsidRDefault="00C35E63">
            <w:pPr>
              <w:jc w:val="right"/>
              <w:textAlignment w:val="center"/>
            </w:pPr>
            <w:r>
              <w:rPr>
                <w:rFonts w:ascii="Times New Roman" w:eastAsia="宋体" w:hAnsi="Times New Roman"/>
                <w:color w:val="000000"/>
                <w:sz w:val="16"/>
                <w:szCs w:val="16"/>
              </w:rPr>
              <w:t>4.3%</w:t>
            </w:r>
          </w:p>
        </w:tc>
        <w:tc>
          <w:tcPr>
            <w:tcW w:w="0" w:type="auto"/>
            <w:gridSpan w:val="3"/>
            <w:shd w:val="clear" w:color="auto" w:fill="FFFFFF"/>
            <w:tcMar>
              <w:top w:w="0" w:type="dxa"/>
              <w:left w:w="20" w:type="dxa"/>
              <w:bottom w:w="0" w:type="dxa"/>
              <w:right w:w="20" w:type="dxa"/>
            </w:tcMar>
            <w:vAlign w:val="bottom"/>
          </w:tcPr>
          <w:p w14:paraId="4B9A453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3A" w14:textId="77777777" w:rsidR="002A3970" w:rsidRDefault="00C35E63">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4B9A453B"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53C"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3D" w14:textId="77777777" w:rsidR="002A3970" w:rsidRDefault="00C35E63">
            <w:pPr>
              <w:jc w:val="right"/>
              <w:textAlignment w:val="center"/>
            </w:pPr>
            <w:r>
              <w:rPr>
                <w:rFonts w:ascii="Times New Roman" w:eastAsia="宋体" w:hAnsi="Times New Roman"/>
                <w:color w:val="000000"/>
                <w:sz w:val="16"/>
                <w:szCs w:val="16"/>
              </w:rPr>
              <w:t>3.1%</w:t>
            </w:r>
          </w:p>
        </w:tc>
      </w:tr>
      <w:tr w:rsidR="002A3970" w14:paraId="4B9A4550" w14:textId="77777777">
        <w:tc>
          <w:tcPr>
            <w:tcW w:w="0" w:type="auto"/>
            <w:gridSpan w:val="3"/>
            <w:shd w:val="clear" w:color="auto" w:fill="CCEEFF"/>
            <w:tcMar>
              <w:top w:w="40" w:type="dxa"/>
              <w:left w:w="20" w:type="dxa"/>
              <w:bottom w:w="40" w:type="dxa"/>
              <w:right w:w="20" w:type="dxa"/>
            </w:tcMar>
            <w:vAlign w:val="center"/>
          </w:tcPr>
          <w:p w14:paraId="4B9A453F" w14:textId="77777777" w:rsidR="002A3970" w:rsidRDefault="00C35E63">
            <w:pPr>
              <w:textAlignment w:val="center"/>
            </w:pPr>
            <w:r>
              <w:rPr>
                <w:rFonts w:ascii="Times New Roman" w:eastAsia="宋体" w:hAnsi="Times New Roman"/>
                <w:color w:val="000000"/>
                <w:sz w:val="16"/>
                <w:szCs w:val="16"/>
              </w:rPr>
              <w:t>Ne</w:t>
            </w:r>
            <w:r>
              <w:rPr>
                <w:rFonts w:ascii="Times New Roman" w:eastAsia="宋体" w:hAnsi="Times New Roman"/>
                <w:color w:val="000000"/>
                <w:sz w:val="16"/>
                <w:szCs w:val="16"/>
              </w:rPr>
              <w:t>t sales</w:t>
            </w:r>
          </w:p>
        </w:tc>
        <w:tc>
          <w:tcPr>
            <w:tcW w:w="0" w:type="auto"/>
            <w:gridSpan w:val="3"/>
            <w:shd w:val="clear" w:color="auto" w:fill="CCEEFF"/>
            <w:tcMar>
              <w:top w:w="0" w:type="dxa"/>
              <w:left w:w="20" w:type="dxa"/>
              <w:bottom w:w="0" w:type="dxa"/>
              <w:right w:w="20" w:type="dxa"/>
            </w:tcMar>
            <w:vAlign w:val="bottom"/>
          </w:tcPr>
          <w:p w14:paraId="4B9A4540"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41"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42" w14:textId="77777777" w:rsidR="002A3970" w:rsidRDefault="00C35E63">
            <w:pPr>
              <w:jc w:val="right"/>
              <w:textAlignment w:val="center"/>
            </w:pPr>
            <w:r>
              <w:rPr>
                <w:rFonts w:ascii="Times New Roman" w:eastAsia="宋体" w:hAnsi="Times New Roman"/>
                <w:color w:val="000000"/>
                <w:sz w:val="16"/>
                <w:szCs w:val="16"/>
              </w:rPr>
              <w:t>151,469 </w:t>
            </w:r>
          </w:p>
        </w:tc>
        <w:tc>
          <w:tcPr>
            <w:tcW w:w="0" w:type="auto"/>
            <w:shd w:val="clear" w:color="auto" w:fill="CCEEFF"/>
            <w:tcMar>
              <w:top w:w="40" w:type="dxa"/>
              <w:left w:w="0" w:type="dxa"/>
              <w:bottom w:w="40" w:type="dxa"/>
              <w:right w:w="20" w:type="dxa"/>
            </w:tcMar>
            <w:vAlign w:val="center"/>
          </w:tcPr>
          <w:p w14:paraId="4B9A454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44"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45"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46" w14:textId="77777777" w:rsidR="002A3970" w:rsidRDefault="00C35E63">
            <w:pPr>
              <w:jc w:val="right"/>
              <w:textAlignment w:val="center"/>
            </w:pPr>
            <w:r>
              <w:rPr>
                <w:rFonts w:ascii="Times New Roman" w:eastAsia="宋体" w:hAnsi="Times New Roman"/>
                <w:color w:val="000000"/>
                <w:sz w:val="16"/>
                <w:szCs w:val="16"/>
              </w:rPr>
              <w:t>139,207 </w:t>
            </w:r>
          </w:p>
        </w:tc>
        <w:tc>
          <w:tcPr>
            <w:tcW w:w="0" w:type="auto"/>
            <w:shd w:val="clear" w:color="auto" w:fill="CCEEFF"/>
            <w:tcMar>
              <w:top w:w="40" w:type="dxa"/>
              <w:left w:w="0" w:type="dxa"/>
              <w:bottom w:w="40" w:type="dxa"/>
              <w:right w:w="20" w:type="dxa"/>
            </w:tcMar>
            <w:vAlign w:val="center"/>
          </w:tcPr>
          <w:p w14:paraId="4B9A454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48"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49"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4A" w14:textId="77777777" w:rsidR="002A3970" w:rsidRDefault="00C35E63">
            <w:pPr>
              <w:jc w:val="right"/>
              <w:textAlignment w:val="center"/>
            </w:pPr>
            <w:r>
              <w:rPr>
                <w:rFonts w:ascii="Times New Roman" w:eastAsia="宋体" w:hAnsi="Times New Roman"/>
                <w:color w:val="000000"/>
                <w:sz w:val="16"/>
                <w:szCs w:val="16"/>
              </w:rPr>
              <w:t>443,138 </w:t>
            </w:r>
          </w:p>
        </w:tc>
        <w:tc>
          <w:tcPr>
            <w:tcW w:w="0" w:type="auto"/>
            <w:shd w:val="clear" w:color="auto" w:fill="CCEEFF"/>
            <w:tcMar>
              <w:top w:w="40" w:type="dxa"/>
              <w:left w:w="0" w:type="dxa"/>
              <w:bottom w:w="40" w:type="dxa"/>
              <w:right w:w="20" w:type="dxa"/>
            </w:tcMar>
            <w:vAlign w:val="center"/>
          </w:tcPr>
          <w:p w14:paraId="4B9A454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4C"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4D"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4E" w14:textId="77777777" w:rsidR="002A3970" w:rsidRDefault="00C35E63">
            <w:pPr>
              <w:jc w:val="right"/>
              <w:textAlignment w:val="center"/>
            </w:pPr>
            <w:r>
              <w:rPr>
                <w:rFonts w:ascii="Times New Roman" w:eastAsia="宋体" w:hAnsi="Times New Roman"/>
                <w:color w:val="000000"/>
                <w:sz w:val="16"/>
                <w:szCs w:val="16"/>
              </w:rPr>
              <w:t>416,237 </w:t>
            </w:r>
          </w:p>
        </w:tc>
        <w:tc>
          <w:tcPr>
            <w:tcW w:w="0" w:type="auto"/>
            <w:shd w:val="clear" w:color="auto" w:fill="CCEEFF"/>
            <w:tcMar>
              <w:top w:w="40" w:type="dxa"/>
              <w:left w:w="0" w:type="dxa"/>
              <w:bottom w:w="40" w:type="dxa"/>
              <w:right w:w="20" w:type="dxa"/>
            </w:tcMar>
            <w:vAlign w:val="center"/>
          </w:tcPr>
          <w:p w14:paraId="4B9A454F" w14:textId="77777777" w:rsidR="002A3970" w:rsidRDefault="002A3970">
            <w:pPr>
              <w:jc w:val="right"/>
              <w:rPr>
                <w:rFonts w:ascii="宋体"/>
              </w:rPr>
            </w:pPr>
          </w:p>
        </w:tc>
      </w:tr>
      <w:tr w:rsidR="002A3970" w14:paraId="4B9A455B" w14:textId="77777777">
        <w:tc>
          <w:tcPr>
            <w:tcW w:w="0" w:type="auto"/>
            <w:gridSpan w:val="3"/>
            <w:shd w:val="clear" w:color="auto" w:fill="FFFFFF"/>
            <w:tcMar>
              <w:top w:w="40" w:type="dxa"/>
              <w:left w:w="20" w:type="dxa"/>
              <w:bottom w:w="40" w:type="dxa"/>
              <w:right w:w="20" w:type="dxa"/>
            </w:tcMar>
            <w:vAlign w:val="center"/>
          </w:tcPr>
          <w:p w14:paraId="4B9A4551"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B9A4552"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53" w14:textId="77777777" w:rsidR="002A3970" w:rsidRDefault="00C35E63">
            <w:pPr>
              <w:jc w:val="right"/>
              <w:textAlignment w:val="center"/>
            </w:pPr>
            <w:r>
              <w:rPr>
                <w:rFonts w:ascii="Times New Roman" w:eastAsia="宋体" w:hAnsi="Times New Roman"/>
                <w:color w:val="000000"/>
                <w:sz w:val="16"/>
                <w:szCs w:val="16"/>
              </w:rPr>
              <w:t>8.8%</w:t>
            </w:r>
          </w:p>
        </w:tc>
        <w:tc>
          <w:tcPr>
            <w:tcW w:w="0" w:type="auto"/>
            <w:gridSpan w:val="3"/>
            <w:shd w:val="clear" w:color="auto" w:fill="FFFFFF"/>
            <w:tcMar>
              <w:top w:w="0" w:type="dxa"/>
              <w:left w:w="20" w:type="dxa"/>
              <w:bottom w:w="0" w:type="dxa"/>
              <w:right w:w="20" w:type="dxa"/>
            </w:tcMar>
            <w:vAlign w:val="bottom"/>
          </w:tcPr>
          <w:p w14:paraId="4B9A4554"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55" w14:textId="77777777" w:rsidR="002A3970" w:rsidRDefault="00C35E63">
            <w:pPr>
              <w:jc w:val="right"/>
              <w:textAlignment w:val="center"/>
            </w:pPr>
            <w:r>
              <w:rPr>
                <w:rFonts w:ascii="Times New Roman" w:eastAsia="宋体" w:hAnsi="Times New Roman"/>
                <w:color w:val="000000"/>
                <w:sz w:val="16"/>
                <w:szCs w:val="16"/>
              </w:rPr>
              <w:t>4.1%</w:t>
            </w:r>
          </w:p>
        </w:tc>
        <w:tc>
          <w:tcPr>
            <w:tcW w:w="0" w:type="auto"/>
            <w:gridSpan w:val="3"/>
            <w:shd w:val="clear" w:color="auto" w:fill="FFFFFF"/>
            <w:tcMar>
              <w:top w:w="0" w:type="dxa"/>
              <w:left w:w="20" w:type="dxa"/>
              <w:bottom w:w="0" w:type="dxa"/>
              <w:right w:w="20" w:type="dxa"/>
            </w:tcMar>
            <w:vAlign w:val="bottom"/>
          </w:tcPr>
          <w:p w14:paraId="4B9A455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57" w14:textId="77777777" w:rsidR="002A3970" w:rsidRDefault="00C35E63">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4B9A4558"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559"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5A" w14:textId="77777777" w:rsidR="002A3970" w:rsidRDefault="00C35E63">
            <w:pPr>
              <w:jc w:val="right"/>
              <w:textAlignment w:val="center"/>
            </w:pPr>
            <w:r>
              <w:rPr>
                <w:rFonts w:ascii="Times New Roman" w:eastAsia="宋体" w:hAnsi="Times New Roman"/>
                <w:color w:val="000000"/>
                <w:sz w:val="16"/>
                <w:szCs w:val="16"/>
              </w:rPr>
              <w:t>3.0%</w:t>
            </w:r>
          </w:p>
        </w:tc>
      </w:tr>
      <w:tr w:rsidR="002A3970" w14:paraId="4B9A4566" w14:textId="77777777">
        <w:tc>
          <w:tcPr>
            <w:tcW w:w="0" w:type="auto"/>
            <w:gridSpan w:val="3"/>
            <w:shd w:val="clear" w:color="auto" w:fill="CCEEFF"/>
            <w:tcMar>
              <w:top w:w="40" w:type="dxa"/>
              <w:left w:w="20" w:type="dxa"/>
              <w:bottom w:w="40" w:type="dxa"/>
              <w:right w:w="20" w:type="dxa"/>
            </w:tcMar>
            <w:vAlign w:val="center"/>
          </w:tcPr>
          <w:p w14:paraId="4B9A455C" w14:textId="77777777" w:rsidR="002A3970" w:rsidRDefault="00C35E63">
            <w:pPr>
              <w:textAlignment w:val="center"/>
            </w:pPr>
            <w:r>
              <w:rPr>
                <w:rFonts w:ascii="Times New Roman" w:eastAsia="宋体" w:hAnsi="Times New Roman"/>
                <w:color w:val="000000"/>
                <w:sz w:val="16"/>
                <w:szCs w:val="16"/>
              </w:rPr>
              <w:t>Total U.S. calendar comparable sales increase</w:t>
            </w:r>
          </w:p>
        </w:tc>
        <w:tc>
          <w:tcPr>
            <w:tcW w:w="0" w:type="auto"/>
            <w:gridSpan w:val="3"/>
            <w:shd w:val="clear" w:color="auto" w:fill="CCEEFF"/>
            <w:tcMar>
              <w:top w:w="0" w:type="dxa"/>
              <w:left w:w="20" w:type="dxa"/>
              <w:bottom w:w="0" w:type="dxa"/>
              <w:right w:w="20" w:type="dxa"/>
            </w:tcMar>
            <w:vAlign w:val="bottom"/>
          </w:tcPr>
          <w:p w14:paraId="4B9A455D" w14:textId="77777777" w:rsidR="002A3970" w:rsidRDefault="002A3970">
            <w:pPr>
              <w:rPr>
                <w:rFonts w:ascii="宋体"/>
              </w:rPr>
            </w:pPr>
          </w:p>
        </w:tc>
        <w:tc>
          <w:tcPr>
            <w:tcW w:w="0" w:type="auto"/>
            <w:gridSpan w:val="3"/>
            <w:shd w:val="clear" w:color="auto" w:fill="CCEEFF"/>
            <w:tcMar>
              <w:top w:w="40" w:type="dxa"/>
              <w:left w:w="20" w:type="dxa"/>
              <w:bottom w:w="40" w:type="dxa"/>
              <w:right w:w="140" w:type="dxa"/>
            </w:tcMar>
            <w:vAlign w:val="center"/>
          </w:tcPr>
          <w:p w14:paraId="4B9A455E" w14:textId="77777777" w:rsidR="002A3970" w:rsidRDefault="00C35E63">
            <w:pPr>
              <w:jc w:val="right"/>
              <w:textAlignment w:val="center"/>
            </w:pPr>
            <w:r>
              <w:rPr>
                <w:rFonts w:ascii="Times New Roman" w:eastAsia="宋体" w:hAnsi="Times New Roman"/>
                <w:color w:val="000000"/>
                <w:sz w:val="16"/>
                <w:szCs w:val="16"/>
              </w:rPr>
              <w:t>9.2%</w:t>
            </w:r>
          </w:p>
        </w:tc>
        <w:tc>
          <w:tcPr>
            <w:tcW w:w="0" w:type="auto"/>
            <w:gridSpan w:val="3"/>
            <w:shd w:val="clear" w:color="auto" w:fill="CCEEFF"/>
            <w:tcMar>
              <w:top w:w="0" w:type="dxa"/>
              <w:left w:w="20" w:type="dxa"/>
              <w:bottom w:w="0" w:type="dxa"/>
              <w:right w:w="20" w:type="dxa"/>
            </w:tcMar>
            <w:vAlign w:val="bottom"/>
          </w:tcPr>
          <w:p w14:paraId="4B9A455F" w14:textId="77777777" w:rsidR="002A3970" w:rsidRDefault="002A3970">
            <w:pPr>
              <w:rPr>
                <w:rFonts w:ascii="宋体"/>
              </w:rPr>
            </w:pPr>
          </w:p>
        </w:tc>
        <w:tc>
          <w:tcPr>
            <w:tcW w:w="0" w:type="auto"/>
            <w:gridSpan w:val="3"/>
            <w:shd w:val="clear" w:color="auto" w:fill="CCEEFF"/>
            <w:tcMar>
              <w:top w:w="40" w:type="dxa"/>
              <w:left w:w="20" w:type="dxa"/>
              <w:bottom w:w="40" w:type="dxa"/>
              <w:right w:w="140" w:type="dxa"/>
            </w:tcMar>
            <w:vAlign w:val="center"/>
          </w:tcPr>
          <w:p w14:paraId="4B9A4560" w14:textId="77777777" w:rsidR="002A3970" w:rsidRDefault="00C35E63">
            <w:pPr>
              <w:jc w:val="right"/>
              <w:textAlignment w:val="center"/>
            </w:pPr>
            <w:r>
              <w:rPr>
                <w:rFonts w:ascii="Times New Roman" w:eastAsia="宋体" w:hAnsi="Times New Roman"/>
                <w:color w:val="000000"/>
                <w:sz w:val="16"/>
                <w:szCs w:val="16"/>
              </w:rPr>
              <w:t>11.0%</w:t>
            </w:r>
          </w:p>
        </w:tc>
        <w:tc>
          <w:tcPr>
            <w:tcW w:w="0" w:type="auto"/>
            <w:gridSpan w:val="3"/>
            <w:shd w:val="clear" w:color="auto" w:fill="CCEEFF"/>
            <w:tcMar>
              <w:top w:w="0" w:type="dxa"/>
              <w:left w:w="20" w:type="dxa"/>
              <w:bottom w:w="0" w:type="dxa"/>
              <w:right w:w="20" w:type="dxa"/>
            </w:tcMar>
            <w:vAlign w:val="bottom"/>
          </w:tcPr>
          <w:p w14:paraId="4B9A456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562" w14:textId="77777777" w:rsidR="002A3970" w:rsidRDefault="00C35E63">
            <w:pPr>
              <w:jc w:val="right"/>
              <w:textAlignment w:val="center"/>
            </w:pPr>
            <w:r>
              <w:rPr>
                <w:rFonts w:ascii="Times New Roman" w:eastAsia="宋体" w:hAnsi="Times New Roman"/>
                <w:color w:val="000000"/>
                <w:sz w:val="16"/>
                <w:szCs w:val="16"/>
              </w:rPr>
              <w:t>8</w:t>
            </w:r>
            <w:r>
              <w:rPr>
                <w:rFonts w:ascii="Times New Roman" w:eastAsia="宋体" w:hAnsi="Times New Roman"/>
                <w:color w:val="000000"/>
                <w:sz w:val="16"/>
                <w:szCs w:val="16"/>
              </w:rPr>
              <w:t>.0 </w:t>
            </w:r>
          </w:p>
        </w:tc>
        <w:tc>
          <w:tcPr>
            <w:tcW w:w="0" w:type="auto"/>
            <w:shd w:val="clear" w:color="auto" w:fill="CCEEFF"/>
            <w:tcMar>
              <w:top w:w="40" w:type="dxa"/>
              <w:left w:w="0" w:type="dxa"/>
              <w:bottom w:w="40" w:type="dxa"/>
              <w:right w:w="20" w:type="dxa"/>
            </w:tcMar>
            <w:vAlign w:val="center"/>
          </w:tcPr>
          <w:p w14:paraId="4B9A4563"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564" w14:textId="77777777" w:rsidR="002A3970" w:rsidRDefault="002A3970">
            <w:pPr>
              <w:rPr>
                <w:rFonts w:ascii="宋体"/>
              </w:rPr>
            </w:pPr>
          </w:p>
        </w:tc>
        <w:tc>
          <w:tcPr>
            <w:tcW w:w="0" w:type="auto"/>
            <w:gridSpan w:val="3"/>
            <w:shd w:val="clear" w:color="auto" w:fill="CCEEFF"/>
            <w:tcMar>
              <w:top w:w="40" w:type="dxa"/>
              <w:left w:w="20" w:type="dxa"/>
              <w:bottom w:w="40" w:type="dxa"/>
              <w:right w:w="140" w:type="dxa"/>
            </w:tcMar>
            <w:vAlign w:val="center"/>
          </w:tcPr>
          <w:p w14:paraId="4B9A4565" w14:textId="77777777" w:rsidR="002A3970" w:rsidRDefault="00C35E63">
            <w:pPr>
              <w:jc w:val="right"/>
              <w:textAlignment w:val="center"/>
            </w:pPr>
            <w:r>
              <w:rPr>
                <w:rFonts w:ascii="Times New Roman" w:eastAsia="宋体" w:hAnsi="Times New Roman"/>
                <w:color w:val="000000"/>
                <w:sz w:val="16"/>
                <w:szCs w:val="16"/>
              </w:rPr>
              <w:t>7.9%</w:t>
            </w:r>
          </w:p>
        </w:tc>
      </w:tr>
      <w:tr w:rsidR="002A3970" w14:paraId="4B9A4571" w14:textId="77777777">
        <w:tc>
          <w:tcPr>
            <w:tcW w:w="0" w:type="auto"/>
            <w:gridSpan w:val="3"/>
            <w:shd w:val="clear" w:color="auto" w:fill="FFFFFF"/>
            <w:tcMar>
              <w:top w:w="40" w:type="dxa"/>
              <w:left w:w="20" w:type="dxa"/>
              <w:bottom w:w="40" w:type="dxa"/>
              <w:right w:w="20" w:type="dxa"/>
            </w:tcMar>
            <w:vAlign w:val="center"/>
          </w:tcPr>
          <w:p w14:paraId="4B9A4567" w14:textId="77777777" w:rsidR="002A3970" w:rsidRDefault="00C35E63">
            <w:pPr>
              <w:textAlignment w:val="center"/>
            </w:pPr>
            <w:r>
              <w:rPr>
                <w:rFonts w:ascii="Times New Roman" w:eastAsia="宋体" w:hAnsi="Times New Roman"/>
                <w:color w:val="000000"/>
                <w:sz w:val="16"/>
                <w:szCs w:val="16"/>
              </w:rPr>
              <w:t>Gr</w:t>
            </w:r>
            <w:r>
              <w:rPr>
                <w:rFonts w:ascii="Times New Roman" w:eastAsia="宋体" w:hAnsi="Times New Roman"/>
                <w:color w:val="000000"/>
                <w:sz w:val="16"/>
                <w:szCs w:val="16"/>
              </w:rPr>
              <w:t>oss profit margin as a percentage of net sales</w:t>
            </w:r>
          </w:p>
        </w:tc>
        <w:tc>
          <w:tcPr>
            <w:tcW w:w="0" w:type="auto"/>
            <w:gridSpan w:val="3"/>
            <w:shd w:val="clear" w:color="auto" w:fill="FFFFFF"/>
            <w:tcMar>
              <w:top w:w="0" w:type="dxa"/>
              <w:left w:w="20" w:type="dxa"/>
              <w:bottom w:w="0" w:type="dxa"/>
              <w:right w:w="20" w:type="dxa"/>
            </w:tcMar>
            <w:vAlign w:val="bottom"/>
          </w:tcPr>
          <w:p w14:paraId="4B9A4568"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69" w14:textId="77777777" w:rsidR="002A3970" w:rsidRDefault="00C35E63">
            <w:pPr>
              <w:jc w:val="right"/>
              <w:textAlignment w:val="center"/>
            </w:pPr>
            <w:r>
              <w:rPr>
                <w:rFonts w:ascii="Times New Roman" w:eastAsia="宋体" w:hAnsi="Times New Roman"/>
                <w:color w:val="000000"/>
                <w:sz w:val="16"/>
                <w:szCs w:val="16"/>
              </w:rPr>
              <w:t>23.7%</w:t>
            </w:r>
          </w:p>
        </w:tc>
        <w:tc>
          <w:tcPr>
            <w:tcW w:w="0" w:type="auto"/>
            <w:gridSpan w:val="3"/>
            <w:shd w:val="clear" w:color="auto" w:fill="FFFFFF"/>
            <w:tcMar>
              <w:top w:w="0" w:type="dxa"/>
              <w:left w:w="20" w:type="dxa"/>
              <w:bottom w:w="0" w:type="dxa"/>
              <w:right w:w="20" w:type="dxa"/>
            </w:tcMar>
            <w:vAlign w:val="bottom"/>
          </w:tcPr>
          <w:p w14:paraId="4B9A456A"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6B" w14:textId="77777777" w:rsidR="002A3970" w:rsidRDefault="00C35E63">
            <w:pPr>
              <w:jc w:val="right"/>
              <w:textAlignment w:val="center"/>
            </w:pPr>
            <w:r>
              <w:rPr>
                <w:rFonts w:ascii="Times New Roman" w:eastAsia="宋体" w:hAnsi="Times New Roman"/>
                <w:color w:val="000000"/>
                <w:sz w:val="16"/>
                <w:szCs w:val="16"/>
              </w:rPr>
              <w:t>24.6%</w:t>
            </w:r>
          </w:p>
        </w:tc>
        <w:tc>
          <w:tcPr>
            <w:tcW w:w="0" w:type="auto"/>
            <w:gridSpan w:val="3"/>
            <w:shd w:val="clear" w:color="auto" w:fill="FFFFFF"/>
            <w:tcMar>
              <w:top w:w="0" w:type="dxa"/>
              <w:left w:w="20" w:type="dxa"/>
              <w:bottom w:w="0" w:type="dxa"/>
              <w:right w:w="20" w:type="dxa"/>
            </w:tcMar>
            <w:vAlign w:val="bottom"/>
          </w:tcPr>
          <w:p w14:paraId="4B9A456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6D" w14:textId="77777777" w:rsidR="002A3970" w:rsidRDefault="00C35E63">
            <w:pPr>
              <w:jc w:val="right"/>
              <w:textAlignment w:val="center"/>
            </w:pPr>
            <w:r>
              <w:rPr>
                <w:rFonts w:ascii="Times New Roman" w:eastAsia="宋体" w:hAnsi="Times New Roman"/>
                <w:color w:val="000000"/>
                <w:sz w:val="16"/>
                <w:szCs w:val="16"/>
              </w:rPr>
              <w:t>23.7 </w:t>
            </w:r>
          </w:p>
        </w:tc>
        <w:tc>
          <w:tcPr>
            <w:tcW w:w="0" w:type="auto"/>
            <w:shd w:val="clear" w:color="auto" w:fill="FFFFFF"/>
            <w:tcMar>
              <w:top w:w="40" w:type="dxa"/>
              <w:left w:w="0" w:type="dxa"/>
              <w:bottom w:w="40" w:type="dxa"/>
              <w:right w:w="20" w:type="dxa"/>
            </w:tcMar>
            <w:vAlign w:val="center"/>
          </w:tcPr>
          <w:p w14:paraId="4B9A456E"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56F"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70" w14:textId="77777777" w:rsidR="002A3970" w:rsidRDefault="00C35E63">
            <w:pPr>
              <w:jc w:val="right"/>
              <w:textAlignment w:val="center"/>
            </w:pPr>
            <w:r>
              <w:rPr>
                <w:rFonts w:ascii="Times New Roman" w:eastAsia="宋体" w:hAnsi="Times New Roman"/>
                <w:color w:val="000000"/>
                <w:sz w:val="16"/>
                <w:szCs w:val="16"/>
              </w:rPr>
              <w:t>24.7%</w:t>
            </w:r>
          </w:p>
        </w:tc>
      </w:tr>
      <w:tr w:rsidR="002A3970" w14:paraId="4B9A4583" w14:textId="77777777">
        <w:tc>
          <w:tcPr>
            <w:tcW w:w="0" w:type="auto"/>
            <w:gridSpan w:val="3"/>
            <w:shd w:val="clear" w:color="auto" w:fill="CCEEFF"/>
            <w:tcMar>
              <w:top w:w="40" w:type="dxa"/>
              <w:left w:w="20" w:type="dxa"/>
              <w:bottom w:w="40" w:type="dxa"/>
              <w:right w:w="20" w:type="dxa"/>
            </w:tcMar>
            <w:vAlign w:val="center"/>
          </w:tcPr>
          <w:p w14:paraId="4B9A4572" w14:textId="77777777" w:rsidR="002A3970" w:rsidRDefault="00C35E63">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B9A4573"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74"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75" w14:textId="77777777" w:rsidR="002A3970" w:rsidRDefault="00C35E63">
            <w:pPr>
              <w:jc w:val="right"/>
              <w:textAlignment w:val="center"/>
            </w:pPr>
            <w:r>
              <w:rPr>
                <w:rFonts w:ascii="Times New Roman" w:eastAsia="宋体" w:hAnsi="Times New Roman"/>
                <w:color w:val="000000"/>
                <w:sz w:val="16"/>
                <w:szCs w:val="16"/>
              </w:rPr>
              <w:t>2,695 </w:t>
            </w:r>
          </w:p>
        </w:tc>
        <w:tc>
          <w:tcPr>
            <w:tcW w:w="0" w:type="auto"/>
            <w:shd w:val="clear" w:color="auto" w:fill="CCEEFF"/>
            <w:tcMar>
              <w:top w:w="40" w:type="dxa"/>
              <w:left w:w="0" w:type="dxa"/>
              <w:bottom w:w="40" w:type="dxa"/>
              <w:right w:w="20" w:type="dxa"/>
            </w:tcMar>
            <w:vAlign w:val="center"/>
          </w:tcPr>
          <w:p w14:paraId="4B9A457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77"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7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79" w14:textId="77777777" w:rsidR="002A3970" w:rsidRDefault="00C35E63">
            <w:pPr>
              <w:jc w:val="right"/>
              <w:textAlignment w:val="center"/>
            </w:pPr>
            <w:r>
              <w:rPr>
                <w:rFonts w:ascii="Times New Roman" w:eastAsia="宋体" w:hAnsi="Times New Roman"/>
                <w:color w:val="000000"/>
                <w:sz w:val="16"/>
                <w:szCs w:val="16"/>
              </w:rPr>
              <w:t>5,792 </w:t>
            </w:r>
          </w:p>
        </w:tc>
        <w:tc>
          <w:tcPr>
            <w:tcW w:w="0" w:type="auto"/>
            <w:shd w:val="clear" w:color="auto" w:fill="CCEEFF"/>
            <w:tcMar>
              <w:top w:w="40" w:type="dxa"/>
              <w:left w:w="0" w:type="dxa"/>
              <w:bottom w:w="40" w:type="dxa"/>
              <w:right w:w="20" w:type="dxa"/>
            </w:tcMar>
            <w:vAlign w:val="center"/>
          </w:tcPr>
          <w:p w14:paraId="4B9A457A"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7B"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7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7D" w14:textId="77777777" w:rsidR="002A3970" w:rsidRDefault="00C35E63">
            <w:pPr>
              <w:jc w:val="right"/>
              <w:textAlignment w:val="center"/>
            </w:pPr>
            <w:r>
              <w:rPr>
                <w:rFonts w:ascii="Times New Roman" w:eastAsia="宋体" w:hAnsi="Times New Roman"/>
                <w:color w:val="000000"/>
                <w:sz w:val="16"/>
                <w:szCs w:val="16"/>
              </w:rPr>
              <w:t>14,867 </w:t>
            </w:r>
          </w:p>
        </w:tc>
        <w:tc>
          <w:tcPr>
            <w:tcW w:w="0" w:type="auto"/>
            <w:shd w:val="clear" w:color="auto" w:fill="CCEEFF"/>
            <w:tcMar>
              <w:top w:w="40" w:type="dxa"/>
              <w:left w:w="0" w:type="dxa"/>
              <w:bottom w:w="40" w:type="dxa"/>
              <w:right w:w="20" w:type="dxa"/>
            </w:tcMar>
            <w:vAlign w:val="center"/>
          </w:tcPr>
          <w:p w14:paraId="4B9A457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7F"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80"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81" w14:textId="77777777" w:rsidR="002A3970" w:rsidRDefault="00C35E63">
            <w:pPr>
              <w:jc w:val="right"/>
              <w:textAlignment w:val="center"/>
            </w:pPr>
            <w:r>
              <w:rPr>
                <w:rFonts w:ascii="Times New Roman" w:eastAsia="宋体" w:hAnsi="Times New Roman"/>
                <w:color w:val="000000"/>
                <w:sz w:val="16"/>
                <w:szCs w:val="16"/>
              </w:rPr>
              <w:t>20,055 </w:t>
            </w:r>
          </w:p>
        </w:tc>
        <w:tc>
          <w:tcPr>
            <w:tcW w:w="0" w:type="auto"/>
            <w:shd w:val="clear" w:color="auto" w:fill="CCEEFF"/>
            <w:tcMar>
              <w:top w:w="40" w:type="dxa"/>
              <w:left w:w="0" w:type="dxa"/>
              <w:bottom w:w="40" w:type="dxa"/>
              <w:right w:w="20" w:type="dxa"/>
            </w:tcMar>
            <w:vAlign w:val="center"/>
          </w:tcPr>
          <w:p w14:paraId="4B9A4582" w14:textId="77777777" w:rsidR="002A3970" w:rsidRDefault="002A3970">
            <w:pPr>
              <w:jc w:val="right"/>
              <w:rPr>
                <w:rFonts w:ascii="宋体"/>
              </w:rPr>
            </w:pPr>
          </w:p>
        </w:tc>
      </w:tr>
      <w:tr w:rsidR="002A3970" w14:paraId="4B9A458E" w14:textId="77777777">
        <w:tc>
          <w:tcPr>
            <w:tcW w:w="0" w:type="auto"/>
            <w:gridSpan w:val="3"/>
            <w:shd w:val="clear" w:color="auto" w:fill="FFFFFF"/>
            <w:tcMar>
              <w:top w:w="40" w:type="dxa"/>
              <w:left w:w="20" w:type="dxa"/>
              <w:bottom w:w="40" w:type="dxa"/>
              <w:right w:w="20" w:type="dxa"/>
            </w:tcMar>
            <w:vAlign w:val="center"/>
          </w:tcPr>
          <w:p w14:paraId="4B9A4584" w14:textId="77777777" w:rsidR="002A3970" w:rsidRDefault="00C35E63">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4B9A4585"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86" w14:textId="77777777" w:rsidR="002A3970" w:rsidRDefault="00C35E63">
            <w:pPr>
              <w:jc w:val="right"/>
              <w:textAlignment w:val="center"/>
            </w:pPr>
            <w:r>
              <w:rPr>
                <w:rFonts w:ascii="Times New Roman" w:eastAsia="宋体" w:hAnsi="Times New Roman"/>
                <w:color w:val="000000"/>
                <w:sz w:val="16"/>
                <w:szCs w:val="16"/>
              </w:rPr>
              <w:t>1.8%</w:t>
            </w:r>
          </w:p>
        </w:tc>
        <w:tc>
          <w:tcPr>
            <w:tcW w:w="0" w:type="auto"/>
            <w:gridSpan w:val="3"/>
            <w:shd w:val="clear" w:color="auto" w:fill="FFFFFF"/>
            <w:tcMar>
              <w:top w:w="0" w:type="dxa"/>
              <w:left w:w="20" w:type="dxa"/>
              <w:bottom w:w="0" w:type="dxa"/>
              <w:right w:w="20" w:type="dxa"/>
            </w:tcMar>
            <w:vAlign w:val="bottom"/>
          </w:tcPr>
          <w:p w14:paraId="4B9A4587"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88" w14:textId="77777777" w:rsidR="002A3970" w:rsidRDefault="00C35E63">
            <w:pPr>
              <w:jc w:val="right"/>
              <w:textAlignment w:val="center"/>
            </w:pPr>
            <w:r>
              <w:rPr>
                <w:rFonts w:ascii="Times New Roman" w:eastAsia="宋体" w:hAnsi="Times New Roman"/>
                <w:color w:val="000000"/>
                <w:sz w:val="16"/>
                <w:szCs w:val="16"/>
              </w:rPr>
              <w:t>4.2%</w:t>
            </w:r>
          </w:p>
        </w:tc>
        <w:tc>
          <w:tcPr>
            <w:tcW w:w="0" w:type="auto"/>
            <w:gridSpan w:val="3"/>
            <w:shd w:val="clear" w:color="auto" w:fill="FFFFFF"/>
            <w:tcMar>
              <w:top w:w="0" w:type="dxa"/>
              <w:left w:w="20" w:type="dxa"/>
              <w:bottom w:w="0" w:type="dxa"/>
              <w:right w:w="20" w:type="dxa"/>
            </w:tcMar>
            <w:vAlign w:val="bottom"/>
          </w:tcPr>
          <w:p w14:paraId="4B9A458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8A" w14:textId="77777777" w:rsidR="002A3970" w:rsidRDefault="00C35E63">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4B9A458B"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58C" w14:textId="77777777" w:rsidR="002A3970" w:rsidRDefault="002A3970">
            <w:pPr>
              <w:rPr>
                <w:rFonts w:ascii="宋体"/>
              </w:rPr>
            </w:pPr>
          </w:p>
        </w:tc>
        <w:tc>
          <w:tcPr>
            <w:tcW w:w="0" w:type="auto"/>
            <w:gridSpan w:val="3"/>
            <w:shd w:val="clear" w:color="auto" w:fill="FFFFFF"/>
            <w:tcMar>
              <w:top w:w="40" w:type="dxa"/>
              <w:left w:w="20" w:type="dxa"/>
              <w:bottom w:w="40" w:type="dxa"/>
              <w:right w:w="140" w:type="dxa"/>
            </w:tcMar>
            <w:vAlign w:val="center"/>
          </w:tcPr>
          <w:p w14:paraId="4B9A458D" w14:textId="77777777" w:rsidR="002A3970" w:rsidRDefault="00C35E63">
            <w:pPr>
              <w:jc w:val="right"/>
              <w:textAlignment w:val="center"/>
            </w:pPr>
            <w:r>
              <w:rPr>
                <w:rFonts w:ascii="Times New Roman" w:eastAsia="宋体" w:hAnsi="Times New Roman"/>
                <w:color w:val="000000"/>
                <w:sz w:val="16"/>
                <w:szCs w:val="16"/>
              </w:rPr>
              <w:t>4.8%</w:t>
            </w:r>
          </w:p>
        </w:tc>
      </w:tr>
      <w:tr w:rsidR="002A3970" w14:paraId="4B9A4598" w14:textId="77777777">
        <w:trPr>
          <w:hidden/>
        </w:trPr>
        <w:tc>
          <w:tcPr>
            <w:tcW w:w="0" w:type="auto"/>
            <w:gridSpan w:val="3"/>
            <w:shd w:val="clear" w:color="auto" w:fill="auto"/>
            <w:vAlign w:val="bottom"/>
          </w:tcPr>
          <w:p w14:paraId="4B9A458F" w14:textId="77777777" w:rsidR="002A3970" w:rsidRDefault="002A3970">
            <w:pPr>
              <w:rPr>
                <w:rFonts w:ascii="宋体"/>
                <w:vanish/>
              </w:rPr>
            </w:pPr>
          </w:p>
        </w:tc>
        <w:tc>
          <w:tcPr>
            <w:tcW w:w="0" w:type="auto"/>
            <w:gridSpan w:val="3"/>
            <w:shd w:val="clear" w:color="auto" w:fill="auto"/>
            <w:vAlign w:val="bottom"/>
          </w:tcPr>
          <w:p w14:paraId="4B9A4590" w14:textId="77777777" w:rsidR="002A3970" w:rsidRDefault="002A3970">
            <w:pPr>
              <w:rPr>
                <w:rFonts w:ascii="宋体"/>
                <w:vanish/>
              </w:rPr>
            </w:pPr>
          </w:p>
        </w:tc>
        <w:tc>
          <w:tcPr>
            <w:tcW w:w="0" w:type="auto"/>
            <w:gridSpan w:val="3"/>
            <w:shd w:val="clear" w:color="auto" w:fill="auto"/>
            <w:vAlign w:val="bottom"/>
          </w:tcPr>
          <w:p w14:paraId="4B9A4591" w14:textId="77777777" w:rsidR="002A3970" w:rsidRDefault="002A3970">
            <w:pPr>
              <w:rPr>
                <w:rFonts w:ascii="宋体"/>
                <w:vanish/>
              </w:rPr>
            </w:pPr>
          </w:p>
        </w:tc>
        <w:tc>
          <w:tcPr>
            <w:tcW w:w="0" w:type="auto"/>
            <w:gridSpan w:val="3"/>
            <w:shd w:val="clear" w:color="auto" w:fill="auto"/>
            <w:vAlign w:val="bottom"/>
          </w:tcPr>
          <w:p w14:paraId="4B9A4592" w14:textId="77777777" w:rsidR="002A3970" w:rsidRDefault="002A3970">
            <w:pPr>
              <w:rPr>
                <w:rFonts w:ascii="宋体"/>
                <w:vanish/>
              </w:rPr>
            </w:pPr>
          </w:p>
        </w:tc>
        <w:tc>
          <w:tcPr>
            <w:tcW w:w="0" w:type="auto"/>
            <w:gridSpan w:val="3"/>
            <w:shd w:val="clear" w:color="auto" w:fill="auto"/>
            <w:vAlign w:val="bottom"/>
          </w:tcPr>
          <w:p w14:paraId="4B9A4593" w14:textId="77777777" w:rsidR="002A3970" w:rsidRDefault="002A3970">
            <w:pPr>
              <w:rPr>
                <w:rFonts w:ascii="宋体"/>
                <w:vanish/>
              </w:rPr>
            </w:pPr>
          </w:p>
        </w:tc>
        <w:tc>
          <w:tcPr>
            <w:tcW w:w="0" w:type="auto"/>
            <w:gridSpan w:val="3"/>
            <w:shd w:val="clear" w:color="auto" w:fill="auto"/>
            <w:vAlign w:val="bottom"/>
          </w:tcPr>
          <w:p w14:paraId="4B9A4594" w14:textId="77777777" w:rsidR="002A3970" w:rsidRDefault="002A3970">
            <w:pPr>
              <w:rPr>
                <w:rFonts w:ascii="宋体"/>
                <w:vanish/>
              </w:rPr>
            </w:pPr>
          </w:p>
        </w:tc>
        <w:tc>
          <w:tcPr>
            <w:tcW w:w="0" w:type="auto"/>
            <w:gridSpan w:val="3"/>
            <w:shd w:val="clear" w:color="auto" w:fill="auto"/>
            <w:vAlign w:val="bottom"/>
          </w:tcPr>
          <w:p w14:paraId="4B9A4595" w14:textId="77777777" w:rsidR="002A3970" w:rsidRDefault="002A3970">
            <w:pPr>
              <w:rPr>
                <w:rFonts w:ascii="宋体"/>
                <w:vanish/>
              </w:rPr>
            </w:pPr>
          </w:p>
        </w:tc>
        <w:tc>
          <w:tcPr>
            <w:tcW w:w="0" w:type="auto"/>
            <w:gridSpan w:val="3"/>
            <w:shd w:val="clear" w:color="auto" w:fill="auto"/>
            <w:vAlign w:val="bottom"/>
          </w:tcPr>
          <w:p w14:paraId="4B9A4596" w14:textId="77777777" w:rsidR="002A3970" w:rsidRDefault="002A3970">
            <w:pPr>
              <w:rPr>
                <w:rFonts w:ascii="宋体"/>
                <w:vanish/>
              </w:rPr>
            </w:pPr>
          </w:p>
        </w:tc>
        <w:tc>
          <w:tcPr>
            <w:tcW w:w="0" w:type="auto"/>
            <w:gridSpan w:val="3"/>
            <w:shd w:val="clear" w:color="auto" w:fill="auto"/>
            <w:vAlign w:val="bottom"/>
          </w:tcPr>
          <w:p w14:paraId="4B9A4597" w14:textId="77777777" w:rsidR="002A3970" w:rsidRDefault="002A3970">
            <w:pPr>
              <w:rPr>
                <w:rFonts w:ascii="宋体"/>
                <w:vanish/>
              </w:rPr>
            </w:pPr>
          </w:p>
        </w:tc>
      </w:tr>
      <w:tr w:rsidR="002A3970" w14:paraId="4B9A45AA" w14:textId="77777777">
        <w:tc>
          <w:tcPr>
            <w:tcW w:w="0" w:type="auto"/>
            <w:gridSpan w:val="3"/>
            <w:shd w:val="clear" w:color="auto" w:fill="CCEEFF"/>
            <w:tcMar>
              <w:top w:w="40" w:type="dxa"/>
              <w:left w:w="20" w:type="dxa"/>
              <w:bottom w:w="40" w:type="dxa"/>
              <w:right w:w="20" w:type="dxa"/>
            </w:tcMar>
            <w:vAlign w:val="center"/>
          </w:tcPr>
          <w:p w14:paraId="4B9A4599" w14:textId="77777777" w:rsidR="002A3970" w:rsidRDefault="00C35E63">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4B9A459A" w14:textId="77777777" w:rsidR="002A3970" w:rsidRDefault="002A3970">
            <w:pPr>
              <w:rPr>
                <w:rFonts w:ascii="宋体"/>
              </w:rPr>
            </w:pPr>
          </w:p>
        </w:tc>
        <w:tc>
          <w:tcPr>
            <w:tcW w:w="0" w:type="auto"/>
            <w:shd w:val="clear" w:color="auto" w:fill="CCEEFF"/>
            <w:tcMar>
              <w:top w:w="40" w:type="dxa"/>
              <w:left w:w="20" w:type="dxa"/>
              <w:bottom w:w="40" w:type="dxa"/>
              <w:right w:w="0" w:type="dxa"/>
            </w:tcMar>
          </w:tcPr>
          <w:p w14:paraId="4B9A459B" w14:textId="77777777" w:rsidR="002A3970" w:rsidRDefault="00C35E63">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4B9A459C" w14:textId="77777777" w:rsidR="002A3970" w:rsidRDefault="00C35E63">
            <w:pPr>
              <w:jc w:val="right"/>
              <w:textAlignment w:val="top"/>
            </w:pPr>
            <w:r>
              <w:rPr>
                <w:rFonts w:ascii="Times New Roman" w:eastAsia="宋体" w:hAnsi="Times New Roman"/>
                <w:color w:val="000000"/>
                <w:sz w:val="16"/>
                <w:szCs w:val="16"/>
              </w:rPr>
              <w:t>3,626 </w:t>
            </w:r>
          </w:p>
        </w:tc>
        <w:tc>
          <w:tcPr>
            <w:tcW w:w="0" w:type="auto"/>
            <w:shd w:val="clear" w:color="auto" w:fill="CCEEFF"/>
            <w:tcMar>
              <w:top w:w="40" w:type="dxa"/>
              <w:left w:w="0" w:type="dxa"/>
              <w:bottom w:w="40" w:type="dxa"/>
              <w:right w:w="20" w:type="dxa"/>
            </w:tcMar>
          </w:tcPr>
          <w:p w14:paraId="4B9A459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9E" w14:textId="77777777" w:rsidR="002A3970" w:rsidRDefault="002A3970">
            <w:pPr>
              <w:rPr>
                <w:rFonts w:ascii="宋体"/>
              </w:rPr>
            </w:pPr>
          </w:p>
        </w:tc>
        <w:tc>
          <w:tcPr>
            <w:tcW w:w="0" w:type="auto"/>
            <w:shd w:val="clear" w:color="auto" w:fill="CCEEFF"/>
            <w:tcMar>
              <w:top w:w="40" w:type="dxa"/>
              <w:left w:w="20" w:type="dxa"/>
              <w:bottom w:w="40" w:type="dxa"/>
              <w:right w:w="0" w:type="dxa"/>
            </w:tcMar>
          </w:tcPr>
          <w:p w14:paraId="4B9A459F" w14:textId="77777777" w:rsidR="002A3970" w:rsidRDefault="00C35E63">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4B9A45A0" w14:textId="77777777" w:rsidR="002A3970" w:rsidRDefault="00C35E63">
            <w:pPr>
              <w:jc w:val="right"/>
              <w:textAlignment w:val="top"/>
            </w:pPr>
            <w:r>
              <w:rPr>
                <w:rFonts w:ascii="Times New Roman" w:eastAsia="宋体" w:hAnsi="Times New Roman"/>
                <w:color w:val="000000"/>
                <w:sz w:val="16"/>
                <w:szCs w:val="16"/>
              </w:rPr>
              <w:t>(1,207)</w:t>
            </w:r>
          </w:p>
        </w:tc>
        <w:tc>
          <w:tcPr>
            <w:tcW w:w="0" w:type="auto"/>
            <w:shd w:val="clear" w:color="auto" w:fill="CCEEFF"/>
            <w:tcMar>
              <w:top w:w="40" w:type="dxa"/>
              <w:left w:w="0" w:type="dxa"/>
              <w:bottom w:w="40" w:type="dxa"/>
              <w:right w:w="20" w:type="dxa"/>
            </w:tcMar>
          </w:tcPr>
          <w:p w14:paraId="4B9A45A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A2"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A3"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A4" w14:textId="77777777" w:rsidR="002A3970" w:rsidRDefault="00C35E63">
            <w:pPr>
              <w:jc w:val="right"/>
              <w:textAlignment w:val="center"/>
            </w:pPr>
            <w:r>
              <w:rPr>
                <w:rFonts w:ascii="Times New Roman" w:eastAsia="宋体" w:hAnsi="Times New Roman"/>
                <w:color w:val="000000"/>
                <w:sz w:val="16"/>
                <w:szCs w:val="16"/>
              </w:rPr>
              <w:t>5,386 </w:t>
            </w:r>
          </w:p>
        </w:tc>
        <w:tc>
          <w:tcPr>
            <w:tcW w:w="0" w:type="auto"/>
            <w:shd w:val="clear" w:color="auto" w:fill="CCEEFF"/>
            <w:tcMar>
              <w:top w:w="40" w:type="dxa"/>
              <w:left w:w="0" w:type="dxa"/>
              <w:bottom w:w="40" w:type="dxa"/>
              <w:right w:w="20" w:type="dxa"/>
            </w:tcMar>
            <w:vAlign w:val="center"/>
          </w:tcPr>
          <w:p w14:paraId="4B9A45A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A6"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5A7"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5A8" w14:textId="77777777" w:rsidR="002A3970" w:rsidRDefault="00C35E63">
            <w:pPr>
              <w:jc w:val="right"/>
              <w:textAlignment w:val="center"/>
            </w:pPr>
            <w:r>
              <w:rPr>
                <w:rFonts w:ascii="Times New Roman" w:eastAsia="宋体" w:hAnsi="Times New Roman"/>
                <w:color w:val="000000"/>
                <w:sz w:val="16"/>
                <w:szCs w:val="16"/>
              </w:rPr>
              <w:t>2,275 </w:t>
            </w:r>
          </w:p>
        </w:tc>
        <w:tc>
          <w:tcPr>
            <w:tcW w:w="0" w:type="auto"/>
            <w:shd w:val="clear" w:color="auto" w:fill="CCEEFF"/>
            <w:tcMar>
              <w:top w:w="40" w:type="dxa"/>
              <w:left w:w="0" w:type="dxa"/>
              <w:bottom w:w="40" w:type="dxa"/>
              <w:right w:w="20" w:type="dxa"/>
            </w:tcMar>
            <w:vAlign w:val="center"/>
          </w:tcPr>
          <w:p w14:paraId="4B9A45A9" w14:textId="77777777" w:rsidR="002A3970" w:rsidRDefault="002A3970">
            <w:pPr>
              <w:jc w:val="right"/>
              <w:rPr>
                <w:rFonts w:ascii="宋体"/>
              </w:rPr>
            </w:pPr>
          </w:p>
        </w:tc>
      </w:tr>
      <w:tr w:rsidR="002A3970" w14:paraId="4B9A45BC" w14:textId="77777777">
        <w:tc>
          <w:tcPr>
            <w:tcW w:w="0" w:type="auto"/>
            <w:gridSpan w:val="3"/>
            <w:shd w:val="clear" w:color="auto" w:fill="FFFFFF"/>
            <w:tcMar>
              <w:top w:w="40" w:type="dxa"/>
              <w:left w:w="20" w:type="dxa"/>
              <w:bottom w:w="40" w:type="dxa"/>
              <w:right w:w="20" w:type="dxa"/>
            </w:tcMar>
            <w:vAlign w:val="center"/>
          </w:tcPr>
          <w:p w14:paraId="4B9A45AB" w14:textId="77777777" w:rsidR="002A3970" w:rsidRDefault="00C35E63">
            <w:pPr>
              <w:textAlignment w:val="center"/>
            </w:pPr>
            <w:r>
              <w:rPr>
                <w:rFonts w:ascii="Times New Roman" w:eastAsia="宋体" w:hAnsi="Times New Roman"/>
                <w:color w:val="000000"/>
                <w:sz w:val="16"/>
                <w:szCs w:val="16"/>
              </w:rPr>
              <w:t>Consolidated net income (loss)</w:t>
            </w:r>
          </w:p>
        </w:tc>
        <w:tc>
          <w:tcPr>
            <w:tcW w:w="0" w:type="auto"/>
            <w:gridSpan w:val="3"/>
            <w:shd w:val="clear" w:color="auto" w:fill="FFFFFF"/>
            <w:tcMar>
              <w:top w:w="0" w:type="dxa"/>
              <w:left w:w="20" w:type="dxa"/>
              <w:bottom w:w="0" w:type="dxa"/>
              <w:right w:w="20" w:type="dxa"/>
            </w:tcMar>
            <w:vAlign w:val="bottom"/>
          </w:tcPr>
          <w:p w14:paraId="4B9A45AC"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5AD"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5AE" w14:textId="77777777" w:rsidR="002A3970" w:rsidRDefault="00C35E63">
            <w:pPr>
              <w:jc w:val="right"/>
              <w:textAlignment w:val="center"/>
            </w:pPr>
            <w:r>
              <w:rPr>
                <w:rFonts w:ascii="Times New Roman" w:eastAsia="宋体" w:hAnsi="Times New Roman"/>
                <w:color w:val="000000"/>
                <w:sz w:val="16"/>
                <w:szCs w:val="16"/>
              </w:rPr>
              <w:t>(1,767)</w:t>
            </w:r>
          </w:p>
        </w:tc>
        <w:tc>
          <w:tcPr>
            <w:tcW w:w="0" w:type="auto"/>
            <w:shd w:val="clear" w:color="auto" w:fill="FFFFFF"/>
            <w:tcMar>
              <w:top w:w="40" w:type="dxa"/>
              <w:left w:w="0" w:type="dxa"/>
              <w:bottom w:w="40" w:type="dxa"/>
              <w:right w:w="20" w:type="dxa"/>
            </w:tcMar>
            <w:vAlign w:val="center"/>
          </w:tcPr>
          <w:p w14:paraId="4B9A45AF"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5B0"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5B1"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5B2" w14:textId="77777777" w:rsidR="002A3970" w:rsidRDefault="00C35E63">
            <w:pPr>
              <w:jc w:val="right"/>
              <w:textAlignment w:val="center"/>
            </w:pPr>
            <w:r>
              <w:rPr>
                <w:rFonts w:ascii="Times New Roman" w:eastAsia="宋体" w:hAnsi="Times New Roman"/>
                <w:color w:val="000000"/>
                <w:sz w:val="16"/>
                <w:szCs w:val="16"/>
              </w:rPr>
              <w:t>3,132 </w:t>
            </w:r>
          </w:p>
        </w:tc>
        <w:tc>
          <w:tcPr>
            <w:tcW w:w="0" w:type="auto"/>
            <w:shd w:val="clear" w:color="auto" w:fill="FFFFFF"/>
            <w:tcMar>
              <w:top w:w="40" w:type="dxa"/>
              <w:left w:w="0" w:type="dxa"/>
              <w:bottom w:w="40" w:type="dxa"/>
              <w:right w:w="20" w:type="dxa"/>
            </w:tcMar>
            <w:vAlign w:val="center"/>
          </w:tcPr>
          <w:p w14:paraId="4B9A45B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5B4"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5B5"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5B6" w14:textId="77777777" w:rsidR="002A3970" w:rsidRDefault="00C35E63">
            <w:pPr>
              <w:jc w:val="right"/>
              <w:textAlignment w:val="center"/>
            </w:pPr>
            <w:r>
              <w:rPr>
                <w:rFonts w:ascii="Times New Roman" w:eastAsia="宋体" w:hAnsi="Times New Roman"/>
                <w:color w:val="000000"/>
                <w:sz w:val="16"/>
                <w:szCs w:val="16"/>
              </w:rPr>
              <w:t>5,483 </w:t>
            </w:r>
          </w:p>
        </w:tc>
        <w:tc>
          <w:tcPr>
            <w:tcW w:w="0" w:type="auto"/>
            <w:shd w:val="clear" w:color="auto" w:fill="FFFFFF"/>
            <w:tcMar>
              <w:top w:w="40" w:type="dxa"/>
              <w:left w:w="0" w:type="dxa"/>
              <w:bottom w:w="40" w:type="dxa"/>
              <w:right w:w="20" w:type="dxa"/>
            </w:tcMar>
            <w:vAlign w:val="center"/>
          </w:tcPr>
          <w:p w14:paraId="4B9A45B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5B8"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5B9"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5BA" w14:textId="77777777" w:rsidR="002A3970" w:rsidRDefault="00C35E63">
            <w:pPr>
              <w:jc w:val="right"/>
              <w:textAlignment w:val="center"/>
            </w:pPr>
            <w:r>
              <w:rPr>
                <w:rFonts w:ascii="Times New Roman" w:eastAsia="宋体" w:hAnsi="Times New Roman"/>
                <w:color w:val="000000"/>
                <w:sz w:val="16"/>
                <w:szCs w:val="16"/>
              </w:rPr>
              <w:t>10,307 </w:t>
            </w:r>
          </w:p>
        </w:tc>
        <w:tc>
          <w:tcPr>
            <w:tcW w:w="0" w:type="auto"/>
            <w:shd w:val="clear" w:color="auto" w:fill="FFFFFF"/>
            <w:tcMar>
              <w:top w:w="40" w:type="dxa"/>
              <w:left w:w="0" w:type="dxa"/>
              <w:bottom w:w="40" w:type="dxa"/>
              <w:right w:w="20" w:type="dxa"/>
            </w:tcMar>
            <w:vAlign w:val="center"/>
          </w:tcPr>
          <w:p w14:paraId="4B9A45BB" w14:textId="77777777" w:rsidR="002A3970" w:rsidRDefault="002A3970">
            <w:pPr>
              <w:jc w:val="right"/>
              <w:rPr>
                <w:rFonts w:ascii="宋体"/>
              </w:rPr>
            </w:pPr>
          </w:p>
        </w:tc>
      </w:tr>
      <w:tr w:rsidR="002A3970" w14:paraId="4B9A45CA" w14:textId="77777777">
        <w:tc>
          <w:tcPr>
            <w:tcW w:w="0" w:type="auto"/>
            <w:gridSpan w:val="3"/>
            <w:shd w:val="clear" w:color="auto" w:fill="CCEEFF"/>
            <w:tcMar>
              <w:top w:w="40" w:type="dxa"/>
              <w:left w:w="20" w:type="dxa"/>
              <w:bottom w:w="40" w:type="dxa"/>
              <w:right w:w="20" w:type="dxa"/>
            </w:tcMar>
            <w:vAlign w:val="center"/>
          </w:tcPr>
          <w:p w14:paraId="4B9A45BD" w14:textId="77777777" w:rsidR="002A3970" w:rsidRDefault="00C35E63">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4B9A45B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5BF" w14:textId="77777777" w:rsidR="002A3970" w:rsidRDefault="00C35E63">
            <w:pPr>
              <w:jc w:val="right"/>
              <w:textAlignment w:val="center"/>
            </w:pPr>
            <w:r>
              <w:rPr>
                <w:rFonts w:ascii="Times New Roman" w:eastAsia="宋体" w:hAnsi="Times New Roman"/>
                <w:color w:val="000000"/>
                <w:sz w:val="16"/>
                <w:szCs w:val="16"/>
              </w:rPr>
              <w:t>10,586 </w:t>
            </w:r>
          </w:p>
        </w:tc>
        <w:tc>
          <w:tcPr>
            <w:tcW w:w="0" w:type="auto"/>
            <w:shd w:val="clear" w:color="auto" w:fill="CCEEFF"/>
            <w:tcMar>
              <w:top w:w="40" w:type="dxa"/>
              <w:left w:w="0" w:type="dxa"/>
              <w:bottom w:w="40" w:type="dxa"/>
              <w:right w:w="20" w:type="dxa"/>
            </w:tcMar>
            <w:vAlign w:val="center"/>
          </w:tcPr>
          <w:p w14:paraId="4B9A45C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C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5C2" w14:textId="77777777" w:rsidR="002A3970" w:rsidRDefault="00C35E63">
            <w:pPr>
              <w:jc w:val="right"/>
              <w:textAlignment w:val="center"/>
            </w:pPr>
            <w:r>
              <w:rPr>
                <w:rFonts w:ascii="Times New Roman" w:eastAsia="宋体" w:hAnsi="Times New Roman"/>
                <w:color w:val="000000"/>
                <w:sz w:val="16"/>
                <w:szCs w:val="16"/>
              </w:rPr>
              <w:t>10,566 </w:t>
            </w:r>
          </w:p>
        </w:tc>
        <w:tc>
          <w:tcPr>
            <w:tcW w:w="0" w:type="auto"/>
            <w:shd w:val="clear" w:color="auto" w:fill="CCEEFF"/>
            <w:tcMar>
              <w:top w:w="40" w:type="dxa"/>
              <w:left w:w="0" w:type="dxa"/>
              <w:bottom w:w="40" w:type="dxa"/>
              <w:right w:w="20" w:type="dxa"/>
            </w:tcMar>
            <w:vAlign w:val="center"/>
          </w:tcPr>
          <w:p w14:paraId="4B9A45C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C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5C5" w14:textId="77777777" w:rsidR="002A3970" w:rsidRDefault="00C35E63">
            <w:pPr>
              <w:jc w:val="right"/>
              <w:textAlignment w:val="center"/>
            </w:pPr>
            <w:r>
              <w:rPr>
                <w:rFonts w:ascii="Times New Roman" w:eastAsia="宋体" w:hAnsi="Times New Roman"/>
                <w:color w:val="000000"/>
                <w:sz w:val="16"/>
                <w:szCs w:val="16"/>
              </w:rPr>
              <w:t>10,586 </w:t>
            </w:r>
          </w:p>
        </w:tc>
        <w:tc>
          <w:tcPr>
            <w:tcW w:w="0" w:type="auto"/>
            <w:shd w:val="clear" w:color="auto" w:fill="CCEEFF"/>
            <w:tcMar>
              <w:top w:w="40" w:type="dxa"/>
              <w:left w:w="0" w:type="dxa"/>
              <w:bottom w:w="40" w:type="dxa"/>
              <w:right w:w="20" w:type="dxa"/>
            </w:tcMar>
            <w:vAlign w:val="center"/>
          </w:tcPr>
          <w:p w14:paraId="4B9A45C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5C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5C8" w14:textId="77777777" w:rsidR="002A3970" w:rsidRDefault="00C35E63">
            <w:pPr>
              <w:jc w:val="right"/>
              <w:textAlignment w:val="center"/>
            </w:pPr>
            <w:r>
              <w:rPr>
                <w:rFonts w:ascii="Times New Roman" w:eastAsia="宋体" w:hAnsi="Times New Roman"/>
                <w:color w:val="000000"/>
                <w:sz w:val="16"/>
                <w:szCs w:val="16"/>
              </w:rPr>
              <w:t>10,566 </w:t>
            </w:r>
          </w:p>
        </w:tc>
        <w:tc>
          <w:tcPr>
            <w:tcW w:w="0" w:type="auto"/>
            <w:shd w:val="clear" w:color="auto" w:fill="CCEEFF"/>
            <w:tcMar>
              <w:top w:w="40" w:type="dxa"/>
              <w:left w:w="0" w:type="dxa"/>
              <w:bottom w:w="40" w:type="dxa"/>
              <w:right w:w="20" w:type="dxa"/>
            </w:tcMar>
            <w:vAlign w:val="center"/>
          </w:tcPr>
          <w:p w14:paraId="4B9A45C9" w14:textId="77777777" w:rsidR="002A3970" w:rsidRDefault="002A3970">
            <w:pPr>
              <w:jc w:val="right"/>
              <w:rPr>
                <w:rFonts w:ascii="宋体"/>
              </w:rPr>
            </w:pPr>
          </w:p>
        </w:tc>
      </w:tr>
      <w:tr w:rsidR="002A3970" w14:paraId="4B9A45D8" w14:textId="77777777">
        <w:tc>
          <w:tcPr>
            <w:tcW w:w="0" w:type="auto"/>
            <w:gridSpan w:val="3"/>
            <w:shd w:val="clear" w:color="auto" w:fill="FFFFFF"/>
            <w:tcMar>
              <w:top w:w="40" w:type="dxa"/>
              <w:left w:w="20" w:type="dxa"/>
              <w:bottom w:w="40" w:type="dxa"/>
              <w:right w:w="20" w:type="dxa"/>
            </w:tcMar>
            <w:vAlign w:val="center"/>
          </w:tcPr>
          <w:p w14:paraId="4B9A45CB" w14:textId="77777777" w:rsidR="002A3970" w:rsidRDefault="00C35E63">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4B9A45C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CD" w14:textId="77777777" w:rsidR="002A3970" w:rsidRDefault="00C35E63">
            <w:pPr>
              <w:jc w:val="right"/>
              <w:textAlignment w:val="center"/>
            </w:pPr>
            <w:r>
              <w:rPr>
                <w:rFonts w:ascii="Times New Roman" w:eastAsia="宋体" w:hAnsi="Times New Roman"/>
                <w:color w:val="000000"/>
                <w:sz w:val="16"/>
                <w:szCs w:val="16"/>
              </w:rPr>
              <w:t>1,056 </w:t>
            </w:r>
          </w:p>
        </w:tc>
        <w:tc>
          <w:tcPr>
            <w:tcW w:w="0" w:type="auto"/>
            <w:shd w:val="clear" w:color="auto" w:fill="FFFFFF"/>
            <w:tcMar>
              <w:top w:w="40" w:type="dxa"/>
              <w:left w:w="0" w:type="dxa"/>
              <w:bottom w:w="40" w:type="dxa"/>
              <w:right w:w="20" w:type="dxa"/>
            </w:tcMar>
            <w:vAlign w:val="center"/>
          </w:tcPr>
          <w:p w14:paraId="4B9A45C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5C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D0" w14:textId="77777777" w:rsidR="002A3970" w:rsidRDefault="00C35E63">
            <w:pPr>
              <w:jc w:val="right"/>
              <w:textAlignment w:val="center"/>
            </w:pPr>
            <w:r>
              <w:rPr>
                <w:rFonts w:ascii="Times New Roman" w:eastAsia="宋体" w:hAnsi="Times New Roman"/>
                <w:color w:val="000000"/>
                <w:sz w:val="16"/>
                <w:szCs w:val="16"/>
              </w:rPr>
              <w:t>1,065 </w:t>
            </w:r>
          </w:p>
        </w:tc>
        <w:tc>
          <w:tcPr>
            <w:tcW w:w="0" w:type="auto"/>
            <w:shd w:val="clear" w:color="auto" w:fill="FFFFFF"/>
            <w:tcMar>
              <w:top w:w="40" w:type="dxa"/>
              <w:left w:w="0" w:type="dxa"/>
              <w:bottom w:w="40" w:type="dxa"/>
              <w:right w:w="20" w:type="dxa"/>
            </w:tcMar>
            <w:vAlign w:val="center"/>
          </w:tcPr>
          <w:p w14:paraId="4B9A45D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5D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D3" w14:textId="77777777" w:rsidR="002A3970" w:rsidRDefault="00C35E63">
            <w:pPr>
              <w:jc w:val="right"/>
              <w:textAlignment w:val="center"/>
            </w:pPr>
            <w:r>
              <w:rPr>
                <w:rFonts w:ascii="Times New Roman" w:eastAsia="宋体" w:hAnsi="Times New Roman"/>
                <w:color w:val="000000"/>
                <w:sz w:val="16"/>
                <w:szCs w:val="16"/>
              </w:rPr>
              <w:t>1,056 </w:t>
            </w:r>
          </w:p>
        </w:tc>
        <w:tc>
          <w:tcPr>
            <w:tcW w:w="0" w:type="auto"/>
            <w:shd w:val="clear" w:color="auto" w:fill="FFFFFF"/>
            <w:tcMar>
              <w:top w:w="40" w:type="dxa"/>
              <w:left w:w="0" w:type="dxa"/>
              <w:bottom w:w="40" w:type="dxa"/>
              <w:right w:w="20" w:type="dxa"/>
            </w:tcMar>
            <w:vAlign w:val="center"/>
          </w:tcPr>
          <w:p w14:paraId="4B9A45D4"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5D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5D6" w14:textId="77777777" w:rsidR="002A3970" w:rsidRDefault="00C35E63">
            <w:pPr>
              <w:jc w:val="right"/>
              <w:textAlignment w:val="center"/>
            </w:pPr>
            <w:r>
              <w:rPr>
                <w:rFonts w:ascii="Times New Roman" w:eastAsia="宋体" w:hAnsi="Times New Roman"/>
                <w:color w:val="000000"/>
                <w:sz w:val="16"/>
                <w:szCs w:val="16"/>
              </w:rPr>
              <w:t>1,065 </w:t>
            </w:r>
          </w:p>
        </w:tc>
        <w:tc>
          <w:tcPr>
            <w:tcW w:w="0" w:type="auto"/>
            <w:shd w:val="clear" w:color="auto" w:fill="FFFFFF"/>
            <w:tcMar>
              <w:top w:w="40" w:type="dxa"/>
              <w:left w:w="0" w:type="dxa"/>
              <w:bottom w:w="40" w:type="dxa"/>
              <w:right w:w="20" w:type="dxa"/>
            </w:tcMar>
            <w:vAlign w:val="center"/>
          </w:tcPr>
          <w:p w14:paraId="4B9A45D7" w14:textId="77777777" w:rsidR="002A3970" w:rsidRDefault="002A3970">
            <w:pPr>
              <w:jc w:val="right"/>
              <w:rPr>
                <w:rFonts w:ascii="宋体"/>
              </w:rPr>
            </w:pPr>
          </w:p>
        </w:tc>
      </w:tr>
    </w:tbl>
    <w:p w14:paraId="4B9A45D9" w14:textId="77777777" w:rsidR="002A3970" w:rsidRDefault="00C35E63">
      <w:pPr>
        <w:spacing w:before="100"/>
      </w:pPr>
      <w:r>
        <w:rPr>
          <w:rFonts w:ascii="Times New Roman" w:eastAsia="宋体" w:hAnsi="Times New Roman"/>
          <w:color w:val="000000"/>
          <w:sz w:val="20"/>
          <w:szCs w:val="20"/>
        </w:rPr>
        <w:t>Our total revenues, which are mostly comprised of net sales but</w:t>
      </w:r>
      <w:r>
        <w:rPr>
          <w:rFonts w:ascii="Times New Roman" w:eastAsia="宋体" w:hAnsi="Times New Roman"/>
          <w:color w:val="000000"/>
          <w:sz w:val="20"/>
          <w:szCs w:val="20"/>
        </w:rPr>
        <w:t xml:space="preserve"> also include membership and other income, </w:t>
      </w:r>
      <w:r>
        <w:rPr>
          <w:rFonts w:ascii="Times New Roman" w:eastAsia="宋体" w:hAnsi="Times New Roman"/>
          <w:color w:val="000000"/>
          <w:sz w:val="20"/>
          <w:szCs w:val="20"/>
          <w:shd w:val="clear" w:color="auto" w:fill="FFFFFF"/>
        </w:rPr>
        <w:t>increased</w:t>
      </w:r>
      <w:r>
        <w:rPr>
          <w:rFonts w:ascii="Times New Roman" w:eastAsia="宋体" w:hAnsi="Times New Roman"/>
          <w:color w:val="000000"/>
          <w:sz w:val="20"/>
          <w:szCs w:val="20"/>
        </w:rPr>
        <w:t xml:space="preserve"> $12.3 billion or 8.7% and $27.4 billion or 6.5% for the three and nine months ended October 31, 2022, respectively, when compared to the same periods in the previous fiscal year. The increases in revenue</w:t>
      </w:r>
      <w:r>
        <w:rPr>
          <w:rFonts w:ascii="Times New Roman" w:eastAsia="宋体" w:hAnsi="Times New Roman"/>
          <w:color w:val="000000"/>
          <w:sz w:val="20"/>
          <w:szCs w:val="20"/>
        </w:rPr>
        <w:t xml:space="preserve">s were primarily due to strong positive comparable sales for the Walmart U.S. and Sam's Club segments which were impacted by higher inflation, along with positive comparable sales in most of our international markets. For the nine months ended October 31, </w:t>
      </w:r>
      <w:r>
        <w:rPr>
          <w:rFonts w:ascii="Times New Roman" w:eastAsia="宋体" w:hAnsi="Times New Roman"/>
          <w:color w:val="000000"/>
          <w:sz w:val="20"/>
          <w:szCs w:val="20"/>
        </w:rPr>
        <w:t>2022, these increases were partially offset by a net sales decrease of $5.0 billion related to the divestiture of our operations in the U.K. and Japan, which closed in the first quarter of fiscal 2022. Net sales were negatively impacted by $1.5 billion and</w:t>
      </w:r>
      <w:r>
        <w:rPr>
          <w:rFonts w:ascii="Times New Roman" w:eastAsia="宋体" w:hAnsi="Times New Roman"/>
          <w:color w:val="000000"/>
          <w:sz w:val="20"/>
          <w:szCs w:val="20"/>
        </w:rPr>
        <w:t xml:space="preserve"> $2.8 billion of fluctuations in currency exchange rates for the three and nine months ended October 31, 2022, respectively.</w:t>
      </w:r>
    </w:p>
    <w:p w14:paraId="4B9A45DA" w14:textId="77777777" w:rsidR="002A3970" w:rsidRDefault="00C35E63">
      <w:pPr>
        <w:spacing w:before="100"/>
      </w:pPr>
      <w:r>
        <w:rPr>
          <w:rFonts w:ascii="Times New Roman" w:eastAsia="宋体" w:hAnsi="Times New Roman"/>
          <w:color w:val="000000"/>
          <w:sz w:val="20"/>
          <w:szCs w:val="20"/>
        </w:rPr>
        <w:t xml:space="preserve">Gross profit as a percentage of net sales ("gross profit rate") decreased 89 and 103 basis points for the three and nine months ended October 31, 2022, respectively, when compared to the same periods in the previous fiscal year. The decrease for the three </w:t>
      </w:r>
      <w:r>
        <w:rPr>
          <w:rFonts w:ascii="Times New Roman" w:eastAsia="宋体" w:hAnsi="Times New Roman"/>
          <w:color w:val="000000"/>
          <w:sz w:val="20"/>
          <w:szCs w:val="20"/>
        </w:rPr>
        <w:t>months ended October 31, 2022 was primarily due to markdowns and mix of sales in the U.S., an inflation related LIFO charge in the Sam's Club segment and the timing of sales events in our international markets. The decrease for the nine months ended Octobe</w:t>
      </w:r>
      <w:r>
        <w:rPr>
          <w:rFonts w:ascii="Times New Roman" w:eastAsia="宋体" w:hAnsi="Times New Roman"/>
          <w:color w:val="000000"/>
          <w:sz w:val="20"/>
          <w:szCs w:val="20"/>
        </w:rPr>
        <w:t xml:space="preserve">r 31, 2022 was primarily due to markdowns and mix of sales in the U.S., higher supply chain costs and inflation related LIFO charges in the Sam's Club segment. </w:t>
      </w:r>
    </w:p>
    <w:p w14:paraId="4B9A45DB" w14:textId="77777777" w:rsidR="002A3970" w:rsidRDefault="00C35E63">
      <w:pPr>
        <w:spacing w:before="100"/>
      </w:pPr>
      <w:r>
        <w:rPr>
          <w:rFonts w:ascii="Times New Roman" w:eastAsia="宋体" w:hAnsi="Times New Roman"/>
          <w:color w:val="000000"/>
          <w:sz w:val="20"/>
          <w:szCs w:val="20"/>
        </w:rPr>
        <w:t>Operating expenses as a percentage of net sales increased 144 and 48 basis points for the three</w:t>
      </w:r>
      <w:r>
        <w:rPr>
          <w:rFonts w:ascii="Times New Roman" w:eastAsia="宋体" w:hAnsi="Times New Roman"/>
          <w:color w:val="000000"/>
          <w:sz w:val="20"/>
          <w:szCs w:val="20"/>
        </w:rPr>
        <w:t xml:space="preserve"> and nine months ended October 31, 2022, respectively, when compared to the same periods in the previous fiscal year. The increases were largely driven by charges of $3.3 billion related to opioid-related legal settlements recorded in the third quarter of </w:t>
      </w:r>
      <w:r>
        <w:rPr>
          <w:rFonts w:ascii="Times New Roman" w:eastAsia="宋体" w:hAnsi="Times New Roman"/>
          <w:color w:val="000000"/>
          <w:sz w:val="20"/>
          <w:szCs w:val="20"/>
        </w:rPr>
        <w:t>fiscal 2023, partially offset by growth in net sales and lower incremental COVID-19 costs. In addition, the nine months ended October 31, 2022 were also impacted by increased wage costs in Walmart U.S.</w:t>
      </w:r>
    </w:p>
    <w:p w14:paraId="4B9A45DC" w14:textId="77777777" w:rsidR="002A3970" w:rsidRDefault="00C35E63">
      <w:pPr>
        <w:spacing w:before="100"/>
      </w:pPr>
      <w:r>
        <w:rPr>
          <w:rFonts w:ascii="Times New Roman" w:eastAsia="宋体" w:hAnsi="Times New Roman"/>
          <w:color w:val="000000"/>
          <w:sz w:val="20"/>
          <w:szCs w:val="20"/>
        </w:rPr>
        <w:t>Other gains and losses consist of certain non-operatin</w:t>
      </w:r>
      <w:r>
        <w:rPr>
          <w:rFonts w:ascii="Times New Roman" w:eastAsia="宋体" w:hAnsi="Times New Roman"/>
          <w:color w:val="000000"/>
          <w:sz w:val="20"/>
          <w:szCs w:val="20"/>
        </w:rPr>
        <w:t>g items, such as the change in the fair value of our investments and gains or losses on business dispositions, which by their nature can fluctuate from period to period. The net increase of $4.8 billion in other losses for the three months ended October 31</w:t>
      </w:r>
      <w:r>
        <w:rPr>
          <w:rFonts w:ascii="Times New Roman" w:eastAsia="宋体" w:hAnsi="Times New Roman"/>
          <w:color w:val="000000"/>
          <w:sz w:val="20"/>
          <w:szCs w:val="20"/>
        </w:rPr>
        <w:t>, 2022, when compared to the same period in the previous fiscal year, was primarily due to a net loss of $4.8 billion from changes in fair value of our equity and other investments. The net increase of $3.1 billion in other losses for the nine months ended</w:t>
      </w:r>
      <w:r>
        <w:rPr>
          <w:rFonts w:ascii="Times New Roman" w:eastAsia="宋体" w:hAnsi="Times New Roman"/>
          <w:color w:val="000000"/>
          <w:sz w:val="20"/>
          <w:szCs w:val="20"/>
        </w:rPr>
        <w:t xml:space="preserve"> October 31, 2022, when compared to the same period in the previous fiscal year, was primarily due to: a net loss of $4.2 billion from changes in fair value of our equity and other investments; lapping $0.4 billion in incremental losses associated with the</w:t>
      </w:r>
      <w:r>
        <w:rPr>
          <w:rFonts w:ascii="Times New Roman" w:eastAsia="宋体" w:hAnsi="Times New Roman"/>
          <w:color w:val="000000"/>
          <w:sz w:val="20"/>
          <w:szCs w:val="20"/>
        </w:rPr>
        <w:t xml:space="preserve"> divestiture of our operations in the U.K. and Japan upon closing of the transactions during the first quarter of fiscal 2022; a gain of $0.4 billion recognized on the sale of our remaining equity method investment in Brazil during the second quarter of fi</w:t>
      </w:r>
      <w:r>
        <w:rPr>
          <w:rFonts w:ascii="Times New Roman" w:eastAsia="宋体" w:hAnsi="Times New Roman"/>
          <w:color w:val="000000"/>
          <w:sz w:val="20"/>
          <w:szCs w:val="20"/>
        </w:rPr>
        <w:t>scal 2023; and a $0.2 billion dividend from one of our investments in the second quarter of fiscal 2023.</w:t>
      </w:r>
    </w:p>
    <w:p w14:paraId="4B9A45DD" w14:textId="77777777" w:rsidR="002A3970" w:rsidRDefault="00C35E63">
      <w:pPr>
        <w:spacing w:before="100"/>
      </w:pPr>
      <w:r>
        <w:rPr>
          <w:rFonts w:ascii="Times New Roman" w:eastAsia="宋体" w:hAnsi="Times New Roman"/>
          <w:color w:val="000000"/>
          <w:sz w:val="20"/>
          <w:szCs w:val="20"/>
        </w:rPr>
        <w:t>Our effective income tax rate was (23.5)% and 32.4% for the three and nine months ended October 31, 2022, respectively, compared to 24.5% and 25.9% for</w:t>
      </w:r>
      <w:r>
        <w:rPr>
          <w:rFonts w:ascii="Times New Roman" w:eastAsia="宋体" w:hAnsi="Times New Roman"/>
          <w:color w:val="000000"/>
          <w:sz w:val="20"/>
          <w:szCs w:val="20"/>
        </w:rPr>
        <w:t xml:space="preserve"> the same periods in the previous fiscal year. The decrease in effective tax rate for the three months ended October 31, 2022 when compared to the same period in the previous fiscal year is primarily due to tax expense on a quarterly pre-tax loss, which in</w:t>
      </w:r>
      <w:r>
        <w:rPr>
          <w:rFonts w:ascii="Times New Roman" w:eastAsia="宋体" w:hAnsi="Times New Roman"/>
          <w:color w:val="000000"/>
          <w:sz w:val="20"/>
          <w:szCs w:val="20"/>
        </w:rPr>
        <w:t>cludes charges related to opioid-related legal settlements and changes in fair value of our investments. The increase in effective tax rate for the nine months ended October 31, 2022 when compared to the same period in the previous fiscal year includes the</w:t>
      </w:r>
      <w:r>
        <w:rPr>
          <w:rFonts w:ascii="Times New Roman" w:eastAsia="宋体" w:hAnsi="Times New Roman"/>
          <w:color w:val="000000"/>
          <w:sz w:val="20"/>
          <w:szCs w:val="20"/>
        </w:rPr>
        <w:t xml:space="preserve"> tax impact of charges associated with opioid-related legal settlements. Our effective income tax rate may fluctuate from quarter to quarter as a result of factors including changes in our assessment of certain tax contingencies, valuation allowances, chan</w:t>
      </w:r>
      <w:r>
        <w:rPr>
          <w:rFonts w:ascii="Times New Roman" w:eastAsia="宋体" w:hAnsi="Times New Roman"/>
          <w:color w:val="000000"/>
          <w:sz w:val="20"/>
          <w:szCs w:val="20"/>
        </w:rPr>
        <w:t>ges in tax law, outcomes of administrative audits, the impact of discrete items and the mix and size of earnings among our U.S. operations and international operations, which are subject to statutory rates that may be different than the U.S. statutory rate</w:t>
      </w:r>
      <w:r>
        <w:rPr>
          <w:rFonts w:ascii="Times New Roman" w:eastAsia="宋体" w:hAnsi="Times New Roman"/>
          <w:color w:val="000000"/>
          <w:sz w:val="20"/>
          <w:szCs w:val="20"/>
        </w:rPr>
        <w:t xml:space="preserve">. </w:t>
      </w:r>
    </w:p>
    <w:p w14:paraId="4B9A45DE" w14:textId="77777777" w:rsidR="002A3970" w:rsidRDefault="00C35E63">
      <w:pPr>
        <w:jc w:val="center"/>
      </w:pPr>
      <w:r>
        <w:rPr>
          <w:rFonts w:ascii="Times New Roman" w:eastAsia="宋体" w:hAnsi="Times New Roman"/>
          <w:color w:val="000000"/>
          <w:sz w:val="20"/>
          <w:szCs w:val="20"/>
        </w:rPr>
        <w:t>22</w:t>
      </w:r>
    </w:p>
    <w:p w14:paraId="4B9A45DF" w14:textId="77777777" w:rsidR="002A3970" w:rsidRDefault="00C35E63">
      <w:r>
        <w:pict w14:anchorId="4B9A4C2B">
          <v:rect id="_x0000_i1046" style="width:415.3pt;height:1.5pt" o:hralign="center" o:hrstd="t" o:hr="t" fillcolor="#a0a0a0" stroked="f"/>
        </w:pict>
      </w:r>
    </w:p>
    <w:p w14:paraId="4B9A45E0" w14:textId="77777777" w:rsidR="002A3970" w:rsidRDefault="00C35E63">
      <w:hyperlink r:id="rId66" w:anchor="i0522a2f6333e456295d59e779af751cb_7" w:history="1">
        <w:r>
          <w:rPr>
            <w:rStyle w:val="a5"/>
            <w:rFonts w:ascii="Times New Roman" w:eastAsia="宋体" w:hAnsi="Times New Roman"/>
            <w:sz w:val="20"/>
            <w:szCs w:val="20"/>
          </w:rPr>
          <w:t>Table of Contents</w:t>
        </w:r>
      </w:hyperlink>
    </w:p>
    <w:p w14:paraId="4B9A45E1" w14:textId="77777777" w:rsidR="002A3970" w:rsidRDefault="00C35E63">
      <w:pPr>
        <w:spacing w:before="100"/>
      </w:pPr>
      <w:r>
        <w:rPr>
          <w:rFonts w:ascii="Times New Roman" w:eastAsia="宋体" w:hAnsi="Times New Roman"/>
          <w:color w:val="000000"/>
          <w:sz w:val="20"/>
          <w:szCs w:val="20"/>
        </w:rPr>
        <w:t xml:space="preserve">As a result of the factors discussed above, consolidated net income </w:t>
      </w:r>
      <w:r>
        <w:rPr>
          <w:rFonts w:ascii="Times New Roman" w:eastAsia="宋体" w:hAnsi="Times New Roman"/>
          <w:color w:val="000000"/>
          <w:sz w:val="20"/>
          <w:szCs w:val="20"/>
        </w:rPr>
        <w:t xml:space="preserve">decreased $4.9 billion and $4.8 billion for the three and nine months ended October 31, 2022, respectively, when compared to the same periods in the previous fiscal year. Accordingly, diluted net loss per common share attributable to Walmart was $0.66 for </w:t>
      </w:r>
      <w:r>
        <w:rPr>
          <w:rFonts w:ascii="Times New Roman" w:eastAsia="宋体" w:hAnsi="Times New Roman"/>
          <w:color w:val="000000"/>
          <w:sz w:val="20"/>
          <w:szCs w:val="20"/>
        </w:rPr>
        <w:t>the three months ended October 31, 2022, which represents a decline of $1.77 when compared to the same period in the previous fiscal year. Diluted net income per common share attributable to Walmart was $1.97 for the nine months ended October 31, 2022, whi</w:t>
      </w:r>
      <w:r>
        <w:rPr>
          <w:rFonts w:ascii="Times New Roman" w:eastAsia="宋体" w:hAnsi="Times New Roman"/>
          <w:color w:val="000000"/>
          <w:sz w:val="20"/>
          <w:szCs w:val="20"/>
        </w:rPr>
        <w:t>ch represents a decline of $1.62 when compared to the same period in the previous fiscal year.</w:t>
      </w:r>
    </w:p>
    <w:p w14:paraId="4B9A45E2" w14:textId="77777777" w:rsidR="002A3970" w:rsidRDefault="00C35E63">
      <w:pPr>
        <w:spacing w:before="24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73"/>
        <w:gridCol w:w="37"/>
        <w:gridCol w:w="36"/>
        <w:gridCol w:w="36"/>
        <w:gridCol w:w="36"/>
        <w:gridCol w:w="100"/>
        <w:gridCol w:w="691"/>
        <w:gridCol w:w="154"/>
        <w:gridCol w:w="36"/>
        <w:gridCol w:w="36"/>
        <w:gridCol w:w="36"/>
        <w:gridCol w:w="100"/>
        <w:gridCol w:w="715"/>
        <w:gridCol w:w="154"/>
        <w:gridCol w:w="36"/>
        <w:gridCol w:w="36"/>
        <w:gridCol w:w="36"/>
        <w:gridCol w:w="100"/>
        <w:gridCol w:w="716"/>
        <w:gridCol w:w="154"/>
        <w:gridCol w:w="36"/>
        <w:gridCol w:w="36"/>
        <w:gridCol w:w="36"/>
        <w:gridCol w:w="100"/>
        <w:gridCol w:w="718"/>
        <w:gridCol w:w="154"/>
      </w:tblGrid>
      <w:tr w:rsidR="002A3970" w14:paraId="4B9A45FE" w14:textId="77777777">
        <w:trPr>
          <w:jc w:val="center"/>
        </w:trPr>
        <w:tc>
          <w:tcPr>
            <w:tcW w:w="50" w:type="pct"/>
            <w:shd w:val="clear" w:color="auto" w:fill="auto"/>
            <w:vAlign w:val="bottom"/>
          </w:tcPr>
          <w:p w14:paraId="4B9A45E3" w14:textId="77777777" w:rsidR="002A3970" w:rsidRDefault="002A3970">
            <w:pPr>
              <w:rPr>
                <w:rFonts w:ascii="宋体"/>
              </w:rPr>
            </w:pPr>
          </w:p>
        </w:tc>
        <w:tc>
          <w:tcPr>
            <w:tcW w:w="2510" w:type="pct"/>
            <w:shd w:val="clear" w:color="auto" w:fill="auto"/>
            <w:vAlign w:val="bottom"/>
          </w:tcPr>
          <w:p w14:paraId="4B9A45E4" w14:textId="77777777" w:rsidR="002A3970" w:rsidRDefault="002A3970">
            <w:pPr>
              <w:rPr>
                <w:rFonts w:ascii="宋体"/>
              </w:rPr>
            </w:pPr>
          </w:p>
        </w:tc>
        <w:tc>
          <w:tcPr>
            <w:tcW w:w="5" w:type="pct"/>
            <w:shd w:val="clear" w:color="auto" w:fill="auto"/>
            <w:vAlign w:val="bottom"/>
          </w:tcPr>
          <w:p w14:paraId="4B9A45E5" w14:textId="77777777" w:rsidR="002A3970" w:rsidRDefault="002A3970">
            <w:pPr>
              <w:rPr>
                <w:rFonts w:ascii="宋体"/>
              </w:rPr>
            </w:pPr>
          </w:p>
        </w:tc>
        <w:tc>
          <w:tcPr>
            <w:tcW w:w="5" w:type="pct"/>
            <w:shd w:val="clear" w:color="auto" w:fill="auto"/>
            <w:vAlign w:val="bottom"/>
          </w:tcPr>
          <w:p w14:paraId="4B9A45E6" w14:textId="77777777" w:rsidR="002A3970" w:rsidRDefault="002A3970">
            <w:pPr>
              <w:rPr>
                <w:rFonts w:ascii="宋体"/>
              </w:rPr>
            </w:pPr>
          </w:p>
        </w:tc>
        <w:tc>
          <w:tcPr>
            <w:tcW w:w="63" w:type="pct"/>
            <w:shd w:val="clear" w:color="auto" w:fill="auto"/>
            <w:vAlign w:val="bottom"/>
          </w:tcPr>
          <w:p w14:paraId="4B9A45E7" w14:textId="77777777" w:rsidR="002A3970" w:rsidRDefault="002A3970">
            <w:pPr>
              <w:rPr>
                <w:rFonts w:ascii="宋体"/>
              </w:rPr>
            </w:pPr>
          </w:p>
        </w:tc>
        <w:tc>
          <w:tcPr>
            <w:tcW w:w="5" w:type="pct"/>
            <w:shd w:val="clear" w:color="auto" w:fill="auto"/>
            <w:vAlign w:val="bottom"/>
          </w:tcPr>
          <w:p w14:paraId="4B9A45E8" w14:textId="77777777" w:rsidR="002A3970" w:rsidRDefault="002A3970">
            <w:pPr>
              <w:rPr>
                <w:rFonts w:ascii="宋体"/>
              </w:rPr>
            </w:pPr>
          </w:p>
        </w:tc>
        <w:tc>
          <w:tcPr>
            <w:tcW w:w="50" w:type="pct"/>
            <w:shd w:val="clear" w:color="auto" w:fill="auto"/>
            <w:vAlign w:val="bottom"/>
          </w:tcPr>
          <w:p w14:paraId="4B9A45E9" w14:textId="77777777" w:rsidR="002A3970" w:rsidRDefault="002A3970">
            <w:pPr>
              <w:rPr>
                <w:rFonts w:ascii="宋体"/>
              </w:rPr>
            </w:pPr>
          </w:p>
        </w:tc>
        <w:tc>
          <w:tcPr>
            <w:tcW w:w="529" w:type="pct"/>
            <w:shd w:val="clear" w:color="auto" w:fill="auto"/>
            <w:vAlign w:val="bottom"/>
          </w:tcPr>
          <w:p w14:paraId="4B9A45EA" w14:textId="77777777" w:rsidR="002A3970" w:rsidRDefault="002A3970">
            <w:pPr>
              <w:rPr>
                <w:rFonts w:ascii="宋体"/>
              </w:rPr>
            </w:pPr>
          </w:p>
        </w:tc>
        <w:tc>
          <w:tcPr>
            <w:tcW w:w="5" w:type="pct"/>
            <w:shd w:val="clear" w:color="auto" w:fill="auto"/>
            <w:vAlign w:val="bottom"/>
          </w:tcPr>
          <w:p w14:paraId="4B9A45EB" w14:textId="77777777" w:rsidR="002A3970" w:rsidRDefault="002A3970">
            <w:pPr>
              <w:rPr>
                <w:rFonts w:ascii="宋体"/>
              </w:rPr>
            </w:pPr>
          </w:p>
        </w:tc>
        <w:tc>
          <w:tcPr>
            <w:tcW w:w="5" w:type="pct"/>
            <w:shd w:val="clear" w:color="auto" w:fill="auto"/>
            <w:vAlign w:val="bottom"/>
          </w:tcPr>
          <w:p w14:paraId="4B9A45EC" w14:textId="77777777" w:rsidR="002A3970" w:rsidRDefault="002A3970">
            <w:pPr>
              <w:rPr>
                <w:rFonts w:ascii="宋体"/>
              </w:rPr>
            </w:pPr>
          </w:p>
        </w:tc>
        <w:tc>
          <w:tcPr>
            <w:tcW w:w="19" w:type="pct"/>
            <w:shd w:val="clear" w:color="auto" w:fill="auto"/>
            <w:vAlign w:val="bottom"/>
          </w:tcPr>
          <w:p w14:paraId="4B9A45ED" w14:textId="77777777" w:rsidR="002A3970" w:rsidRDefault="002A3970">
            <w:pPr>
              <w:rPr>
                <w:rFonts w:ascii="宋体"/>
              </w:rPr>
            </w:pPr>
          </w:p>
        </w:tc>
        <w:tc>
          <w:tcPr>
            <w:tcW w:w="5" w:type="pct"/>
            <w:shd w:val="clear" w:color="auto" w:fill="auto"/>
            <w:vAlign w:val="bottom"/>
          </w:tcPr>
          <w:p w14:paraId="4B9A45EE" w14:textId="77777777" w:rsidR="002A3970" w:rsidRDefault="002A3970">
            <w:pPr>
              <w:rPr>
                <w:rFonts w:ascii="宋体"/>
              </w:rPr>
            </w:pPr>
          </w:p>
        </w:tc>
        <w:tc>
          <w:tcPr>
            <w:tcW w:w="50" w:type="pct"/>
            <w:shd w:val="clear" w:color="auto" w:fill="auto"/>
            <w:vAlign w:val="bottom"/>
          </w:tcPr>
          <w:p w14:paraId="4B9A45EF" w14:textId="77777777" w:rsidR="002A3970" w:rsidRDefault="002A3970">
            <w:pPr>
              <w:rPr>
                <w:rFonts w:ascii="宋体"/>
              </w:rPr>
            </w:pPr>
          </w:p>
        </w:tc>
        <w:tc>
          <w:tcPr>
            <w:tcW w:w="507" w:type="pct"/>
            <w:shd w:val="clear" w:color="auto" w:fill="auto"/>
            <w:vAlign w:val="bottom"/>
          </w:tcPr>
          <w:p w14:paraId="4B9A45F0" w14:textId="77777777" w:rsidR="002A3970" w:rsidRDefault="002A3970">
            <w:pPr>
              <w:rPr>
                <w:rFonts w:ascii="宋体"/>
              </w:rPr>
            </w:pPr>
          </w:p>
        </w:tc>
        <w:tc>
          <w:tcPr>
            <w:tcW w:w="5" w:type="pct"/>
            <w:shd w:val="clear" w:color="auto" w:fill="auto"/>
            <w:vAlign w:val="bottom"/>
          </w:tcPr>
          <w:p w14:paraId="4B9A45F1" w14:textId="77777777" w:rsidR="002A3970" w:rsidRDefault="002A3970">
            <w:pPr>
              <w:rPr>
                <w:rFonts w:ascii="宋体"/>
              </w:rPr>
            </w:pPr>
          </w:p>
        </w:tc>
        <w:tc>
          <w:tcPr>
            <w:tcW w:w="5" w:type="pct"/>
            <w:shd w:val="clear" w:color="auto" w:fill="auto"/>
            <w:vAlign w:val="bottom"/>
          </w:tcPr>
          <w:p w14:paraId="4B9A45F2" w14:textId="77777777" w:rsidR="002A3970" w:rsidRDefault="002A3970">
            <w:pPr>
              <w:rPr>
                <w:rFonts w:ascii="宋体"/>
              </w:rPr>
            </w:pPr>
          </w:p>
        </w:tc>
        <w:tc>
          <w:tcPr>
            <w:tcW w:w="19" w:type="pct"/>
            <w:shd w:val="clear" w:color="auto" w:fill="auto"/>
            <w:vAlign w:val="bottom"/>
          </w:tcPr>
          <w:p w14:paraId="4B9A45F3" w14:textId="77777777" w:rsidR="002A3970" w:rsidRDefault="002A3970">
            <w:pPr>
              <w:rPr>
                <w:rFonts w:ascii="宋体"/>
              </w:rPr>
            </w:pPr>
          </w:p>
        </w:tc>
        <w:tc>
          <w:tcPr>
            <w:tcW w:w="5" w:type="pct"/>
            <w:shd w:val="clear" w:color="auto" w:fill="auto"/>
            <w:vAlign w:val="bottom"/>
          </w:tcPr>
          <w:p w14:paraId="4B9A45F4" w14:textId="77777777" w:rsidR="002A3970" w:rsidRDefault="002A3970">
            <w:pPr>
              <w:rPr>
                <w:rFonts w:ascii="宋体"/>
              </w:rPr>
            </w:pPr>
          </w:p>
        </w:tc>
        <w:tc>
          <w:tcPr>
            <w:tcW w:w="50" w:type="pct"/>
            <w:shd w:val="clear" w:color="auto" w:fill="auto"/>
            <w:vAlign w:val="bottom"/>
          </w:tcPr>
          <w:p w14:paraId="4B9A45F5" w14:textId="77777777" w:rsidR="002A3970" w:rsidRDefault="002A3970">
            <w:pPr>
              <w:rPr>
                <w:rFonts w:ascii="宋体"/>
              </w:rPr>
            </w:pPr>
          </w:p>
        </w:tc>
        <w:tc>
          <w:tcPr>
            <w:tcW w:w="507" w:type="pct"/>
            <w:shd w:val="clear" w:color="auto" w:fill="auto"/>
            <w:vAlign w:val="bottom"/>
          </w:tcPr>
          <w:p w14:paraId="4B9A45F6" w14:textId="77777777" w:rsidR="002A3970" w:rsidRDefault="002A3970">
            <w:pPr>
              <w:rPr>
                <w:rFonts w:ascii="宋体"/>
              </w:rPr>
            </w:pPr>
          </w:p>
        </w:tc>
        <w:tc>
          <w:tcPr>
            <w:tcW w:w="5" w:type="pct"/>
            <w:shd w:val="clear" w:color="auto" w:fill="auto"/>
            <w:vAlign w:val="bottom"/>
          </w:tcPr>
          <w:p w14:paraId="4B9A45F7" w14:textId="77777777" w:rsidR="002A3970" w:rsidRDefault="002A3970">
            <w:pPr>
              <w:rPr>
                <w:rFonts w:ascii="宋体"/>
              </w:rPr>
            </w:pPr>
          </w:p>
        </w:tc>
        <w:tc>
          <w:tcPr>
            <w:tcW w:w="5" w:type="pct"/>
            <w:shd w:val="clear" w:color="auto" w:fill="auto"/>
            <w:vAlign w:val="bottom"/>
          </w:tcPr>
          <w:p w14:paraId="4B9A45F8" w14:textId="77777777" w:rsidR="002A3970" w:rsidRDefault="002A3970">
            <w:pPr>
              <w:rPr>
                <w:rFonts w:ascii="宋体"/>
              </w:rPr>
            </w:pPr>
          </w:p>
        </w:tc>
        <w:tc>
          <w:tcPr>
            <w:tcW w:w="19" w:type="pct"/>
            <w:shd w:val="clear" w:color="auto" w:fill="auto"/>
            <w:vAlign w:val="bottom"/>
          </w:tcPr>
          <w:p w14:paraId="4B9A45F9" w14:textId="77777777" w:rsidR="002A3970" w:rsidRDefault="002A3970">
            <w:pPr>
              <w:rPr>
                <w:rFonts w:ascii="宋体"/>
              </w:rPr>
            </w:pPr>
          </w:p>
        </w:tc>
        <w:tc>
          <w:tcPr>
            <w:tcW w:w="5" w:type="pct"/>
            <w:shd w:val="clear" w:color="auto" w:fill="auto"/>
            <w:vAlign w:val="bottom"/>
          </w:tcPr>
          <w:p w14:paraId="4B9A45FA" w14:textId="77777777" w:rsidR="002A3970" w:rsidRDefault="002A3970">
            <w:pPr>
              <w:rPr>
                <w:rFonts w:ascii="宋体"/>
              </w:rPr>
            </w:pPr>
          </w:p>
        </w:tc>
        <w:tc>
          <w:tcPr>
            <w:tcW w:w="50" w:type="pct"/>
            <w:shd w:val="clear" w:color="auto" w:fill="auto"/>
            <w:vAlign w:val="bottom"/>
          </w:tcPr>
          <w:p w14:paraId="4B9A45FB" w14:textId="77777777" w:rsidR="002A3970" w:rsidRDefault="002A3970">
            <w:pPr>
              <w:rPr>
                <w:rFonts w:ascii="宋体"/>
              </w:rPr>
            </w:pPr>
          </w:p>
        </w:tc>
        <w:tc>
          <w:tcPr>
            <w:tcW w:w="508" w:type="pct"/>
            <w:shd w:val="clear" w:color="auto" w:fill="auto"/>
            <w:vAlign w:val="bottom"/>
          </w:tcPr>
          <w:p w14:paraId="4B9A45FC" w14:textId="77777777" w:rsidR="002A3970" w:rsidRDefault="002A3970">
            <w:pPr>
              <w:rPr>
                <w:rFonts w:ascii="宋体"/>
              </w:rPr>
            </w:pPr>
          </w:p>
        </w:tc>
        <w:tc>
          <w:tcPr>
            <w:tcW w:w="5" w:type="pct"/>
            <w:shd w:val="clear" w:color="auto" w:fill="auto"/>
            <w:vAlign w:val="bottom"/>
          </w:tcPr>
          <w:p w14:paraId="4B9A45FD" w14:textId="77777777" w:rsidR="002A3970" w:rsidRDefault="002A3970">
            <w:pPr>
              <w:rPr>
                <w:rFonts w:ascii="宋体"/>
              </w:rPr>
            </w:pPr>
          </w:p>
        </w:tc>
      </w:tr>
      <w:tr w:rsidR="002A3970" w14:paraId="4B9A4604" w14:textId="77777777">
        <w:trPr>
          <w:jc w:val="center"/>
        </w:trPr>
        <w:tc>
          <w:tcPr>
            <w:tcW w:w="0" w:type="auto"/>
            <w:gridSpan w:val="3"/>
            <w:shd w:val="clear" w:color="auto" w:fill="auto"/>
            <w:tcMar>
              <w:top w:w="40" w:type="dxa"/>
              <w:left w:w="20" w:type="dxa"/>
              <w:bottom w:w="40" w:type="dxa"/>
              <w:right w:w="20" w:type="dxa"/>
            </w:tcMar>
            <w:vAlign w:val="center"/>
          </w:tcPr>
          <w:p w14:paraId="4B9A45FF"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600"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center"/>
          </w:tcPr>
          <w:p w14:paraId="4B9A4601" w14:textId="77777777" w:rsidR="002A3970" w:rsidRDefault="00C35E63">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602"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center"/>
          </w:tcPr>
          <w:p w14:paraId="4B9A4603" w14:textId="77777777" w:rsidR="002A3970" w:rsidRDefault="00C35E63">
            <w:pPr>
              <w:jc w:val="center"/>
              <w:textAlignment w:val="center"/>
            </w:pPr>
            <w:r>
              <w:rPr>
                <w:rFonts w:ascii="Times New Roman" w:eastAsia="宋体" w:hAnsi="Times New Roman"/>
                <w:b/>
                <w:bCs/>
                <w:color w:val="000000"/>
                <w:sz w:val="16"/>
                <w:szCs w:val="16"/>
              </w:rPr>
              <w:t>Nine Months Ended October 31,</w:t>
            </w:r>
          </w:p>
        </w:tc>
      </w:tr>
      <w:tr w:rsidR="002A3970" w14:paraId="4B9A460E" w14:textId="77777777">
        <w:trPr>
          <w:jc w:val="center"/>
        </w:trPr>
        <w:tc>
          <w:tcPr>
            <w:tcW w:w="0" w:type="auto"/>
            <w:gridSpan w:val="3"/>
            <w:shd w:val="clear" w:color="auto" w:fill="auto"/>
            <w:tcMar>
              <w:top w:w="40" w:type="dxa"/>
              <w:left w:w="20" w:type="dxa"/>
              <w:bottom w:w="40" w:type="dxa"/>
              <w:right w:w="20" w:type="dxa"/>
            </w:tcMar>
            <w:vAlign w:val="center"/>
          </w:tcPr>
          <w:p w14:paraId="4B9A4605" w14:textId="77777777" w:rsidR="002A3970" w:rsidRDefault="00C35E63">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B9A460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center"/>
          </w:tcPr>
          <w:p w14:paraId="4B9A4607"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608"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center"/>
          </w:tcPr>
          <w:p w14:paraId="4B9A4609"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60A"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center"/>
          </w:tcPr>
          <w:p w14:paraId="4B9A460B"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4B9A460C"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center"/>
          </w:tcPr>
          <w:p w14:paraId="4B9A460D" w14:textId="77777777" w:rsidR="002A3970" w:rsidRDefault="00C35E63">
            <w:pPr>
              <w:jc w:val="center"/>
              <w:textAlignment w:val="center"/>
            </w:pPr>
            <w:r>
              <w:rPr>
                <w:rFonts w:ascii="Times New Roman" w:eastAsia="宋体" w:hAnsi="Times New Roman"/>
                <w:b/>
                <w:bCs/>
                <w:color w:val="000000"/>
                <w:sz w:val="16"/>
                <w:szCs w:val="16"/>
              </w:rPr>
              <w:t>2021</w:t>
            </w:r>
          </w:p>
        </w:tc>
      </w:tr>
      <w:tr w:rsidR="002A3970" w14:paraId="4B9A4620" w14:textId="77777777">
        <w:trPr>
          <w:jc w:val="center"/>
        </w:trPr>
        <w:tc>
          <w:tcPr>
            <w:tcW w:w="0" w:type="auto"/>
            <w:gridSpan w:val="3"/>
            <w:shd w:val="clear" w:color="auto" w:fill="CCEEFF"/>
            <w:tcMar>
              <w:top w:w="40" w:type="dxa"/>
              <w:left w:w="20" w:type="dxa"/>
              <w:bottom w:w="40" w:type="dxa"/>
              <w:right w:w="20" w:type="dxa"/>
            </w:tcMar>
            <w:vAlign w:val="center"/>
          </w:tcPr>
          <w:p w14:paraId="4B9A460F"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B9A4610"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11"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12" w14:textId="77777777" w:rsidR="002A3970" w:rsidRDefault="00C35E63">
            <w:pPr>
              <w:jc w:val="right"/>
              <w:textAlignment w:val="center"/>
            </w:pPr>
            <w:r>
              <w:rPr>
                <w:rFonts w:ascii="Times New Roman" w:eastAsia="宋体" w:hAnsi="Times New Roman"/>
                <w:color w:val="000000"/>
                <w:sz w:val="16"/>
                <w:szCs w:val="16"/>
              </w:rPr>
              <w:t>104,775 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1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14"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1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16" w14:textId="77777777" w:rsidR="002A3970" w:rsidRDefault="00C35E63">
            <w:pPr>
              <w:jc w:val="right"/>
              <w:textAlignment w:val="center"/>
            </w:pPr>
            <w:r>
              <w:rPr>
                <w:rFonts w:ascii="Times New Roman" w:eastAsia="宋体" w:hAnsi="Times New Roman"/>
                <w:color w:val="000000"/>
                <w:sz w:val="16"/>
                <w:szCs w:val="16"/>
              </w:rPr>
              <w:t>96,609 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17"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18"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1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1A" w14:textId="77777777" w:rsidR="002A3970" w:rsidRDefault="00C35E63">
            <w:pPr>
              <w:jc w:val="right"/>
              <w:textAlignment w:val="center"/>
            </w:pPr>
            <w:r>
              <w:rPr>
                <w:rFonts w:ascii="Times New Roman" w:eastAsia="宋体" w:hAnsi="Times New Roman"/>
                <w:color w:val="000000"/>
                <w:sz w:val="16"/>
                <w:szCs w:val="16"/>
              </w:rPr>
              <w:t>306,809 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1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1C"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1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1E" w14:textId="77777777" w:rsidR="002A3970" w:rsidRDefault="00C35E63">
            <w:pPr>
              <w:jc w:val="right"/>
              <w:textAlignment w:val="center"/>
            </w:pPr>
            <w:r>
              <w:rPr>
                <w:rFonts w:ascii="Times New Roman" w:eastAsia="宋体" w:hAnsi="Times New Roman"/>
                <w:color w:val="000000"/>
                <w:sz w:val="16"/>
                <w:szCs w:val="16"/>
              </w:rPr>
              <w:t>287,968 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1F" w14:textId="77777777" w:rsidR="002A3970" w:rsidRDefault="002A3970">
            <w:pPr>
              <w:jc w:val="right"/>
              <w:rPr>
                <w:rFonts w:ascii="宋体"/>
              </w:rPr>
            </w:pPr>
          </w:p>
        </w:tc>
      </w:tr>
      <w:tr w:rsidR="002A3970" w14:paraId="4B9A462E" w14:textId="77777777">
        <w:trPr>
          <w:jc w:val="center"/>
        </w:trPr>
        <w:tc>
          <w:tcPr>
            <w:tcW w:w="0" w:type="auto"/>
            <w:gridSpan w:val="3"/>
            <w:shd w:val="clear" w:color="auto" w:fill="FFFFFF"/>
            <w:tcMar>
              <w:top w:w="40" w:type="dxa"/>
              <w:left w:w="20" w:type="dxa"/>
              <w:bottom w:w="40" w:type="dxa"/>
              <w:right w:w="20" w:type="dxa"/>
            </w:tcMar>
            <w:vAlign w:val="center"/>
          </w:tcPr>
          <w:p w14:paraId="4B9A4621"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B9A462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23" w14:textId="77777777" w:rsidR="002A3970" w:rsidRDefault="00C35E63">
            <w:pPr>
              <w:jc w:val="right"/>
              <w:textAlignment w:val="center"/>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center"/>
          </w:tcPr>
          <w:p w14:paraId="4B9A4624"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25"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26" w14:textId="77777777" w:rsidR="002A3970" w:rsidRDefault="00C35E63">
            <w:pPr>
              <w:jc w:val="right"/>
              <w:textAlignment w:val="center"/>
            </w:pPr>
            <w:r>
              <w:rPr>
                <w:rFonts w:ascii="Times New Roman" w:eastAsia="宋体" w:hAnsi="Times New Roman"/>
                <w:color w:val="000000"/>
                <w:sz w:val="16"/>
                <w:szCs w:val="16"/>
              </w:rPr>
              <w:t>9.3 </w:t>
            </w:r>
          </w:p>
        </w:tc>
        <w:tc>
          <w:tcPr>
            <w:tcW w:w="0" w:type="auto"/>
            <w:shd w:val="clear" w:color="auto" w:fill="FFFFFF"/>
            <w:tcMar>
              <w:top w:w="40" w:type="dxa"/>
              <w:left w:w="0" w:type="dxa"/>
              <w:bottom w:w="40" w:type="dxa"/>
              <w:right w:w="20" w:type="dxa"/>
            </w:tcMar>
            <w:vAlign w:val="center"/>
          </w:tcPr>
          <w:p w14:paraId="4B9A462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2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29" w14:textId="77777777" w:rsidR="002A3970" w:rsidRDefault="00C35E63">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4B9A462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2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2C" w14:textId="77777777" w:rsidR="002A3970" w:rsidRDefault="00C35E63">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4B9A462D"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63C" w14:textId="77777777">
        <w:trPr>
          <w:jc w:val="center"/>
        </w:trPr>
        <w:tc>
          <w:tcPr>
            <w:tcW w:w="0" w:type="auto"/>
            <w:gridSpan w:val="3"/>
            <w:shd w:val="clear" w:color="auto" w:fill="CCEEFF"/>
            <w:tcMar>
              <w:top w:w="40" w:type="dxa"/>
              <w:left w:w="20" w:type="dxa"/>
              <w:bottom w:w="40" w:type="dxa"/>
              <w:right w:w="20" w:type="dxa"/>
            </w:tcMar>
            <w:vAlign w:val="center"/>
          </w:tcPr>
          <w:p w14:paraId="4B9A462F" w14:textId="77777777" w:rsidR="002A3970" w:rsidRDefault="00C35E63">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4B9A463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31" w14:textId="77777777" w:rsidR="002A3970" w:rsidRDefault="00C35E63">
            <w:pPr>
              <w:jc w:val="right"/>
              <w:textAlignment w:val="center"/>
            </w:pPr>
            <w:r>
              <w:rPr>
                <w:rFonts w:ascii="Times New Roman" w:eastAsia="宋体" w:hAnsi="Times New Roman"/>
                <w:color w:val="000000"/>
                <w:sz w:val="16"/>
                <w:szCs w:val="16"/>
              </w:rPr>
              <w:t>8.5 </w:t>
            </w:r>
          </w:p>
        </w:tc>
        <w:tc>
          <w:tcPr>
            <w:tcW w:w="0" w:type="auto"/>
            <w:shd w:val="clear" w:color="auto" w:fill="CCEEFF"/>
            <w:tcMar>
              <w:top w:w="40" w:type="dxa"/>
              <w:left w:w="0" w:type="dxa"/>
              <w:bottom w:w="40" w:type="dxa"/>
              <w:right w:w="20" w:type="dxa"/>
            </w:tcMar>
            <w:vAlign w:val="center"/>
          </w:tcPr>
          <w:p w14:paraId="4B9A4632"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63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34" w14:textId="77777777" w:rsidR="002A3970" w:rsidRDefault="00C35E63">
            <w:pPr>
              <w:jc w:val="right"/>
              <w:textAlignment w:val="center"/>
            </w:pPr>
            <w:r>
              <w:rPr>
                <w:rFonts w:ascii="Times New Roman" w:eastAsia="宋体" w:hAnsi="Times New Roman"/>
                <w:color w:val="000000"/>
                <w:sz w:val="16"/>
                <w:szCs w:val="16"/>
              </w:rPr>
              <w:t>9.4 </w:t>
            </w:r>
          </w:p>
        </w:tc>
        <w:tc>
          <w:tcPr>
            <w:tcW w:w="0" w:type="auto"/>
            <w:shd w:val="clear" w:color="auto" w:fill="CCEEFF"/>
            <w:tcMar>
              <w:top w:w="40" w:type="dxa"/>
              <w:left w:w="0" w:type="dxa"/>
              <w:bottom w:w="40" w:type="dxa"/>
              <w:right w:w="20" w:type="dxa"/>
            </w:tcMar>
            <w:vAlign w:val="center"/>
          </w:tcPr>
          <w:p w14:paraId="4B9A4635"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63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37" w14:textId="77777777" w:rsidR="002A3970" w:rsidRDefault="00C35E63">
            <w:pPr>
              <w:jc w:val="right"/>
              <w:textAlignment w:val="center"/>
            </w:pPr>
            <w:r>
              <w:rPr>
                <w:rFonts w:ascii="Times New Roman" w:eastAsia="宋体" w:hAnsi="Times New Roman"/>
                <w:color w:val="000000"/>
                <w:sz w:val="16"/>
                <w:szCs w:val="16"/>
              </w:rPr>
              <w:t>6.5 </w:t>
            </w:r>
          </w:p>
        </w:tc>
        <w:tc>
          <w:tcPr>
            <w:tcW w:w="0" w:type="auto"/>
            <w:shd w:val="clear" w:color="auto" w:fill="CCEEFF"/>
            <w:tcMar>
              <w:top w:w="40" w:type="dxa"/>
              <w:left w:w="0" w:type="dxa"/>
              <w:bottom w:w="40" w:type="dxa"/>
              <w:right w:w="20" w:type="dxa"/>
            </w:tcMar>
            <w:vAlign w:val="center"/>
          </w:tcPr>
          <w:p w14:paraId="4B9A4638"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63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3A" w14:textId="77777777" w:rsidR="002A3970" w:rsidRDefault="00C35E63">
            <w:pPr>
              <w:jc w:val="right"/>
              <w:textAlignment w:val="center"/>
            </w:pPr>
            <w:r>
              <w:rPr>
                <w:rFonts w:ascii="Times New Roman" w:eastAsia="宋体" w:hAnsi="Times New Roman"/>
                <w:color w:val="000000"/>
                <w:sz w:val="16"/>
                <w:szCs w:val="16"/>
              </w:rPr>
              <w:t>6.7 </w:t>
            </w:r>
          </w:p>
        </w:tc>
        <w:tc>
          <w:tcPr>
            <w:tcW w:w="0" w:type="auto"/>
            <w:shd w:val="clear" w:color="auto" w:fill="CCEEFF"/>
            <w:tcMar>
              <w:top w:w="40" w:type="dxa"/>
              <w:left w:w="0" w:type="dxa"/>
              <w:bottom w:w="40" w:type="dxa"/>
              <w:right w:w="20" w:type="dxa"/>
            </w:tcMar>
            <w:vAlign w:val="center"/>
          </w:tcPr>
          <w:p w14:paraId="4B9A463B"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64E" w14:textId="77777777">
        <w:trPr>
          <w:jc w:val="center"/>
        </w:trPr>
        <w:tc>
          <w:tcPr>
            <w:tcW w:w="0" w:type="auto"/>
            <w:gridSpan w:val="3"/>
            <w:shd w:val="clear" w:color="auto" w:fill="FFFFFF"/>
            <w:tcMar>
              <w:top w:w="40" w:type="dxa"/>
              <w:left w:w="20" w:type="dxa"/>
              <w:bottom w:w="40" w:type="dxa"/>
              <w:right w:w="20" w:type="dxa"/>
            </w:tcMar>
            <w:vAlign w:val="center"/>
          </w:tcPr>
          <w:p w14:paraId="4B9A463D" w14:textId="77777777" w:rsidR="002A3970" w:rsidRDefault="00C35E63">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B9A463E"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63F"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640" w14:textId="77777777" w:rsidR="002A3970" w:rsidRDefault="00C35E63">
            <w:pPr>
              <w:jc w:val="right"/>
              <w:textAlignment w:val="center"/>
            </w:pPr>
            <w:r>
              <w:rPr>
                <w:rFonts w:ascii="Times New Roman" w:eastAsia="宋体" w:hAnsi="Times New Roman"/>
                <w:color w:val="000000"/>
                <w:sz w:val="16"/>
                <w:szCs w:val="16"/>
              </w:rPr>
              <w:t>5,093 </w:t>
            </w:r>
          </w:p>
        </w:tc>
        <w:tc>
          <w:tcPr>
            <w:tcW w:w="0" w:type="auto"/>
            <w:shd w:val="clear" w:color="auto" w:fill="FFFFFF"/>
            <w:tcMar>
              <w:top w:w="40" w:type="dxa"/>
              <w:left w:w="0" w:type="dxa"/>
              <w:bottom w:w="40" w:type="dxa"/>
              <w:right w:w="20" w:type="dxa"/>
            </w:tcMar>
            <w:vAlign w:val="center"/>
          </w:tcPr>
          <w:p w14:paraId="4B9A464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42"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643"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644" w14:textId="77777777" w:rsidR="002A3970" w:rsidRDefault="00C35E63">
            <w:pPr>
              <w:jc w:val="right"/>
              <w:textAlignment w:val="center"/>
            </w:pPr>
            <w:r>
              <w:rPr>
                <w:rFonts w:ascii="Times New Roman" w:eastAsia="宋体" w:hAnsi="Times New Roman"/>
                <w:color w:val="000000"/>
                <w:sz w:val="16"/>
                <w:szCs w:val="16"/>
              </w:rPr>
              <w:t>4,860 </w:t>
            </w:r>
          </w:p>
        </w:tc>
        <w:tc>
          <w:tcPr>
            <w:tcW w:w="0" w:type="auto"/>
            <w:shd w:val="clear" w:color="auto" w:fill="FFFFFF"/>
            <w:tcMar>
              <w:top w:w="40" w:type="dxa"/>
              <w:left w:w="0" w:type="dxa"/>
              <w:bottom w:w="40" w:type="dxa"/>
              <w:right w:w="20" w:type="dxa"/>
            </w:tcMar>
            <w:vAlign w:val="center"/>
          </w:tcPr>
          <w:p w14:paraId="4B9A464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46"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647"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648" w14:textId="77777777" w:rsidR="002A3970" w:rsidRDefault="00C35E63">
            <w:pPr>
              <w:jc w:val="right"/>
              <w:textAlignment w:val="center"/>
            </w:pPr>
            <w:r>
              <w:rPr>
                <w:rFonts w:ascii="Times New Roman" w:eastAsia="宋体" w:hAnsi="Times New Roman"/>
                <w:color w:val="000000"/>
                <w:sz w:val="16"/>
                <w:szCs w:val="16"/>
              </w:rPr>
              <w:t>15,238 </w:t>
            </w:r>
          </w:p>
        </w:tc>
        <w:tc>
          <w:tcPr>
            <w:tcW w:w="0" w:type="auto"/>
            <w:shd w:val="clear" w:color="auto" w:fill="FFFFFF"/>
            <w:tcMar>
              <w:top w:w="40" w:type="dxa"/>
              <w:left w:w="0" w:type="dxa"/>
              <w:bottom w:w="40" w:type="dxa"/>
              <w:right w:w="20" w:type="dxa"/>
            </w:tcMar>
            <w:vAlign w:val="center"/>
          </w:tcPr>
          <w:p w14:paraId="4B9A464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4A"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64B"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64C" w14:textId="77777777" w:rsidR="002A3970" w:rsidRDefault="00C35E63">
            <w:pPr>
              <w:jc w:val="right"/>
              <w:textAlignment w:val="center"/>
            </w:pPr>
            <w:r>
              <w:rPr>
                <w:rFonts w:ascii="Times New Roman" w:eastAsia="宋体" w:hAnsi="Times New Roman"/>
                <w:color w:val="000000"/>
                <w:sz w:val="16"/>
                <w:szCs w:val="16"/>
              </w:rPr>
              <w:t>16,404 </w:t>
            </w:r>
          </w:p>
        </w:tc>
        <w:tc>
          <w:tcPr>
            <w:tcW w:w="0" w:type="auto"/>
            <w:shd w:val="clear" w:color="auto" w:fill="FFFFFF"/>
            <w:tcMar>
              <w:top w:w="40" w:type="dxa"/>
              <w:left w:w="0" w:type="dxa"/>
              <w:bottom w:w="40" w:type="dxa"/>
              <w:right w:w="20" w:type="dxa"/>
            </w:tcMar>
            <w:vAlign w:val="center"/>
          </w:tcPr>
          <w:p w14:paraId="4B9A464D" w14:textId="77777777" w:rsidR="002A3970" w:rsidRDefault="002A3970">
            <w:pPr>
              <w:jc w:val="right"/>
              <w:rPr>
                <w:rFonts w:ascii="宋体"/>
              </w:rPr>
            </w:pPr>
          </w:p>
        </w:tc>
      </w:tr>
      <w:tr w:rsidR="002A3970" w14:paraId="4B9A465C" w14:textId="77777777">
        <w:trPr>
          <w:jc w:val="center"/>
        </w:trPr>
        <w:tc>
          <w:tcPr>
            <w:tcW w:w="0" w:type="auto"/>
            <w:gridSpan w:val="3"/>
            <w:shd w:val="clear" w:color="auto" w:fill="CCEEFF"/>
            <w:tcMar>
              <w:top w:w="40" w:type="dxa"/>
              <w:left w:w="20" w:type="dxa"/>
              <w:bottom w:w="40" w:type="dxa"/>
              <w:right w:w="20" w:type="dxa"/>
            </w:tcMar>
            <w:vAlign w:val="center"/>
          </w:tcPr>
          <w:p w14:paraId="4B9A464F" w14:textId="77777777" w:rsidR="002A3970" w:rsidRDefault="00C35E63">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4B9A4650"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51" w14:textId="77777777" w:rsidR="002A3970" w:rsidRDefault="00C35E63">
            <w:pPr>
              <w:jc w:val="right"/>
              <w:textAlignment w:val="center"/>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center"/>
          </w:tcPr>
          <w:p w14:paraId="4B9A4652"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65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54" w14:textId="77777777" w:rsidR="002A3970" w:rsidRDefault="00C35E63">
            <w:pPr>
              <w:jc w:val="right"/>
              <w:textAlignment w:val="center"/>
            </w:pPr>
            <w:r>
              <w:rPr>
                <w:rFonts w:ascii="Times New Roman" w:eastAsia="宋体" w:hAnsi="Times New Roman"/>
                <w:color w:val="000000"/>
                <w:sz w:val="16"/>
                <w:szCs w:val="16"/>
              </w:rPr>
              <w:t>5.0 </w:t>
            </w:r>
          </w:p>
        </w:tc>
        <w:tc>
          <w:tcPr>
            <w:tcW w:w="0" w:type="auto"/>
            <w:shd w:val="clear" w:color="auto" w:fill="CCEEFF"/>
            <w:tcMar>
              <w:top w:w="40" w:type="dxa"/>
              <w:left w:w="0" w:type="dxa"/>
              <w:bottom w:w="40" w:type="dxa"/>
              <w:right w:w="20" w:type="dxa"/>
            </w:tcMar>
            <w:vAlign w:val="center"/>
          </w:tcPr>
          <w:p w14:paraId="4B9A4655"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65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57" w14:textId="77777777" w:rsidR="002A3970" w:rsidRDefault="00C35E63">
            <w:pPr>
              <w:jc w:val="right"/>
              <w:textAlignment w:val="center"/>
            </w:pPr>
            <w:r>
              <w:rPr>
                <w:rFonts w:ascii="Times New Roman" w:eastAsia="宋体" w:hAnsi="Times New Roman"/>
                <w:color w:val="000000"/>
                <w:sz w:val="16"/>
                <w:szCs w:val="16"/>
              </w:rPr>
              <w:t>5.0 </w:t>
            </w:r>
          </w:p>
        </w:tc>
        <w:tc>
          <w:tcPr>
            <w:tcW w:w="0" w:type="auto"/>
            <w:shd w:val="clear" w:color="auto" w:fill="CCEEFF"/>
            <w:tcMar>
              <w:top w:w="40" w:type="dxa"/>
              <w:left w:w="0" w:type="dxa"/>
              <w:bottom w:w="40" w:type="dxa"/>
              <w:right w:w="20" w:type="dxa"/>
            </w:tcMar>
            <w:vAlign w:val="center"/>
          </w:tcPr>
          <w:p w14:paraId="4B9A4658"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65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5A" w14:textId="77777777" w:rsidR="002A3970" w:rsidRDefault="00C35E63">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4B9A465B"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66A" w14:textId="77777777">
        <w:trPr>
          <w:jc w:val="center"/>
        </w:trPr>
        <w:tc>
          <w:tcPr>
            <w:tcW w:w="0" w:type="auto"/>
            <w:gridSpan w:val="3"/>
            <w:shd w:val="clear" w:color="auto" w:fill="FFFFFF"/>
            <w:tcMar>
              <w:top w:w="40" w:type="dxa"/>
              <w:left w:w="20" w:type="dxa"/>
              <w:bottom w:w="40" w:type="dxa"/>
              <w:right w:w="20" w:type="dxa"/>
            </w:tcMar>
            <w:vAlign w:val="center"/>
          </w:tcPr>
          <w:p w14:paraId="4B9A465D" w14:textId="77777777" w:rsidR="002A3970" w:rsidRDefault="00C35E63">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4B9A465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5F" w14:textId="77777777" w:rsidR="002A3970" w:rsidRDefault="00C35E63">
            <w:pPr>
              <w:jc w:val="right"/>
              <w:textAlignment w:val="center"/>
            </w:pPr>
            <w:r>
              <w:rPr>
                <w:rFonts w:ascii="Times New Roman" w:eastAsia="宋体" w:hAnsi="Times New Roman"/>
                <w:color w:val="000000"/>
                <w:sz w:val="16"/>
                <w:szCs w:val="16"/>
              </w:rPr>
              <w:t>4,720 </w:t>
            </w:r>
          </w:p>
        </w:tc>
        <w:tc>
          <w:tcPr>
            <w:tcW w:w="0" w:type="auto"/>
            <w:shd w:val="clear" w:color="auto" w:fill="FFFFFF"/>
            <w:tcMar>
              <w:top w:w="40" w:type="dxa"/>
              <w:left w:w="0" w:type="dxa"/>
              <w:bottom w:w="40" w:type="dxa"/>
              <w:right w:w="20" w:type="dxa"/>
            </w:tcMar>
            <w:vAlign w:val="center"/>
          </w:tcPr>
          <w:p w14:paraId="4B9A466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6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62" w14:textId="77777777" w:rsidR="002A3970" w:rsidRDefault="00C35E63">
            <w:pPr>
              <w:jc w:val="right"/>
              <w:textAlignment w:val="center"/>
            </w:pPr>
            <w:r>
              <w:rPr>
                <w:rFonts w:ascii="Times New Roman" w:eastAsia="宋体" w:hAnsi="Times New Roman"/>
                <w:color w:val="000000"/>
                <w:sz w:val="16"/>
                <w:szCs w:val="16"/>
              </w:rPr>
              <w:t>4,742 </w:t>
            </w:r>
          </w:p>
        </w:tc>
        <w:tc>
          <w:tcPr>
            <w:tcW w:w="0" w:type="auto"/>
            <w:shd w:val="clear" w:color="auto" w:fill="FFFFFF"/>
            <w:tcMar>
              <w:top w:w="40" w:type="dxa"/>
              <w:left w:w="0" w:type="dxa"/>
              <w:bottom w:w="40" w:type="dxa"/>
              <w:right w:w="20" w:type="dxa"/>
            </w:tcMar>
            <w:vAlign w:val="center"/>
          </w:tcPr>
          <w:p w14:paraId="4B9A466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6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65" w14:textId="77777777" w:rsidR="002A3970" w:rsidRDefault="00C35E63">
            <w:pPr>
              <w:jc w:val="right"/>
              <w:textAlignment w:val="center"/>
            </w:pPr>
            <w:r>
              <w:rPr>
                <w:rFonts w:ascii="Times New Roman" w:eastAsia="宋体" w:hAnsi="Times New Roman"/>
                <w:color w:val="000000"/>
                <w:sz w:val="16"/>
                <w:szCs w:val="16"/>
              </w:rPr>
              <w:t>4,720 </w:t>
            </w:r>
          </w:p>
        </w:tc>
        <w:tc>
          <w:tcPr>
            <w:tcW w:w="0" w:type="auto"/>
            <w:shd w:val="clear" w:color="auto" w:fill="FFFFFF"/>
            <w:tcMar>
              <w:top w:w="40" w:type="dxa"/>
              <w:left w:w="0" w:type="dxa"/>
              <w:bottom w:w="40" w:type="dxa"/>
              <w:right w:w="20" w:type="dxa"/>
            </w:tcMar>
            <w:vAlign w:val="center"/>
          </w:tcPr>
          <w:p w14:paraId="4B9A466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6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68" w14:textId="77777777" w:rsidR="002A3970" w:rsidRDefault="00C35E63">
            <w:pPr>
              <w:jc w:val="right"/>
              <w:textAlignment w:val="center"/>
            </w:pPr>
            <w:r>
              <w:rPr>
                <w:rFonts w:ascii="Times New Roman" w:eastAsia="宋体" w:hAnsi="Times New Roman"/>
                <w:color w:val="000000"/>
                <w:sz w:val="16"/>
                <w:szCs w:val="16"/>
              </w:rPr>
              <w:t>4,742 </w:t>
            </w:r>
          </w:p>
        </w:tc>
        <w:tc>
          <w:tcPr>
            <w:tcW w:w="0" w:type="auto"/>
            <w:shd w:val="clear" w:color="auto" w:fill="FFFFFF"/>
            <w:tcMar>
              <w:top w:w="40" w:type="dxa"/>
              <w:left w:w="0" w:type="dxa"/>
              <w:bottom w:w="40" w:type="dxa"/>
              <w:right w:w="20" w:type="dxa"/>
            </w:tcMar>
            <w:vAlign w:val="center"/>
          </w:tcPr>
          <w:p w14:paraId="4B9A4669" w14:textId="77777777" w:rsidR="002A3970" w:rsidRDefault="002A3970">
            <w:pPr>
              <w:jc w:val="right"/>
              <w:rPr>
                <w:rFonts w:ascii="宋体"/>
              </w:rPr>
            </w:pPr>
          </w:p>
        </w:tc>
      </w:tr>
      <w:tr w:rsidR="002A3970" w14:paraId="4B9A4678" w14:textId="77777777">
        <w:trPr>
          <w:jc w:val="center"/>
        </w:trPr>
        <w:tc>
          <w:tcPr>
            <w:tcW w:w="0" w:type="auto"/>
            <w:gridSpan w:val="3"/>
            <w:shd w:val="clear" w:color="auto" w:fill="CCEEFF"/>
            <w:tcMar>
              <w:top w:w="40" w:type="dxa"/>
              <w:left w:w="20" w:type="dxa"/>
              <w:bottom w:w="40" w:type="dxa"/>
              <w:right w:w="20" w:type="dxa"/>
            </w:tcMar>
            <w:vAlign w:val="center"/>
          </w:tcPr>
          <w:p w14:paraId="4B9A466B" w14:textId="77777777" w:rsidR="002A3970" w:rsidRDefault="00C35E63">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4B9A466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6D" w14:textId="77777777" w:rsidR="002A3970" w:rsidRDefault="00C35E63">
            <w:pPr>
              <w:jc w:val="right"/>
              <w:textAlignment w:val="center"/>
            </w:pPr>
            <w:r>
              <w:rPr>
                <w:rFonts w:ascii="Times New Roman" w:eastAsia="宋体" w:hAnsi="Times New Roman"/>
                <w:color w:val="000000"/>
                <w:sz w:val="16"/>
                <w:szCs w:val="16"/>
              </w:rPr>
              <w:t>702 </w:t>
            </w:r>
          </w:p>
        </w:tc>
        <w:tc>
          <w:tcPr>
            <w:tcW w:w="0" w:type="auto"/>
            <w:shd w:val="clear" w:color="auto" w:fill="CCEEFF"/>
            <w:tcMar>
              <w:top w:w="40" w:type="dxa"/>
              <w:left w:w="0" w:type="dxa"/>
              <w:bottom w:w="40" w:type="dxa"/>
              <w:right w:w="20" w:type="dxa"/>
            </w:tcMar>
            <w:vAlign w:val="center"/>
          </w:tcPr>
          <w:p w14:paraId="4B9A466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6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70" w14:textId="77777777" w:rsidR="002A3970" w:rsidRDefault="00C35E63">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B9A467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7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73" w14:textId="77777777" w:rsidR="002A3970" w:rsidRDefault="00C35E63">
            <w:pPr>
              <w:jc w:val="right"/>
              <w:textAlignment w:val="center"/>
            </w:pPr>
            <w:r>
              <w:rPr>
                <w:rFonts w:ascii="Times New Roman" w:eastAsia="宋体" w:hAnsi="Times New Roman"/>
                <w:color w:val="000000"/>
                <w:sz w:val="16"/>
                <w:szCs w:val="16"/>
              </w:rPr>
              <w:t>702 </w:t>
            </w:r>
          </w:p>
        </w:tc>
        <w:tc>
          <w:tcPr>
            <w:tcW w:w="0" w:type="auto"/>
            <w:shd w:val="clear" w:color="auto" w:fill="CCEEFF"/>
            <w:tcMar>
              <w:top w:w="40" w:type="dxa"/>
              <w:left w:w="0" w:type="dxa"/>
              <w:bottom w:w="40" w:type="dxa"/>
              <w:right w:w="20" w:type="dxa"/>
            </w:tcMar>
            <w:vAlign w:val="center"/>
          </w:tcPr>
          <w:p w14:paraId="4B9A467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7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76" w14:textId="77777777" w:rsidR="002A3970" w:rsidRDefault="00C35E63">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B9A4677" w14:textId="77777777" w:rsidR="002A3970" w:rsidRDefault="002A3970">
            <w:pPr>
              <w:jc w:val="right"/>
              <w:rPr>
                <w:rFonts w:ascii="宋体"/>
              </w:rPr>
            </w:pPr>
          </w:p>
        </w:tc>
      </w:tr>
    </w:tbl>
    <w:p w14:paraId="4B9A4679" w14:textId="77777777" w:rsidR="002A3970" w:rsidRDefault="00C35E63">
      <w:pPr>
        <w:spacing w:before="100"/>
      </w:pPr>
      <w:r>
        <w:rPr>
          <w:rFonts w:ascii="Times New Roman" w:eastAsia="宋体" w:hAnsi="Times New Roman"/>
          <w:color w:val="000000"/>
          <w:sz w:val="20"/>
          <w:szCs w:val="20"/>
        </w:rPr>
        <w:t>Net sales for the Walmart U.S. segment increased $8.2 billion or 8.</w:t>
      </w:r>
      <w:r>
        <w:rPr>
          <w:rFonts w:ascii="Times New Roman" w:eastAsia="宋体" w:hAnsi="Times New Roman"/>
          <w:color w:val="000000"/>
          <w:sz w:val="20"/>
          <w:szCs w:val="20"/>
        </w:rPr>
        <w:t xml:space="preserve">5% and $18.8 billion or 6.5% for the three and nine months ended October 31, 2022, respectively, when compared to the same periods in the previous fiscal year. The increases were due to comparable sales of 8.5% and 6.5% for the three and nine months ended </w:t>
      </w:r>
      <w:r>
        <w:rPr>
          <w:rFonts w:ascii="Times New Roman" w:eastAsia="宋体" w:hAnsi="Times New Roman"/>
          <w:color w:val="000000"/>
          <w:sz w:val="20"/>
          <w:szCs w:val="20"/>
        </w:rPr>
        <w:t>October 31, 2022, respectively, driven by growth in average ticket, including strong food sales and higher inflation impacts in certain merchandise categories, as well as growth in transactions. The Walmart U.S. segment's eCommerce sales positively contrib</w:t>
      </w:r>
      <w:r>
        <w:rPr>
          <w:rFonts w:ascii="Times New Roman" w:eastAsia="宋体" w:hAnsi="Times New Roman"/>
          <w:color w:val="000000"/>
          <w:sz w:val="20"/>
          <w:szCs w:val="20"/>
        </w:rPr>
        <w:t xml:space="preserve">uted 1.0% and 0.4% for the three and nine months ended October 31, 2022, respectively, which was primarily driven by store pickup and delivery. </w:t>
      </w:r>
    </w:p>
    <w:p w14:paraId="4B9A467A" w14:textId="77777777" w:rsidR="002A3970" w:rsidRDefault="00C35E63">
      <w:pPr>
        <w:spacing w:before="100"/>
      </w:pPr>
      <w:r>
        <w:rPr>
          <w:rFonts w:ascii="Times New Roman" w:eastAsia="宋体" w:hAnsi="Times New Roman"/>
          <w:color w:val="000000"/>
          <w:sz w:val="20"/>
          <w:szCs w:val="20"/>
        </w:rPr>
        <w:t>Gross profit rate decreased 77 basis points for the three months ended October 31, 2022, when compared to the s</w:t>
      </w:r>
      <w:r>
        <w:rPr>
          <w:rFonts w:ascii="Times New Roman" w:eastAsia="宋体" w:hAnsi="Times New Roman"/>
          <w:color w:val="000000"/>
          <w:sz w:val="20"/>
          <w:szCs w:val="20"/>
        </w:rPr>
        <w:t>ame period in the previous fiscal year, primarily driven by net markdowns and product mix shifts into lower margin categories, partially offset by price management impacts driven by higher inflation. For the nine months ended October 31, 2022, gross profit</w:t>
      </w:r>
      <w:r>
        <w:rPr>
          <w:rFonts w:ascii="Times New Roman" w:eastAsia="宋体" w:hAnsi="Times New Roman"/>
          <w:color w:val="000000"/>
          <w:sz w:val="20"/>
          <w:szCs w:val="20"/>
        </w:rPr>
        <w:t xml:space="preserve"> rate decreased 75 basis points primarily due to net markdowns and product mix shifts into lower margin categories and increased supply chain costs, partially offset by price management impacts driven by higher inflation. </w:t>
      </w:r>
    </w:p>
    <w:p w14:paraId="4B9A467B" w14:textId="77777777" w:rsidR="002A3970" w:rsidRDefault="00C35E63">
      <w:pPr>
        <w:spacing w:before="100"/>
      </w:pPr>
      <w:r>
        <w:rPr>
          <w:rFonts w:ascii="Times New Roman" w:eastAsia="宋体" w:hAnsi="Times New Roman"/>
          <w:color w:val="000000"/>
          <w:sz w:val="20"/>
          <w:szCs w:val="20"/>
        </w:rPr>
        <w:t>Operating expenses as a percentag</w:t>
      </w:r>
      <w:r>
        <w:rPr>
          <w:rFonts w:ascii="Times New Roman" w:eastAsia="宋体" w:hAnsi="Times New Roman"/>
          <w:color w:val="000000"/>
          <w:sz w:val="20"/>
          <w:szCs w:val="20"/>
        </w:rPr>
        <w:t>e of net sales decreased 60 basis points for three months ended October 31, 2022, when compared to the same period in the previous fiscal year, primarily driven by strong sales growth and lower incremental COVID-19 costs, partially offset by increased wage</w:t>
      </w:r>
      <w:r>
        <w:rPr>
          <w:rFonts w:ascii="Times New Roman" w:eastAsia="宋体" w:hAnsi="Times New Roman"/>
          <w:color w:val="000000"/>
          <w:sz w:val="20"/>
          <w:szCs w:val="20"/>
        </w:rPr>
        <w:t xml:space="preserve"> costs. Operating expenses as a percentage of net sales were relatively flat for the nine months ended October 31, 2022, when compared to the same period in the previous fiscal year, primarily driven by increased wage costs, offset by strong sales growth.</w:t>
      </w:r>
    </w:p>
    <w:p w14:paraId="4B9A467C" w14:textId="77777777" w:rsidR="002A3970" w:rsidRDefault="00C35E63">
      <w:pPr>
        <w:spacing w:before="100"/>
      </w:pPr>
      <w:r>
        <w:rPr>
          <w:rFonts w:ascii="Times New Roman" w:eastAsia="宋体" w:hAnsi="Times New Roman"/>
          <w:color w:val="000000"/>
          <w:sz w:val="20"/>
          <w:szCs w:val="20"/>
        </w:rPr>
        <w:t xml:space="preserve">As a result of the factors discussed above, operating income increased $0.2 billion and decreased $1.2 billion for the three and nine months ended October 31, 2022, respectively, when compared to the same periods in the previous fiscal year. </w:t>
      </w:r>
    </w:p>
    <w:p w14:paraId="4B9A467D" w14:textId="77777777" w:rsidR="002A3970" w:rsidRDefault="00C35E63">
      <w:pPr>
        <w:spacing w:before="240"/>
      </w:pPr>
      <w:r>
        <w:rPr>
          <w:rFonts w:ascii="Times New Roman" w:eastAsia="宋体" w:hAnsi="Times New Roman"/>
          <w:b/>
          <w:bCs/>
          <w:i/>
          <w:iCs/>
          <w:color w:val="000000"/>
          <w:sz w:val="20"/>
          <w:szCs w:val="20"/>
        </w:rPr>
        <w:t>Walmart International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35"/>
        <w:gridCol w:w="37"/>
        <w:gridCol w:w="36"/>
        <w:gridCol w:w="36"/>
        <w:gridCol w:w="36"/>
        <w:gridCol w:w="100"/>
        <w:gridCol w:w="752"/>
        <w:gridCol w:w="154"/>
        <w:gridCol w:w="36"/>
        <w:gridCol w:w="36"/>
        <w:gridCol w:w="36"/>
        <w:gridCol w:w="100"/>
        <w:gridCol w:w="715"/>
        <w:gridCol w:w="154"/>
        <w:gridCol w:w="36"/>
        <w:gridCol w:w="36"/>
        <w:gridCol w:w="36"/>
        <w:gridCol w:w="100"/>
        <w:gridCol w:w="715"/>
        <w:gridCol w:w="154"/>
        <w:gridCol w:w="36"/>
        <w:gridCol w:w="36"/>
        <w:gridCol w:w="36"/>
        <w:gridCol w:w="100"/>
        <w:gridCol w:w="596"/>
        <w:gridCol w:w="154"/>
      </w:tblGrid>
      <w:tr w:rsidR="002A3970" w14:paraId="4B9A4699" w14:textId="77777777">
        <w:trPr>
          <w:jc w:val="center"/>
        </w:trPr>
        <w:tc>
          <w:tcPr>
            <w:tcW w:w="50" w:type="pct"/>
            <w:shd w:val="clear" w:color="auto" w:fill="auto"/>
            <w:vAlign w:val="bottom"/>
          </w:tcPr>
          <w:p w14:paraId="4B9A467E" w14:textId="77777777" w:rsidR="002A3970" w:rsidRDefault="002A3970">
            <w:pPr>
              <w:rPr>
                <w:rFonts w:ascii="宋体"/>
              </w:rPr>
            </w:pPr>
          </w:p>
        </w:tc>
        <w:tc>
          <w:tcPr>
            <w:tcW w:w="2547" w:type="pct"/>
            <w:shd w:val="clear" w:color="auto" w:fill="auto"/>
            <w:vAlign w:val="bottom"/>
          </w:tcPr>
          <w:p w14:paraId="4B9A467F" w14:textId="77777777" w:rsidR="002A3970" w:rsidRDefault="002A3970">
            <w:pPr>
              <w:rPr>
                <w:rFonts w:ascii="宋体"/>
              </w:rPr>
            </w:pPr>
          </w:p>
        </w:tc>
        <w:tc>
          <w:tcPr>
            <w:tcW w:w="5" w:type="pct"/>
            <w:shd w:val="clear" w:color="auto" w:fill="auto"/>
            <w:vAlign w:val="bottom"/>
          </w:tcPr>
          <w:p w14:paraId="4B9A4680" w14:textId="77777777" w:rsidR="002A3970" w:rsidRDefault="002A3970">
            <w:pPr>
              <w:rPr>
                <w:rFonts w:ascii="宋体"/>
              </w:rPr>
            </w:pPr>
          </w:p>
        </w:tc>
        <w:tc>
          <w:tcPr>
            <w:tcW w:w="5" w:type="pct"/>
            <w:shd w:val="clear" w:color="auto" w:fill="auto"/>
            <w:vAlign w:val="bottom"/>
          </w:tcPr>
          <w:p w14:paraId="4B9A4681" w14:textId="77777777" w:rsidR="002A3970" w:rsidRDefault="002A3970">
            <w:pPr>
              <w:rPr>
                <w:rFonts w:ascii="宋体"/>
              </w:rPr>
            </w:pPr>
          </w:p>
        </w:tc>
        <w:tc>
          <w:tcPr>
            <w:tcW w:w="19" w:type="pct"/>
            <w:shd w:val="clear" w:color="auto" w:fill="auto"/>
            <w:vAlign w:val="bottom"/>
          </w:tcPr>
          <w:p w14:paraId="4B9A4682" w14:textId="77777777" w:rsidR="002A3970" w:rsidRDefault="002A3970">
            <w:pPr>
              <w:rPr>
                <w:rFonts w:ascii="宋体"/>
              </w:rPr>
            </w:pPr>
          </w:p>
        </w:tc>
        <w:tc>
          <w:tcPr>
            <w:tcW w:w="5" w:type="pct"/>
            <w:shd w:val="clear" w:color="auto" w:fill="auto"/>
            <w:vAlign w:val="bottom"/>
          </w:tcPr>
          <w:p w14:paraId="4B9A4683" w14:textId="77777777" w:rsidR="002A3970" w:rsidRDefault="002A3970">
            <w:pPr>
              <w:rPr>
                <w:rFonts w:ascii="宋体"/>
              </w:rPr>
            </w:pPr>
          </w:p>
        </w:tc>
        <w:tc>
          <w:tcPr>
            <w:tcW w:w="50" w:type="pct"/>
            <w:shd w:val="clear" w:color="auto" w:fill="auto"/>
            <w:vAlign w:val="bottom"/>
          </w:tcPr>
          <w:p w14:paraId="4B9A4684" w14:textId="77777777" w:rsidR="002A3970" w:rsidRDefault="002A3970">
            <w:pPr>
              <w:rPr>
                <w:rFonts w:ascii="宋体"/>
              </w:rPr>
            </w:pPr>
          </w:p>
        </w:tc>
        <w:tc>
          <w:tcPr>
            <w:tcW w:w="529" w:type="pct"/>
            <w:shd w:val="clear" w:color="auto" w:fill="auto"/>
            <w:vAlign w:val="bottom"/>
          </w:tcPr>
          <w:p w14:paraId="4B9A4685" w14:textId="77777777" w:rsidR="002A3970" w:rsidRDefault="002A3970">
            <w:pPr>
              <w:rPr>
                <w:rFonts w:ascii="宋体"/>
              </w:rPr>
            </w:pPr>
          </w:p>
        </w:tc>
        <w:tc>
          <w:tcPr>
            <w:tcW w:w="5" w:type="pct"/>
            <w:shd w:val="clear" w:color="auto" w:fill="auto"/>
            <w:vAlign w:val="bottom"/>
          </w:tcPr>
          <w:p w14:paraId="4B9A4686" w14:textId="77777777" w:rsidR="002A3970" w:rsidRDefault="002A3970">
            <w:pPr>
              <w:rPr>
                <w:rFonts w:ascii="宋体"/>
              </w:rPr>
            </w:pPr>
          </w:p>
        </w:tc>
        <w:tc>
          <w:tcPr>
            <w:tcW w:w="5" w:type="pct"/>
            <w:shd w:val="clear" w:color="auto" w:fill="auto"/>
            <w:vAlign w:val="bottom"/>
          </w:tcPr>
          <w:p w14:paraId="4B9A4687" w14:textId="77777777" w:rsidR="002A3970" w:rsidRDefault="002A3970">
            <w:pPr>
              <w:rPr>
                <w:rFonts w:ascii="宋体"/>
              </w:rPr>
            </w:pPr>
          </w:p>
        </w:tc>
        <w:tc>
          <w:tcPr>
            <w:tcW w:w="19" w:type="pct"/>
            <w:shd w:val="clear" w:color="auto" w:fill="auto"/>
            <w:vAlign w:val="bottom"/>
          </w:tcPr>
          <w:p w14:paraId="4B9A4688" w14:textId="77777777" w:rsidR="002A3970" w:rsidRDefault="002A3970">
            <w:pPr>
              <w:rPr>
                <w:rFonts w:ascii="宋体"/>
              </w:rPr>
            </w:pPr>
          </w:p>
        </w:tc>
        <w:tc>
          <w:tcPr>
            <w:tcW w:w="5" w:type="pct"/>
            <w:shd w:val="clear" w:color="auto" w:fill="auto"/>
            <w:vAlign w:val="bottom"/>
          </w:tcPr>
          <w:p w14:paraId="4B9A4689" w14:textId="77777777" w:rsidR="002A3970" w:rsidRDefault="002A3970">
            <w:pPr>
              <w:rPr>
                <w:rFonts w:ascii="宋体"/>
              </w:rPr>
            </w:pPr>
          </w:p>
        </w:tc>
        <w:tc>
          <w:tcPr>
            <w:tcW w:w="50" w:type="pct"/>
            <w:shd w:val="clear" w:color="auto" w:fill="auto"/>
            <w:vAlign w:val="bottom"/>
          </w:tcPr>
          <w:p w14:paraId="4B9A468A" w14:textId="77777777" w:rsidR="002A3970" w:rsidRDefault="002A3970">
            <w:pPr>
              <w:rPr>
                <w:rFonts w:ascii="宋体"/>
              </w:rPr>
            </w:pPr>
          </w:p>
        </w:tc>
        <w:tc>
          <w:tcPr>
            <w:tcW w:w="507" w:type="pct"/>
            <w:shd w:val="clear" w:color="auto" w:fill="auto"/>
            <w:vAlign w:val="bottom"/>
          </w:tcPr>
          <w:p w14:paraId="4B9A468B" w14:textId="77777777" w:rsidR="002A3970" w:rsidRDefault="002A3970">
            <w:pPr>
              <w:rPr>
                <w:rFonts w:ascii="宋体"/>
              </w:rPr>
            </w:pPr>
          </w:p>
        </w:tc>
        <w:tc>
          <w:tcPr>
            <w:tcW w:w="5" w:type="pct"/>
            <w:shd w:val="clear" w:color="auto" w:fill="auto"/>
            <w:vAlign w:val="bottom"/>
          </w:tcPr>
          <w:p w14:paraId="4B9A468C" w14:textId="77777777" w:rsidR="002A3970" w:rsidRDefault="002A3970">
            <w:pPr>
              <w:rPr>
                <w:rFonts w:ascii="宋体"/>
              </w:rPr>
            </w:pPr>
          </w:p>
        </w:tc>
        <w:tc>
          <w:tcPr>
            <w:tcW w:w="5" w:type="pct"/>
            <w:shd w:val="clear" w:color="auto" w:fill="auto"/>
            <w:vAlign w:val="bottom"/>
          </w:tcPr>
          <w:p w14:paraId="4B9A468D" w14:textId="77777777" w:rsidR="002A3970" w:rsidRDefault="002A3970">
            <w:pPr>
              <w:rPr>
                <w:rFonts w:ascii="宋体"/>
              </w:rPr>
            </w:pPr>
          </w:p>
        </w:tc>
        <w:tc>
          <w:tcPr>
            <w:tcW w:w="19" w:type="pct"/>
            <w:shd w:val="clear" w:color="auto" w:fill="auto"/>
            <w:vAlign w:val="bottom"/>
          </w:tcPr>
          <w:p w14:paraId="4B9A468E" w14:textId="77777777" w:rsidR="002A3970" w:rsidRDefault="002A3970">
            <w:pPr>
              <w:rPr>
                <w:rFonts w:ascii="宋体"/>
              </w:rPr>
            </w:pPr>
          </w:p>
        </w:tc>
        <w:tc>
          <w:tcPr>
            <w:tcW w:w="5" w:type="pct"/>
            <w:shd w:val="clear" w:color="auto" w:fill="auto"/>
            <w:vAlign w:val="bottom"/>
          </w:tcPr>
          <w:p w14:paraId="4B9A468F" w14:textId="77777777" w:rsidR="002A3970" w:rsidRDefault="002A3970">
            <w:pPr>
              <w:rPr>
                <w:rFonts w:ascii="宋体"/>
              </w:rPr>
            </w:pPr>
          </w:p>
        </w:tc>
        <w:tc>
          <w:tcPr>
            <w:tcW w:w="50" w:type="pct"/>
            <w:shd w:val="clear" w:color="auto" w:fill="auto"/>
            <w:vAlign w:val="bottom"/>
          </w:tcPr>
          <w:p w14:paraId="4B9A4690" w14:textId="77777777" w:rsidR="002A3970" w:rsidRDefault="002A3970">
            <w:pPr>
              <w:rPr>
                <w:rFonts w:ascii="宋体"/>
              </w:rPr>
            </w:pPr>
          </w:p>
        </w:tc>
        <w:tc>
          <w:tcPr>
            <w:tcW w:w="507" w:type="pct"/>
            <w:shd w:val="clear" w:color="auto" w:fill="auto"/>
            <w:vAlign w:val="bottom"/>
          </w:tcPr>
          <w:p w14:paraId="4B9A4691" w14:textId="77777777" w:rsidR="002A3970" w:rsidRDefault="002A3970">
            <w:pPr>
              <w:rPr>
                <w:rFonts w:ascii="宋体"/>
              </w:rPr>
            </w:pPr>
          </w:p>
        </w:tc>
        <w:tc>
          <w:tcPr>
            <w:tcW w:w="5" w:type="pct"/>
            <w:shd w:val="clear" w:color="auto" w:fill="auto"/>
            <w:vAlign w:val="bottom"/>
          </w:tcPr>
          <w:p w14:paraId="4B9A4692" w14:textId="77777777" w:rsidR="002A3970" w:rsidRDefault="002A3970">
            <w:pPr>
              <w:rPr>
                <w:rFonts w:ascii="宋体"/>
              </w:rPr>
            </w:pPr>
          </w:p>
        </w:tc>
        <w:tc>
          <w:tcPr>
            <w:tcW w:w="5" w:type="pct"/>
            <w:shd w:val="clear" w:color="auto" w:fill="auto"/>
            <w:vAlign w:val="bottom"/>
          </w:tcPr>
          <w:p w14:paraId="4B9A4693" w14:textId="77777777" w:rsidR="002A3970" w:rsidRDefault="002A3970">
            <w:pPr>
              <w:rPr>
                <w:rFonts w:ascii="宋体"/>
              </w:rPr>
            </w:pPr>
          </w:p>
        </w:tc>
        <w:tc>
          <w:tcPr>
            <w:tcW w:w="26" w:type="pct"/>
            <w:shd w:val="clear" w:color="auto" w:fill="auto"/>
            <w:vAlign w:val="bottom"/>
          </w:tcPr>
          <w:p w14:paraId="4B9A4694" w14:textId="77777777" w:rsidR="002A3970" w:rsidRDefault="002A3970">
            <w:pPr>
              <w:rPr>
                <w:rFonts w:ascii="宋体"/>
              </w:rPr>
            </w:pPr>
          </w:p>
        </w:tc>
        <w:tc>
          <w:tcPr>
            <w:tcW w:w="5" w:type="pct"/>
            <w:shd w:val="clear" w:color="auto" w:fill="auto"/>
            <w:vAlign w:val="bottom"/>
          </w:tcPr>
          <w:p w14:paraId="4B9A4695" w14:textId="77777777" w:rsidR="002A3970" w:rsidRDefault="002A3970">
            <w:pPr>
              <w:rPr>
                <w:rFonts w:ascii="宋体"/>
              </w:rPr>
            </w:pPr>
          </w:p>
        </w:tc>
        <w:tc>
          <w:tcPr>
            <w:tcW w:w="50" w:type="pct"/>
            <w:shd w:val="clear" w:color="auto" w:fill="auto"/>
            <w:vAlign w:val="bottom"/>
          </w:tcPr>
          <w:p w14:paraId="4B9A4696" w14:textId="77777777" w:rsidR="002A3970" w:rsidRDefault="002A3970">
            <w:pPr>
              <w:rPr>
                <w:rFonts w:ascii="宋体"/>
              </w:rPr>
            </w:pPr>
          </w:p>
        </w:tc>
        <w:tc>
          <w:tcPr>
            <w:tcW w:w="508" w:type="pct"/>
            <w:shd w:val="clear" w:color="auto" w:fill="auto"/>
            <w:vAlign w:val="bottom"/>
          </w:tcPr>
          <w:p w14:paraId="4B9A4697" w14:textId="77777777" w:rsidR="002A3970" w:rsidRDefault="002A3970">
            <w:pPr>
              <w:rPr>
                <w:rFonts w:ascii="宋体"/>
              </w:rPr>
            </w:pPr>
          </w:p>
        </w:tc>
        <w:tc>
          <w:tcPr>
            <w:tcW w:w="5" w:type="pct"/>
            <w:shd w:val="clear" w:color="auto" w:fill="auto"/>
            <w:vAlign w:val="bottom"/>
          </w:tcPr>
          <w:p w14:paraId="4B9A4698" w14:textId="77777777" w:rsidR="002A3970" w:rsidRDefault="002A3970">
            <w:pPr>
              <w:rPr>
                <w:rFonts w:ascii="宋体"/>
              </w:rPr>
            </w:pPr>
          </w:p>
        </w:tc>
      </w:tr>
      <w:tr w:rsidR="002A3970" w14:paraId="4B9A469F" w14:textId="77777777">
        <w:trPr>
          <w:jc w:val="center"/>
        </w:trPr>
        <w:tc>
          <w:tcPr>
            <w:tcW w:w="0" w:type="auto"/>
            <w:gridSpan w:val="3"/>
            <w:shd w:val="clear" w:color="auto" w:fill="auto"/>
            <w:tcMar>
              <w:top w:w="40" w:type="dxa"/>
              <w:left w:w="20" w:type="dxa"/>
              <w:bottom w:w="40" w:type="dxa"/>
              <w:right w:w="20" w:type="dxa"/>
            </w:tcMar>
            <w:vAlign w:val="center"/>
          </w:tcPr>
          <w:p w14:paraId="4B9A469A"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69B"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center"/>
          </w:tcPr>
          <w:p w14:paraId="4B9A469C" w14:textId="77777777" w:rsidR="002A3970" w:rsidRDefault="00C35E63">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69D"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center"/>
          </w:tcPr>
          <w:p w14:paraId="4B9A469E" w14:textId="77777777" w:rsidR="002A3970" w:rsidRDefault="00C35E63">
            <w:pPr>
              <w:jc w:val="center"/>
              <w:textAlignment w:val="center"/>
            </w:pPr>
            <w:r>
              <w:rPr>
                <w:rFonts w:ascii="Times New Roman" w:eastAsia="宋体" w:hAnsi="Times New Roman"/>
                <w:b/>
                <w:bCs/>
                <w:color w:val="000000"/>
                <w:sz w:val="16"/>
                <w:szCs w:val="16"/>
              </w:rPr>
              <w:t>Nine Months Ended October 31,</w:t>
            </w:r>
          </w:p>
        </w:tc>
      </w:tr>
      <w:tr w:rsidR="002A3970" w14:paraId="4B9A46A9" w14:textId="77777777">
        <w:trPr>
          <w:jc w:val="center"/>
        </w:trPr>
        <w:tc>
          <w:tcPr>
            <w:tcW w:w="0" w:type="auto"/>
            <w:gridSpan w:val="3"/>
            <w:shd w:val="clear" w:color="auto" w:fill="auto"/>
            <w:tcMar>
              <w:top w:w="40" w:type="dxa"/>
              <w:left w:w="20" w:type="dxa"/>
              <w:bottom w:w="40" w:type="dxa"/>
              <w:right w:w="20" w:type="dxa"/>
            </w:tcMar>
            <w:vAlign w:val="center"/>
          </w:tcPr>
          <w:p w14:paraId="4B9A46A0" w14:textId="77777777" w:rsidR="002A3970" w:rsidRDefault="00C35E63">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B9A46A1"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6A2"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6A3"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6A4"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6A5"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6A6"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6A7"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6A8" w14:textId="77777777" w:rsidR="002A3970" w:rsidRDefault="00C35E63">
            <w:pPr>
              <w:jc w:val="center"/>
              <w:textAlignment w:val="center"/>
            </w:pPr>
            <w:r>
              <w:rPr>
                <w:rFonts w:ascii="Times New Roman" w:eastAsia="宋体" w:hAnsi="Times New Roman"/>
                <w:b/>
                <w:bCs/>
                <w:color w:val="000000"/>
                <w:sz w:val="16"/>
                <w:szCs w:val="16"/>
              </w:rPr>
              <w:t>2021</w:t>
            </w:r>
          </w:p>
        </w:tc>
      </w:tr>
      <w:tr w:rsidR="002A3970" w14:paraId="4B9A46BB" w14:textId="77777777">
        <w:trPr>
          <w:jc w:val="center"/>
        </w:trPr>
        <w:tc>
          <w:tcPr>
            <w:tcW w:w="0" w:type="auto"/>
            <w:gridSpan w:val="3"/>
            <w:shd w:val="clear" w:color="auto" w:fill="CCEEFF"/>
            <w:tcMar>
              <w:top w:w="40" w:type="dxa"/>
              <w:left w:w="20" w:type="dxa"/>
              <w:bottom w:w="40" w:type="dxa"/>
              <w:right w:w="20" w:type="dxa"/>
            </w:tcMar>
            <w:vAlign w:val="center"/>
          </w:tcPr>
          <w:p w14:paraId="4B9A46AA"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B9A46AB"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AC"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AD" w14:textId="77777777" w:rsidR="002A3970" w:rsidRDefault="00C35E63">
            <w:pPr>
              <w:jc w:val="right"/>
              <w:textAlignment w:val="center"/>
            </w:pPr>
            <w:r>
              <w:rPr>
                <w:rFonts w:ascii="Times New Roman" w:eastAsia="宋体" w:hAnsi="Times New Roman"/>
                <w:color w:val="000000"/>
                <w:sz w:val="16"/>
                <w:szCs w:val="16"/>
              </w:rPr>
              <w:t>25,295 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A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AF"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B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B1" w14:textId="77777777" w:rsidR="002A3970" w:rsidRDefault="00C35E63">
            <w:pPr>
              <w:jc w:val="right"/>
              <w:textAlignment w:val="center"/>
            </w:pPr>
            <w:r>
              <w:rPr>
                <w:rFonts w:ascii="Times New Roman" w:eastAsia="宋体" w:hAnsi="Times New Roman"/>
                <w:color w:val="000000"/>
                <w:sz w:val="16"/>
                <w:szCs w:val="16"/>
              </w:rPr>
              <w:t>23,627 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B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B3"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B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B5" w14:textId="77777777" w:rsidR="002A3970" w:rsidRDefault="00C35E63">
            <w:pPr>
              <w:jc w:val="right"/>
              <w:textAlignment w:val="center"/>
            </w:pPr>
            <w:r>
              <w:rPr>
                <w:rFonts w:ascii="Times New Roman" w:eastAsia="宋体" w:hAnsi="Times New Roman"/>
                <w:color w:val="000000"/>
                <w:sz w:val="16"/>
                <w:szCs w:val="16"/>
              </w:rPr>
              <w:t>73,408 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B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B7"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6B8"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6B9" w14:textId="77777777" w:rsidR="002A3970" w:rsidRDefault="00C35E63">
            <w:pPr>
              <w:jc w:val="right"/>
              <w:textAlignment w:val="center"/>
            </w:pPr>
            <w:r>
              <w:rPr>
                <w:rFonts w:ascii="Times New Roman" w:eastAsia="宋体" w:hAnsi="Times New Roman"/>
                <w:color w:val="000000"/>
                <w:sz w:val="16"/>
                <w:szCs w:val="16"/>
              </w:rPr>
              <w:t>73,962 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6BA" w14:textId="77777777" w:rsidR="002A3970" w:rsidRDefault="002A3970">
            <w:pPr>
              <w:jc w:val="right"/>
              <w:rPr>
                <w:rFonts w:ascii="宋体"/>
              </w:rPr>
            </w:pPr>
          </w:p>
        </w:tc>
      </w:tr>
      <w:tr w:rsidR="002A3970" w14:paraId="4B9A46C9" w14:textId="77777777">
        <w:trPr>
          <w:jc w:val="center"/>
        </w:trPr>
        <w:tc>
          <w:tcPr>
            <w:tcW w:w="0" w:type="auto"/>
            <w:gridSpan w:val="3"/>
            <w:shd w:val="clear" w:color="auto" w:fill="FFFFFF"/>
            <w:tcMar>
              <w:top w:w="40" w:type="dxa"/>
              <w:left w:w="20" w:type="dxa"/>
              <w:bottom w:w="40" w:type="dxa"/>
              <w:right w:w="20" w:type="dxa"/>
            </w:tcMar>
            <w:vAlign w:val="center"/>
          </w:tcPr>
          <w:p w14:paraId="4B9A46BC" w14:textId="77777777" w:rsidR="002A3970" w:rsidRDefault="00C35E63">
            <w:pPr>
              <w:textAlignment w:val="center"/>
            </w:pPr>
            <w:r>
              <w:rPr>
                <w:rFonts w:ascii="Times New Roman" w:eastAsia="宋体" w:hAnsi="Times New Roman"/>
                <w:color w:val="000000"/>
                <w:sz w:val="16"/>
                <w:szCs w:val="16"/>
              </w:rPr>
              <w:t>Percentage change from comparable peri</w:t>
            </w:r>
            <w:r>
              <w:rPr>
                <w:rFonts w:ascii="Times New Roman" w:eastAsia="宋体" w:hAnsi="Times New Roman"/>
                <w:color w:val="000000"/>
                <w:sz w:val="16"/>
                <w:szCs w:val="16"/>
              </w:rPr>
              <w:t>od</w:t>
            </w:r>
          </w:p>
        </w:tc>
        <w:tc>
          <w:tcPr>
            <w:tcW w:w="0" w:type="auto"/>
            <w:gridSpan w:val="3"/>
            <w:shd w:val="clear" w:color="auto" w:fill="FFFFFF"/>
            <w:tcMar>
              <w:top w:w="0" w:type="dxa"/>
              <w:left w:w="20" w:type="dxa"/>
              <w:bottom w:w="0" w:type="dxa"/>
              <w:right w:w="20" w:type="dxa"/>
            </w:tcMar>
            <w:vAlign w:val="bottom"/>
          </w:tcPr>
          <w:p w14:paraId="4B9A46B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BE" w14:textId="77777777" w:rsidR="002A3970" w:rsidRDefault="00C35E63">
            <w:pPr>
              <w:jc w:val="right"/>
              <w:textAlignment w:val="center"/>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center"/>
          </w:tcPr>
          <w:p w14:paraId="4B9A46BF"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C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C1" w14:textId="77777777" w:rsidR="002A3970" w:rsidRDefault="00C35E63">
            <w:pPr>
              <w:jc w:val="right"/>
              <w:textAlignment w:val="center"/>
            </w:pPr>
            <w:r>
              <w:rPr>
                <w:rFonts w:ascii="Times New Roman" w:eastAsia="宋体" w:hAnsi="Times New Roman"/>
                <w:color w:val="000000"/>
                <w:sz w:val="16"/>
                <w:szCs w:val="16"/>
              </w:rPr>
              <w:t>(20.1)</w:t>
            </w:r>
          </w:p>
        </w:tc>
        <w:tc>
          <w:tcPr>
            <w:tcW w:w="0" w:type="auto"/>
            <w:shd w:val="clear" w:color="auto" w:fill="FFFFFF"/>
            <w:tcMar>
              <w:top w:w="40" w:type="dxa"/>
              <w:left w:w="0" w:type="dxa"/>
              <w:bottom w:w="40" w:type="dxa"/>
              <w:right w:w="20" w:type="dxa"/>
            </w:tcMar>
            <w:vAlign w:val="center"/>
          </w:tcPr>
          <w:p w14:paraId="4B9A46C2"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C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C4" w14:textId="77777777" w:rsidR="002A3970" w:rsidRDefault="00C35E63">
            <w:pPr>
              <w:jc w:val="right"/>
              <w:textAlignment w:val="center"/>
            </w:pPr>
            <w:r>
              <w:rPr>
                <w:rFonts w:ascii="Times New Roman" w:eastAsia="宋体" w:hAnsi="Times New Roman"/>
                <w:color w:val="000000"/>
                <w:sz w:val="16"/>
                <w:szCs w:val="16"/>
              </w:rPr>
              <w:t>(0.7)</w:t>
            </w:r>
          </w:p>
        </w:tc>
        <w:tc>
          <w:tcPr>
            <w:tcW w:w="0" w:type="auto"/>
            <w:shd w:val="clear" w:color="auto" w:fill="FFFFFF"/>
            <w:tcMar>
              <w:top w:w="40" w:type="dxa"/>
              <w:left w:w="0" w:type="dxa"/>
              <w:bottom w:w="40" w:type="dxa"/>
              <w:right w:w="20" w:type="dxa"/>
            </w:tcMar>
            <w:vAlign w:val="center"/>
          </w:tcPr>
          <w:p w14:paraId="4B9A46C5"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C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C7" w14:textId="77777777" w:rsidR="002A3970" w:rsidRDefault="00C35E63">
            <w:pPr>
              <w:jc w:val="right"/>
              <w:textAlignment w:val="center"/>
            </w:pPr>
            <w:r>
              <w:rPr>
                <w:rFonts w:ascii="Times New Roman" w:eastAsia="宋体" w:hAnsi="Times New Roman"/>
                <w:color w:val="000000"/>
                <w:sz w:val="16"/>
                <w:szCs w:val="16"/>
              </w:rPr>
              <w:t>(14.5)</w:t>
            </w:r>
          </w:p>
        </w:tc>
        <w:tc>
          <w:tcPr>
            <w:tcW w:w="0" w:type="auto"/>
            <w:shd w:val="clear" w:color="auto" w:fill="FFFFFF"/>
            <w:tcMar>
              <w:top w:w="40" w:type="dxa"/>
              <w:left w:w="0" w:type="dxa"/>
              <w:bottom w:w="40" w:type="dxa"/>
              <w:right w:w="20" w:type="dxa"/>
            </w:tcMar>
            <w:vAlign w:val="center"/>
          </w:tcPr>
          <w:p w14:paraId="4B9A46C8"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6DB" w14:textId="77777777">
        <w:trPr>
          <w:jc w:val="center"/>
        </w:trPr>
        <w:tc>
          <w:tcPr>
            <w:tcW w:w="0" w:type="auto"/>
            <w:gridSpan w:val="3"/>
            <w:shd w:val="clear" w:color="auto" w:fill="CCEEFF"/>
            <w:tcMar>
              <w:top w:w="40" w:type="dxa"/>
              <w:left w:w="20" w:type="dxa"/>
              <w:bottom w:w="40" w:type="dxa"/>
              <w:right w:w="20" w:type="dxa"/>
            </w:tcMar>
            <w:vAlign w:val="center"/>
          </w:tcPr>
          <w:p w14:paraId="4B9A46CA" w14:textId="77777777" w:rsidR="002A3970" w:rsidRDefault="00C35E63">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B9A46CB"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6C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6CD" w14:textId="77777777" w:rsidR="002A3970" w:rsidRDefault="00C35E63">
            <w:pPr>
              <w:jc w:val="right"/>
              <w:textAlignment w:val="center"/>
            </w:pPr>
            <w:r>
              <w:rPr>
                <w:rFonts w:ascii="Times New Roman" w:eastAsia="宋体" w:hAnsi="Times New Roman"/>
                <w:color w:val="000000"/>
                <w:sz w:val="16"/>
                <w:szCs w:val="16"/>
              </w:rPr>
              <w:t>861 </w:t>
            </w:r>
          </w:p>
        </w:tc>
        <w:tc>
          <w:tcPr>
            <w:tcW w:w="0" w:type="auto"/>
            <w:shd w:val="clear" w:color="auto" w:fill="CCEEFF"/>
            <w:tcMar>
              <w:top w:w="40" w:type="dxa"/>
              <w:left w:w="0" w:type="dxa"/>
              <w:bottom w:w="40" w:type="dxa"/>
              <w:right w:w="20" w:type="dxa"/>
            </w:tcMar>
            <w:vAlign w:val="center"/>
          </w:tcPr>
          <w:p w14:paraId="4B9A46C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CF"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6D0"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6D1" w14:textId="77777777" w:rsidR="002A3970" w:rsidRDefault="00C35E63">
            <w:pPr>
              <w:jc w:val="right"/>
              <w:textAlignment w:val="center"/>
            </w:pPr>
            <w:r>
              <w:rPr>
                <w:rFonts w:ascii="Times New Roman" w:eastAsia="宋体" w:hAnsi="Times New Roman"/>
                <w:color w:val="000000"/>
                <w:sz w:val="16"/>
                <w:szCs w:val="16"/>
              </w:rPr>
              <w:t>871 </w:t>
            </w:r>
          </w:p>
        </w:tc>
        <w:tc>
          <w:tcPr>
            <w:tcW w:w="0" w:type="auto"/>
            <w:shd w:val="clear" w:color="auto" w:fill="CCEEFF"/>
            <w:tcMar>
              <w:top w:w="40" w:type="dxa"/>
              <w:left w:w="0" w:type="dxa"/>
              <w:bottom w:w="40" w:type="dxa"/>
              <w:right w:w="20" w:type="dxa"/>
            </w:tcMar>
            <w:vAlign w:val="center"/>
          </w:tcPr>
          <w:p w14:paraId="4B9A46D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D3"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6D4"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6D5" w14:textId="77777777" w:rsidR="002A3970" w:rsidRDefault="00C35E63">
            <w:pPr>
              <w:jc w:val="right"/>
              <w:textAlignment w:val="center"/>
            </w:pPr>
            <w:r>
              <w:rPr>
                <w:rFonts w:ascii="Times New Roman" w:eastAsia="宋体" w:hAnsi="Times New Roman"/>
                <w:color w:val="000000"/>
                <w:sz w:val="16"/>
                <w:szCs w:val="16"/>
              </w:rPr>
              <w:t>2,676 </w:t>
            </w:r>
          </w:p>
        </w:tc>
        <w:tc>
          <w:tcPr>
            <w:tcW w:w="0" w:type="auto"/>
            <w:shd w:val="clear" w:color="auto" w:fill="CCEEFF"/>
            <w:tcMar>
              <w:top w:w="40" w:type="dxa"/>
              <w:left w:w="0" w:type="dxa"/>
              <w:bottom w:w="40" w:type="dxa"/>
              <w:right w:w="20" w:type="dxa"/>
            </w:tcMar>
            <w:vAlign w:val="center"/>
          </w:tcPr>
          <w:p w14:paraId="4B9A46D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D7"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6D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6D9" w14:textId="77777777" w:rsidR="002A3970" w:rsidRDefault="00C35E63">
            <w:pPr>
              <w:jc w:val="right"/>
              <w:textAlignment w:val="center"/>
            </w:pPr>
            <w:r>
              <w:rPr>
                <w:rFonts w:ascii="Times New Roman" w:eastAsia="宋体" w:hAnsi="Times New Roman"/>
                <w:color w:val="000000"/>
                <w:sz w:val="16"/>
                <w:szCs w:val="16"/>
              </w:rPr>
              <w:t>2,926 </w:t>
            </w:r>
          </w:p>
        </w:tc>
        <w:tc>
          <w:tcPr>
            <w:tcW w:w="0" w:type="auto"/>
            <w:shd w:val="clear" w:color="auto" w:fill="CCEEFF"/>
            <w:tcMar>
              <w:top w:w="40" w:type="dxa"/>
              <w:left w:w="0" w:type="dxa"/>
              <w:bottom w:w="40" w:type="dxa"/>
              <w:right w:w="20" w:type="dxa"/>
            </w:tcMar>
            <w:vAlign w:val="center"/>
          </w:tcPr>
          <w:p w14:paraId="4B9A46DA" w14:textId="77777777" w:rsidR="002A3970" w:rsidRDefault="002A3970">
            <w:pPr>
              <w:jc w:val="right"/>
              <w:rPr>
                <w:rFonts w:ascii="宋体"/>
              </w:rPr>
            </w:pPr>
          </w:p>
        </w:tc>
      </w:tr>
      <w:tr w:rsidR="002A3970" w14:paraId="4B9A46E9" w14:textId="77777777">
        <w:trPr>
          <w:jc w:val="center"/>
        </w:trPr>
        <w:tc>
          <w:tcPr>
            <w:tcW w:w="0" w:type="auto"/>
            <w:gridSpan w:val="3"/>
            <w:shd w:val="clear" w:color="auto" w:fill="FFFFFF"/>
            <w:tcMar>
              <w:top w:w="40" w:type="dxa"/>
              <w:left w:w="20" w:type="dxa"/>
              <w:bottom w:w="40" w:type="dxa"/>
              <w:right w:w="20" w:type="dxa"/>
            </w:tcMar>
            <w:vAlign w:val="center"/>
          </w:tcPr>
          <w:p w14:paraId="4B9A46DC" w14:textId="77777777" w:rsidR="002A3970" w:rsidRDefault="00C35E63">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4B9A46D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DE" w14:textId="77777777" w:rsidR="002A3970" w:rsidRDefault="00C35E63">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4B9A46DF"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E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E1" w14:textId="77777777" w:rsidR="002A3970" w:rsidRDefault="00C35E63">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4B9A46E2"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E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E4" w14:textId="77777777" w:rsidR="002A3970" w:rsidRDefault="00C35E63">
            <w:pPr>
              <w:jc w:val="right"/>
              <w:textAlignment w:val="center"/>
            </w:pPr>
            <w:r>
              <w:rPr>
                <w:rFonts w:ascii="Times New Roman" w:eastAsia="宋体" w:hAnsi="Times New Roman"/>
                <w:color w:val="000000"/>
                <w:sz w:val="16"/>
                <w:szCs w:val="16"/>
              </w:rPr>
              <w:t>3.6 </w:t>
            </w:r>
          </w:p>
        </w:tc>
        <w:tc>
          <w:tcPr>
            <w:tcW w:w="0" w:type="auto"/>
            <w:shd w:val="clear" w:color="auto" w:fill="FFFFFF"/>
            <w:tcMar>
              <w:top w:w="40" w:type="dxa"/>
              <w:left w:w="0" w:type="dxa"/>
              <w:bottom w:w="40" w:type="dxa"/>
              <w:right w:w="20" w:type="dxa"/>
            </w:tcMar>
            <w:vAlign w:val="center"/>
          </w:tcPr>
          <w:p w14:paraId="4B9A46E5"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6E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E7" w14:textId="77777777" w:rsidR="002A3970" w:rsidRDefault="00C35E63">
            <w:pPr>
              <w:jc w:val="right"/>
              <w:textAlignment w:val="center"/>
            </w:pPr>
            <w:r>
              <w:rPr>
                <w:rFonts w:ascii="Times New Roman" w:eastAsia="宋体" w:hAnsi="Times New Roman"/>
                <w:color w:val="000000"/>
                <w:sz w:val="16"/>
                <w:szCs w:val="16"/>
              </w:rPr>
              <w:t>4.0 </w:t>
            </w:r>
          </w:p>
        </w:tc>
        <w:tc>
          <w:tcPr>
            <w:tcW w:w="0" w:type="auto"/>
            <w:shd w:val="clear" w:color="auto" w:fill="FFFFFF"/>
            <w:tcMar>
              <w:top w:w="40" w:type="dxa"/>
              <w:left w:w="0" w:type="dxa"/>
              <w:bottom w:w="40" w:type="dxa"/>
              <w:right w:w="20" w:type="dxa"/>
            </w:tcMar>
            <w:vAlign w:val="center"/>
          </w:tcPr>
          <w:p w14:paraId="4B9A46E8"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6F7" w14:textId="77777777">
        <w:trPr>
          <w:jc w:val="center"/>
        </w:trPr>
        <w:tc>
          <w:tcPr>
            <w:tcW w:w="0" w:type="auto"/>
            <w:gridSpan w:val="3"/>
            <w:shd w:val="clear" w:color="auto" w:fill="CCEEFF"/>
            <w:tcMar>
              <w:top w:w="40" w:type="dxa"/>
              <w:left w:w="20" w:type="dxa"/>
              <w:bottom w:w="40" w:type="dxa"/>
              <w:right w:w="20" w:type="dxa"/>
            </w:tcMar>
            <w:vAlign w:val="center"/>
          </w:tcPr>
          <w:p w14:paraId="4B9A46EA" w14:textId="77777777" w:rsidR="002A3970" w:rsidRDefault="00C35E63">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4B9A46E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EC" w14:textId="77777777" w:rsidR="002A3970" w:rsidRDefault="00C35E63">
            <w:pPr>
              <w:jc w:val="right"/>
              <w:textAlignment w:val="center"/>
            </w:pPr>
            <w:r>
              <w:rPr>
                <w:rFonts w:ascii="Times New Roman" w:eastAsia="宋体" w:hAnsi="Times New Roman"/>
                <w:color w:val="000000"/>
                <w:sz w:val="16"/>
                <w:szCs w:val="16"/>
              </w:rPr>
              <w:t>5,266 </w:t>
            </w:r>
          </w:p>
        </w:tc>
        <w:tc>
          <w:tcPr>
            <w:tcW w:w="0" w:type="auto"/>
            <w:shd w:val="clear" w:color="auto" w:fill="CCEEFF"/>
            <w:tcMar>
              <w:top w:w="40" w:type="dxa"/>
              <w:left w:w="0" w:type="dxa"/>
              <w:bottom w:w="40" w:type="dxa"/>
              <w:right w:w="20" w:type="dxa"/>
            </w:tcMar>
            <w:vAlign w:val="center"/>
          </w:tcPr>
          <w:p w14:paraId="4B9A46E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E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EF" w14:textId="77777777" w:rsidR="002A3970" w:rsidRDefault="00C35E63">
            <w:pPr>
              <w:jc w:val="right"/>
              <w:textAlignment w:val="center"/>
            </w:pPr>
            <w:r>
              <w:rPr>
                <w:rFonts w:ascii="Times New Roman" w:eastAsia="宋体" w:hAnsi="Times New Roman"/>
                <w:color w:val="000000"/>
                <w:sz w:val="16"/>
                <w:szCs w:val="16"/>
              </w:rPr>
              <w:t>5,224 </w:t>
            </w:r>
          </w:p>
        </w:tc>
        <w:tc>
          <w:tcPr>
            <w:tcW w:w="0" w:type="auto"/>
            <w:shd w:val="clear" w:color="auto" w:fill="CCEEFF"/>
            <w:tcMar>
              <w:top w:w="40" w:type="dxa"/>
              <w:left w:w="0" w:type="dxa"/>
              <w:bottom w:w="40" w:type="dxa"/>
              <w:right w:w="20" w:type="dxa"/>
            </w:tcMar>
            <w:vAlign w:val="center"/>
          </w:tcPr>
          <w:p w14:paraId="4B9A46F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F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F2" w14:textId="77777777" w:rsidR="002A3970" w:rsidRDefault="00C35E63">
            <w:pPr>
              <w:jc w:val="right"/>
              <w:textAlignment w:val="center"/>
            </w:pPr>
            <w:r>
              <w:rPr>
                <w:rFonts w:ascii="Times New Roman" w:eastAsia="宋体" w:hAnsi="Times New Roman"/>
                <w:color w:val="000000"/>
                <w:sz w:val="16"/>
                <w:szCs w:val="16"/>
              </w:rPr>
              <w:t>5,266 </w:t>
            </w:r>
          </w:p>
        </w:tc>
        <w:tc>
          <w:tcPr>
            <w:tcW w:w="0" w:type="auto"/>
            <w:shd w:val="clear" w:color="auto" w:fill="CCEEFF"/>
            <w:tcMar>
              <w:top w:w="40" w:type="dxa"/>
              <w:left w:w="0" w:type="dxa"/>
              <w:bottom w:w="40" w:type="dxa"/>
              <w:right w:w="20" w:type="dxa"/>
            </w:tcMar>
            <w:vAlign w:val="center"/>
          </w:tcPr>
          <w:p w14:paraId="4B9A46F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6F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6F5" w14:textId="77777777" w:rsidR="002A3970" w:rsidRDefault="00C35E63">
            <w:pPr>
              <w:jc w:val="right"/>
              <w:textAlignment w:val="center"/>
            </w:pPr>
            <w:r>
              <w:rPr>
                <w:rFonts w:ascii="Times New Roman" w:eastAsia="宋体" w:hAnsi="Times New Roman"/>
                <w:color w:val="000000"/>
                <w:sz w:val="16"/>
                <w:szCs w:val="16"/>
              </w:rPr>
              <w:t>5,224 </w:t>
            </w:r>
          </w:p>
        </w:tc>
        <w:tc>
          <w:tcPr>
            <w:tcW w:w="0" w:type="auto"/>
            <w:shd w:val="clear" w:color="auto" w:fill="CCEEFF"/>
            <w:tcMar>
              <w:top w:w="40" w:type="dxa"/>
              <w:left w:w="0" w:type="dxa"/>
              <w:bottom w:w="40" w:type="dxa"/>
              <w:right w:w="20" w:type="dxa"/>
            </w:tcMar>
            <w:vAlign w:val="center"/>
          </w:tcPr>
          <w:p w14:paraId="4B9A46F6" w14:textId="77777777" w:rsidR="002A3970" w:rsidRDefault="002A3970">
            <w:pPr>
              <w:jc w:val="right"/>
              <w:rPr>
                <w:rFonts w:ascii="宋体"/>
              </w:rPr>
            </w:pPr>
          </w:p>
        </w:tc>
      </w:tr>
      <w:tr w:rsidR="002A3970" w14:paraId="4B9A4705" w14:textId="77777777">
        <w:trPr>
          <w:jc w:val="center"/>
        </w:trPr>
        <w:tc>
          <w:tcPr>
            <w:tcW w:w="0" w:type="auto"/>
            <w:gridSpan w:val="3"/>
            <w:shd w:val="clear" w:color="auto" w:fill="FFFFFF"/>
            <w:tcMar>
              <w:top w:w="40" w:type="dxa"/>
              <w:left w:w="20" w:type="dxa"/>
              <w:bottom w:w="40" w:type="dxa"/>
              <w:right w:w="20" w:type="dxa"/>
            </w:tcMar>
            <w:vAlign w:val="center"/>
          </w:tcPr>
          <w:p w14:paraId="4B9A46F8" w14:textId="77777777" w:rsidR="002A3970" w:rsidRDefault="00C35E63">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4B9A46F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FA" w14:textId="77777777" w:rsidR="002A3970" w:rsidRDefault="00C35E63">
            <w:pPr>
              <w:jc w:val="right"/>
              <w:textAlignment w:val="center"/>
            </w:pPr>
            <w:r>
              <w:rPr>
                <w:rFonts w:ascii="Times New Roman" w:eastAsia="宋体" w:hAnsi="Times New Roman"/>
                <w:color w:val="000000"/>
                <w:sz w:val="16"/>
                <w:szCs w:val="16"/>
              </w:rPr>
              <w:t>274 </w:t>
            </w:r>
          </w:p>
        </w:tc>
        <w:tc>
          <w:tcPr>
            <w:tcW w:w="0" w:type="auto"/>
            <w:shd w:val="clear" w:color="auto" w:fill="FFFFFF"/>
            <w:tcMar>
              <w:top w:w="40" w:type="dxa"/>
              <w:left w:w="0" w:type="dxa"/>
              <w:bottom w:w="40" w:type="dxa"/>
              <w:right w:w="20" w:type="dxa"/>
            </w:tcMar>
            <w:vAlign w:val="center"/>
          </w:tcPr>
          <w:p w14:paraId="4B9A46F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F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6FD" w14:textId="77777777" w:rsidR="002A3970" w:rsidRDefault="00C35E63">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4B9A46F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6FF"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00" w14:textId="77777777" w:rsidR="002A3970" w:rsidRDefault="00C35E63">
            <w:pPr>
              <w:jc w:val="right"/>
              <w:textAlignment w:val="center"/>
            </w:pPr>
            <w:r>
              <w:rPr>
                <w:rFonts w:ascii="Times New Roman" w:eastAsia="宋体" w:hAnsi="Times New Roman"/>
                <w:color w:val="000000"/>
                <w:sz w:val="16"/>
                <w:szCs w:val="16"/>
              </w:rPr>
              <w:t>274 </w:t>
            </w:r>
          </w:p>
        </w:tc>
        <w:tc>
          <w:tcPr>
            <w:tcW w:w="0" w:type="auto"/>
            <w:shd w:val="clear" w:color="auto" w:fill="FFFFFF"/>
            <w:tcMar>
              <w:top w:w="40" w:type="dxa"/>
              <w:left w:w="0" w:type="dxa"/>
              <w:bottom w:w="40" w:type="dxa"/>
              <w:right w:w="20" w:type="dxa"/>
            </w:tcMar>
            <w:vAlign w:val="center"/>
          </w:tcPr>
          <w:p w14:paraId="4B9A4701"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02"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03" w14:textId="77777777" w:rsidR="002A3970" w:rsidRDefault="00C35E63">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4B9A4704" w14:textId="77777777" w:rsidR="002A3970" w:rsidRDefault="002A3970">
            <w:pPr>
              <w:jc w:val="right"/>
              <w:rPr>
                <w:rFonts w:ascii="宋体"/>
              </w:rPr>
            </w:pPr>
          </w:p>
        </w:tc>
      </w:tr>
    </w:tbl>
    <w:p w14:paraId="4B9A4706" w14:textId="77777777" w:rsidR="002A3970" w:rsidRDefault="00C35E63">
      <w:pPr>
        <w:spacing w:before="100"/>
      </w:pPr>
      <w:r>
        <w:rPr>
          <w:rFonts w:ascii="Times New Roman" w:eastAsia="宋体" w:hAnsi="Times New Roman"/>
          <w:color w:val="000000"/>
          <w:sz w:val="20"/>
          <w:szCs w:val="20"/>
        </w:rPr>
        <w:t>Net sales for the Walmart International segment increased $1.7 billion or 7.1% and decreased $0.6 billion or 0.7% for the three and nine months ended October 31, 2022, respectively, when compa</w:t>
      </w:r>
      <w:r>
        <w:rPr>
          <w:rFonts w:ascii="Times New Roman" w:eastAsia="宋体" w:hAnsi="Times New Roman"/>
          <w:color w:val="000000"/>
          <w:sz w:val="20"/>
          <w:szCs w:val="20"/>
        </w:rPr>
        <w:t>red to the same periods in the previous fiscal year. For the three months ended October 31, 2022, the increase was primarily due to positive comparable sales in most of our international markets which also outpaced inflation, and the earlier timing of sale</w:t>
      </w:r>
      <w:r>
        <w:rPr>
          <w:rFonts w:ascii="Times New Roman" w:eastAsia="宋体" w:hAnsi="Times New Roman"/>
          <w:color w:val="000000"/>
          <w:sz w:val="20"/>
          <w:szCs w:val="20"/>
        </w:rPr>
        <w:t>s events. These increases were partially offset by negative fluctuations in currency exchange rates of $1.5 billion. For the nine months ended October 31, 2022, the reduction in net sales was due to a $5.0 billion decrease related to the divestiture of our</w:t>
      </w:r>
      <w:r>
        <w:rPr>
          <w:rFonts w:ascii="Times New Roman" w:eastAsia="宋体" w:hAnsi="Times New Roman"/>
          <w:color w:val="000000"/>
          <w:sz w:val="20"/>
          <w:szCs w:val="20"/>
        </w:rPr>
        <w:t xml:space="preserve"> operations in the U.K. and Japan during the first quarter of fiscal 2022 and negative fluctuations in currency exchange rates of $2.8 billion. These decreases were largely offset by positive comparable sales which outpaced inflation in most of our remaini</w:t>
      </w:r>
      <w:r>
        <w:rPr>
          <w:rFonts w:ascii="Times New Roman" w:eastAsia="宋体" w:hAnsi="Times New Roman"/>
          <w:color w:val="000000"/>
          <w:sz w:val="20"/>
          <w:szCs w:val="20"/>
        </w:rPr>
        <w:t xml:space="preserve">ng markets and the earlier timing of sales events. </w:t>
      </w:r>
    </w:p>
    <w:p w14:paraId="4B9A4707" w14:textId="77777777" w:rsidR="002A3970" w:rsidRDefault="00C35E63">
      <w:pPr>
        <w:jc w:val="center"/>
      </w:pPr>
      <w:r>
        <w:rPr>
          <w:rFonts w:ascii="Times New Roman" w:eastAsia="宋体" w:hAnsi="Times New Roman"/>
          <w:color w:val="000000"/>
          <w:sz w:val="20"/>
          <w:szCs w:val="20"/>
        </w:rPr>
        <w:t>23</w:t>
      </w:r>
    </w:p>
    <w:p w14:paraId="4B9A4708" w14:textId="77777777" w:rsidR="002A3970" w:rsidRDefault="00C35E63">
      <w:r>
        <w:pict w14:anchorId="4B9A4C2C">
          <v:rect id="_x0000_i1047" style="width:415.3pt;height:1.5pt" o:hralign="center" o:hrstd="t" o:hr="t" fillcolor="#a0a0a0" stroked="f"/>
        </w:pict>
      </w:r>
    </w:p>
    <w:p w14:paraId="4B9A4709" w14:textId="77777777" w:rsidR="002A3970" w:rsidRDefault="00C35E63">
      <w:hyperlink r:id="rId67" w:anchor="i0522a2f6333e456295d59e779af751cb_7" w:history="1">
        <w:r>
          <w:rPr>
            <w:rStyle w:val="a5"/>
            <w:rFonts w:ascii="Times New Roman" w:eastAsia="宋体" w:hAnsi="Times New Roman"/>
            <w:sz w:val="20"/>
            <w:szCs w:val="20"/>
          </w:rPr>
          <w:t>Table of Contents</w:t>
        </w:r>
      </w:hyperlink>
    </w:p>
    <w:p w14:paraId="4B9A470A" w14:textId="77777777" w:rsidR="002A3970" w:rsidRDefault="00C35E63">
      <w:pPr>
        <w:spacing w:before="100"/>
      </w:pPr>
      <w:r>
        <w:rPr>
          <w:rFonts w:ascii="Times New Roman" w:eastAsia="宋体" w:hAnsi="Times New Roman"/>
          <w:color w:val="000000"/>
          <w:sz w:val="20"/>
          <w:szCs w:val="20"/>
        </w:rPr>
        <w:t xml:space="preserve">Gross profit rate </w:t>
      </w:r>
      <w:r>
        <w:rPr>
          <w:rFonts w:ascii="Times New Roman" w:eastAsia="宋体" w:hAnsi="Times New Roman"/>
          <w:color w:val="000000"/>
          <w:sz w:val="20"/>
          <w:szCs w:val="20"/>
        </w:rPr>
        <w:t xml:space="preserve">decreased 131 basis points for the three months ended October 31, 2022 when compared to the same period in the previous fiscal year, primarily driven by the earlier timing of sales events and continued growth in lower margin formats and channels in China. </w:t>
      </w:r>
      <w:r>
        <w:rPr>
          <w:rFonts w:ascii="Times New Roman" w:eastAsia="宋体" w:hAnsi="Times New Roman"/>
          <w:color w:val="000000"/>
          <w:sz w:val="20"/>
          <w:szCs w:val="20"/>
        </w:rPr>
        <w:t>Gross profit rate decreased 87 basis points for the nine months ended October 31, 2022 when compared to the same period in the previous fiscal year primarily driven by continued growth in lower margin formats and channels in China and category mix shifts i</w:t>
      </w:r>
      <w:r>
        <w:rPr>
          <w:rFonts w:ascii="Times New Roman" w:eastAsia="宋体" w:hAnsi="Times New Roman"/>
          <w:color w:val="000000"/>
          <w:sz w:val="20"/>
          <w:szCs w:val="20"/>
        </w:rPr>
        <w:t>nto lower margin categories.</w:t>
      </w:r>
    </w:p>
    <w:p w14:paraId="4B9A470B" w14:textId="77777777" w:rsidR="002A3970" w:rsidRDefault="00C35E63">
      <w:pPr>
        <w:spacing w:before="100"/>
      </w:pPr>
      <w:r>
        <w:rPr>
          <w:rFonts w:ascii="Times New Roman" w:eastAsia="宋体" w:hAnsi="Times New Roman"/>
          <w:color w:val="000000"/>
          <w:sz w:val="20"/>
          <w:szCs w:val="20"/>
        </w:rPr>
        <w:t>Operating expenses as a percentage of net sales decreased 136 basis points and 42 basis points for the three and nine months ended October 31, 2022, respectively, when compared to the same periods in the previous fiscal year, p</w:t>
      </w:r>
      <w:r>
        <w:rPr>
          <w:rFonts w:ascii="Times New Roman" w:eastAsia="宋体" w:hAnsi="Times New Roman"/>
          <w:color w:val="000000"/>
          <w:sz w:val="20"/>
          <w:szCs w:val="20"/>
        </w:rPr>
        <w:t>rimarily due to strong sales in our retained markets. For the three months ended October 31, 2022, the decrease was also driven by the earlier timing of sales events.</w:t>
      </w:r>
    </w:p>
    <w:p w14:paraId="4B9A470C" w14:textId="77777777" w:rsidR="002A3970" w:rsidRDefault="00C35E63">
      <w:pPr>
        <w:spacing w:before="100"/>
      </w:pPr>
      <w:r>
        <w:rPr>
          <w:rFonts w:ascii="Times New Roman" w:eastAsia="宋体" w:hAnsi="Times New Roman"/>
          <w:color w:val="000000"/>
          <w:sz w:val="20"/>
          <w:szCs w:val="20"/>
        </w:rPr>
        <w:t>As a result of the factors discussed above, operating income decreased slightly for the t</w:t>
      </w:r>
      <w:r>
        <w:rPr>
          <w:rFonts w:ascii="Times New Roman" w:eastAsia="宋体" w:hAnsi="Times New Roman"/>
          <w:color w:val="000000"/>
          <w:sz w:val="20"/>
          <w:szCs w:val="20"/>
        </w:rPr>
        <w:t>hree months ended October 31, 2022, and decreased $0.3 billion for the nine months ended October 31, 2022 when compared to the same period in the previous fiscal year. Additionally, the decline in operating income for the nine months ended October 31, 2022</w:t>
      </w:r>
      <w:r>
        <w:rPr>
          <w:rFonts w:ascii="Times New Roman" w:eastAsia="宋体" w:hAnsi="Times New Roman"/>
          <w:color w:val="000000"/>
          <w:sz w:val="20"/>
          <w:szCs w:val="20"/>
        </w:rPr>
        <w:t xml:space="preserve"> was partially offset by a benefit of $0.2 billion related to an insurance settlement for Walmart Chile recorded in membership and other income during the second quarter of fiscal 2023.</w:t>
      </w:r>
    </w:p>
    <w:p w14:paraId="4B9A470D" w14:textId="77777777" w:rsidR="002A3970" w:rsidRDefault="00C35E63">
      <w:pPr>
        <w:spacing w:before="24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78"/>
        <w:gridCol w:w="37"/>
        <w:gridCol w:w="36"/>
        <w:gridCol w:w="36"/>
        <w:gridCol w:w="36"/>
        <w:gridCol w:w="100"/>
        <w:gridCol w:w="711"/>
        <w:gridCol w:w="154"/>
        <w:gridCol w:w="36"/>
        <w:gridCol w:w="36"/>
        <w:gridCol w:w="36"/>
        <w:gridCol w:w="100"/>
        <w:gridCol w:w="674"/>
        <w:gridCol w:w="154"/>
        <w:gridCol w:w="36"/>
        <w:gridCol w:w="36"/>
        <w:gridCol w:w="36"/>
        <w:gridCol w:w="100"/>
        <w:gridCol w:w="674"/>
        <w:gridCol w:w="154"/>
        <w:gridCol w:w="36"/>
        <w:gridCol w:w="36"/>
        <w:gridCol w:w="36"/>
        <w:gridCol w:w="100"/>
        <w:gridCol w:w="676"/>
        <w:gridCol w:w="154"/>
      </w:tblGrid>
      <w:tr w:rsidR="002A3970" w14:paraId="4B9A4729" w14:textId="77777777">
        <w:trPr>
          <w:jc w:val="center"/>
        </w:trPr>
        <w:tc>
          <w:tcPr>
            <w:tcW w:w="50" w:type="pct"/>
            <w:shd w:val="clear" w:color="auto" w:fill="auto"/>
            <w:vAlign w:val="bottom"/>
          </w:tcPr>
          <w:p w14:paraId="4B9A470E" w14:textId="77777777" w:rsidR="002A3970" w:rsidRDefault="002A3970">
            <w:pPr>
              <w:rPr>
                <w:rFonts w:ascii="宋体"/>
              </w:rPr>
            </w:pPr>
          </w:p>
        </w:tc>
        <w:tc>
          <w:tcPr>
            <w:tcW w:w="2525" w:type="pct"/>
            <w:shd w:val="clear" w:color="auto" w:fill="auto"/>
            <w:vAlign w:val="bottom"/>
          </w:tcPr>
          <w:p w14:paraId="4B9A470F" w14:textId="77777777" w:rsidR="002A3970" w:rsidRDefault="002A3970">
            <w:pPr>
              <w:rPr>
                <w:rFonts w:ascii="宋体"/>
              </w:rPr>
            </w:pPr>
          </w:p>
        </w:tc>
        <w:tc>
          <w:tcPr>
            <w:tcW w:w="5" w:type="pct"/>
            <w:shd w:val="clear" w:color="auto" w:fill="auto"/>
            <w:vAlign w:val="bottom"/>
          </w:tcPr>
          <w:p w14:paraId="4B9A4710" w14:textId="77777777" w:rsidR="002A3970" w:rsidRDefault="002A3970">
            <w:pPr>
              <w:rPr>
                <w:rFonts w:ascii="宋体"/>
              </w:rPr>
            </w:pPr>
          </w:p>
        </w:tc>
        <w:tc>
          <w:tcPr>
            <w:tcW w:w="5" w:type="pct"/>
            <w:shd w:val="clear" w:color="auto" w:fill="auto"/>
            <w:vAlign w:val="bottom"/>
          </w:tcPr>
          <w:p w14:paraId="4B9A4711" w14:textId="77777777" w:rsidR="002A3970" w:rsidRDefault="002A3970">
            <w:pPr>
              <w:rPr>
                <w:rFonts w:ascii="宋体"/>
              </w:rPr>
            </w:pPr>
          </w:p>
        </w:tc>
        <w:tc>
          <w:tcPr>
            <w:tcW w:w="26" w:type="pct"/>
            <w:shd w:val="clear" w:color="auto" w:fill="auto"/>
            <w:vAlign w:val="bottom"/>
          </w:tcPr>
          <w:p w14:paraId="4B9A4712" w14:textId="77777777" w:rsidR="002A3970" w:rsidRDefault="002A3970">
            <w:pPr>
              <w:rPr>
                <w:rFonts w:ascii="宋体"/>
              </w:rPr>
            </w:pPr>
          </w:p>
        </w:tc>
        <w:tc>
          <w:tcPr>
            <w:tcW w:w="5" w:type="pct"/>
            <w:shd w:val="clear" w:color="auto" w:fill="auto"/>
            <w:vAlign w:val="bottom"/>
          </w:tcPr>
          <w:p w14:paraId="4B9A4713" w14:textId="77777777" w:rsidR="002A3970" w:rsidRDefault="002A3970">
            <w:pPr>
              <w:rPr>
                <w:rFonts w:ascii="宋体"/>
              </w:rPr>
            </w:pPr>
          </w:p>
        </w:tc>
        <w:tc>
          <w:tcPr>
            <w:tcW w:w="50" w:type="pct"/>
            <w:shd w:val="clear" w:color="auto" w:fill="auto"/>
            <w:vAlign w:val="bottom"/>
          </w:tcPr>
          <w:p w14:paraId="4B9A4714" w14:textId="77777777" w:rsidR="002A3970" w:rsidRDefault="002A3970">
            <w:pPr>
              <w:rPr>
                <w:rFonts w:ascii="宋体"/>
              </w:rPr>
            </w:pPr>
          </w:p>
        </w:tc>
        <w:tc>
          <w:tcPr>
            <w:tcW w:w="529" w:type="pct"/>
            <w:shd w:val="clear" w:color="auto" w:fill="auto"/>
            <w:vAlign w:val="bottom"/>
          </w:tcPr>
          <w:p w14:paraId="4B9A4715" w14:textId="77777777" w:rsidR="002A3970" w:rsidRDefault="002A3970">
            <w:pPr>
              <w:rPr>
                <w:rFonts w:ascii="宋体"/>
              </w:rPr>
            </w:pPr>
          </w:p>
        </w:tc>
        <w:tc>
          <w:tcPr>
            <w:tcW w:w="5" w:type="pct"/>
            <w:shd w:val="clear" w:color="auto" w:fill="auto"/>
            <w:vAlign w:val="bottom"/>
          </w:tcPr>
          <w:p w14:paraId="4B9A4716" w14:textId="77777777" w:rsidR="002A3970" w:rsidRDefault="002A3970">
            <w:pPr>
              <w:rPr>
                <w:rFonts w:ascii="宋体"/>
              </w:rPr>
            </w:pPr>
          </w:p>
        </w:tc>
        <w:tc>
          <w:tcPr>
            <w:tcW w:w="5" w:type="pct"/>
            <w:shd w:val="clear" w:color="auto" w:fill="auto"/>
            <w:vAlign w:val="bottom"/>
          </w:tcPr>
          <w:p w14:paraId="4B9A4717" w14:textId="77777777" w:rsidR="002A3970" w:rsidRDefault="002A3970">
            <w:pPr>
              <w:rPr>
                <w:rFonts w:ascii="宋体"/>
              </w:rPr>
            </w:pPr>
          </w:p>
        </w:tc>
        <w:tc>
          <w:tcPr>
            <w:tcW w:w="26" w:type="pct"/>
            <w:shd w:val="clear" w:color="auto" w:fill="auto"/>
            <w:vAlign w:val="bottom"/>
          </w:tcPr>
          <w:p w14:paraId="4B9A4718" w14:textId="77777777" w:rsidR="002A3970" w:rsidRDefault="002A3970">
            <w:pPr>
              <w:rPr>
                <w:rFonts w:ascii="宋体"/>
              </w:rPr>
            </w:pPr>
          </w:p>
        </w:tc>
        <w:tc>
          <w:tcPr>
            <w:tcW w:w="5" w:type="pct"/>
            <w:shd w:val="clear" w:color="auto" w:fill="auto"/>
            <w:vAlign w:val="bottom"/>
          </w:tcPr>
          <w:p w14:paraId="4B9A4719" w14:textId="77777777" w:rsidR="002A3970" w:rsidRDefault="002A3970">
            <w:pPr>
              <w:rPr>
                <w:rFonts w:ascii="宋体"/>
              </w:rPr>
            </w:pPr>
          </w:p>
        </w:tc>
        <w:tc>
          <w:tcPr>
            <w:tcW w:w="50" w:type="pct"/>
            <w:shd w:val="clear" w:color="auto" w:fill="auto"/>
            <w:vAlign w:val="bottom"/>
          </w:tcPr>
          <w:p w14:paraId="4B9A471A" w14:textId="77777777" w:rsidR="002A3970" w:rsidRDefault="002A3970">
            <w:pPr>
              <w:rPr>
                <w:rFonts w:ascii="宋体"/>
              </w:rPr>
            </w:pPr>
          </w:p>
        </w:tc>
        <w:tc>
          <w:tcPr>
            <w:tcW w:w="507" w:type="pct"/>
            <w:shd w:val="clear" w:color="auto" w:fill="auto"/>
            <w:vAlign w:val="bottom"/>
          </w:tcPr>
          <w:p w14:paraId="4B9A471B" w14:textId="77777777" w:rsidR="002A3970" w:rsidRDefault="002A3970">
            <w:pPr>
              <w:rPr>
                <w:rFonts w:ascii="宋体"/>
              </w:rPr>
            </w:pPr>
          </w:p>
        </w:tc>
        <w:tc>
          <w:tcPr>
            <w:tcW w:w="5" w:type="pct"/>
            <w:shd w:val="clear" w:color="auto" w:fill="auto"/>
            <w:vAlign w:val="bottom"/>
          </w:tcPr>
          <w:p w14:paraId="4B9A471C" w14:textId="77777777" w:rsidR="002A3970" w:rsidRDefault="002A3970">
            <w:pPr>
              <w:rPr>
                <w:rFonts w:ascii="宋体"/>
              </w:rPr>
            </w:pPr>
          </w:p>
        </w:tc>
        <w:tc>
          <w:tcPr>
            <w:tcW w:w="5" w:type="pct"/>
            <w:shd w:val="clear" w:color="auto" w:fill="auto"/>
            <w:vAlign w:val="bottom"/>
          </w:tcPr>
          <w:p w14:paraId="4B9A471D" w14:textId="77777777" w:rsidR="002A3970" w:rsidRDefault="002A3970">
            <w:pPr>
              <w:rPr>
                <w:rFonts w:ascii="宋体"/>
              </w:rPr>
            </w:pPr>
          </w:p>
        </w:tc>
        <w:tc>
          <w:tcPr>
            <w:tcW w:w="26" w:type="pct"/>
            <w:shd w:val="clear" w:color="auto" w:fill="auto"/>
            <w:vAlign w:val="bottom"/>
          </w:tcPr>
          <w:p w14:paraId="4B9A471E" w14:textId="77777777" w:rsidR="002A3970" w:rsidRDefault="002A3970">
            <w:pPr>
              <w:rPr>
                <w:rFonts w:ascii="宋体"/>
              </w:rPr>
            </w:pPr>
          </w:p>
        </w:tc>
        <w:tc>
          <w:tcPr>
            <w:tcW w:w="5" w:type="pct"/>
            <w:shd w:val="clear" w:color="auto" w:fill="auto"/>
            <w:vAlign w:val="bottom"/>
          </w:tcPr>
          <w:p w14:paraId="4B9A471F" w14:textId="77777777" w:rsidR="002A3970" w:rsidRDefault="002A3970">
            <w:pPr>
              <w:rPr>
                <w:rFonts w:ascii="宋体"/>
              </w:rPr>
            </w:pPr>
          </w:p>
        </w:tc>
        <w:tc>
          <w:tcPr>
            <w:tcW w:w="50" w:type="pct"/>
            <w:shd w:val="clear" w:color="auto" w:fill="auto"/>
            <w:vAlign w:val="bottom"/>
          </w:tcPr>
          <w:p w14:paraId="4B9A4720" w14:textId="77777777" w:rsidR="002A3970" w:rsidRDefault="002A3970">
            <w:pPr>
              <w:rPr>
                <w:rFonts w:ascii="宋体"/>
              </w:rPr>
            </w:pPr>
          </w:p>
        </w:tc>
        <w:tc>
          <w:tcPr>
            <w:tcW w:w="507" w:type="pct"/>
            <w:shd w:val="clear" w:color="auto" w:fill="auto"/>
            <w:vAlign w:val="bottom"/>
          </w:tcPr>
          <w:p w14:paraId="4B9A4721" w14:textId="77777777" w:rsidR="002A3970" w:rsidRDefault="002A3970">
            <w:pPr>
              <w:rPr>
                <w:rFonts w:ascii="宋体"/>
              </w:rPr>
            </w:pPr>
          </w:p>
        </w:tc>
        <w:tc>
          <w:tcPr>
            <w:tcW w:w="5" w:type="pct"/>
            <w:shd w:val="clear" w:color="auto" w:fill="auto"/>
            <w:vAlign w:val="bottom"/>
          </w:tcPr>
          <w:p w14:paraId="4B9A4722" w14:textId="77777777" w:rsidR="002A3970" w:rsidRDefault="002A3970">
            <w:pPr>
              <w:rPr>
                <w:rFonts w:ascii="宋体"/>
              </w:rPr>
            </w:pPr>
          </w:p>
        </w:tc>
        <w:tc>
          <w:tcPr>
            <w:tcW w:w="5" w:type="pct"/>
            <w:shd w:val="clear" w:color="auto" w:fill="auto"/>
            <w:vAlign w:val="bottom"/>
          </w:tcPr>
          <w:p w14:paraId="4B9A4723" w14:textId="77777777" w:rsidR="002A3970" w:rsidRDefault="002A3970">
            <w:pPr>
              <w:rPr>
                <w:rFonts w:ascii="宋体"/>
              </w:rPr>
            </w:pPr>
          </w:p>
        </w:tc>
        <w:tc>
          <w:tcPr>
            <w:tcW w:w="26" w:type="pct"/>
            <w:shd w:val="clear" w:color="auto" w:fill="auto"/>
            <w:vAlign w:val="bottom"/>
          </w:tcPr>
          <w:p w14:paraId="4B9A4724" w14:textId="77777777" w:rsidR="002A3970" w:rsidRDefault="002A3970">
            <w:pPr>
              <w:rPr>
                <w:rFonts w:ascii="宋体"/>
              </w:rPr>
            </w:pPr>
          </w:p>
        </w:tc>
        <w:tc>
          <w:tcPr>
            <w:tcW w:w="5" w:type="pct"/>
            <w:shd w:val="clear" w:color="auto" w:fill="auto"/>
            <w:vAlign w:val="bottom"/>
          </w:tcPr>
          <w:p w14:paraId="4B9A4725" w14:textId="77777777" w:rsidR="002A3970" w:rsidRDefault="002A3970">
            <w:pPr>
              <w:rPr>
                <w:rFonts w:ascii="宋体"/>
              </w:rPr>
            </w:pPr>
          </w:p>
        </w:tc>
        <w:tc>
          <w:tcPr>
            <w:tcW w:w="50" w:type="pct"/>
            <w:shd w:val="clear" w:color="auto" w:fill="auto"/>
            <w:vAlign w:val="bottom"/>
          </w:tcPr>
          <w:p w14:paraId="4B9A4726" w14:textId="77777777" w:rsidR="002A3970" w:rsidRDefault="002A3970">
            <w:pPr>
              <w:rPr>
                <w:rFonts w:ascii="宋体"/>
              </w:rPr>
            </w:pPr>
          </w:p>
        </w:tc>
        <w:tc>
          <w:tcPr>
            <w:tcW w:w="508" w:type="pct"/>
            <w:shd w:val="clear" w:color="auto" w:fill="auto"/>
            <w:vAlign w:val="bottom"/>
          </w:tcPr>
          <w:p w14:paraId="4B9A4727" w14:textId="77777777" w:rsidR="002A3970" w:rsidRDefault="002A3970">
            <w:pPr>
              <w:rPr>
                <w:rFonts w:ascii="宋体"/>
              </w:rPr>
            </w:pPr>
          </w:p>
        </w:tc>
        <w:tc>
          <w:tcPr>
            <w:tcW w:w="5" w:type="pct"/>
            <w:shd w:val="clear" w:color="auto" w:fill="auto"/>
            <w:vAlign w:val="bottom"/>
          </w:tcPr>
          <w:p w14:paraId="4B9A4728" w14:textId="77777777" w:rsidR="002A3970" w:rsidRDefault="002A3970">
            <w:pPr>
              <w:rPr>
                <w:rFonts w:ascii="宋体"/>
              </w:rPr>
            </w:pPr>
          </w:p>
        </w:tc>
      </w:tr>
      <w:tr w:rsidR="002A3970" w14:paraId="4B9A472F" w14:textId="77777777">
        <w:trPr>
          <w:jc w:val="center"/>
        </w:trPr>
        <w:tc>
          <w:tcPr>
            <w:tcW w:w="0" w:type="auto"/>
            <w:gridSpan w:val="3"/>
            <w:shd w:val="clear" w:color="auto" w:fill="auto"/>
            <w:tcMar>
              <w:top w:w="40" w:type="dxa"/>
              <w:left w:w="20" w:type="dxa"/>
              <w:bottom w:w="40" w:type="dxa"/>
              <w:right w:w="20" w:type="dxa"/>
            </w:tcMar>
            <w:vAlign w:val="bottom"/>
          </w:tcPr>
          <w:p w14:paraId="4B9A472A"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72B"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center"/>
          </w:tcPr>
          <w:p w14:paraId="4B9A472C" w14:textId="77777777" w:rsidR="002A3970" w:rsidRDefault="00C35E63">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vAlign w:val="bottom"/>
          </w:tcPr>
          <w:p w14:paraId="4B9A472D" w14:textId="77777777" w:rsidR="002A3970" w:rsidRDefault="002A3970">
            <w:pPr>
              <w:rPr>
                <w:rFonts w:ascii="宋体"/>
              </w:rPr>
            </w:pPr>
          </w:p>
        </w:tc>
        <w:tc>
          <w:tcPr>
            <w:tcW w:w="0" w:type="auto"/>
            <w:gridSpan w:val="9"/>
            <w:shd w:val="clear" w:color="auto" w:fill="auto"/>
            <w:tcMar>
              <w:top w:w="40" w:type="dxa"/>
              <w:left w:w="20" w:type="dxa"/>
              <w:bottom w:w="40" w:type="dxa"/>
              <w:right w:w="20" w:type="dxa"/>
            </w:tcMar>
            <w:vAlign w:val="center"/>
          </w:tcPr>
          <w:p w14:paraId="4B9A472E" w14:textId="77777777" w:rsidR="002A3970" w:rsidRDefault="00C35E63">
            <w:pPr>
              <w:jc w:val="center"/>
              <w:textAlignment w:val="center"/>
            </w:pPr>
            <w:r>
              <w:rPr>
                <w:rFonts w:ascii="Times New Roman" w:eastAsia="宋体" w:hAnsi="Times New Roman"/>
                <w:b/>
                <w:bCs/>
                <w:color w:val="000000"/>
                <w:sz w:val="16"/>
                <w:szCs w:val="16"/>
              </w:rPr>
              <w:t>Nine Months Ended October 31,</w:t>
            </w:r>
          </w:p>
        </w:tc>
      </w:tr>
      <w:tr w:rsidR="002A3970" w14:paraId="4B9A4739" w14:textId="77777777">
        <w:trPr>
          <w:jc w:val="center"/>
        </w:trPr>
        <w:tc>
          <w:tcPr>
            <w:tcW w:w="0" w:type="auto"/>
            <w:gridSpan w:val="3"/>
            <w:shd w:val="clear" w:color="auto" w:fill="auto"/>
            <w:tcMar>
              <w:top w:w="40" w:type="dxa"/>
              <w:left w:w="20" w:type="dxa"/>
              <w:bottom w:w="40" w:type="dxa"/>
              <w:right w:w="20" w:type="dxa"/>
            </w:tcMar>
            <w:vAlign w:val="bottom"/>
          </w:tcPr>
          <w:p w14:paraId="4B9A4730" w14:textId="77777777" w:rsidR="002A3970" w:rsidRDefault="00C35E63">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B9A4731"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732"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733"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734"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B9A4735"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736"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737"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738"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743" w14:textId="77777777">
        <w:trPr>
          <w:jc w:val="center"/>
        </w:trPr>
        <w:tc>
          <w:tcPr>
            <w:tcW w:w="0" w:type="auto"/>
            <w:gridSpan w:val="3"/>
            <w:shd w:val="clear" w:color="auto" w:fill="auto"/>
            <w:tcMar>
              <w:top w:w="40" w:type="dxa"/>
              <w:left w:w="20" w:type="dxa"/>
              <w:bottom w:w="40" w:type="dxa"/>
              <w:right w:w="20" w:type="dxa"/>
            </w:tcMar>
            <w:vAlign w:val="center"/>
          </w:tcPr>
          <w:p w14:paraId="4B9A473A" w14:textId="77777777" w:rsidR="002A3970" w:rsidRDefault="00C35E63">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auto"/>
            <w:tcMar>
              <w:top w:w="0" w:type="dxa"/>
              <w:left w:w="20" w:type="dxa"/>
              <w:bottom w:w="0" w:type="dxa"/>
              <w:right w:w="20" w:type="dxa"/>
            </w:tcMar>
            <w:vAlign w:val="bottom"/>
          </w:tcPr>
          <w:p w14:paraId="4B9A473B"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73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73D"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73E"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73F"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740"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741" w14:textId="77777777" w:rsidR="002A3970" w:rsidRDefault="002A397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742" w14:textId="77777777" w:rsidR="002A3970" w:rsidRDefault="002A3970">
            <w:pPr>
              <w:rPr>
                <w:rFonts w:ascii="宋体"/>
              </w:rPr>
            </w:pPr>
          </w:p>
        </w:tc>
      </w:tr>
      <w:tr w:rsidR="002A3970" w14:paraId="4B9A4755" w14:textId="77777777">
        <w:trPr>
          <w:jc w:val="center"/>
        </w:trPr>
        <w:tc>
          <w:tcPr>
            <w:tcW w:w="0" w:type="auto"/>
            <w:gridSpan w:val="3"/>
            <w:shd w:val="clear" w:color="auto" w:fill="CCEEFF"/>
            <w:tcMar>
              <w:top w:w="40" w:type="dxa"/>
              <w:left w:w="245" w:type="dxa"/>
              <w:bottom w:w="40" w:type="dxa"/>
              <w:right w:w="20" w:type="dxa"/>
            </w:tcMar>
            <w:vAlign w:val="center"/>
          </w:tcPr>
          <w:p w14:paraId="4B9A4744"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B9A4745"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746"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747" w14:textId="77777777" w:rsidR="002A3970" w:rsidRDefault="00C35E63">
            <w:pPr>
              <w:jc w:val="right"/>
              <w:textAlignment w:val="center"/>
            </w:pPr>
            <w:r>
              <w:rPr>
                <w:rFonts w:ascii="Times New Roman" w:eastAsia="宋体" w:hAnsi="Times New Roman"/>
                <w:color w:val="000000"/>
                <w:sz w:val="16"/>
                <w:szCs w:val="16"/>
              </w:rPr>
              <w:t>21,399 </w:t>
            </w:r>
          </w:p>
        </w:tc>
        <w:tc>
          <w:tcPr>
            <w:tcW w:w="0" w:type="auto"/>
            <w:shd w:val="clear" w:color="auto" w:fill="CCEEFF"/>
            <w:tcMar>
              <w:top w:w="40" w:type="dxa"/>
              <w:left w:w="0" w:type="dxa"/>
              <w:bottom w:w="40" w:type="dxa"/>
              <w:right w:w="20" w:type="dxa"/>
            </w:tcMar>
            <w:vAlign w:val="center"/>
          </w:tcPr>
          <w:p w14:paraId="4B9A474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749"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74A"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74B" w14:textId="77777777" w:rsidR="002A3970" w:rsidRDefault="00C35E63">
            <w:pPr>
              <w:jc w:val="right"/>
              <w:textAlignment w:val="center"/>
            </w:pPr>
            <w:r>
              <w:rPr>
                <w:rFonts w:ascii="Times New Roman" w:eastAsia="宋体" w:hAnsi="Times New Roman"/>
                <w:color w:val="000000"/>
                <w:sz w:val="16"/>
                <w:szCs w:val="16"/>
              </w:rPr>
              <w:t>18,971 </w:t>
            </w:r>
          </w:p>
        </w:tc>
        <w:tc>
          <w:tcPr>
            <w:tcW w:w="0" w:type="auto"/>
            <w:shd w:val="clear" w:color="auto" w:fill="CCEEFF"/>
            <w:tcMar>
              <w:top w:w="40" w:type="dxa"/>
              <w:left w:w="0" w:type="dxa"/>
              <w:bottom w:w="40" w:type="dxa"/>
              <w:right w:w="20" w:type="dxa"/>
            </w:tcMar>
            <w:vAlign w:val="center"/>
          </w:tcPr>
          <w:p w14:paraId="4B9A474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74D"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74E"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74F" w14:textId="77777777" w:rsidR="002A3970" w:rsidRDefault="00C35E63">
            <w:pPr>
              <w:jc w:val="right"/>
              <w:textAlignment w:val="center"/>
            </w:pPr>
            <w:r>
              <w:rPr>
                <w:rFonts w:ascii="Times New Roman" w:eastAsia="宋体" w:hAnsi="Times New Roman"/>
                <w:color w:val="000000"/>
                <w:sz w:val="16"/>
                <w:szCs w:val="16"/>
              </w:rPr>
              <w:t>62,921 </w:t>
            </w:r>
          </w:p>
        </w:tc>
        <w:tc>
          <w:tcPr>
            <w:tcW w:w="0" w:type="auto"/>
            <w:shd w:val="clear" w:color="auto" w:fill="CCEEFF"/>
            <w:tcMar>
              <w:top w:w="40" w:type="dxa"/>
              <w:left w:w="0" w:type="dxa"/>
              <w:bottom w:w="40" w:type="dxa"/>
              <w:right w:w="20" w:type="dxa"/>
            </w:tcMar>
            <w:vAlign w:val="center"/>
          </w:tcPr>
          <w:p w14:paraId="4B9A4750"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751" w14:textId="77777777" w:rsidR="002A3970" w:rsidRDefault="002A3970">
            <w:pPr>
              <w:rPr>
                <w:rFonts w:ascii="宋体"/>
              </w:rPr>
            </w:pPr>
          </w:p>
        </w:tc>
        <w:tc>
          <w:tcPr>
            <w:tcW w:w="0" w:type="auto"/>
            <w:shd w:val="clear" w:color="auto" w:fill="CCEEFF"/>
            <w:tcMar>
              <w:top w:w="40" w:type="dxa"/>
              <w:left w:w="20" w:type="dxa"/>
              <w:bottom w:w="40" w:type="dxa"/>
              <w:right w:w="0" w:type="dxa"/>
            </w:tcMar>
            <w:vAlign w:val="center"/>
          </w:tcPr>
          <w:p w14:paraId="4B9A4752"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753" w14:textId="77777777" w:rsidR="002A3970" w:rsidRDefault="00C35E63">
            <w:pPr>
              <w:jc w:val="right"/>
              <w:textAlignment w:val="center"/>
            </w:pPr>
            <w:r>
              <w:rPr>
                <w:rFonts w:ascii="Times New Roman" w:eastAsia="宋体" w:hAnsi="Times New Roman"/>
                <w:color w:val="000000"/>
                <w:sz w:val="16"/>
                <w:szCs w:val="16"/>
              </w:rPr>
              <w:t>54,307 </w:t>
            </w:r>
          </w:p>
        </w:tc>
        <w:tc>
          <w:tcPr>
            <w:tcW w:w="0" w:type="auto"/>
            <w:shd w:val="clear" w:color="auto" w:fill="CCEEFF"/>
            <w:tcMar>
              <w:top w:w="40" w:type="dxa"/>
              <w:left w:w="0" w:type="dxa"/>
              <w:bottom w:w="40" w:type="dxa"/>
              <w:right w:w="20" w:type="dxa"/>
            </w:tcMar>
            <w:vAlign w:val="center"/>
          </w:tcPr>
          <w:p w14:paraId="4B9A4754" w14:textId="77777777" w:rsidR="002A3970" w:rsidRDefault="002A3970">
            <w:pPr>
              <w:jc w:val="right"/>
              <w:rPr>
                <w:rFonts w:ascii="宋体"/>
              </w:rPr>
            </w:pPr>
          </w:p>
        </w:tc>
      </w:tr>
      <w:tr w:rsidR="002A3970" w14:paraId="4B9A4763" w14:textId="77777777">
        <w:trPr>
          <w:jc w:val="center"/>
        </w:trPr>
        <w:tc>
          <w:tcPr>
            <w:tcW w:w="0" w:type="auto"/>
            <w:gridSpan w:val="3"/>
            <w:shd w:val="clear" w:color="auto" w:fill="FFFFFF"/>
            <w:tcMar>
              <w:top w:w="40" w:type="dxa"/>
              <w:left w:w="245" w:type="dxa"/>
              <w:bottom w:w="40" w:type="dxa"/>
              <w:right w:w="20" w:type="dxa"/>
            </w:tcMar>
            <w:vAlign w:val="center"/>
          </w:tcPr>
          <w:p w14:paraId="4B9A4756"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B9A4757"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58" w14:textId="77777777" w:rsidR="002A3970" w:rsidRDefault="00C35E63">
            <w:pPr>
              <w:jc w:val="right"/>
              <w:textAlignment w:val="center"/>
            </w:pPr>
            <w:r>
              <w:rPr>
                <w:rFonts w:ascii="Times New Roman" w:eastAsia="宋体" w:hAnsi="Times New Roman"/>
                <w:color w:val="000000"/>
                <w:sz w:val="16"/>
                <w:szCs w:val="16"/>
              </w:rPr>
              <w:t>12.8 </w:t>
            </w:r>
          </w:p>
        </w:tc>
        <w:tc>
          <w:tcPr>
            <w:tcW w:w="0" w:type="auto"/>
            <w:shd w:val="clear" w:color="auto" w:fill="FFFFFF"/>
            <w:tcMar>
              <w:top w:w="40" w:type="dxa"/>
              <w:left w:w="0" w:type="dxa"/>
              <w:bottom w:w="40" w:type="dxa"/>
              <w:right w:w="20" w:type="dxa"/>
            </w:tcMar>
            <w:vAlign w:val="center"/>
          </w:tcPr>
          <w:p w14:paraId="4B9A4759"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75A"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5B" w14:textId="77777777" w:rsidR="002A3970" w:rsidRDefault="00C35E63">
            <w:pPr>
              <w:jc w:val="right"/>
              <w:textAlignment w:val="center"/>
            </w:pPr>
            <w:r>
              <w:rPr>
                <w:rFonts w:ascii="Times New Roman" w:eastAsia="宋体" w:hAnsi="Times New Roman"/>
                <w:color w:val="000000"/>
                <w:sz w:val="16"/>
                <w:szCs w:val="16"/>
              </w:rPr>
              <w:t>19.7 </w:t>
            </w:r>
          </w:p>
        </w:tc>
        <w:tc>
          <w:tcPr>
            <w:tcW w:w="0" w:type="auto"/>
            <w:shd w:val="clear" w:color="auto" w:fill="FFFFFF"/>
            <w:tcMar>
              <w:top w:w="40" w:type="dxa"/>
              <w:left w:w="0" w:type="dxa"/>
              <w:bottom w:w="40" w:type="dxa"/>
              <w:right w:w="20" w:type="dxa"/>
            </w:tcMar>
            <w:vAlign w:val="center"/>
          </w:tcPr>
          <w:p w14:paraId="4B9A475C"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75D"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5E" w14:textId="77777777" w:rsidR="002A3970" w:rsidRDefault="00C35E63">
            <w:pPr>
              <w:jc w:val="right"/>
              <w:textAlignment w:val="center"/>
            </w:pPr>
            <w:r>
              <w:rPr>
                <w:rFonts w:ascii="Times New Roman" w:eastAsia="宋体" w:hAnsi="Times New Roman"/>
                <w:color w:val="000000"/>
                <w:sz w:val="16"/>
                <w:szCs w:val="16"/>
              </w:rPr>
              <w:t>15.9 </w:t>
            </w:r>
          </w:p>
        </w:tc>
        <w:tc>
          <w:tcPr>
            <w:tcW w:w="0" w:type="auto"/>
            <w:shd w:val="clear" w:color="auto" w:fill="FFFFFF"/>
            <w:tcMar>
              <w:top w:w="40" w:type="dxa"/>
              <w:left w:w="0" w:type="dxa"/>
              <w:bottom w:w="40" w:type="dxa"/>
              <w:right w:w="20" w:type="dxa"/>
            </w:tcMar>
            <w:vAlign w:val="center"/>
          </w:tcPr>
          <w:p w14:paraId="4B9A475F"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B9A4760"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61" w14:textId="77777777" w:rsidR="002A3970" w:rsidRDefault="00C35E63">
            <w:pPr>
              <w:jc w:val="right"/>
              <w:textAlignment w:val="center"/>
            </w:pPr>
            <w:r>
              <w:rPr>
                <w:rFonts w:ascii="Times New Roman" w:eastAsia="宋体" w:hAnsi="Times New Roman"/>
                <w:color w:val="000000"/>
                <w:sz w:val="16"/>
                <w:szCs w:val="16"/>
              </w:rPr>
              <w:t>14.6 </w:t>
            </w:r>
          </w:p>
        </w:tc>
        <w:tc>
          <w:tcPr>
            <w:tcW w:w="0" w:type="auto"/>
            <w:shd w:val="clear" w:color="auto" w:fill="FFFFFF"/>
            <w:tcMar>
              <w:top w:w="40" w:type="dxa"/>
              <w:left w:w="0" w:type="dxa"/>
              <w:bottom w:w="40" w:type="dxa"/>
              <w:right w:w="20" w:type="dxa"/>
            </w:tcMar>
            <w:vAlign w:val="center"/>
          </w:tcPr>
          <w:p w14:paraId="4B9A4762"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771" w14:textId="77777777">
        <w:trPr>
          <w:jc w:val="center"/>
        </w:trPr>
        <w:tc>
          <w:tcPr>
            <w:tcW w:w="0" w:type="auto"/>
            <w:gridSpan w:val="3"/>
            <w:shd w:val="clear" w:color="auto" w:fill="CCEEFF"/>
            <w:tcMar>
              <w:top w:w="40" w:type="dxa"/>
              <w:left w:w="245" w:type="dxa"/>
              <w:bottom w:w="40" w:type="dxa"/>
              <w:right w:w="20" w:type="dxa"/>
            </w:tcMar>
            <w:vAlign w:val="center"/>
          </w:tcPr>
          <w:p w14:paraId="4B9A4764" w14:textId="77777777" w:rsidR="002A3970" w:rsidRDefault="00C35E63">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4B9A476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66" w14:textId="77777777" w:rsidR="002A3970" w:rsidRDefault="00C35E63">
            <w:pPr>
              <w:jc w:val="right"/>
              <w:textAlignment w:val="center"/>
            </w:pPr>
            <w:r>
              <w:rPr>
                <w:rFonts w:ascii="Times New Roman" w:eastAsia="宋体" w:hAnsi="Times New Roman"/>
                <w:color w:val="000000"/>
                <w:sz w:val="16"/>
                <w:szCs w:val="16"/>
              </w:rPr>
              <w:t>12.8 </w:t>
            </w:r>
          </w:p>
        </w:tc>
        <w:tc>
          <w:tcPr>
            <w:tcW w:w="0" w:type="auto"/>
            <w:shd w:val="clear" w:color="auto" w:fill="CCEEFF"/>
            <w:tcMar>
              <w:top w:w="40" w:type="dxa"/>
              <w:left w:w="0" w:type="dxa"/>
              <w:bottom w:w="40" w:type="dxa"/>
              <w:right w:w="20" w:type="dxa"/>
            </w:tcMar>
            <w:vAlign w:val="center"/>
          </w:tcPr>
          <w:p w14:paraId="4B9A476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6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69" w14:textId="77777777" w:rsidR="002A3970" w:rsidRDefault="00C35E63">
            <w:pPr>
              <w:jc w:val="right"/>
              <w:textAlignment w:val="center"/>
            </w:pPr>
            <w:r>
              <w:rPr>
                <w:rFonts w:ascii="Times New Roman" w:eastAsia="宋体" w:hAnsi="Times New Roman"/>
                <w:color w:val="000000"/>
                <w:sz w:val="16"/>
                <w:szCs w:val="16"/>
              </w:rPr>
              <w:t>19.6 </w:t>
            </w:r>
          </w:p>
        </w:tc>
        <w:tc>
          <w:tcPr>
            <w:tcW w:w="0" w:type="auto"/>
            <w:shd w:val="clear" w:color="auto" w:fill="CCEEFF"/>
            <w:tcMar>
              <w:top w:w="40" w:type="dxa"/>
              <w:left w:w="0" w:type="dxa"/>
              <w:bottom w:w="40" w:type="dxa"/>
              <w:right w:w="20" w:type="dxa"/>
            </w:tcMar>
            <w:vAlign w:val="center"/>
          </w:tcPr>
          <w:p w14:paraId="4B9A476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6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6C" w14:textId="77777777" w:rsidR="002A3970" w:rsidRDefault="00C35E63">
            <w:pPr>
              <w:jc w:val="right"/>
              <w:textAlignment w:val="center"/>
            </w:pPr>
            <w:r>
              <w:rPr>
                <w:rFonts w:ascii="Times New Roman" w:eastAsia="宋体" w:hAnsi="Times New Roman"/>
                <w:color w:val="000000"/>
                <w:sz w:val="16"/>
                <w:szCs w:val="16"/>
              </w:rPr>
              <w:t>15.8 </w:t>
            </w:r>
          </w:p>
        </w:tc>
        <w:tc>
          <w:tcPr>
            <w:tcW w:w="0" w:type="auto"/>
            <w:shd w:val="clear" w:color="auto" w:fill="CCEEFF"/>
            <w:tcMar>
              <w:top w:w="40" w:type="dxa"/>
              <w:left w:w="0" w:type="dxa"/>
              <w:bottom w:w="40" w:type="dxa"/>
              <w:right w:w="20" w:type="dxa"/>
            </w:tcMar>
            <w:vAlign w:val="center"/>
          </w:tcPr>
          <w:p w14:paraId="4B9A476D"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6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6F" w14:textId="77777777" w:rsidR="002A3970" w:rsidRDefault="00C35E63">
            <w:pPr>
              <w:jc w:val="right"/>
              <w:textAlignment w:val="center"/>
            </w:pPr>
            <w:r>
              <w:rPr>
                <w:rFonts w:ascii="Times New Roman" w:eastAsia="宋体" w:hAnsi="Times New Roman"/>
                <w:color w:val="000000"/>
                <w:sz w:val="16"/>
                <w:szCs w:val="16"/>
              </w:rPr>
              <w:t>14.6 </w:t>
            </w:r>
          </w:p>
        </w:tc>
        <w:tc>
          <w:tcPr>
            <w:tcW w:w="0" w:type="auto"/>
            <w:shd w:val="clear" w:color="auto" w:fill="CCEEFF"/>
            <w:tcMar>
              <w:top w:w="40" w:type="dxa"/>
              <w:left w:w="0" w:type="dxa"/>
              <w:bottom w:w="40" w:type="dxa"/>
              <w:right w:w="20" w:type="dxa"/>
            </w:tcMar>
            <w:vAlign w:val="center"/>
          </w:tcPr>
          <w:p w14:paraId="4B9A4770"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783" w14:textId="77777777">
        <w:trPr>
          <w:jc w:val="center"/>
        </w:trPr>
        <w:tc>
          <w:tcPr>
            <w:tcW w:w="0" w:type="auto"/>
            <w:gridSpan w:val="3"/>
            <w:shd w:val="clear" w:color="auto" w:fill="FFFFFF"/>
            <w:tcMar>
              <w:top w:w="40" w:type="dxa"/>
              <w:left w:w="245" w:type="dxa"/>
              <w:bottom w:w="40" w:type="dxa"/>
              <w:right w:w="20" w:type="dxa"/>
            </w:tcMar>
            <w:vAlign w:val="center"/>
          </w:tcPr>
          <w:p w14:paraId="4B9A4772" w14:textId="77777777" w:rsidR="002A3970" w:rsidRDefault="00C35E63">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B9A4773"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74"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75" w14:textId="77777777" w:rsidR="002A3970" w:rsidRDefault="00C35E63">
            <w:pPr>
              <w:jc w:val="right"/>
              <w:textAlignment w:val="center"/>
            </w:pPr>
            <w:r>
              <w:rPr>
                <w:rFonts w:ascii="Times New Roman" w:eastAsia="宋体" w:hAnsi="Times New Roman"/>
                <w:color w:val="000000"/>
                <w:sz w:val="16"/>
                <w:szCs w:val="16"/>
              </w:rPr>
              <w:t>562 </w:t>
            </w:r>
          </w:p>
        </w:tc>
        <w:tc>
          <w:tcPr>
            <w:tcW w:w="0" w:type="auto"/>
            <w:shd w:val="clear" w:color="auto" w:fill="FFFFFF"/>
            <w:tcMar>
              <w:top w:w="40" w:type="dxa"/>
              <w:left w:w="0" w:type="dxa"/>
              <w:bottom w:w="40" w:type="dxa"/>
              <w:right w:w="20" w:type="dxa"/>
            </w:tcMar>
            <w:vAlign w:val="center"/>
          </w:tcPr>
          <w:p w14:paraId="4B9A477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77"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7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79" w14:textId="77777777" w:rsidR="002A3970" w:rsidRDefault="00C35E63">
            <w:pPr>
              <w:jc w:val="right"/>
              <w:textAlignment w:val="center"/>
            </w:pPr>
            <w:r>
              <w:rPr>
                <w:rFonts w:ascii="Times New Roman" w:eastAsia="宋体" w:hAnsi="Times New Roman"/>
                <w:color w:val="000000"/>
                <w:sz w:val="16"/>
                <w:szCs w:val="16"/>
              </w:rPr>
              <w:t>475 </w:t>
            </w:r>
          </w:p>
        </w:tc>
        <w:tc>
          <w:tcPr>
            <w:tcW w:w="0" w:type="auto"/>
            <w:shd w:val="clear" w:color="auto" w:fill="FFFFFF"/>
            <w:tcMar>
              <w:top w:w="40" w:type="dxa"/>
              <w:left w:w="0" w:type="dxa"/>
              <w:bottom w:w="40" w:type="dxa"/>
              <w:right w:w="20" w:type="dxa"/>
            </w:tcMar>
            <w:vAlign w:val="center"/>
          </w:tcPr>
          <w:p w14:paraId="4B9A477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7B"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7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7D" w14:textId="77777777" w:rsidR="002A3970" w:rsidRDefault="00C35E63">
            <w:pPr>
              <w:jc w:val="right"/>
              <w:textAlignment w:val="center"/>
            </w:pPr>
            <w:r>
              <w:rPr>
                <w:rFonts w:ascii="Times New Roman" w:eastAsia="宋体" w:hAnsi="Times New Roman"/>
                <w:color w:val="000000"/>
                <w:sz w:val="16"/>
                <w:szCs w:val="16"/>
              </w:rPr>
              <w:t>1,449 </w:t>
            </w:r>
          </w:p>
        </w:tc>
        <w:tc>
          <w:tcPr>
            <w:tcW w:w="0" w:type="auto"/>
            <w:shd w:val="clear" w:color="auto" w:fill="FFFFFF"/>
            <w:tcMar>
              <w:top w:w="40" w:type="dxa"/>
              <w:left w:w="0" w:type="dxa"/>
              <w:bottom w:w="40" w:type="dxa"/>
              <w:right w:w="20" w:type="dxa"/>
            </w:tcMar>
            <w:vAlign w:val="center"/>
          </w:tcPr>
          <w:p w14:paraId="4B9A477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7F"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80"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81" w14:textId="77777777" w:rsidR="002A3970" w:rsidRDefault="00C35E63">
            <w:pPr>
              <w:jc w:val="right"/>
              <w:textAlignment w:val="center"/>
            </w:pPr>
            <w:r>
              <w:rPr>
                <w:rFonts w:ascii="Times New Roman" w:eastAsia="宋体" w:hAnsi="Times New Roman"/>
                <w:color w:val="000000"/>
                <w:sz w:val="16"/>
                <w:szCs w:val="16"/>
              </w:rPr>
              <w:t>1,710 </w:t>
            </w:r>
          </w:p>
        </w:tc>
        <w:tc>
          <w:tcPr>
            <w:tcW w:w="0" w:type="auto"/>
            <w:shd w:val="clear" w:color="auto" w:fill="FFFFFF"/>
            <w:tcMar>
              <w:top w:w="40" w:type="dxa"/>
              <w:left w:w="0" w:type="dxa"/>
              <w:bottom w:w="40" w:type="dxa"/>
              <w:right w:w="20" w:type="dxa"/>
            </w:tcMar>
            <w:vAlign w:val="center"/>
          </w:tcPr>
          <w:p w14:paraId="4B9A4782" w14:textId="77777777" w:rsidR="002A3970" w:rsidRDefault="002A3970">
            <w:pPr>
              <w:jc w:val="right"/>
              <w:rPr>
                <w:rFonts w:ascii="宋体"/>
              </w:rPr>
            </w:pPr>
          </w:p>
        </w:tc>
      </w:tr>
      <w:tr w:rsidR="002A3970" w14:paraId="4B9A4791" w14:textId="77777777">
        <w:trPr>
          <w:jc w:val="center"/>
        </w:trPr>
        <w:tc>
          <w:tcPr>
            <w:tcW w:w="0" w:type="auto"/>
            <w:gridSpan w:val="3"/>
            <w:shd w:val="clear" w:color="auto" w:fill="CCEEFF"/>
            <w:tcMar>
              <w:top w:w="40" w:type="dxa"/>
              <w:left w:w="245" w:type="dxa"/>
              <w:bottom w:w="40" w:type="dxa"/>
              <w:right w:w="20" w:type="dxa"/>
            </w:tcMar>
            <w:vAlign w:val="center"/>
          </w:tcPr>
          <w:p w14:paraId="4B9A4784" w14:textId="77777777" w:rsidR="002A3970" w:rsidRDefault="00C35E63">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4B9A478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86" w14:textId="77777777" w:rsidR="002A3970" w:rsidRDefault="00C35E63">
            <w:pPr>
              <w:jc w:val="right"/>
              <w:textAlignment w:val="center"/>
            </w:pPr>
            <w:r>
              <w:rPr>
                <w:rFonts w:ascii="Times New Roman" w:eastAsia="宋体" w:hAnsi="Times New Roman"/>
                <w:color w:val="000000"/>
                <w:sz w:val="16"/>
                <w:szCs w:val="16"/>
              </w:rPr>
              <w:t>2.6 </w:t>
            </w:r>
          </w:p>
        </w:tc>
        <w:tc>
          <w:tcPr>
            <w:tcW w:w="0" w:type="auto"/>
            <w:shd w:val="clear" w:color="auto" w:fill="CCEEFF"/>
            <w:tcMar>
              <w:top w:w="40" w:type="dxa"/>
              <w:left w:w="0" w:type="dxa"/>
              <w:bottom w:w="40" w:type="dxa"/>
              <w:right w:w="20" w:type="dxa"/>
            </w:tcMar>
            <w:vAlign w:val="center"/>
          </w:tcPr>
          <w:p w14:paraId="4B9A478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8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89" w14:textId="77777777" w:rsidR="002A3970" w:rsidRDefault="00C35E63">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4B9A478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8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8C" w14:textId="77777777" w:rsidR="002A3970" w:rsidRDefault="00C35E63">
            <w:pPr>
              <w:jc w:val="right"/>
              <w:textAlignment w:val="center"/>
            </w:pPr>
            <w:r>
              <w:rPr>
                <w:rFonts w:ascii="Times New Roman" w:eastAsia="宋体" w:hAnsi="Times New Roman"/>
                <w:color w:val="000000"/>
                <w:sz w:val="16"/>
                <w:szCs w:val="16"/>
              </w:rPr>
              <w:t>2.3 </w:t>
            </w:r>
          </w:p>
        </w:tc>
        <w:tc>
          <w:tcPr>
            <w:tcW w:w="0" w:type="auto"/>
            <w:shd w:val="clear" w:color="auto" w:fill="CCEEFF"/>
            <w:tcMar>
              <w:top w:w="40" w:type="dxa"/>
              <w:left w:w="0" w:type="dxa"/>
              <w:bottom w:w="40" w:type="dxa"/>
              <w:right w:w="20" w:type="dxa"/>
            </w:tcMar>
            <w:vAlign w:val="center"/>
          </w:tcPr>
          <w:p w14:paraId="4B9A478D"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8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8F" w14:textId="77777777" w:rsidR="002A3970" w:rsidRDefault="00C35E63">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B9A4790"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79F" w14:textId="77777777">
        <w:trPr>
          <w:jc w:val="center"/>
        </w:trPr>
        <w:tc>
          <w:tcPr>
            <w:tcW w:w="0" w:type="auto"/>
            <w:gridSpan w:val="3"/>
            <w:shd w:val="clear" w:color="auto" w:fill="FFFFFF"/>
            <w:tcMar>
              <w:top w:w="40" w:type="dxa"/>
              <w:left w:w="245" w:type="dxa"/>
              <w:bottom w:w="40" w:type="dxa"/>
              <w:right w:w="20" w:type="dxa"/>
            </w:tcMar>
            <w:vAlign w:val="center"/>
          </w:tcPr>
          <w:p w14:paraId="4B9A4792" w14:textId="77777777" w:rsidR="002A3970" w:rsidRDefault="00C35E63">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4B9A4793"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94" w14:textId="77777777" w:rsidR="002A3970" w:rsidRDefault="00C35E63">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4B9A4795"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96"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97" w14:textId="77777777" w:rsidR="002A3970" w:rsidRDefault="00C35E63">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4B9A4798"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99"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9A" w14:textId="77777777" w:rsidR="002A3970" w:rsidRDefault="00C35E63">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4B9A479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9C"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79D" w14:textId="77777777" w:rsidR="002A3970" w:rsidRDefault="00C35E63">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4B9A479E" w14:textId="77777777" w:rsidR="002A3970" w:rsidRDefault="002A3970">
            <w:pPr>
              <w:jc w:val="right"/>
              <w:rPr>
                <w:rFonts w:ascii="宋体"/>
              </w:rPr>
            </w:pPr>
          </w:p>
        </w:tc>
      </w:tr>
      <w:tr w:rsidR="002A3970" w14:paraId="4B9A47AD" w14:textId="77777777">
        <w:trPr>
          <w:jc w:val="center"/>
        </w:trPr>
        <w:tc>
          <w:tcPr>
            <w:tcW w:w="0" w:type="auto"/>
            <w:gridSpan w:val="3"/>
            <w:shd w:val="clear" w:color="auto" w:fill="CCEEFF"/>
            <w:tcMar>
              <w:top w:w="40" w:type="dxa"/>
              <w:left w:w="245" w:type="dxa"/>
              <w:bottom w:w="40" w:type="dxa"/>
              <w:right w:w="20" w:type="dxa"/>
            </w:tcMar>
            <w:vAlign w:val="center"/>
          </w:tcPr>
          <w:p w14:paraId="4B9A47A0" w14:textId="77777777" w:rsidR="002A3970" w:rsidRDefault="00C35E63">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4B9A47A1"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A2" w14:textId="77777777" w:rsidR="002A3970" w:rsidRDefault="00C35E63">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B9A47A3"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7A4"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A5" w14:textId="77777777" w:rsidR="002A3970" w:rsidRDefault="00C35E63">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B9A47A6"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7A7"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A8" w14:textId="77777777" w:rsidR="002A3970" w:rsidRDefault="00C35E63">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B9A47A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7AA"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AB" w14:textId="77777777" w:rsidR="002A3970" w:rsidRDefault="00C35E63">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B9A47AC" w14:textId="77777777" w:rsidR="002A3970" w:rsidRDefault="002A3970">
            <w:pPr>
              <w:jc w:val="right"/>
              <w:rPr>
                <w:rFonts w:ascii="宋体"/>
              </w:rPr>
            </w:pPr>
          </w:p>
        </w:tc>
      </w:tr>
      <w:tr w:rsidR="002A3970" w14:paraId="4B9A47B7" w14:textId="77777777">
        <w:trPr>
          <w:trHeight w:val="220"/>
          <w:jc w:val="center"/>
        </w:trPr>
        <w:tc>
          <w:tcPr>
            <w:tcW w:w="0" w:type="auto"/>
            <w:gridSpan w:val="3"/>
            <w:shd w:val="clear" w:color="auto" w:fill="FFFFFF"/>
            <w:tcMar>
              <w:top w:w="0" w:type="dxa"/>
              <w:left w:w="20" w:type="dxa"/>
              <w:bottom w:w="0" w:type="dxa"/>
              <w:right w:w="20" w:type="dxa"/>
            </w:tcMar>
            <w:vAlign w:val="bottom"/>
          </w:tcPr>
          <w:p w14:paraId="4B9A47AE"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A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0"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1"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2"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3"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4"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5"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7B6" w14:textId="77777777" w:rsidR="002A3970" w:rsidRDefault="002A3970">
            <w:pPr>
              <w:rPr>
                <w:rFonts w:ascii="宋体"/>
              </w:rPr>
            </w:pPr>
          </w:p>
        </w:tc>
      </w:tr>
      <w:tr w:rsidR="002A3970" w14:paraId="4B9A47C1" w14:textId="77777777">
        <w:trPr>
          <w:jc w:val="center"/>
        </w:trPr>
        <w:tc>
          <w:tcPr>
            <w:tcW w:w="0" w:type="auto"/>
            <w:gridSpan w:val="3"/>
            <w:shd w:val="clear" w:color="auto" w:fill="CCEEFF"/>
            <w:tcMar>
              <w:top w:w="40" w:type="dxa"/>
              <w:left w:w="20" w:type="dxa"/>
              <w:bottom w:w="40" w:type="dxa"/>
              <w:right w:w="20" w:type="dxa"/>
            </w:tcMar>
            <w:vAlign w:val="center"/>
          </w:tcPr>
          <w:p w14:paraId="4B9A47B8" w14:textId="77777777" w:rsidR="002A3970" w:rsidRDefault="00C35E63">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vAlign w:val="bottom"/>
          </w:tcPr>
          <w:p w14:paraId="4B9A47B9"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BA"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BB"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BC"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BD"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BE"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BF" w14:textId="77777777" w:rsidR="002A3970" w:rsidRDefault="002A3970">
            <w:pPr>
              <w:rPr>
                <w:rFonts w:ascii="宋体"/>
              </w:rPr>
            </w:pPr>
          </w:p>
        </w:tc>
        <w:tc>
          <w:tcPr>
            <w:tcW w:w="0" w:type="auto"/>
            <w:gridSpan w:val="3"/>
            <w:shd w:val="clear" w:color="auto" w:fill="CCEEFF"/>
            <w:tcMar>
              <w:top w:w="0" w:type="dxa"/>
              <w:left w:w="20" w:type="dxa"/>
              <w:bottom w:w="0" w:type="dxa"/>
              <w:right w:w="20" w:type="dxa"/>
            </w:tcMar>
            <w:vAlign w:val="bottom"/>
          </w:tcPr>
          <w:p w14:paraId="4B9A47C0" w14:textId="77777777" w:rsidR="002A3970" w:rsidRDefault="002A3970">
            <w:pPr>
              <w:rPr>
                <w:rFonts w:ascii="宋体"/>
              </w:rPr>
            </w:pPr>
          </w:p>
        </w:tc>
      </w:tr>
      <w:tr w:rsidR="002A3970" w14:paraId="4B9A47D3" w14:textId="77777777">
        <w:trPr>
          <w:jc w:val="center"/>
        </w:trPr>
        <w:tc>
          <w:tcPr>
            <w:tcW w:w="0" w:type="auto"/>
            <w:gridSpan w:val="3"/>
            <w:shd w:val="clear" w:color="auto" w:fill="FFFFFF"/>
            <w:tcMar>
              <w:top w:w="40" w:type="dxa"/>
              <w:left w:w="245" w:type="dxa"/>
              <w:bottom w:w="40" w:type="dxa"/>
              <w:right w:w="20" w:type="dxa"/>
            </w:tcMar>
            <w:vAlign w:val="center"/>
          </w:tcPr>
          <w:p w14:paraId="4B9A47C2" w14:textId="77777777" w:rsidR="002A3970" w:rsidRDefault="00C35E63">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4B9A47C3"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C4"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C5" w14:textId="77777777" w:rsidR="002A3970" w:rsidRDefault="00C35E63">
            <w:pPr>
              <w:jc w:val="right"/>
              <w:textAlignment w:val="center"/>
            </w:pPr>
            <w:r>
              <w:rPr>
                <w:rFonts w:ascii="Times New Roman" w:eastAsia="宋体" w:hAnsi="Times New Roman"/>
                <w:color w:val="000000"/>
                <w:sz w:val="16"/>
                <w:szCs w:val="16"/>
              </w:rPr>
              <w:t>18,306 </w:t>
            </w:r>
          </w:p>
        </w:tc>
        <w:tc>
          <w:tcPr>
            <w:tcW w:w="0" w:type="auto"/>
            <w:shd w:val="clear" w:color="auto" w:fill="FFFFFF"/>
            <w:tcMar>
              <w:top w:w="40" w:type="dxa"/>
              <w:left w:w="0" w:type="dxa"/>
              <w:bottom w:w="40" w:type="dxa"/>
              <w:right w:w="20" w:type="dxa"/>
            </w:tcMar>
            <w:vAlign w:val="center"/>
          </w:tcPr>
          <w:p w14:paraId="4B9A47C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C7"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C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C9" w14:textId="77777777" w:rsidR="002A3970" w:rsidRDefault="00C35E63">
            <w:pPr>
              <w:jc w:val="right"/>
              <w:textAlignment w:val="center"/>
            </w:pPr>
            <w:r>
              <w:rPr>
                <w:rFonts w:ascii="Times New Roman" w:eastAsia="宋体" w:hAnsi="Times New Roman"/>
                <w:color w:val="000000"/>
                <w:sz w:val="16"/>
                <w:szCs w:val="16"/>
              </w:rPr>
              <w:t>16,614 </w:t>
            </w:r>
          </w:p>
        </w:tc>
        <w:tc>
          <w:tcPr>
            <w:tcW w:w="0" w:type="auto"/>
            <w:shd w:val="clear" w:color="auto" w:fill="FFFFFF"/>
            <w:tcMar>
              <w:top w:w="40" w:type="dxa"/>
              <w:left w:w="0" w:type="dxa"/>
              <w:bottom w:w="40" w:type="dxa"/>
              <w:right w:w="20" w:type="dxa"/>
            </w:tcMar>
            <w:vAlign w:val="center"/>
          </w:tcPr>
          <w:p w14:paraId="4B9A47C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CB"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C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CD" w14:textId="77777777" w:rsidR="002A3970" w:rsidRDefault="00C35E63">
            <w:pPr>
              <w:jc w:val="right"/>
              <w:textAlignment w:val="center"/>
            </w:pPr>
            <w:r>
              <w:rPr>
                <w:rFonts w:ascii="Times New Roman" w:eastAsia="宋体" w:hAnsi="Times New Roman"/>
                <w:color w:val="000000"/>
                <w:sz w:val="16"/>
                <w:szCs w:val="16"/>
              </w:rPr>
              <w:t>52,837 </w:t>
            </w:r>
          </w:p>
        </w:tc>
        <w:tc>
          <w:tcPr>
            <w:tcW w:w="0" w:type="auto"/>
            <w:shd w:val="clear" w:color="auto" w:fill="FFFFFF"/>
            <w:tcMar>
              <w:top w:w="40" w:type="dxa"/>
              <w:left w:w="0" w:type="dxa"/>
              <w:bottom w:w="40" w:type="dxa"/>
              <w:right w:w="20" w:type="dxa"/>
            </w:tcMar>
            <w:vAlign w:val="center"/>
          </w:tcPr>
          <w:p w14:paraId="4B9A47C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CF"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D0"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D1" w14:textId="77777777" w:rsidR="002A3970" w:rsidRDefault="00C35E63">
            <w:pPr>
              <w:jc w:val="right"/>
              <w:textAlignment w:val="center"/>
            </w:pPr>
            <w:r>
              <w:rPr>
                <w:rFonts w:ascii="Times New Roman" w:eastAsia="宋体" w:hAnsi="Times New Roman"/>
                <w:color w:val="000000"/>
                <w:sz w:val="16"/>
                <w:szCs w:val="16"/>
              </w:rPr>
              <w:t>47,988 </w:t>
            </w:r>
          </w:p>
        </w:tc>
        <w:tc>
          <w:tcPr>
            <w:tcW w:w="0" w:type="auto"/>
            <w:shd w:val="clear" w:color="auto" w:fill="FFFFFF"/>
            <w:tcMar>
              <w:top w:w="40" w:type="dxa"/>
              <w:left w:w="0" w:type="dxa"/>
              <w:bottom w:w="40" w:type="dxa"/>
              <w:right w:w="20" w:type="dxa"/>
            </w:tcMar>
            <w:vAlign w:val="center"/>
          </w:tcPr>
          <w:p w14:paraId="4B9A47D2" w14:textId="77777777" w:rsidR="002A3970" w:rsidRDefault="002A3970">
            <w:pPr>
              <w:jc w:val="right"/>
              <w:rPr>
                <w:rFonts w:ascii="宋体"/>
              </w:rPr>
            </w:pPr>
          </w:p>
        </w:tc>
      </w:tr>
      <w:tr w:rsidR="002A3970" w14:paraId="4B9A47E1" w14:textId="77777777">
        <w:trPr>
          <w:jc w:val="center"/>
        </w:trPr>
        <w:tc>
          <w:tcPr>
            <w:tcW w:w="0" w:type="auto"/>
            <w:gridSpan w:val="3"/>
            <w:shd w:val="clear" w:color="auto" w:fill="CCEEFF"/>
            <w:tcMar>
              <w:top w:w="40" w:type="dxa"/>
              <w:left w:w="245" w:type="dxa"/>
              <w:bottom w:w="40" w:type="dxa"/>
              <w:right w:w="20" w:type="dxa"/>
            </w:tcMar>
            <w:vAlign w:val="center"/>
          </w:tcPr>
          <w:p w14:paraId="4B9A47D4" w14:textId="77777777" w:rsidR="002A3970" w:rsidRDefault="00C35E63">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vAlign w:val="bottom"/>
          </w:tcPr>
          <w:p w14:paraId="4B9A47D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D6" w14:textId="77777777" w:rsidR="002A3970" w:rsidRDefault="00C35E63">
            <w:pPr>
              <w:jc w:val="right"/>
              <w:textAlignment w:val="center"/>
            </w:pPr>
            <w:r>
              <w:rPr>
                <w:rFonts w:ascii="Times New Roman" w:eastAsia="宋体" w:hAnsi="Times New Roman"/>
                <w:color w:val="000000"/>
                <w:sz w:val="16"/>
                <w:szCs w:val="16"/>
              </w:rPr>
              <w:t>10.2 </w:t>
            </w:r>
          </w:p>
        </w:tc>
        <w:tc>
          <w:tcPr>
            <w:tcW w:w="0" w:type="auto"/>
            <w:shd w:val="clear" w:color="auto" w:fill="CCEEFF"/>
            <w:tcMar>
              <w:top w:w="40" w:type="dxa"/>
              <w:left w:w="0" w:type="dxa"/>
              <w:bottom w:w="40" w:type="dxa"/>
              <w:right w:w="20" w:type="dxa"/>
            </w:tcMar>
            <w:vAlign w:val="center"/>
          </w:tcPr>
          <w:p w14:paraId="4B9A47D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D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D9" w14:textId="77777777" w:rsidR="002A3970" w:rsidRDefault="00C35E63">
            <w:pPr>
              <w:jc w:val="right"/>
              <w:textAlignment w:val="center"/>
            </w:pPr>
            <w:r>
              <w:rPr>
                <w:rFonts w:ascii="Times New Roman" w:eastAsia="宋体" w:hAnsi="Times New Roman"/>
                <w:color w:val="000000"/>
                <w:sz w:val="16"/>
                <w:szCs w:val="16"/>
              </w:rPr>
              <w:t>13.8 </w:t>
            </w:r>
          </w:p>
        </w:tc>
        <w:tc>
          <w:tcPr>
            <w:tcW w:w="0" w:type="auto"/>
            <w:shd w:val="clear" w:color="auto" w:fill="CCEEFF"/>
            <w:tcMar>
              <w:top w:w="40" w:type="dxa"/>
              <w:left w:w="0" w:type="dxa"/>
              <w:bottom w:w="40" w:type="dxa"/>
              <w:right w:w="20" w:type="dxa"/>
            </w:tcMar>
            <w:vAlign w:val="center"/>
          </w:tcPr>
          <w:p w14:paraId="4B9A47D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D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DC" w14:textId="77777777" w:rsidR="002A3970" w:rsidRDefault="00C35E63">
            <w:pPr>
              <w:jc w:val="right"/>
              <w:textAlignment w:val="center"/>
            </w:pPr>
            <w:r>
              <w:rPr>
                <w:rFonts w:ascii="Times New Roman" w:eastAsia="宋体" w:hAnsi="Times New Roman"/>
                <w:color w:val="000000"/>
                <w:sz w:val="16"/>
                <w:szCs w:val="16"/>
              </w:rPr>
              <w:t>10.1 </w:t>
            </w:r>
          </w:p>
        </w:tc>
        <w:tc>
          <w:tcPr>
            <w:tcW w:w="0" w:type="auto"/>
            <w:shd w:val="clear" w:color="auto" w:fill="CCEEFF"/>
            <w:tcMar>
              <w:top w:w="40" w:type="dxa"/>
              <w:left w:w="0" w:type="dxa"/>
              <w:bottom w:w="40" w:type="dxa"/>
              <w:right w:w="20" w:type="dxa"/>
            </w:tcMar>
            <w:vAlign w:val="center"/>
          </w:tcPr>
          <w:p w14:paraId="4B9A47DD"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D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DF" w14:textId="77777777" w:rsidR="002A3970" w:rsidRDefault="00C35E63">
            <w:pPr>
              <w:jc w:val="right"/>
              <w:textAlignment w:val="center"/>
            </w:pPr>
            <w:r>
              <w:rPr>
                <w:rFonts w:ascii="Times New Roman" w:eastAsia="宋体" w:hAnsi="Times New Roman"/>
                <w:color w:val="000000"/>
                <w:sz w:val="16"/>
                <w:szCs w:val="16"/>
              </w:rPr>
              <w:t>9.2 </w:t>
            </w:r>
          </w:p>
        </w:tc>
        <w:tc>
          <w:tcPr>
            <w:tcW w:w="0" w:type="auto"/>
            <w:shd w:val="clear" w:color="auto" w:fill="CCEEFF"/>
            <w:tcMar>
              <w:top w:w="40" w:type="dxa"/>
              <w:left w:w="0" w:type="dxa"/>
              <w:bottom w:w="40" w:type="dxa"/>
              <w:right w:w="20" w:type="dxa"/>
            </w:tcMar>
            <w:vAlign w:val="center"/>
          </w:tcPr>
          <w:p w14:paraId="4B9A47E0" w14:textId="77777777" w:rsidR="002A3970" w:rsidRDefault="00C35E63">
            <w:pPr>
              <w:jc w:val="right"/>
              <w:textAlignment w:val="center"/>
            </w:pPr>
            <w:r>
              <w:rPr>
                <w:rFonts w:ascii="Times New Roman" w:eastAsia="宋体" w:hAnsi="Times New Roman"/>
                <w:color w:val="000000"/>
                <w:sz w:val="16"/>
                <w:szCs w:val="16"/>
              </w:rPr>
              <w:t>%</w:t>
            </w:r>
          </w:p>
        </w:tc>
      </w:tr>
      <w:tr w:rsidR="002A3970" w14:paraId="4B9A47F3" w14:textId="77777777">
        <w:trPr>
          <w:jc w:val="center"/>
        </w:trPr>
        <w:tc>
          <w:tcPr>
            <w:tcW w:w="0" w:type="auto"/>
            <w:gridSpan w:val="3"/>
            <w:shd w:val="clear" w:color="auto" w:fill="FFFFFF"/>
            <w:tcMar>
              <w:top w:w="40" w:type="dxa"/>
              <w:left w:w="245" w:type="dxa"/>
              <w:bottom w:w="40" w:type="dxa"/>
              <w:right w:w="20" w:type="dxa"/>
            </w:tcMar>
            <w:vAlign w:val="center"/>
          </w:tcPr>
          <w:p w14:paraId="4B9A47E2" w14:textId="77777777" w:rsidR="002A3970" w:rsidRDefault="00C35E63">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B9A47E3"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E4"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E5" w14:textId="77777777" w:rsidR="002A3970" w:rsidRDefault="00C35E63">
            <w:pPr>
              <w:jc w:val="right"/>
              <w:textAlignment w:val="center"/>
            </w:pPr>
            <w:r>
              <w:rPr>
                <w:rFonts w:ascii="Times New Roman" w:eastAsia="宋体" w:hAnsi="Times New Roman"/>
                <w:color w:val="000000"/>
                <w:sz w:val="16"/>
                <w:szCs w:val="16"/>
              </w:rPr>
              <w:t>397 </w:t>
            </w:r>
          </w:p>
        </w:tc>
        <w:tc>
          <w:tcPr>
            <w:tcW w:w="0" w:type="auto"/>
            <w:shd w:val="clear" w:color="auto" w:fill="FFFFFF"/>
            <w:tcMar>
              <w:top w:w="40" w:type="dxa"/>
              <w:left w:w="0" w:type="dxa"/>
              <w:bottom w:w="40" w:type="dxa"/>
              <w:right w:w="20" w:type="dxa"/>
            </w:tcMar>
            <w:vAlign w:val="center"/>
          </w:tcPr>
          <w:p w14:paraId="4B9A47E6"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E7"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E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E9" w14:textId="77777777" w:rsidR="002A3970" w:rsidRDefault="00C35E63">
            <w:pPr>
              <w:jc w:val="right"/>
              <w:textAlignment w:val="center"/>
            </w:pPr>
            <w:r>
              <w:rPr>
                <w:rFonts w:ascii="Times New Roman" w:eastAsia="宋体" w:hAnsi="Times New Roman"/>
                <w:color w:val="000000"/>
                <w:sz w:val="16"/>
                <w:szCs w:val="16"/>
              </w:rPr>
              <w:t>368 </w:t>
            </w:r>
          </w:p>
        </w:tc>
        <w:tc>
          <w:tcPr>
            <w:tcW w:w="0" w:type="auto"/>
            <w:shd w:val="clear" w:color="auto" w:fill="FFFFFF"/>
            <w:tcMar>
              <w:top w:w="40" w:type="dxa"/>
              <w:left w:w="0" w:type="dxa"/>
              <w:bottom w:w="40" w:type="dxa"/>
              <w:right w:w="20" w:type="dxa"/>
            </w:tcMar>
            <w:vAlign w:val="center"/>
          </w:tcPr>
          <w:p w14:paraId="4B9A47E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EB"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E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ED" w14:textId="77777777" w:rsidR="002A3970" w:rsidRDefault="00C35E63">
            <w:pPr>
              <w:jc w:val="right"/>
              <w:textAlignment w:val="center"/>
            </w:pPr>
            <w:r>
              <w:rPr>
                <w:rFonts w:ascii="Times New Roman" w:eastAsia="宋体" w:hAnsi="Times New Roman"/>
                <w:color w:val="000000"/>
                <w:sz w:val="16"/>
                <w:szCs w:val="16"/>
              </w:rPr>
              <w:t>954 </w:t>
            </w:r>
          </w:p>
        </w:tc>
        <w:tc>
          <w:tcPr>
            <w:tcW w:w="0" w:type="auto"/>
            <w:shd w:val="clear" w:color="auto" w:fill="FFFFFF"/>
            <w:tcMar>
              <w:top w:w="40" w:type="dxa"/>
              <w:left w:w="0" w:type="dxa"/>
              <w:bottom w:w="40" w:type="dxa"/>
              <w:right w:w="20" w:type="dxa"/>
            </w:tcMar>
            <w:vAlign w:val="center"/>
          </w:tcPr>
          <w:p w14:paraId="4B9A47E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7EF" w14:textId="77777777" w:rsidR="002A3970" w:rsidRDefault="002A3970">
            <w:pPr>
              <w:rPr>
                <w:rFonts w:ascii="宋体"/>
              </w:rPr>
            </w:pPr>
          </w:p>
        </w:tc>
        <w:tc>
          <w:tcPr>
            <w:tcW w:w="0" w:type="auto"/>
            <w:shd w:val="clear" w:color="auto" w:fill="FFFFFF"/>
            <w:tcMar>
              <w:top w:w="40" w:type="dxa"/>
              <w:left w:w="20" w:type="dxa"/>
              <w:bottom w:w="40" w:type="dxa"/>
              <w:right w:w="0" w:type="dxa"/>
            </w:tcMar>
            <w:vAlign w:val="center"/>
          </w:tcPr>
          <w:p w14:paraId="4B9A47F0"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7F1" w14:textId="77777777" w:rsidR="002A3970" w:rsidRDefault="00C35E63">
            <w:pPr>
              <w:jc w:val="right"/>
              <w:textAlignment w:val="center"/>
            </w:pPr>
            <w:r>
              <w:rPr>
                <w:rFonts w:ascii="Times New Roman" w:eastAsia="宋体" w:hAnsi="Times New Roman"/>
                <w:color w:val="000000"/>
                <w:sz w:val="16"/>
                <w:szCs w:val="16"/>
              </w:rPr>
              <w:t>1,473 </w:t>
            </w:r>
          </w:p>
        </w:tc>
        <w:tc>
          <w:tcPr>
            <w:tcW w:w="0" w:type="auto"/>
            <w:shd w:val="clear" w:color="auto" w:fill="FFFFFF"/>
            <w:tcMar>
              <w:top w:w="40" w:type="dxa"/>
              <w:left w:w="0" w:type="dxa"/>
              <w:bottom w:w="40" w:type="dxa"/>
              <w:right w:w="20" w:type="dxa"/>
            </w:tcMar>
            <w:vAlign w:val="center"/>
          </w:tcPr>
          <w:p w14:paraId="4B9A47F2" w14:textId="77777777" w:rsidR="002A3970" w:rsidRDefault="002A3970">
            <w:pPr>
              <w:jc w:val="right"/>
              <w:rPr>
                <w:rFonts w:ascii="宋体"/>
              </w:rPr>
            </w:pPr>
          </w:p>
        </w:tc>
      </w:tr>
      <w:tr w:rsidR="002A3970" w14:paraId="4B9A4801" w14:textId="77777777">
        <w:trPr>
          <w:jc w:val="center"/>
        </w:trPr>
        <w:tc>
          <w:tcPr>
            <w:tcW w:w="0" w:type="auto"/>
            <w:gridSpan w:val="3"/>
            <w:shd w:val="clear" w:color="auto" w:fill="CCEEFF"/>
            <w:tcMar>
              <w:top w:w="40" w:type="dxa"/>
              <w:left w:w="245" w:type="dxa"/>
              <w:bottom w:w="40" w:type="dxa"/>
              <w:right w:w="20" w:type="dxa"/>
            </w:tcMar>
            <w:vAlign w:val="center"/>
          </w:tcPr>
          <w:p w14:paraId="4B9A47F4" w14:textId="77777777" w:rsidR="002A3970" w:rsidRDefault="00C35E63">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4B9A47F5"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F6" w14:textId="77777777" w:rsidR="002A3970" w:rsidRDefault="00C35E63">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4B9A47F7"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F8"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F9" w14:textId="77777777" w:rsidR="002A3970" w:rsidRDefault="00C35E63">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4B9A47FA"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FB"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FC" w14:textId="77777777" w:rsidR="002A3970" w:rsidRDefault="00C35E63">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4B9A47FD" w14:textId="77777777" w:rsidR="002A3970" w:rsidRDefault="00C35E63">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B9A47FE"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7FF" w14:textId="77777777" w:rsidR="002A3970" w:rsidRDefault="00C35E63">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B9A4800" w14:textId="77777777" w:rsidR="002A3970" w:rsidRDefault="00C35E63">
            <w:pPr>
              <w:jc w:val="right"/>
              <w:textAlignment w:val="center"/>
            </w:pPr>
            <w:r>
              <w:rPr>
                <w:rFonts w:ascii="Times New Roman" w:eastAsia="宋体" w:hAnsi="Times New Roman"/>
                <w:color w:val="000000"/>
                <w:sz w:val="16"/>
                <w:szCs w:val="16"/>
              </w:rPr>
              <w:t>%</w:t>
            </w:r>
          </w:p>
        </w:tc>
      </w:tr>
    </w:tbl>
    <w:p w14:paraId="4B9A4802" w14:textId="77777777" w:rsidR="002A3970" w:rsidRDefault="00C35E63">
      <w:pPr>
        <w:ind w:hanging="270"/>
      </w:pPr>
      <w:r>
        <w:rPr>
          <w:rFonts w:ascii="Times New Roman" w:eastAsia="宋体" w:hAnsi="Times New Roman"/>
          <w:color w:val="000000"/>
          <w:sz w:val="10"/>
          <w:szCs w:val="10"/>
        </w:rPr>
        <w:t xml:space="preserve">(1) </w:t>
      </w:r>
      <w:r>
        <w:rPr>
          <w:rFonts w:ascii="Times New Roman" w:eastAsia="宋体" w:hAnsi="Times New Roman"/>
          <w:color w:val="000000"/>
          <w:sz w:val="16"/>
          <w:szCs w:val="16"/>
        </w:rPr>
        <w:t>We believe the "Excluding Fuel" information is useful to investors because it permits investors to understand the effect of the Sam's Club segment's fuel sales on its results of opera</w:t>
      </w:r>
      <w:r>
        <w:rPr>
          <w:rFonts w:ascii="Times New Roman" w:eastAsia="宋体" w:hAnsi="Times New Roman"/>
          <w:color w:val="000000"/>
          <w:sz w:val="16"/>
          <w:szCs w:val="16"/>
        </w:rPr>
        <w:t>tions, which are impacted by the volatility of fuel prices. Volatility in fuel prices may continue to impact the operating results of the Sam's Club segment in the future.</w:t>
      </w:r>
    </w:p>
    <w:p w14:paraId="4B9A4803" w14:textId="77777777" w:rsidR="002A3970" w:rsidRDefault="00C35E63">
      <w:pPr>
        <w:spacing w:before="100"/>
      </w:pPr>
      <w:r>
        <w:rPr>
          <w:rFonts w:ascii="Times New Roman" w:eastAsia="宋体" w:hAnsi="Times New Roman"/>
          <w:color w:val="000000"/>
          <w:sz w:val="20"/>
          <w:szCs w:val="20"/>
        </w:rPr>
        <w:t>Net sales for the Sam's Club segment increased $2.4 billion or 12.8% and $8.6 billio</w:t>
      </w:r>
      <w:r>
        <w:rPr>
          <w:rFonts w:ascii="Times New Roman" w:eastAsia="宋体" w:hAnsi="Times New Roman"/>
          <w:color w:val="000000"/>
          <w:sz w:val="20"/>
          <w:szCs w:val="20"/>
        </w:rPr>
        <w:t>n or 15.9% for the three and nine months ended October 31, 2022, respectively, when compared to the same periods in the previous fiscal year. The increases were primarily due to comparable sales, including fuel, of 12.8% and 15.8% for the three and nine mo</w:t>
      </w:r>
      <w:r>
        <w:rPr>
          <w:rFonts w:ascii="Times New Roman" w:eastAsia="宋体" w:hAnsi="Times New Roman"/>
          <w:color w:val="000000"/>
          <w:sz w:val="20"/>
          <w:szCs w:val="20"/>
        </w:rPr>
        <w:t>nths ended October 31, 2022, respectively. Growth in comparable sales benefited from growth in transactions and average ticket and included higher inflation impacts in certain merchandise categories. Sam's Club eCommerce net sales positively contributed ap</w:t>
      </w:r>
      <w:r>
        <w:rPr>
          <w:rFonts w:ascii="Times New Roman" w:eastAsia="宋体" w:hAnsi="Times New Roman"/>
          <w:color w:val="000000"/>
          <w:sz w:val="20"/>
          <w:szCs w:val="20"/>
        </w:rPr>
        <w:t>proximately 0.8% and 0.7% to comparable sales for the three and nine months ended October 31, 2022, respectively, which was primarily driven by curbside and ship to home.</w:t>
      </w:r>
    </w:p>
    <w:p w14:paraId="4B9A4804" w14:textId="77777777" w:rsidR="002A3970" w:rsidRDefault="00C35E63">
      <w:pPr>
        <w:spacing w:before="100"/>
      </w:pPr>
      <w:r>
        <w:rPr>
          <w:rFonts w:ascii="Times New Roman" w:eastAsia="宋体" w:hAnsi="Times New Roman"/>
          <w:color w:val="000000"/>
          <w:sz w:val="20"/>
          <w:szCs w:val="20"/>
        </w:rPr>
        <w:t>Gross profit rate decreased 46 and 177 basis points for the three and nine months end</w:t>
      </w:r>
      <w:r>
        <w:rPr>
          <w:rFonts w:ascii="Times New Roman" w:eastAsia="宋体" w:hAnsi="Times New Roman"/>
          <w:color w:val="000000"/>
          <w:sz w:val="20"/>
          <w:szCs w:val="20"/>
        </w:rPr>
        <w:t>ed October 31, 2022, respectively, when compared to the same periods in the previous fiscal year. The decreases in gross profit rate were primarily due to inflation related LIFO charges. Additionally, the decrease for the nine months ended October 31, 2022</w:t>
      </w:r>
      <w:r>
        <w:rPr>
          <w:rFonts w:ascii="Times New Roman" w:eastAsia="宋体" w:hAnsi="Times New Roman"/>
          <w:color w:val="000000"/>
          <w:sz w:val="20"/>
          <w:szCs w:val="20"/>
        </w:rPr>
        <w:t>, was impacted by elevated supply chain and eCommerce fulfillment costs and inventory write-downs.</w:t>
      </w:r>
    </w:p>
    <w:p w14:paraId="4B9A4805" w14:textId="77777777" w:rsidR="002A3970" w:rsidRDefault="00C35E63">
      <w:pPr>
        <w:spacing w:before="100"/>
      </w:pPr>
      <w:r>
        <w:rPr>
          <w:rFonts w:ascii="Times New Roman" w:eastAsia="宋体" w:hAnsi="Times New Roman"/>
          <w:color w:val="000000"/>
          <w:sz w:val="20"/>
          <w:szCs w:val="20"/>
        </w:rPr>
        <w:t xml:space="preserve">Membership and other income increased 8.2% and 9.5% for the three and nine months ended October 31, 2022, respectively, when compared to the same periods in </w:t>
      </w:r>
      <w:r>
        <w:rPr>
          <w:rFonts w:ascii="Times New Roman" w:eastAsia="宋体" w:hAnsi="Times New Roman"/>
          <w:color w:val="000000"/>
          <w:sz w:val="20"/>
          <w:szCs w:val="20"/>
        </w:rPr>
        <w:t xml:space="preserve">the previous fiscal year. The increase was due to increases in new member sign-ups and Plus penetration. </w:t>
      </w:r>
    </w:p>
    <w:p w14:paraId="4B9A4806" w14:textId="77777777" w:rsidR="002A3970" w:rsidRDefault="00C35E63">
      <w:pPr>
        <w:spacing w:before="100"/>
      </w:pPr>
      <w:r>
        <w:rPr>
          <w:rFonts w:ascii="Times New Roman" w:eastAsia="宋体" w:hAnsi="Times New Roman"/>
          <w:color w:val="000000"/>
          <w:sz w:val="20"/>
          <w:szCs w:val="20"/>
        </w:rPr>
        <w:t>Operating expenses as a percentage of segment net sales decreased 68 and 106 basis points for the three and nine months ended October 31, 2022, respec</w:t>
      </w:r>
      <w:r>
        <w:rPr>
          <w:rFonts w:ascii="Times New Roman" w:eastAsia="宋体" w:hAnsi="Times New Roman"/>
          <w:color w:val="000000"/>
          <w:sz w:val="20"/>
          <w:szCs w:val="20"/>
        </w:rPr>
        <w:t xml:space="preserve">tively, when compared to the same periods in the previous fiscal year, primarily driven by higher sales. </w:t>
      </w:r>
    </w:p>
    <w:p w14:paraId="4B9A4807" w14:textId="77777777" w:rsidR="002A3970" w:rsidRDefault="00C35E63">
      <w:pPr>
        <w:spacing w:before="100"/>
      </w:pPr>
      <w:r>
        <w:rPr>
          <w:rFonts w:ascii="Times New Roman" w:eastAsia="宋体" w:hAnsi="Times New Roman"/>
          <w:color w:val="000000"/>
          <w:sz w:val="20"/>
          <w:szCs w:val="20"/>
        </w:rPr>
        <w:t xml:space="preserve">As a result of the factors discussed above, operating income increased $0.1 billion for the three months ended October 31, 2022 and decreased $0.3 billion for the nine months ended October 31, 2022, when compared to the same periods in the previous fiscal </w:t>
      </w:r>
      <w:r>
        <w:rPr>
          <w:rFonts w:ascii="Times New Roman" w:eastAsia="宋体" w:hAnsi="Times New Roman"/>
          <w:color w:val="000000"/>
          <w:sz w:val="20"/>
          <w:szCs w:val="20"/>
        </w:rPr>
        <w:t xml:space="preserve">year. </w:t>
      </w:r>
    </w:p>
    <w:p w14:paraId="4B9A4808" w14:textId="77777777" w:rsidR="002A3970" w:rsidRDefault="00C35E63">
      <w:pPr>
        <w:jc w:val="center"/>
      </w:pPr>
      <w:r>
        <w:rPr>
          <w:rFonts w:ascii="Times New Roman" w:eastAsia="宋体" w:hAnsi="Times New Roman"/>
          <w:color w:val="000000"/>
          <w:sz w:val="20"/>
          <w:szCs w:val="20"/>
        </w:rPr>
        <w:t>24</w:t>
      </w:r>
    </w:p>
    <w:p w14:paraId="4B9A4809" w14:textId="77777777" w:rsidR="002A3970" w:rsidRDefault="00C35E63">
      <w:r>
        <w:pict w14:anchorId="4B9A4C2D">
          <v:rect id="_x0000_i1048" style="width:415.3pt;height:1.5pt" o:hralign="center" o:hrstd="t" o:hr="t" fillcolor="#a0a0a0" stroked="f"/>
        </w:pict>
      </w:r>
    </w:p>
    <w:p w14:paraId="4B9A480A" w14:textId="77777777" w:rsidR="002A3970" w:rsidRDefault="00C35E63">
      <w:hyperlink r:id="rId68" w:anchor="i0522a2f6333e456295d59e779af751cb_7" w:history="1">
        <w:r>
          <w:rPr>
            <w:rStyle w:val="a5"/>
            <w:rFonts w:ascii="Times New Roman" w:eastAsia="宋体" w:hAnsi="Times New Roman"/>
            <w:sz w:val="20"/>
            <w:szCs w:val="20"/>
          </w:rPr>
          <w:t>Table of Contents</w:t>
        </w:r>
      </w:hyperlink>
    </w:p>
    <w:p w14:paraId="4B9A480B" w14:textId="77777777" w:rsidR="002A3970" w:rsidRDefault="00C35E63">
      <w:pPr>
        <w:spacing w:before="180"/>
      </w:pPr>
      <w:r>
        <w:rPr>
          <w:rFonts w:ascii="Times New Roman" w:eastAsia="宋体" w:hAnsi="Times New Roman"/>
          <w:b/>
          <w:bCs/>
          <w:color w:val="000000"/>
          <w:sz w:val="20"/>
          <w:szCs w:val="20"/>
        </w:rPr>
        <w:t>Liquidity and Capital Resources</w:t>
      </w:r>
    </w:p>
    <w:p w14:paraId="4B9A480C" w14:textId="77777777" w:rsidR="002A3970" w:rsidRDefault="00C35E63">
      <w:pPr>
        <w:spacing w:before="100"/>
      </w:pPr>
      <w:r>
        <w:rPr>
          <w:rFonts w:ascii="Times New Roman" w:eastAsia="宋体" w:hAnsi="Times New Roman"/>
          <w:b/>
          <w:bCs/>
          <w:color w:val="000000"/>
          <w:sz w:val="20"/>
          <w:szCs w:val="20"/>
          <w:u w:val="single"/>
        </w:rPr>
        <w:t>Liquidity</w:t>
      </w:r>
    </w:p>
    <w:p w14:paraId="4B9A480D" w14:textId="77777777" w:rsidR="002A3970" w:rsidRDefault="00C35E63">
      <w:pPr>
        <w:spacing w:before="100"/>
      </w:pPr>
      <w:r>
        <w:rPr>
          <w:rFonts w:ascii="Times New Roman" w:eastAsia="宋体" w:hAnsi="Times New Roman"/>
          <w:color w:val="000000"/>
          <w:sz w:val="20"/>
          <w:szCs w:val="20"/>
        </w:rPr>
        <w:t>The strength and stability of ou</w:t>
      </w:r>
      <w:r>
        <w:rPr>
          <w:rFonts w:ascii="Times New Roman" w:eastAsia="宋体" w:hAnsi="Times New Roman"/>
          <w:color w:val="000000"/>
          <w:sz w:val="20"/>
          <w:szCs w:val="20"/>
        </w:rPr>
        <w:t>r operations have historically supplied us with a significant source of liquidity. Our cash flows provided by operating activities, supplemented with our long-term debt and short-term borrowings, have been sufficient to fund our operations while allowing u</w:t>
      </w:r>
      <w:r>
        <w:rPr>
          <w:rFonts w:ascii="Times New Roman" w:eastAsia="宋体" w:hAnsi="Times New Roman"/>
          <w:color w:val="000000"/>
          <w:sz w:val="20"/>
          <w:szCs w:val="20"/>
        </w:rPr>
        <w:t>s to invest in activities that support the long-term growth of our operations. Generally, some or all of the remaining available cash flow has been used to fund dividends on our common stock and share repurchases. We believe our sources of liquidity will c</w:t>
      </w:r>
      <w:r>
        <w:rPr>
          <w:rFonts w:ascii="Times New Roman" w:eastAsia="宋体" w:hAnsi="Times New Roman"/>
          <w:color w:val="000000"/>
          <w:sz w:val="20"/>
          <w:szCs w:val="20"/>
        </w:rPr>
        <w:t xml:space="preserve">ontinue to be sufficient to fund operations, finance our global investment activities, pay dividends and fund our share repurchases for at least the next 12 months and thereafter for the foreseeable future. </w:t>
      </w:r>
    </w:p>
    <w:p w14:paraId="4B9A480E" w14:textId="77777777" w:rsidR="002A3970" w:rsidRDefault="00C35E63">
      <w:pPr>
        <w:spacing w:before="180"/>
      </w:pPr>
      <w:r>
        <w:rPr>
          <w:rFonts w:ascii="Times New Roman" w:eastAsia="宋体" w:hAnsi="Times New Roman"/>
          <w:b/>
          <w:bCs/>
          <w:i/>
          <w:iCs/>
          <w:color w:val="000000"/>
          <w:sz w:val="20"/>
          <w:szCs w:val="20"/>
        </w:rPr>
        <w:t>Net Cash Provided by Operating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55"/>
        <w:gridCol w:w="36"/>
        <w:gridCol w:w="36"/>
        <w:gridCol w:w="36"/>
        <w:gridCol w:w="46"/>
        <w:gridCol w:w="200"/>
        <w:gridCol w:w="200"/>
        <w:gridCol w:w="200"/>
        <w:gridCol w:w="36"/>
        <w:gridCol w:w="36"/>
        <w:gridCol w:w="36"/>
        <w:gridCol w:w="100"/>
        <w:gridCol w:w="696"/>
        <w:gridCol w:w="36"/>
        <w:gridCol w:w="36"/>
        <w:gridCol w:w="36"/>
        <w:gridCol w:w="36"/>
        <w:gridCol w:w="100"/>
        <w:gridCol w:w="698"/>
        <w:gridCol w:w="36"/>
        <w:gridCol w:w="36"/>
        <w:gridCol w:w="36"/>
        <w:gridCol w:w="36"/>
      </w:tblGrid>
      <w:tr w:rsidR="002A3970" w14:paraId="4B9A4825" w14:textId="77777777">
        <w:trPr>
          <w:jc w:val="center"/>
        </w:trPr>
        <w:tc>
          <w:tcPr>
            <w:tcW w:w="50" w:type="pct"/>
            <w:shd w:val="clear" w:color="auto" w:fill="auto"/>
            <w:vAlign w:val="bottom"/>
          </w:tcPr>
          <w:p w14:paraId="4B9A480F" w14:textId="77777777" w:rsidR="002A3970" w:rsidRDefault="002A3970">
            <w:pPr>
              <w:rPr>
                <w:rFonts w:ascii="宋体"/>
              </w:rPr>
            </w:pPr>
          </w:p>
        </w:tc>
        <w:tc>
          <w:tcPr>
            <w:tcW w:w="3760" w:type="pct"/>
            <w:shd w:val="clear" w:color="auto" w:fill="auto"/>
            <w:vAlign w:val="bottom"/>
          </w:tcPr>
          <w:p w14:paraId="4B9A4810" w14:textId="77777777" w:rsidR="002A3970" w:rsidRDefault="002A3970">
            <w:pPr>
              <w:rPr>
                <w:rFonts w:ascii="宋体"/>
              </w:rPr>
            </w:pPr>
          </w:p>
        </w:tc>
        <w:tc>
          <w:tcPr>
            <w:tcW w:w="5" w:type="pct"/>
            <w:shd w:val="clear" w:color="auto" w:fill="auto"/>
            <w:vAlign w:val="bottom"/>
          </w:tcPr>
          <w:p w14:paraId="4B9A4811" w14:textId="77777777" w:rsidR="002A3970" w:rsidRDefault="002A3970">
            <w:pPr>
              <w:rPr>
                <w:rFonts w:ascii="宋体"/>
              </w:rPr>
            </w:pPr>
          </w:p>
        </w:tc>
        <w:tc>
          <w:tcPr>
            <w:tcW w:w="0" w:type="auto"/>
            <w:shd w:val="clear" w:color="auto" w:fill="auto"/>
            <w:vAlign w:val="bottom"/>
          </w:tcPr>
          <w:p w14:paraId="4B9A4812" w14:textId="77777777" w:rsidR="002A3970" w:rsidRDefault="002A3970">
            <w:pPr>
              <w:rPr>
                <w:rFonts w:ascii="宋体"/>
                <w:vanish/>
              </w:rPr>
            </w:pPr>
          </w:p>
        </w:tc>
        <w:tc>
          <w:tcPr>
            <w:tcW w:w="0" w:type="auto"/>
            <w:shd w:val="clear" w:color="auto" w:fill="auto"/>
            <w:vAlign w:val="bottom"/>
          </w:tcPr>
          <w:p w14:paraId="4B9A4813" w14:textId="77777777" w:rsidR="002A3970" w:rsidRDefault="002A3970">
            <w:pPr>
              <w:rPr>
                <w:rFonts w:ascii="宋体"/>
                <w:vanish/>
              </w:rPr>
            </w:pPr>
          </w:p>
        </w:tc>
        <w:tc>
          <w:tcPr>
            <w:tcW w:w="0" w:type="auto"/>
            <w:shd w:val="clear" w:color="auto" w:fill="auto"/>
            <w:vAlign w:val="bottom"/>
          </w:tcPr>
          <w:p w14:paraId="4B9A4814" w14:textId="77777777" w:rsidR="002A3970" w:rsidRDefault="002A3970">
            <w:pPr>
              <w:rPr>
                <w:rFonts w:ascii="宋体"/>
                <w:vanish/>
              </w:rPr>
            </w:pPr>
          </w:p>
        </w:tc>
        <w:tc>
          <w:tcPr>
            <w:tcW w:w="0" w:type="auto"/>
            <w:shd w:val="clear" w:color="auto" w:fill="auto"/>
            <w:vAlign w:val="bottom"/>
          </w:tcPr>
          <w:p w14:paraId="4B9A4815" w14:textId="77777777" w:rsidR="002A3970" w:rsidRDefault="002A3970">
            <w:pPr>
              <w:rPr>
                <w:rFonts w:ascii="宋体"/>
                <w:vanish/>
              </w:rPr>
            </w:pPr>
          </w:p>
        </w:tc>
        <w:tc>
          <w:tcPr>
            <w:tcW w:w="0" w:type="auto"/>
            <w:shd w:val="clear" w:color="auto" w:fill="auto"/>
            <w:vAlign w:val="bottom"/>
          </w:tcPr>
          <w:p w14:paraId="4B9A4816" w14:textId="77777777" w:rsidR="002A3970" w:rsidRDefault="002A3970">
            <w:pPr>
              <w:rPr>
                <w:rFonts w:ascii="宋体"/>
                <w:vanish/>
              </w:rPr>
            </w:pPr>
          </w:p>
        </w:tc>
        <w:tc>
          <w:tcPr>
            <w:tcW w:w="0" w:type="auto"/>
            <w:shd w:val="clear" w:color="auto" w:fill="auto"/>
            <w:vAlign w:val="bottom"/>
          </w:tcPr>
          <w:p w14:paraId="4B9A4817" w14:textId="77777777" w:rsidR="002A3970" w:rsidRDefault="002A3970">
            <w:pPr>
              <w:rPr>
                <w:rFonts w:ascii="宋体"/>
                <w:vanish/>
              </w:rPr>
            </w:pPr>
          </w:p>
        </w:tc>
        <w:tc>
          <w:tcPr>
            <w:tcW w:w="5" w:type="pct"/>
            <w:shd w:val="clear" w:color="auto" w:fill="auto"/>
            <w:vAlign w:val="bottom"/>
          </w:tcPr>
          <w:p w14:paraId="4B9A4818" w14:textId="77777777" w:rsidR="002A3970" w:rsidRDefault="002A3970">
            <w:pPr>
              <w:rPr>
                <w:rFonts w:ascii="宋体"/>
              </w:rPr>
            </w:pPr>
          </w:p>
        </w:tc>
        <w:tc>
          <w:tcPr>
            <w:tcW w:w="19" w:type="pct"/>
            <w:shd w:val="clear" w:color="auto" w:fill="auto"/>
            <w:vAlign w:val="bottom"/>
          </w:tcPr>
          <w:p w14:paraId="4B9A4819" w14:textId="77777777" w:rsidR="002A3970" w:rsidRDefault="002A3970">
            <w:pPr>
              <w:rPr>
                <w:rFonts w:ascii="宋体"/>
              </w:rPr>
            </w:pPr>
          </w:p>
        </w:tc>
        <w:tc>
          <w:tcPr>
            <w:tcW w:w="5" w:type="pct"/>
            <w:shd w:val="clear" w:color="auto" w:fill="auto"/>
            <w:vAlign w:val="bottom"/>
          </w:tcPr>
          <w:p w14:paraId="4B9A481A" w14:textId="77777777" w:rsidR="002A3970" w:rsidRDefault="002A3970">
            <w:pPr>
              <w:rPr>
                <w:rFonts w:ascii="宋体"/>
              </w:rPr>
            </w:pPr>
          </w:p>
        </w:tc>
        <w:tc>
          <w:tcPr>
            <w:tcW w:w="50" w:type="pct"/>
            <w:shd w:val="clear" w:color="auto" w:fill="auto"/>
            <w:vAlign w:val="bottom"/>
          </w:tcPr>
          <w:p w14:paraId="4B9A481B" w14:textId="77777777" w:rsidR="002A3970" w:rsidRDefault="002A3970">
            <w:pPr>
              <w:rPr>
                <w:rFonts w:ascii="宋体"/>
              </w:rPr>
            </w:pPr>
          </w:p>
        </w:tc>
        <w:tc>
          <w:tcPr>
            <w:tcW w:w="507" w:type="pct"/>
            <w:shd w:val="clear" w:color="auto" w:fill="auto"/>
            <w:vAlign w:val="bottom"/>
          </w:tcPr>
          <w:p w14:paraId="4B9A481C" w14:textId="77777777" w:rsidR="002A3970" w:rsidRDefault="002A3970">
            <w:pPr>
              <w:rPr>
                <w:rFonts w:ascii="宋体"/>
              </w:rPr>
            </w:pPr>
          </w:p>
        </w:tc>
        <w:tc>
          <w:tcPr>
            <w:tcW w:w="5" w:type="pct"/>
            <w:shd w:val="clear" w:color="auto" w:fill="auto"/>
            <w:vAlign w:val="bottom"/>
          </w:tcPr>
          <w:p w14:paraId="4B9A481D" w14:textId="77777777" w:rsidR="002A3970" w:rsidRDefault="002A3970">
            <w:pPr>
              <w:rPr>
                <w:rFonts w:ascii="宋体"/>
              </w:rPr>
            </w:pPr>
          </w:p>
        </w:tc>
        <w:tc>
          <w:tcPr>
            <w:tcW w:w="5" w:type="pct"/>
            <w:shd w:val="clear" w:color="auto" w:fill="auto"/>
            <w:vAlign w:val="bottom"/>
          </w:tcPr>
          <w:p w14:paraId="4B9A481E" w14:textId="77777777" w:rsidR="002A3970" w:rsidRDefault="002A3970">
            <w:pPr>
              <w:rPr>
                <w:rFonts w:ascii="宋体"/>
              </w:rPr>
            </w:pPr>
          </w:p>
        </w:tc>
        <w:tc>
          <w:tcPr>
            <w:tcW w:w="19" w:type="pct"/>
            <w:shd w:val="clear" w:color="auto" w:fill="auto"/>
            <w:vAlign w:val="bottom"/>
          </w:tcPr>
          <w:p w14:paraId="4B9A481F" w14:textId="77777777" w:rsidR="002A3970" w:rsidRDefault="002A3970">
            <w:pPr>
              <w:rPr>
                <w:rFonts w:ascii="宋体"/>
              </w:rPr>
            </w:pPr>
          </w:p>
        </w:tc>
        <w:tc>
          <w:tcPr>
            <w:tcW w:w="5" w:type="pct"/>
            <w:shd w:val="clear" w:color="auto" w:fill="auto"/>
            <w:vAlign w:val="bottom"/>
          </w:tcPr>
          <w:p w14:paraId="4B9A4820" w14:textId="77777777" w:rsidR="002A3970" w:rsidRDefault="002A3970">
            <w:pPr>
              <w:rPr>
                <w:rFonts w:ascii="宋体"/>
              </w:rPr>
            </w:pPr>
          </w:p>
        </w:tc>
        <w:tc>
          <w:tcPr>
            <w:tcW w:w="50" w:type="pct"/>
            <w:shd w:val="clear" w:color="auto" w:fill="auto"/>
            <w:vAlign w:val="bottom"/>
          </w:tcPr>
          <w:p w14:paraId="4B9A4821" w14:textId="77777777" w:rsidR="002A3970" w:rsidRDefault="002A3970">
            <w:pPr>
              <w:rPr>
                <w:rFonts w:ascii="宋体"/>
              </w:rPr>
            </w:pPr>
          </w:p>
        </w:tc>
        <w:tc>
          <w:tcPr>
            <w:tcW w:w="508" w:type="pct"/>
            <w:shd w:val="clear" w:color="auto" w:fill="auto"/>
            <w:vAlign w:val="bottom"/>
          </w:tcPr>
          <w:p w14:paraId="4B9A4822" w14:textId="77777777" w:rsidR="002A3970" w:rsidRDefault="002A3970">
            <w:pPr>
              <w:rPr>
                <w:rFonts w:ascii="宋体"/>
              </w:rPr>
            </w:pPr>
          </w:p>
        </w:tc>
        <w:tc>
          <w:tcPr>
            <w:tcW w:w="5" w:type="pct"/>
            <w:shd w:val="clear" w:color="auto" w:fill="auto"/>
            <w:vAlign w:val="bottom"/>
          </w:tcPr>
          <w:p w14:paraId="4B9A4823" w14:textId="77777777" w:rsidR="002A3970" w:rsidRDefault="002A3970">
            <w:pPr>
              <w:rPr>
                <w:rFonts w:ascii="宋体"/>
              </w:rPr>
            </w:pPr>
          </w:p>
        </w:tc>
        <w:tc>
          <w:tcPr>
            <w:tcW w:w="0" w:type="auto"/>
            <w:gridSpan w:val="3"/>
            <w:shd w:val="clear" w:color="auto" w:fill="auto"/>
            <w:vAlign w:val="bottom"/>
          </w:tcPr>
          <w:p w14:paraId="4B9A4824" w14:textId="77777777" w:rsidR="002A3970" w:rsidRDefault="002A3970">
            <w:pPr>
              <w:rPr>
                <w:rFonts w:ascii="宋体"/>
                <w:vanish/>
              </w:rPr>
            </w:pPr>
          </w:p>
        </w:tc>
      </w:tr>
      <w:tr w:rsidR="002A3970" w14:paraId="4B9A483A" w14:textId="77777777">
        <w:trPr>
          <w:jc w:val="center"/>
        </w:trPr>
        <w:tc>
          <w:tcPr>
            <w:tcW w:w="0" w:type="auto"/>
            <w:gridSpan w:val="3"/>
            <w:shd w:val="clear" w:color="auto" w:fill="auto"/>
            <w:tcMar>
              <w:top w:w="0" w:type="dxa"/>
              <w:left w:w="20" w:type="dxa"/>
              <w:bottom w:w="0" w:type="dxa"/>
              <w:right w:w="20" w:type="dxa"/>
            </w:tcMar>
            <w:vAlign w:val="bottom"/>
          </w:tcPr>
          <w:p w14:paraId="4B9A4826" w14:textId="77777777" w:rsidR="002A3970" w:rsidRDefault="002A3970">
            <w:pPr>
              <w:rPr>
                <w:rFonts w:ascii="宋体"/>
              </w:rPr>
            </w:pPr>
          </w:p>
        </w:tc>
        <w:tc>
          <w:tcPr>
            <w:tcW w:w="0" w:type="auto"/>
            <w:shd w:val="clear" w:color="auto" w:fill="auto"/>
            <w:vAlign w:val="bottom"/>
          </w:tcPr>
          <w:p w14:paraId="4B9A4827" w14:textId="77777777" w:rsidR="002A3970" w:rsidRDefault="002A3970">
            <w:pPr>
              <w:rPr>
                <w:rFonts w:ascii="宋体"/>
                <w:vanish/>
              </w:rPr>
            </w:pPr>
          </w:p>
        </w:tc>
        <w:tc>
          <w:tcPr>
            <w:tcW w:w="0" w:type="auto"/>
            <w:shd w:val="clear" w:color="auto" w:fill="auto"/>
            <w:vAlign w:val="bottom"/>
          </w:tcPr>
          <w:p w14:paraId="4B9A4828" w14:textId="77777777" w:rsidR="002A3970" w:rsidRDefault="002A3970">
            <w:pPr>
              <w:rPr>
                <w:rFonts w:ascii="宋体"/>
                <w:vanish/>
              </w:rPr>
            </w:pPr>
          </w:p>
        </w:tc>
        <w:tc>
          <w:tcPr>
            <w:tcW w:w="0" w:type="auto"/>
            <w:shd w:val="clear" w:color="auto" w:fill="auto"/>
            <w:tcMar>
              <w:top w:w="0" w:type="dxa"/>
              <w:left w:w="20" w:type="dxa"/>
              <w:bottom w:w="0" w:type="dxa"/>
              <w:right w:w="20" w:type="dxa"/>
            </w:tcMar>
            <w:vAlign w:val="bottom"/>
          </w:tcPr>
          <w:p w14:paraId="4B9A482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center"/>
          </w:tcPr>
          <w:p w14:paraId="4B9A482A" w14:textId="77777777" w:rsidR="002A3970" w:rsidRDefault="00C35E63">
            <w:pPr>
              <w:jc w:val="center"/>
              <w:textAlignment w:val="center"/>
            </w:pPr>
            <w:r>
              <w:rPr>
                <w:rFonts w:ascii="Times New Roman" w:eastAsia="宋体" w:hAnsi="Times New Roman"/>
                <w:b/>
                <w:bCs/>
                <w:color w:val="000000"/>
                <w:sz w:val="16"/>
                <w:szCs w:val="16"/>
              </w:rPr>
              <w:t>Nine</w:t>
            </w:r>
            <w:r>
              <w:rPr>
                <w:rFonts w:ascii="Times New Roman" w:eastAsia="宋体" w:hAnsi="Times New Roman"/>
                <w:b/>
                <w:bCs/>
                <w:color w:val="000000"/>
                <w:sz w:val="16"/>
                <w:szCs w:val="16"/>
              </w:rPr>
              <w:t xml:space="preserve"> Months Ended October 31,</w:t>
            </w:r>
          </w:p>
        </w:tc>
        <w:tc>
          <w:tcPr>
            <w:tcW w:w="0" w:type="auto"/>
            <w:shd w:val="clear" w:color="auto" w:fill="auto"/>
            <w:vAlign w:val="bottom"/>
          </w:tcPr>
          <w:p w14:paraId="4B9A482B" w14:textId="77777777" w:rsidR="002A3970" w:rsidRDefault="002A3970">
            <w:pPr>
              <w:rPr>
                <w:rFonts w:ascii="宋体"/>
              </w:rPr>
            </w:pPr>
          </w:p>
        </w:tc>
        <w:tc>
          <w:tcPr>
            <w:tcW w:w="0" w:type="auto"/>
            <w:shd w:val="clear" w:color="auto" w:fill="auto"/>
            <w:vAlign w:val="bottom"/>
          </w:tcPr>
          <w:p w14:paraId="4B9A482C" w14:textId="77777777" w:rsidR="002A3970" w:rsidRDefault="002A3970">
            <w:pPr>
              <w:rPr>
                <w:rFonts w:ascii="宋体"/>
              </w:rPr>
            </w:pPr>
          </w:p>
        </w:tc>
        <w:tc>
          <w:tcPr>
            <w:tcW w:w="0" w:type="auto"/>
            <w:shd w:val="clear" w:color="auto" w:fill="auto"/>
            <w:vAlign w:val="bottom"/>
          </w:tcPr>
          <w:p w14:paraId="4B9A482D" w14:textId="77777777" w:rsidR="002A3970" w:rsidRDefault="002A3970">
            <w:pPr>
              <w:rPr>
                <w:rFonts w:ascii="宋体"/>
              </w:rPr>
            </w:pPr>
          </w:p>
        </w:tc>
        <w:tc>
          <w:tcPr>
            <w:tcW w:w="0" w:type="auto"/>
            <w:shd w:val="clear" w:color="auto" w:fill="auto"/>
            <w:vAlign w:val="bottom"/>
          </w:tcPr>
          <w:p w14:paraId="4B9A482E" w14:textId="77777777" w:rsidR="002A3970" w:rsidRDefault="002A3970">
            <w:pPr>
              <w:rPr>
                <w:rFonts w:ascii="宋体"/>
              </w:rPr>
            </w:pPr>
          </w:p>
        </w:tc>
        <w:tc>
          <w:tcPr>
            <w:tcW w:w="0" w:type="auto"/>
            <w:shd w:val="clear" w:color="auto" w:fill="auto"/>
            <w:vAlign w:val="bottom"/>
          </w:tcPr>
          <w:p w14:paraId="4B9A482F" w14:textId="77777777" w:rsidR="002A3970" w:rsidRDefault="002A3970">
            <w:pPr>
              <w:rPr>
                <w:rFonts w:ascii="宋体"/>
              </w:rPr>
            </w:pPr>
          </w:p>
        </w:tc>
        <w:tc>
          <w:tcPr>
            <w:tcW w:w="0" w:type="auto"/>
            <w:shd w:val="clear" w:color="auto" w:fill="auto"/>
            <w:vAlign w:val="bottom"/>
          </w:tcPr>
          <w:p w14:paraId="4B9A4830" w14:textId="77777777" w:rsidR="002A3970" w:rsidRDefault="002A3970">
            <w:pPr>
              <w:rPr>
                <w:rFonts w:ascii="宋体"/>
              </w:rPr>
            </w:pPr>
          </w:p>
        </w:tc>
        <w:tc>
          <w:tcPr>
            <w:tcW w:w="0" w:type="auto"/>
            <w:shd w:val="clear" w:color="auto" w:fill="auto"/>
            <w:vAlign w:val="bottom"/>
          </w:tcPr>
          <w:p w14:paraId="4B9A4831" w14:textId="77777777" w:rsidR="002A3970" w:rsidRDefault="002A3970">
            <w:pPr>
              <w:rPr>
                <w:rFonts w:ascii="宋体"/>
              </w:rPr>
            </w:pPr>
          </w:p>
        </w:tc>
        <w:tc>
          <w:tcPr>
            <w:tcW w:w="0" w:type="auto"/>
            <w:shd w:val="clear" w:color="auto" w:fill="auto"/>
            <w:vAlign w:val="bottom"/>
          </w:tcPr>
          <w:p w14:paraId="4B9A4832" w14:textId="77777777" w:rsidR="002A3970" w:rsidRDefault="002A3970">
            <w:pPr>
              <w:rPr>
                <w:rFonts w:ascii="宋体"/>
              </w:rPr>
            </w:pPr>
          </w:p>
        </w:tc>
        <w:tc>
          <w:tcPr>
            <w:tcW w:w="0" w:type="auto"/>
            <w:shd w:val="clear" w:color="auto" w:fill="auto"/>
            <w:vAlign w:val="bottom"/>
          </w:tcPr>
          <w:p w14:paraId="4B9A4833" w14:textId="77777777" w:rsidR="002A3970" w:rsidRDefault="002A3970">
            <w:pPr>
              <w:rPr>
                <w:rFonts w:ascii="宋体"/>
              </w:rPr>
            </w:pPr>
          </w:p>
        </w:tc>
        <w:tc>
          <w:tcPr>
            <w:tcW w:w="0" w:type="auto"/>
            <w:shd w:val="clear" w:color="auto" w:fill="auto"/>
            <w:vAlign w:val="bottom"/>
          </w:tcPr>
          <w:p w14:paraId="4B9A4834" w14:textId="77777777" w:rsidR="002A3970" w:rsidRDefault="002A3970">
            <w:pPr>
              <w:rPr>
                <w:rFonts w:ascii="宋体"/>
              </w:rPr>
            </w:pPr>
          </w:p>
        </w:tc>
        <w:tc>
          <w:tcPr>
            <w:tcW w:w="0" w:type="auto"/>
            <w:shd w:val="clear" w:color="auto" w:fill="auto"/>
            <w:vAlign w:val="bottom"/>
          </w:tcPr>
          <w:p w14:paraId="4B9A4835" w14:textId="77777777" w:rsidR="002A3970" w:rsidRDefault="002A3970">
            <w:pPr>
              <w:rPr>
                <w:rFonts w:ascii="宋体"/>
              </w:rPr>
            </w:pPr>
          </w:p>
        </w:tc>
        <w:tc>
          <w:tcPr>
            <w:tcW w:w="0" w:type="auto"/>
            <w:shd w:val="clear" w:color="auto" w:fill="auto"/>
            <w:vAlign w:val="bottom"/>
          </w:tcPr>
          <w:p w14:paraId="4B9A4836" w14:textId="77777777" w:rsidR="002A3970" w:rsidRDefault="002A3970">
            <w:pPr>
              <w:rPr>
                <w:rFonts w:ascii="宋体"/>
              </w:rPr>
            </w:pPr>
          </w:p>
        </w:tc>
        <w:tc>
          <w:tcPr>
            <w:tcW w:w="0" w:type="auto"/>
            <w:shd w:val="clear" w:color="auto" w:fill="auto"/>
            <w:vAlign w:val="bottom"/>
          </w:tcPr>
          <w:p w14:paraId="4B9A4837" w14:textId="77777777" w:rsidR="002A3970" w:rsidRDefault="002A3970">
            <w:pPr>
              <w:rPr>
                <w:rFonts w:ascii="宋体"/>
              </w:rPr>
            </w:pPr>
          </w:p>
        </w:tc>
        <w:tc>
          <w:tcPr>
            <w:tcW w:w="0" w:type="auto"/>
            <w:shd w:val="clear" w:color="auto" w:fill="auto"/>
            <w:vAlign w:val="bottom"/>
          </w:tcPr>
          <w:p w14:paraId="4B9A4838" w14:textId="77777777" w:rsidR="002A3970" w:rsidRDefault="002A3970">
            <w:pPr>
              <w:rPr>
                <w:rFonts w:ascii="宋体"/>
              </w:rPr>
            </w:pPr>
          </w:p>
        </w:tc>
        <w:tc>
          <w:tcPr>
            <w:tcW w:w="0" w:type="auto"/>
            <w:shd w:val="clear" w:color="auto" w:fill="auto"/>
            <w:vAlign w:val="bottom"/>
          </w:tcPr>
          <w:p w14:paraId="4B9A4839" w14:textId="77777777" w:rsidR="002A3970" w:rsidRDefault="002A3970">
            <w:pPr>
              <w:rPr>
                <w:rFonts w:ascii="宋体"/>
              </w:rPr>
            </w:pPr>
          </w:p>
        </w:tc>
      </w:tr>
      <w:tr w:rsidR="002A3970" w14:paraId="4B9A4847" w14:textId="77777777">
        <w:trPr>
          <w:jc w:val="center"/>
        </w:trPr>
        <w:tc>
          <w:tcPr>
            <w:tcW w:w="0" w:type="auto"/>
            <w:gridSpan w:val="3"/>
            <w:shd w:val="clear" w:color="auto" w:fill="auto"/>
            <w:tcMar>
              <w:top w:w="40" w:type="dxa"/>
              <w:left w:w="20" w:type="dxa"/>
              <w:bottom w:w="40" w:type="dxa"/>
              <w:right w:w="20" w:type="dxa"/>
            </w:tcMar>
            <w:vAlign w:val="center"/>
          </w:tcPr>
          <w:p w14:paraId="4B9A483B" w14:textId="77777777" w:rsidR="002A3970" w:rsidRDefault="00C35E63">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4B9A483C" w14:textId="77777777" w:rsidR="002A3970" w:rsidRDefault="002A3970">
            <w:pPr>
              <w:rPr>
                <w:rFonts w:ascii="宋体"/>
                <w:vanish/>
              </w:rPr>
            </w:pPr>
          </w:p>
        </w:tc>
        <w:tc>
          <w:tcPr>
            <w:tcW w:w="0" w:type="auto"/>
            <w:shd w:val="clear" w:color="auto" w:fill="auto"/>
            <w:vAlign w:val="bottom"/>
          </w:tcPr>
          <w:p w14:paraId="4B9A483D" w14:textId="77777777" w:rsidR="002A3970" w:rsidRDefault="002A3970">
            <w:pPr>
              <w:rPr>
                <w:rFonts w:ascii="宋体"/>
                <w:vanish/>
              </w:rPr>
            </w:pPr>
          </w:p>
        </w:tc>
        <w:tc>
          <w:tcPr>
            <w:tcW w:w="0" w:type="auto"/>
            <w:shd w:val="clear" w:color="auto" w:fill="auto"/>
            <w:vAlign w:val="bottom"/>
          </w:tcPr>
          <w:p w14:paraId="4B9A483E" w14:textId="77777777" w:rsidR="002A3970" w:rsidRDefault="002A3970">
            <w:pPr>
              <w:rPr>
                <w:rFonts w:ascii="宋体"/>
                <w:vanish/>
              </w:rPr>
            </w:pPr>
          </w:p>
        </w:tc>
        <w:tc>
          <w:tcPr>
            <w:tcW w:w="0" w:type="auto"/>
            <w:shd w:val="clear" w:color="auto" w:fill="auto"/>
            <w:vAlign w:val="bottom"/>
          </w:tcPr>
          <w:p w14:paraId="4B9A483F" w14:textId="77777777" w:rsidR="002A3970" w:rsidRDefault="002A3970">
            <w:pPr>
              <w:rPr>
                <w:rFonts w:ascii="宋体"/>
                <w:vanish/>
              </w:rPr>
            </w:pPr>
          </w:p>
        </w:tc>
        <w:tc>
          <w:tcPr>
            <w:tcW w:w="0" w:type="auto"/>
            <w:shd w:val="clear" w:color="auto" w:fill="auto"/>
            <w:vAlign w:val="bottom"/>
          </w:tcPr>
          <w:p w14:paraId="4B9A4840" w14:textId="77777777" w:rsidR="002A3970" w:rsidRDefault="002A3970">
            <w:pPr>
              <w:rPr>
                <w:rFonts w:ascii="宋体"/>
                <w:vanish/>
              </w:rPr>
            </w:pPr>
          </w:p>
        </w:tc>
        <w:tc>
          <w:tcPr>
            <w:tcW w:w="0" w:type="auto"/>
            <w:shd w:val="clear" w:color="auto" w:fill="auto"/>
            <w:vAlign w:val="bottom"/>
          </w:tcPr>
          <w:p w14:paraId="4B9A4841" w14:textId="77777777" w:rsidR="002A3970" w:rsidRDefault="002A3970">
            <w:pPr>
              <w:rPr>
                <w:rFonts w:ascii="宋体"/>
                <w:vanish/>
              </w:rPr>
            </w:pPr>
          </w:p>
        </w:tc>
        <w:tc>
          <w:tcPr>
            <w:tcW w:w="0" w:type="auto"/>
            <w:gridSpan w:val="3"/>
            <w:shd w:val="clear" w:color="auto" w:fill="auto"/>
            <w:tcMar>
              <w:top w:w="0" w:type="dxa"/>
              <w:left w:w="20" w:type="dxa"/>
              <w:bottom w:w="0" w:type="dxa"/>
              <w:right w:w="20" w:type="dxa"/>
            </w:tcMar>
            <w:vAlign w:val="bottom"/>
          </w:tcPr>
          <w:p w14:paraId="4B9A4842"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843"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844"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845" w14:textId="77777777" w:rsidR="002A3970" w:rsidRDefault="00C35E63">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vAlign w:val="bottom"/>
          </w:tcPr>
          <w:p w14:paraId="4B9A4846" w14:textId="77777777" w:rsidR="002A3970" w:rsidRDefault="002A3970">
            <w:pPr>
              <w:rPr>
                <w:rFonts w:ascii="宋体"/>
                <w:vanish/>
              </w:rPr>
            </w:pPr>
          </w:p>
        </w:tc>
      </w:tr>
      <w:tr w:rsidR="002A3970" w14:paraId="4B9A4858" w14:textId="77777777">
        <w:trPr>
          <w:jc w:val="center"/>
        </w:trPr>
        <w:tc>
          <w:tcPr>
            <w:tcW w:w="0" w:type="auto"/>
            <w:gridSpan w:val="3"/>
            <w:shd w:val="clear" w:color="auto" w:fill="CCEEFF"/>
            <w:tcMar>
              <w:top w:w="40" w:type="dxa"/>
              <w:left w:w="20" w:type="dxa"/>
              <w:bottom w:w="40" w:type="dxa"/>
              <w:right w:w="20" w:type="dxa"/>
            </w:tcMar>
            <w:vAlign w:val="center"/>
          </w:tcPr>
          <w:p w14:paraId="4B9A4848" w14:textId="77777777" w:rsidR="002A3970" w:rsidRDefault="00C35E63">
            <w:pPr>
              <w:textAlignment w:val="center"/>
            </w:pPr>
            <w:r>
              <w:rPr>
                <w:rFonts w:ascii="Times New Roman" w:eastAsia="宋体" w:hAnsi="Times New Roman"/>
                <w:color w:val="000000"/>
                <w:sz w:val="16"/>
                <w:szCs w:val="16"/>
              </w:rPr>
              <w:t>Net cash provided by operating activities</w:t>
            </w:r>
          </w:p>
        </w:tc>
        <w:tc>
          <w:tcPr>
            <w:tcW w:w="0" w:type="auto"/>
            <w:shd w:val="clear" w:color="auto" w:fill="auto"/>
            <w:vAlign w:val="bottom"/>
          </w:tcPr>
          <w:p w14:paraId="4B9A4849" w14:textId="77777777" w:rsidR="002A3970" w:rsidRDefault="002A3970">
            <w:pPr>
              <w:rPr>
                <w:rFonts w:ascii="宋体"/>
                <w:vanish/>
              </w:rPr>
            </w:pPr>
          </w:p>
        </w:tc>
        <w:tc>
          <w:tcPr>
            <w:tcW w:w="0" w:type="auto"/>
            <w:shd w:val="clear" w:color="auto" w:fill="auto"/>
            <w:vAlign w:val="bottom"/>
          </w:tcPr>
          <w:p w14:paraId="4B9A484A" w14:textId="77777777" w:rsidR="002A3970" w:rsidRDefault="002A3970">
            <w:pPr>
              <w:rPr>
                <w:rFonts w:ascii="宋体"/>
                <w:vanish/>
              </w:rPr>
            </w:pPr>
          </w:p>
        </w:tc>
        <w:tc>
          <w:tcPr>
            <w:tcW w:w="0" w:type="auto"/>
            <w:shd w:val="clear" w:color="auto" w:fill="auto"/>
            <w:vAlign w:val="bottom"/>
          </w:tcPr>
          <w:p w14:paraId="4B9A484B" w14:textId="77777777" w:rsidR="002A3970" w:rsidRDefault="002A3970">
            <w:pPr>
              <w:rPr>
                <w:rFonts w:ascii="宋体"/>
                <w:vanish/>
              </w:rPr>
            </w:pPr>
          </w:p>
        </w:tc>
        <w:tc>
          <w:tcPr>
            <w:tcW w:w="0" w:type="auto"/>
            <w:shd w:val="clear" w:color="auto" w:fill="auto"/>
            <w:vAlign w:val="bottom"/>
          </w:tcPr>
          <w:p w14:paraId="4B9A484C" w14:textId="77777777" w:rsidR="002A3970" w:rsidRDefault="002A3970">
            <w:pPr>
              <w:rPr>
                <w:rFonts w:ascii="宋体"/>
                <w:vanish/>
              </w:rPr>
            </w:pPr>
          </w:p>
        </w:tc>
        <w:tc>
          <w:tcPr>
            <w:tcW w:w="0" w:type="auto"/>
            <w:shd w:val="clear" w:color="auto" w:fill="auto"/>
            <w:vAlign w:val="bottom"/>
          </w:tcPr>
          <w:p w14:paraId="4B9A484D" w14:textId="77777777" w:rsidR="002A3970" w:rsidRDefault="002A3970">
            <w:pPr>
              <w:rPr>
                <w:rFonts w:ascii="宋体"/>
                <w:vanish/>
              </w:rPr>
            </w:pPr>
          </w:p>
        </w:tc>
        <w:tc>
          <w:tcPr>
            <w:tcW w:w="0" w:type="auto"/>
            <w:shd w:val="clear" w:color="auto" w:fill="auto"/>
            <w:vAlign w:val="bottom"/>
          </w:tcPr>
          <w:p w14:paraId="4B9A484E" w14:textId="77777777" w:rsidR="002A3970" w:rsidRDefault="002A3970">
            <w:pPr>
              <w:rPr>
                <w:rFonts w:ascii="宋体"/>
                <w:vanish/>
              </w:rPr>
            </w:pPr>
          </w:p>
        </w:tc>
        <w:tc>
          <w:tcPr>
            <w:tcW w:w="0" w:type="auto"/>
            <w:gridSpan w:val="3"/>
            <w:shd w:val="clear" w:color="auto" w:fill="CCEEFF"/>
            <w:tcMar>
              <w:top w:w="0" w:type="dxa"/>
              <w:left w:w="20" w:type="dxa"/>
              <w:bottom w:w="0" w:type="dxa"/>
              <w:right w:w="20" w:type="dxa"/>
            </w:tcMar>
            <w:vAlign w:val="bottom"/>
          </w:tcPr>
          <w:p w14:paraId="4B9A484F"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850"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851" w14:textId="77777777" w:rsidR="002A3970" w:rsidRDefault="00C35E63">
            <w:pPr>
              <w:jc w:val="right"/>
              <w:textAlignment w:val="center"/>
            </w:pPr>
            <w:r>
              <w:rPr>
                <w:rFonts w:ascii="Times New Roman" w:eastAsia="宋体" w:hAnsi="Times New Roman"/>
                <w:color w:val="000000"/>
                <w:sz w:val="16"/>
                <w:szCs w:val="16"/>
              </w:rPr>
              <w:t>15,698 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852"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853"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854"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855" w14:textId="77777777" w:rsidR="002A3970" w:rsidRDefault="00C35E63">
            <w:pPr>
              <w:jc w:val="right"/>
              <w:textAlignment w:val="center"/>
            </w:pPr>
            <w:r>
              <w:rPr>
                <w:rFonts w:ascii="Times New Roman" w:eastAsia="宋体" w:hAnsi="Times New Roman"/>
                <w:color w:val="000000"/>
                <w:sz w:val="16"/>
                <w:szCs w:val="16"/>
              </w:rPr>
              <w:t>16,291 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856" w14:textId="77777777" w:rsidR="002A3970" w:rsidRDefault="002A3970">
            <w:pPr>
              <w:jc w:val="right"/>
              <w:rPr>
                <w:rFonts w:ascii="宋体"/>
              </w:rPr>
            </w:pPr>
          </w:p>
        </w:tc>
        <w:tc>
          <w:tcPr>
            <w:tcW w:w="0" w:type="auto"/>
            <w:gridSpan w:val="3"/>
            <w:shd w:val="clear" w:color="auto" w:fill="auto"/>
            <w:vAlign w:val="bottom"/>
          </w:tcPr>
          <w:p w14:paraId="4B9A4857" w14:textId="77777777" w:rsidR="002A3970" w:rsidRDefault="002A3970">
            <w:pPr>
              <w:rPr>
                <w:rFonts w:ascii="宋体"/>
                <w:vanish/>
              </w:rPr>
            </w:pPr>
          </w:p>
        </w:tc>
      </w:tr>
    </w:tbl>
    <w:p w14:paraId="4B9A4859" w14:textId="77777777" w:rsidR="002A3970" w:rsidRDefault="00C35E63">
      <w:pPr>
        <w:spacing w:before="60"/>
      </w:pPr>
      <w:r>
        <w:rPr>
          <w:rFonts w:ascii="Times New Roman" w:eastAsia="宋体" w:hAnsi="Times New Roman"/>
          <w:color w:val="000000"/>
          <w:sz w:val="20"/>
          <w:szCs w:val="20"/>
        </w:rPr>
        <w:t>Net cash provided by operating activities was $15.7 billion as compared to $16.3 billion for the nine months ended October 31, 2022 and 2021, respectively. The decline is primarily due to the timing of certain payments and a d</w:t>
      </w:r>
      <w:r>
        <w:rPr>
          <w:rFonts w:ascii="Times New Roman" w:eastAsia="宋体" w:hAnsi="Times New Roman"/>
          <w:color w:val="000000"/>
          <w:sz w:val="20"/>
          <w:szCs w:val="20"/>
        </w:rPr>
        <w:t>ecrease in operating income, partially offset by moderated inventory purchases.</w:t>
      </w:r>
    </w:p>
    <w:p w14:paraId="4B9A485A" w14:textId="77777777" w:rsidR="002A3970" w:rsidRDefault="00C35E63">
      <w:pPr>
        <w:spacing w:before="180"/>
      </w:pPr>
      <w:r>
        <w:rPr>
          <w:rFonts w:ascii="Times New Roman" w:eastAsia="宋体" w:hAnsi="Times New Roman"/>
          <w:i/>
          <w:iCs/>
          <w:color w:val="000000"/>
          <w:sz w:val="20"/>
          <w:szCs w:val="20"/>
        </w:rPr>
        <w:t xml:space="preserve">Cash Equivalents and Working Capital Deficit </w:t>
      </w:r>
    </w:p>
    <w:p w14:paraId="4B9A485B" w14:textId="77777777" w:rsidR="002A3970" w:rsidRDefault="00C35E63">
      <w:pPr>
        <w:spacing w:before="100"/>
      </w:pPr>
      <w:r>
        <w:rPr>
          <w:rFonts w:ascii="Times New Roman" w:eastAsia="宋体" w:hAnsi="Times New Roman"/>
          <w:color w:val="000000"/>
          <w:sz w:val="20"/>
          <w:szCs w:val="20"/>
        </w:rPr>
        <w:t>Cash and cash equivalents were $11.6 billion and $16.1 billion at October 31, 2022 and 2021, respectively. Our working capital def</w:t>
      </w:r>
      <w:r>
        <w:rPr>
          <w:rFonts w:ascii="Times New Roman" w:eastAsia="宋体" w:hAnsi="Times New Roman"/>
          <w:color w:val="000000"/>
          <w:sz w:val="20"/>
          <w:szCs w:val="20"/>
        </w:rPr>
        <w:t>icit was $13.7 billion as of October 31, 2022, which increased when compared to the $4.7 billion working capital deficit as of October 31, 2021, primarily driven by an increase in short-term borrowings and current maturities of long-term debt, a decrease i</w:t>
      </w:r>
      <w:r>
        <w:rPr>
          <w:rFonts w:ascii="Times New Roman" w:eastAsia="宋体" w:hAnsi="Times New Roman"/>
          <w:color w:val="000000"/>
          <w:sz w:val="20"/>
          <w:szCs w:val="20"/>
        </w:rPr>
        <w:t>n cash and cash equivalents and an increase in accrued liabilities, partially offset by an increase in inventory. We generally operate with a working capital deficit due to our efficient use of cash in funding operations, consistent access to the capital m</w:t>
      </w:r>
      <w:r>
        <w:rPr>
          <w:rFonts w:ascii="Times New Roman" w:eastAsia="宋体" w:hAnsi="Times New Roman"/>
          <w:color w:val="000000"/>
          <w:sz w:val="20"/>
          <w:szCs w:val="20"/>
        </w:rPr>
        <w:t xml:space="preserve">arkets and returns provided to our shareholders in the form of payments of cash dividends and share repurchases. </w:t>
      </w:r>
    </w:p>
    <w:p w14:paraId="4B9A485C" w14:textId="77777777" w:rsidR="002A3970" w:rsidRDefault="00C35E63">
      <w:pPr>
        <w:spacing w:before="100"/>
      </w:pPr>
      <w:r>
        <w:rPr>
          <w:rFonts w:ascii="Times New Roman" w:eastAsia="宋体" w:hAnsi="Times New Roman"/>
          <w:color w:val="000000"/>
          <w:sz w:val="20"/>
          <w:szCs w:val="20"/>
        </w:rPr>
        <w:t>As of October 31, 2022 and January 31, 2022, cash and cash equivalents of $3.8 billion and $4.3 billion, respectively, may not be freely transferable to the U.S. due to local laws or other restrictions or are subject to the approval of the noncontrolling i</w:t>
      </w:r>
      <w:r>
        <w:rPr>
          <w:rFonts w:ascii="Times New Roman" w:eastAsia="宋体" w:hAnsi="Times New Roman"/>
          <w:color w:val="000000"/>
          <w:sz w:val="20"/>
          <w:szCs w:val="20"/>
        </w:rPr>
        <w:t xml:space="preserve">nterest shareholders. </w:t>
      </w:r>
    </w:p>
    <w:p w14:paraId="4B9A485D" w14:textId="77777777" w:rsidR="002A3970" w:rsidRDefault="00C35E63">
      <w:pPr>
        <w:spacing w:before="180"/>
      </w:pPr>
      <w:r>
        <w:rPr>
          <w:rFonts w:ascii="Times New Roman" w:eastAsia="宋体" w:hAnsi="Times New Roman"/>
          <w:b/>
          <w:bCs/>
          <w:i/>
          <w:iCs/>
          <w:color w:val="000000"/>
          <w:sz w:val="20"/>
          <w:szCs w:val="20"/>
        </w:rPr>
        <w:t>Net Cash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04"/>
        <w:gridCol w:w="36"/>
        <w:gridCol w:w="36"/>
        <w:gridCol w:w="36"/>
        <w:gridCol w:w="46"/>
        <w:gridCol w:w="36"/>
        <w:gridCol w:w="36"/>
        <w:gridCol w:w="36"/>
        <w:gridCol w:w="36"/>
        <w:gridCol w:w="100"/>
        <w:gridCol w:w="740"/>
        <w:gridCol w:w="36"/>
        <w:gridCol w:w="36"/>
        <w:gridCol w:w="36"/>
        <w:gridCol w:w="36"/>
        <w:gridCol w:w="100"/>
        <w:gridCol w:w="761"/>
        <w:gridCol w:w="36"/>
        <w:gridCol w:w="36"/>
        <w:gridCol w:w="36"/>
        <w:gridCol w:w="36"/>
        <w:gridCol w:w="36"/>
        <w:gridCol w:w="36"/>
        <w:gridCol w:w="36"/>
      </w:tblGrid>
      <w:tr w:rsidR="002A3970" w14:paraId="4B9A4873" w14:textId="77777777">
        <w:trPr>
          <w:jc w:val="center"/>
        </w:trPr>
        <w:tc>
          <w:tcPr>
            <w:tcW w:w="50" w:type="pct"/>
            <w:shd w:val="clear" w:color="auto" w:fill="auto"/>
            <w:vAlign w:val="bottom"/>
          </w:tcPr>
          <w:p w14:paraId="4B9A485E" w14:textId="77777777" w:rsidR="002A3970" w:rsidRDefault="002A3970">
            <w:pPr>
              <w:rPr>
                <w:rFonts w:ascii="宋体"/>
              </w:rPr>
            </w:pPr>
          </w:p>
        </w:tc>
        <w:tc>
          <w:tcPr>
            <w:tcW w:w="3738" w:type="pct"/>
            <w:shd w:val="clear" w:color="auto" w:fill="auto"/>
            <w:vAlign w:val="bottom"/>
          </w:tcPr>
          <w:p w14:paraId="4B9A485F" w14:textId="77777777" w:rsidR="002A3970" w:rsidRDefault="002A3970">
            <w:pPr>
              <w:rPr>
                <w:rFonts w:ascii="宋体"/>
              </w:rPr>
            </w:pPr>
          </w:p>
        </w:tc>
        <w:tc>
          <w:tcPr>
            <w:tcW w:w="5" w:type="pct"/>
            <w:shd w:val="clear" w:color="auto" w:fill="auto"/>
            <w:vAlign w:val="bottom"/>
          </w:tcPr>
          <w:p w14:paraId="4B9A4860" w14:textId="77777777" w:rsidR="002A3970" w:rsidRDefault="002A3970">
            <w:pPr>
              <w:rPr>
                <w:rFonts w:ascii="宋体"/>
              </w:rPr>
            </w:pPr>
          </w:p>
        </w:tc>
        <w:tc>
          <w:tcPr>
            <w:tcW w:w="0" w:type="auto"/>
            <w:shd w:val="clear" w:color="auto" w:fill="auto"/>
            <w:vAlign w:val="bottom"/>
          </w:tcPr>
          <w:p w14:paraId="4B9A4861" w14:textId="77777777" w:rsidR="002A3970" w:rsidRDefault="002A3970">
            <w:pPr>
              <w:rPr>
                <w:rFonts w:ascii="宋体"/>
                <w:vanish/>
              </w:rPr>
            </w:pPr>
          </w:p>
        </w:tc>
        <w:tc>
          <w:tcPr>
            <w:tcW w:w="0" w:type="auto"/>
            <w:shd w:val="clear" w:color="auto" w:fill="auto"/>
            <w:vAlign w:val="bottom"/>
          </w:tcPr>
          <w:p w14:paraId="4B9A4862" w14:textId="77777777" w:rsidR="002A3970" w:rsidRDefault="002A3970">
            <w:pPr>
              <w:rPr>
                <w:rFonts w:ascii="宋体"/>
                <w:vanish/>
              </w:rPr>
            </w:pPr>
          </w:p>
        </w:tc>
        <w:tc>
          <w:tcPr>
            <w:tcW w:w="0" w:type="auto"/>
            <w:shd w:val="clear" w:color="auto" w:fill="auto"/>
            <w:vAlign w:val="bottom"/>
          </w:tcPr>
          <w:p w14:paraId="4B9A4863" w14:textId="77777777" w:rsidR="002A3970" w:rsidRDefault="002A3970">
            <w:pPr>
              <w:rPr>
                <w:rFonts w:ascii="宋体"/>
                <w:vanish/>
              </w:rPr>
            </w:pPr>
          </w:p>
        </w:tc>
        <w:tc>
          <w:tcPr>
            <w:tcW w:w="0" w:type="auto"/>
            <w:shd w:val="clear" w:color="auto" w:fill="auto"/>
            <w:vAlign w:val="bottom"/>
          </w:tcPr>
          <w:p w14:paraId="4B9A4864" w14:textId="77777777" w:rsidR="002A3970" w:rsidRDefault="002A3970">
            <w:pPr>
              <w:rPr>
                <w:rFonts w:ascii="宋体"/>
                <w:vanish/>
              </w:rPr>
            </w:pPr>
          </w:p>
        </w:tc>
        <w:tc>
          <w:tcPr>
            <w:tcW w:w="5" w:type="pct"/>
            <w:shd w:val="clear" w:color="auto" w:fill="auto"/>
            <w:vAlign w:val="bottom"/>
          </w:tcPr>
          <w:p w14:paraId="4B9A4865" w14:textId="77777777" w:rsidR="002A3970" w:rsidRDefault="002A3970">
            <w:pPr>
              <w:rPr>
                <w:rFonts w:ascii="宋体"/>
              </w:rPr>
            </w:pPr>
          </w:p>
        </w:tc>
        <w:tc>
          <w:tcPr>
            <w:tcW w:w="41" w:type="pct"/>
            <w:shd w:val="clear" w:color="auto" w:fill="auto"/>
            <w:vAlign w:val="bottom"/>
          </w:tcPr>
          <w:p w14:paraId="4B9A4866" w14:textId="77777777" w:rsidR="002A3970" w:rsidRDefault="002A3970">
            <w:pPr>
              <w:rPr>
                <w:rFonts w:ascii="宋体"/>
              </w:rPr>
            </w:pPr>
          </w:p>
        </w:tc>
        <w:tc>
          <w:tcPr>
            <w:tcW w:w="5" w:type="pct"/>
            <w:shd w:val="clear" w:color="auto" w:fill="auto"/>
            <w:vAlign w:val="bottom"/>
          </w:tcPr>
          <w:p w14:paraId="4B9A4867" w14:textId="77777777" w:rsidR="002A3970" w:rsidRDefault="002A3970">
            <w:pPr>
              <w:rPr>
                <w:rFonts w:ascii="宋体"/>
              </w:rPr>
            </w:pPr>
          </w:p>
        </w:tc>
        <w:tc>
          <w:tcPr>
            <w:tcW w:w="50" w:type="pct"/>
            <w:shd w:val="clear" w:color="auto" w:fill="auto"/>
            <w:vAlign w:val="bottom"/>
          </w:tcPr>
          <w:p w14:paraId="4B9A4868" w14:textId="77777777" w:rsidR="002A3970" w:rsidRDefault="002A3970">
            <w:pPr>
              <w:rPr>
                <w:rFonts w:ascii="宋体"/>
              </w:rPr>
            </w:pPr>
          </w:p>
        </w:tc>
        <w:tc>
          <w:tcPr>
            <w:tcW w:w="507" w:type="pct"/>
            <w:shd w:val="clear" w:color="auto" w:fill="auto"/>
            <w:vAlign w:val="bottom"/>
          </w:tcPr>
          <w:p w14:paraId="4B9A4869" w14:textId="77777777" w:rsidR="002A3970" w:rsidRDefault="002A3970">
            <w:pPr>
              <w:rPr>
                <w:rFonts w:ascii="宋体"/>
              </w:rPr>
            </w:pPr>
          </w:p>
        </w:tc>
        <w:tc>
          <w:tcPr>
            <w:tcW w:w="5" w:type="pct"/>
            <w:shd w:val="clear" w:color="auto" w:fill="auto"/>
            <w:vAlign w:val="bottom"/>
          </w:tcPr>
          <w:p w14:paraId="4B9A486A" w14:textId="77777777" w:rsidR="002A3970" w:rsidRDefault="002A3970">
            <w:pPr>
              <w:rPr>
                <w:rFonts w:ascii="宋体"/>
              </w:rPr>
            </w:pPr>
          </w:p>
        </w:tc>
        <w:tc>
          <w:tcPr>
            <w:tcW w:w="5" w:type="pct"/>
            <w:shd w:val="clear" w:color="auto" w:fill="auto"/>
            <w:vAlign w:val="bottom"/>
          </w:tcPr>
          <w:p w14:paraId="4B9A486B" w14:textId="77777777" w:rsidR="002A3970" w:rsidRDefault="002A3970">
            <w:pPr>
              <w:rPr>
                <w:rFonts w:ascii="宋体"/>
              </w:rPr>
            </w:pPr>
          </w:p>
        </w:tc>
        <w:tc>
          <w:tcPr>
            <w:tcW w:w="19" w:type="pct"/>
            <w:shd w:val="clear" w:color="auto" w:fill="auto"/>
            <w:vAlign w:val="bottom"/>
          </w:tcPr>
          <w:p w14:paraId="4B9A486C" w14:textId="77777777" w:rsidR="002A3970" w:rsidRDefault="002A3970">
            <w:pPr>
              <w:rPr>
                <w:rFonts w:ascii="宋体"/>
              </w:rPr>
            </w:pPr>
          </w:p>
        </w:tc>
        <w:tc>
          <w:tcPr>
            <w:tcW w:w="5" w:type="pct"/>
            <w:shd w:val="clear" w:color="auto" w:fill="auto"/>
            <w:vAlign w:val="bottom"/>
          </w:tcPr>
          <w:p w14:paraId="4B9A486D" w14:textId="77777777" w:rsidR="002A3970" w:rsidRDefault="002A3970">
            <w:pPr>
              <w:rPr>
                <w:rFonts w:ascii="宋体"/>
              </w:rPr>
            </w:pPr>
          </w:p>
        </w:tc>
        <w:tc>
          <w:tcPr>
            <w:tcW w:w="50" w:type="pct"/>
            <w:shd w:val="clear" w:color="auto" w:fill="auto"/>
            <w:vAlign w:val="bottom"/>
          </w:tcPr>
          <w:p w14:paraId="4B9A486E" w14:textId="77777777" w:rsidR="002A3970" w:rsidRDefault="002A3970">
            <w:pPr>
              <w:rPr>
                <w:rFonts w:ascii="宋体"/>
              </w:rPr>
            </w:pPr>
          </w:p>
        </w:tc>
        <w:tc>
          <w:tcPr>
            <w:tcW w:w="507" w:type="pct"/>
            <w:shd w:val="clear" w:color="auto" w:fill="auto"/>
            <w:vAlign w:val="bottom"/>
          </w:tcPr>
          <w:p w14:paraId="4B9A486F" w14:textId="77777777" w:rsidR="002A3970" w:rsidRDefault="002A3970">
            <w:pPr>
              <w:rPr>
                <w:rFonts w:ascii="宋体"/>
              </w:rPr>
            </w:pPr>
          </w:p>
        </w:tc>
        <w:tc>
          <w:tcPr>
            <w:tcW w:w="5" w:type="pct"/>
            <w:shd w:val="clear" w:color="auto" w:fill="auto"/>
            <w:vAlign w:val="bottom"/>
          </w:tcPr>
          <w:p w14:paraId="4B9A4870" w14:textId="77777777" w:rsidR="002A3970" w:rsidRDefault="002A3970">
            <w:pPr>
              <w:rPr>
                <w:rFonts w:ascii="宋体"/>
              </w:rPr>
            </w:pPr>
          </w:p>
        </w:tc>
        <w:tc>
          <w:tcPr>
            <w:tcW w:w="0" w:type="auto"/>
            <w:gridSpan w:val="3"/>
            <w:shd w:val="clear" w:color="auto" w:fill="auto"/>
            <w:vAlign w:val="bottom"/>
          </w:tcPr>
          <w:p w14:paraId="4B9A4871" w14:textId="77777777" w:rsidR="002A3970" w:rsidRDefault="002A3970">
            <w:pPr>
              <w:rPr>
                <w:rFonts w:ascii="宋体"/>
                <w:vanish/>
              </w:rPr>
            </w:pPr>
          </w:p>
        </w:tc>
        <w:tc>
          <w:tcPr>
            <w:tcW w:w="0" w:type="auto"/>
            <w:gridSpan w:val="3"/>
            <w:shd w:val="clear" w:color="auto" w:fill="auto"/>
            <w:vAlign w:val="bottom"/>
          </w:tcPr>
          <w:p w14:paraId="4B9A4872" w14:textId="77777777" w:rsidR="002A3970" w:rsidRDefault="002A3970">
            <w:pPr>
              <w:rPr>
                <w:rFonts w:ascii="宋体"/>
                <w:vanish/>
              </w:rPr>
            </w:pPr>
          </w:p>
        </w:tc>
      </w:tr>
      <w:tr w:rsidR="002A3970" w14:paraId="4B9A4883" w14:textId="77777777">
        <w:trPr>
          <w:jc w:val="center"/>
        </w:trPr>
        <w:tc>
          <w:tcPr>
            <w:tcW w:w="0" w:type="auto"/>
            <w:gridSpan w:val="3"/>
            <w:shd w:val="clear" w:color="auto" w:fill="auto"/>
            <w:tcMar>
              <w:top w:w="40" w:type="dxa"/>
              <w:left w:w="20" w:type="dxa"/>
              <w:bottom w:w="40" w:type="dxa"/>
              <w:right w:w="20" w:type="dxa"/>
            </w:tcMar>
            <w:vAlign w:val="center"/>
          </w:tcPr>
          <w:p w14:paraId="4B9A4874" w14:textId="77777777" w:rsidR="002A3970" w:rsidRDefault="00C35E63">
            <w:pPr>
              <w:textAlignment w:val="center"/>
            </w:pPr>
            <w:r>
              <w:rPr>
                <w:rFonts w:ascii="Times New Roman" w:eastAsia="宋体" w:hAnsi="Times New Roman"/>
                <w:color w:val="000000"/>
                <w:sz w:val="16"/>
                <w:szCs w:val="16"/>
              </w:rPr>
              <w:t> </w:t>
            </w:r>
          </w:p>
        </w:tc>
        <w:tc>
          <w:tcPr>
            <w:tcW w:w="0" w:type="auto"/>
            <w:shd w:val="clear" w:color="auto" w:fill="auto"/>
            <w:vAlign w:val="bottom"/>
          </w:tcPr>
          <w:p w14:paraId="4B9A4875" w14:textId="77777777" w:rsidR="002A3970" w:rsidRDefault="002A3970">
            <w:pPr>
              <w:rPr>
                <w:rFonts w:ascii="宋体"/>
                <w:vanish/>
              </w:rPr>
            </w:pPr>
          </w:p>
        </w:tc>
        <w:tc>
          <w:tcPr>
            <w:tcW w:w="0" w:type="auto"/>
            <w:shd w:val="clear" w:color="auto" w:fill="auto"/>
            <w:vAlign w:val="bottom"/>
          </w:tcPr>
          <w:p w14:paraId="4B9A4876" w14:textId="77777777" w:rsidR="002A3970" w:rsidRDefault="002A3970">
            <w:pPr>
              <w:rPr>
                <w:rFonts w:ascii="宋体"/>
                <w:vanish/>
              </w:rPr>
            </w:pPr>
          </w:p>
        </w:tc>
        <w:tc>
          <w:tcPr>
            <w:tcW w:w="0" w:type="auto"/>
            <w:shd w:val="clear" w:color="auto" w:fill="auto"/>
            <w:tcMar>
              <w:top w:w="0" w:type="dxa"/>
              <w:left w:w="20" w:type="dxa"/>
              <w:bottom w:w="0" w:type="dxa"/>
              <w:right w:w="20" w:type="dxa"/>
            </w:tcMar>
            <w:vAlign w:val="bottom"/>
          </w:tcPr>
          <w:p w14:paraId="4B9A4877" w14:textId="77777777" w:rsidR="002A3970" w:rsidRDefault="002A3970">
            <w:pPr>
              <w:rPr>
                <w:rFonts w:ascii="宋体"/>
              </w:rPr>
            </w:pPr>
          </w:p>
        </w:tc>
        <w:tc>
          <w:tcPr>
            <w:tcW w:w="0" w:type="auto"/>
            <w:gridSpan w:val="7"/>
            <w:shd w:val="clear" w:color="auto" w:fill="auto"/>
            <w:tcMar>
              <w:top w:w="40" w:type="dxa"/>
              <w:left w:w="20" w:type="dxa"/>
              <w:bottom w:w="40" w:type="dxa"/>
              <w:right w:w="20" w:type="dxa"/>
            </w:tcMar>
            <w:vAlign w:val="center"/>
          </w:tcPr>
          <w:p w14:paraId="4B9A4878" w14:textId="77777777" w:rsidR="002A3970" w:rsidRDefault="00C35E63">
            <w:pPr>
              <w:jc w:val="center"/>
              <w:textAlignment w:val="center"/>
            </w:pPr>
            <w:r>
              <w:rPr>
                <w:rFonts w:ascii="Times New Roman" w:eastAsia="宋体" w:hAnsi="Times New Roman"/>
                <w:b/>
                <w:bCs/>
                <w:color w:val="000000"/>
                <w:sz w:val="16"/>
                <w:szCs w:val="16"/>
              </w:rPr>
              <w:t>Nine Months Ended October 31,</w:t>
            </w:r>
          </w:p>
        </w:tc>
        <w:tc>
          <w:tcPr>
            <w:tcW w:w="0" w:type="auto"/>
            <w:gridSpan w:val="3"/>
            <w:shd w:val="clear" w:color="auto" w:fill="auto"/>
            <w:vAlign w:val="bottom"/>
          </w:tcPr>
          <w:p w14:paraId="4B9A4879" w14:textId="77777777" w:rsidR="002A3970" w:rsidRDefault="002A3970">
            <w:pPr>
              <w:rPr>
                <w:rFonts w:ascii="宋体"/>
                <w:vanish/>
              </w:rPr>
            </w:pPr>
          </w:p>
        </w:tc>
        <w:tc>
          <w:tcPr>
            <w:tcW w:w="0" w:type="auto"/>
            <w:shd w:val="clear" w:color="auto" w:fill="auto"/>
            <w:vAlign w:val="bottom"/>
          </w:tcPr>
          <w:p w14:paraId="4B9A487A" w14:textId="77777777" w:rsidR="002A3970" w:rsidRDefault="002A3970">
            <w:pPr>
              <w:rPr>
                <w:rFonts w:ascii="宋体"/>
              </w:rPr>
            </w:pPr>
          </w:p>
        </w:tc>
        <w:tc>
          <w:tcPr>
            <w:tcW w:w="0" w:type="auto"/>
            <w:shd w:val="clear" w:color="auto" w:fill="auto"/>
            <w:vAlign w:val="bottom"/>
          </w:tcPr>
          <w:p w14:paraId="4B9A487B" w14:textId="77777777" w:rsidR="002A3970" w:rsidRDefault="002A3970">
            <w:pPr>
              <w:rPr>
                <w:rFonts w:ascii="宋体"/>
              </w:rPr>
            </w:pPr>
          </w:p>
        </w:tc>
        <w:tc>
          <w:tcPr>
            <w:tcW w:w="0" w:type="auto"/>
            <w:shd w:val="clear" w:color="auto" w:fill="auto"/>
            <w:vAlign w:val="bottom"/>
          </w:tcPr>
          <w:p w14:paraId="4B9A487C" w14:textId="77777777" w:rsidR="002A3970" w:rsidRDefault="002A3970">
            <w:pPr>
              <w:rPr>
                <w:rFonts w:ascii="宋体"/>
              </w:rPr>
            </w:pPr>
          </w:p>
        </w:tc>
        <w:tc>
          <w:tcPr>
            <w:tcW w:w="0" w:type="auto"/>
            <w:shd w:val="clear" w:color="auto" w:fill="auto"/>
            <w:vAlign w:val="bottom"/>
          </w:tcPr>
          <w:p w14:paraId="4B9A487D" w14:textId="77777777" w:rsidR="002A3970" w:rsidRDefault="002A3970">
            <w:pPr>
              <w:rPr>
                <w:rFonts w:ascii="宋体"/>
              </w:rPr>
            </w:pPr>
          </w:p>
        </w:tc>
        <w:tc>
          <w:tcPr>
            <w:tcW w:w="0" w:type="auto"/>
            <w:shd w:val="clear" w:color="auto" w:fill="auto"/>
            <w:vAlign w:val="bottom"/>
          </w:tcPr>
          <w:p w14:paraId="4B9A487E" w14:textId="77777777" w:rsidR="002A3970" w:rsidRDefault="002A3970">
            <w:pPr>
              <w:rPr>
                <w:rFonts w:ascii="宋体"/>
              </w:rPr>
            </w:pPr>
          </w:p>
        </w:tc>
        <w:tc>
          <w:tcPr>
            <w:tcW w:w="0" w:type="auto"/>
            <w:shd w:val="clear" w:color="auto" w:fill="auto"/>
            <w:vAlign w:val="bottom"/>
          </w:tcPr>
          <w:p w14:paraId="4B9A487F" w14:textId="77777777" w:rsidR="002A3970" w:rsidRDefault="002A3970">
            <w:pPr>
              <w:rPr>
                <w:rFonts w:ascii="宋体"/>
              </w:rPr>
            </w:pPr>
          </w:p>
        </w:tc>
        <w:tc>
          <w:tcPr>
            <w:tcW w:w="0" w:type="auto"/>
            <w:shd w:val="clear" w:color="auto" w:fill="auto"/>
            <w:vAlign w:val="bottom"/>
          </w:tcPr>
          <w:p w14:paraId="4B9A4880" w14:textId="77777777" w:rsidR="002A3970" w:rsidRDefault="002A3970">
            <w:pPr>
              <w:rPr>
                <w:rFonts w:ascii="宋体"/>
              </w:rPr>
            </w:pPr>
          </w:p>
        </w:tc>
        <w:tc>
          <w:tcPr>
            <w:tcW w:w="0" w:type="auto"/>
            <w:shd w:val="clear" w:color="auto" w:fill="auto"/>
            <w:vAlign w:val="bottom"/>
          </w:tcPr>
          <w:p w14:paraId="4B9A4881" w14:textId="77777777" w:rsidR="002A3970" w:rsidRDefault="002A3970">
            <w:pPr>
              <w:rPr>
                <w:rFonts w:ascii="宋体"/>
              </w:rPr>
            </w:pPr>
          </w:p>
        </w:tc>
        <w:tc>
          <w:tcPr>
            <w:tcW w:w="0" w:type="auto"/>
            <w:shd w:val="clear" w:color="auto" w:fill="auto"/>
            <w:vAlign w:val="bottom"/>
          </w:tcPr>
          <w:p w14:paraId="4B9A4882" w14:textId="77777777" w:rsidR="002A3970" w:rsidRDefault="002A3970">
            <w:pPr>
              <w:rPr>
                <w:rFonts w:ascii="宋体"/>
              </w:rPr>
            </w:pPr>
          </w:p>
        </w:tc>
      </w:tr>
      <w:tr w:rsidR="002A3970" w14:paraId="4B9A488F" w14:textId="77777777">
        <w:trPr>
          <w:jc w:val="center"/>
        </w:trPr>
        <w:tc>
          <w:tcPr>
            <w:tcW w:w="0" w:type="auto"/>
            <w:gridSpan w:val="3"/>
            <w:shd w:val="clear" w:color="auto" w:fill="auto"/>
            <w:tcMar>
              <w:top w:w="40" w:type="dxa"/>
              <w:left w:w="20" w:type="dxa"/>
              <w:bottom w:w="40" w:type="dxa"/>
              <w:right w:w="20" w:type="dxa"/>
            </w:tcMar>
            <w:vAlign w:val="center"/>
          </w:tcPr>
          <w:p w14:paraId="4B9A4884" w14:textId="77777777" w:rsidR="002A3970" w:rsidRDefault="00C35E63">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4B9A4885" w14:textId="77777777" w:rsidR="002A3970" w:rsidRDefault="002A3970">
            <w:pPr>
              <w:rPr>
                <w:rFonts w:ascii="宋体"/>
                <w:vanish/>
              </w:rPr>
            </w:pPr>
          </w:p>
        </w:tc>
        <w:tc>
          <w:tcPr>
            <w:tcW w:w="0" w:type="auto"/>
            <w:shd w:val="clear" w:color="auto" w:fill="auto"/>
            <w:vAlign w:val="bottom"/>
          </w:tcPr>
          <w:p w14:paraId="4B9A4886" w14:textId="77777777" w:rsidR="002A3970" w:rsidRDefault="002A3970">
            <w:pPr>
              <w:rPr>
                <w:rFonts w:ascii="宋体"/>
                <w:vanish/>
              </w:rPr>
            </w:pPr>
          </w:p>
        </w:tc>
        <w:tc>
          <w:tcPr>
            <w:tcW w:w="0" w:type="auto"/>
            <w:shd w:val="clear" w:color="auto" w:fill="auto"/>
            <w:vAlign w:val="bottom"/>
          </w:tcPr>
          <w:p w14:paraId="4B9A4887" w14:textId="77777777" w:rsidR="002A3970" w:rsidRDefault="002A3970">
            <w:pPr>
              <w:rPr>
                <w:rFonts w:ascii="宋体"/>
                <w:vanish/>
              </w:rPr>
            </w:pPr>
          </w:p>
        </w:tc>
        <w:tc>
          <w:tcPr>
            <w:tcW w:w="0" w:type="auto"/>
            <w:shd w:val="clear" w:color="auto" w:fill="auto"/>
            <w:vAlign w:val="bottom"/>
          </w:tcPr>
          <w:p w14:paraId="4B9A4888" w14:textId="77777777" w:rsidR="002A3970" w:rsidRDefault="002A3970">
            <w:pPr>
              <w:rPr>
                <w:rFonts w:ascii="宋体"/>
                <w:vanish/>
              </w:rPr>
            </w:pPr>
          </w:p>
        </w:tc>
        <w:tc>
          <w:tcPr>
            <w:tcW w:w="0" w:type="auto"/>
            <w:gridSpan w:val="3"/>
            <w:shd w:val="clear" w:color="auto" w:fill="auto"/>
            <w:tcMar>
              <w:top w:w="0" w:type="dxa"/>
              <w:left w:w="20" w:type="dxa"/>
              <w:bottom w:w="0" w:type="dxa"/>
              <w:right w:w="20" w:type="dxa"/>
            </w:tcMar>
            <w:vAlign w:val="bottom"/>
          </w:tcPr>
          <w:p w14:paraId="4B9A4889"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88A"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88B"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88C"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vAlign w:val="bottom"/>
          </w:tcPr>
          <w:p w14:paraId="4B9A488D" w14:textId="77777777" w:rsidR="002A3970" w:rsidRDefault="002A3970">
            <w:pPr>
              <w:rPr>
                <w:rFonts w:ascii="宋体"/>
                <w:vanish/>
              </w:rPr>
            </w:pPr>
          </w:p>
        </w:tc>
        <w:tc>
          <w:tcPr>
            <w:tcW w:w="0" w:type="auto"/>
            <w:gridSpan w:val="3"/>
            <w:shd w:val="clear" w:color="auto" w:fill="auto"/>
            <w:vAlign w:val="bottom"/>
          </w:tcPr>
          <w:p w14:paraId="4B9A488E" w14:textId="77777777" w:rsidR="002A3970" w:rsidRDefault="002A3970">
            <w:pPr>
              <w:rPr>
                <w:rFonts w:ascii="宋体"/>
                <w:vanish/>
              </w:rPr>
            </w:pPr>
          </w:p>
        </w:tc>
      </w:tr>
      <w:tr w:rsidR="002A3970" w14:paraId="4B9A489F" w14:textId="77777777">
        <w:trPr>
          <w:jc w:val="center"/>
        </w:trPr>
        <w:tc>
          <w:tcPr>
            <w:tcW w:w="0" w:type="auto"/>
            <w:gridSpan w:val="3"/>
            <w:shd w:val="clear" w:color="auto" w:fill="CCEEFF"/>
            <w:tcMar>
              <w:top w:w="40" w:type="dxa"/>
              <w:left w:w="20" w:type="dxa"/>
              <w:bottom w:w="40" w:type="dxa"/>
              <w:right w:w="20" w:type="dxa"/>
            </w:tcMar>
            <w:vAlign w:val="center"/>
          </w:tcPr>
          <w:p w14:paraId="4B9A4890" w14:textId="77777777" w:rsidR="002A3970" w:rsidRDefault="00C35E63">
            <w:pPr>
              <w:textAlignment w:val="center"/>
            </w:pPr>
            <w:r>
              <w:rPr>
                <w:rFonts w:ascii="Times New Roman" w:eastAsia="宋体" w:hAnsi="Times New Roman"/>
                <w:color w:val="000000"/>
                <w:sz w:val="16"/>
                <w:szCs w:val="16"/>
              </w:rPr>
              <w:t>Net cash used in investing activities</w:t>
            </w:r>
          </w:p>
        </w:tc>
        <w:tc>
          <w:tcPr>
            <w:tcW w:w="0" w:type="auto"/>
            <w:shd w:val="clear" w:color="auto" w:fill="auto"/>
            <w:vAlign w:val="bottom"/>
          </w:tcPr>
          <w:p w14:paraId="4B9A4891" w14:textId="77777777" w:rsidR="002A3970" w:rsidRDefault="002A3970">
            <w:pPr>
              <w:rPr>
                <w:rFonts w:ascii="宋体"/>
                <w:vanish/>
              </w:rPr>
            </w:pPr>
          </w:p>
        </w:tc>
        <w:tc>
          <w:tcPr>
            <w:tcW w:w="0" w:type="auto"/>
            <w:shd w:val="clear" w:color="auto" w:fill="auto"/>
            <w:vAlign w:val="bottom"/>
          </w:tcPr>
          <w:p w14:paraId="4B9A4892" w14:textId="77777777" w:rsidR="002A3970" w:rsidRDefault="002A3970">
            <w:pPr>
              <w:rPr>
                <w:rFonts w:ascii="宋体"/>
                <w:vanish/>
              </w:rPr>
            </w:pPr>
          </w:p>
        </w:tc>
        <w:tc>
          <w:tcPr>
            <w:tcW w:w="0" w:type="auto"/>
            <w:shd w:val="clear" w:color="auto" w:fill="auto"/>
            <w:vAlign w:val="bottom"/>
          </w:tcPr>
          <w:p w14:paraId="4B9A4893" w14:textId="77777777" w:rsidR="002A3970" w:rsidRDefault="002A3970">
            <w:pPr>
              <w:rPr>
                <w:rFonts w:ascii="宋体"/>
                <w:vanish/>
              </w:rPr>
            </w:pPr>
          </w:p>
        </w:tc>
        <w:tc>
          <w:tcPr>
            <w:tcW w:w="0" w:type="auto"/>
            <w:shd w:val="clear" w:color="auto" w:fill="auto"/>
            <w:vAlign w:val="bottom"/>
          </w:tcPr>
          <w:p w14:paraId="4B9A4894" w14:textId="77777777" w:rsidR="002A3970" w:rsidRDefault="002A3970">
            <w:pPr>
              <w:rPr>
                <w:rFonts w:ascii="宋体"/>
                <w:vanish/>
              </w:rPr>
            </w:pPr>
          </w:p>
        </w:tc>
        <w:tc>
          <w:tcPr>
            <w:tcW w:w="0" w:type="auto"/>
            <w:gridSpan w:val="3"/>
            <w:shd w:val="clear" w:color="auto" w:fill="CCEEFF"/>
            <w:tcMar>
              <w:top w:w="0" w:type="dxa"/>
              <w:left w:w="20" w:type="dxa"/>
              <w:bottom w:w="0" w:type="dxa"/>
              <w:right w:w="20" w:type="dxa"/>
            </w:tcMar>
            <w:vAlign w:val="bottom"/>
          </w:tcPr>
          <w:p w14:paraId="4B9A489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89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897" w14:textId="77777777" w:rsidR="002A3970" w:rsidRDefault="00C35E63">
            <w:pPr>
              <w:jc w:val="right"/>
              <w:textAlignment w:val="center"/>
            </w:pPr>
            <w:r>
              <w:rPr>
                <w:rFonts w:ascii="Times New Roman" w:eastAsia="宋体" w:hAnsi="Times New Roman"/>
                <w:color w:val="000000"/>
                <w:sz w:val="16"/>
                <w:szCs w:val="16"/>
              </w:rPr>
              <w:t>(12,965)</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89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899"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89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89B" w14:textId="77777777" w:rsidR="002A3970" w:rsidRDefault="00C35E63">
            <w:pPr>
              <w:jc w:val="right"/>
              <w:textAlignment w:val="center"/>
            </w:pPr>
            <w:r>
              <w:rPr>
                <w:rFonts w:ascii="Times New Roman" w:eastAsia="宋体" w:hAnsi="Times New Roman"/>
                <w:color w:val="000000"/>
                <w:sz w:val="16"/>
                <w:szCs w:val="16"/>
              </w:rPr>
              <w:t>(1,530)</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89C" w14:textId="77777777" w:rsidR="002A3970" w:rsidRDefault="002A3970">
            <w:pPr>
              <w:jc w:val="right"/>
              <w:rPr>
                <w:rFonts w:ascii="宋体"/>
              </w:rPr>
            </w:pPr>
          </w:p>
        </w:tc>
        <w:tc>
          <w:tcPr>
            <w:tcW w:w="0" w:type="auto"/>
            <w:gridSpan w:val="3"/>
            <w:shd w:val="clear" w:color="auto" w:fill="auto"/>
            <w:vAlign w:val="bottom"/>
          </w:tcPr>
          <w:p w14:paraId="4B9A489D" w14:textId="77777777" w:rsidR="002A3970" w:rsidRDefault="002A3970">
            <w:pPr>
              <w:rPr>
                <w:rFonts w:ascii="宋体"/>
                <w:vanish/>
              </w:rPr>
            </w:pPr>
          </w:p>
        </w:tc>
        <w:tc>
          <w:tcPr>
            <w:tcW w:w="0" w:type="auto"/>
            <w:gridSpan w:val="3"/>
            <w:shd w:val="clear" w:color="auto" w:fill="auto"/>
            <w:vAlign w:val="bottom"/>
          </w:tcPr>
          <w:p w14:paraId="4B9A489E" w14:textId="77777777" w:rsidR="002A3970" w:rsidRDefault="002A3970">
            <w:pPr>
              <w:rPr>
                <w:rFonts w:ascii="宋体"/>
                <w:vanish/>
              </w:rPr>
            </w:pPr>
          </w:p>
        </w:tc>
      </w:tr>
    </w:tbl>
    <w:p w14:paraId="4B9A48A0" w14:textId="77777777" w:rsidR="002A3970" w:rsidRDefault="00C35E63">
      <w:r>
        <w:rPr>
          <w:rFonts w:ascii="Times New Roman" w:eastAsia="宋体" w:hAnsi="Times New Roman"/>
          <w:color w:val="000000"/>
          <w:sz w:val="20"/>
          <w:szCs w:val="20"/>
        </w:rPr>
        <w:t>Net cash used in investing activities was $13.0 billion as compared to $1.5 billion for the nine months ended October 31, 2022 and 2021, respectively. The increase of $11.4 billion for the nine months ended October 31, 2022 is prim</w:t>
      </w:r>
      <w:r>
        <w:rPr>
          <w:rFonts w:ascii="Times New Roman" w:eastAsia="宋体" w:hAnsi="Times New Roman"/>
          <w:color w:val="000000"/>
          <w:sz w:val="20"/>
          <w:szCs w:val="20"/>
        </w:rPr>
        <w:t>arily the result of lapping the net proceeds received from the divestitures of our operations in the U.K. and Japan and an increase in capital expenditures to support our investment strategy.</w:t>
      </w:r>
    </w:p>
    <w:p w14:paraId="4B9A48A1" w14:textId="77777777" w:rsidR="002A3970" w:rsidRDefault="00C35E63">
      <w:pPr>
        <w:spacing w:before="180"/>
      </w:pPr>
      <w:r>
        <w:rPr>
          <w:rFonts w:ascii="Times New Roman" w:eastAsia="宋体" w:hAnsi="Times New Roman"/>
          <w:b/>
          <w:bCs/>
          <w:i/>
          <w:iCs/>
          <w:color w:val="000000"/>
          <w:sz w:val="20"/>
          <w:szCs w:val="20"/>
        </w:rPr>
        <w:t>Net Cash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19"/>
        <w:gridCol w:w="36"/>
        <w:gridCol w:w="36"/>
        <w:gridCol w:w="36"/>
        <w:gridCol w:w="36"/>
        <w:gridCol w:w="36"/>
        <w:gridCol w:w="36"/>
        <w:gridCol w:w="36"/>
        <w:gridCol w:w="36"/>
        <w:gridCol w:w="100"/>
        <w:gridCol w:w="747"/>
        <w:gridCol w:w="36"/>
        <w:gridCol w:w="36"/>
        <w:gridCol w:w="36"/>
        <w:gridCol w:w="36"/>
        <w:gridCol w:w="100"/>
        <w:gridCol w:w="749"/>
        <w:gridCol w:w="36"/>
        <w:gridCol w:w="36"/>
        <w:gridCol w:w="36"/>
        <w:gridCol w:w="36"/>
        <w:gridCol w:w="36"/>
        <w:gridCol w:w="36"/>
        <w:gridCol w:w="36"/>
      </w:tblGrid>
      <w:tr w:rsidR="002A3970" w14:paraId="4B9A48B7" w14:textId="77777777">
        <w:trPr>
          <w:jc w:val="center"/>
        </w:trPr>
        <w:tc>
          <w:tcPr>
            <w:tcW w:w="50" w:type="pct"/>
            <w:shd w:val="clear" w:color="auto" w:fill="auto"/>
            <w:vAlign w:val="bottom"/>
          </w:tcPr>
          <w:p w14:paraId="4B9A48A2" w14:textId="77777777" w:rsidR="002A3970" w:rsidRDefault="002A3970">
            <w:pPr>
              <w:rPr>
                <w:rFonts w:ascii="宋体"/>
              </w:rPr>
            </w:pPr>
          </w:p>
        </w:tc>
        <w:tc>
          <w:tcPr>
            <w:tcW w:w="3760" w:type="pct"/>
            <w:shd w:val="clear" w:color="auto" w:fill="auto"/>
            <w:vAlign w:val="bottom"/>
          </w:tcPr>
          <w:p w14:paraId="4B9A48A3" w14:textId="77777777" w:rsidR="002A3970" w:rsidRDefault="002A3970">
            <w:pPr>
              <w:rPr>
                <w:rFonts w:ascii="宋体"/>
              </w:rPr>
            </w:pPr>
          </w:p>
        </w:tc>
        <w:tc>
          <w:tcPr>
            <w:tcW w:w="5" w:type="pct"/>
            <w:shd w:val="clear" w:color="auto" w:fill="auto"/>
            <w:vAlign w:val="bottom"/>
          </w:tcPr>
          <w:p w14:paraId="4B9A48A4" w14:textId="77777777" w:rsidR="002A3970" w:rsidRDefault="002A3970">
            <w:pPr>
              <w:rPr>
                <w:rFonts w:ascii="宋体"/>
              </w:rPr>
            </w:pPr>
          </w:p>
        </w:tc>
        <w:tc>
          <w:tcPr>
            <w:tcW w:w="5" w:type="pct"/>
            <w:shd w:val="clear" w:color="auto" w:fill="auto"/>
            <w:vAlign w:val="bottom"/>
          </w:tcPr>
          <w:p w14:paraId="4B9A48A5" w14:textId="77777777" w:rsidR="002A3970" w:rsidRDefault="002A3970">
            <w:pPr>
              <w:rPr>
                <w:rFonts w:ascii="宋体"/>
              </w:rPr>
            </w:pPr>
          </w:p>
        </w:tc>
        <w:tc>
          <w:tcPr>
            <w:tcW w:w="19" w:type="pct"/>
            <w:shd w:val="clear" w:color="auto" w:fill="auto"/>
            <w:vAlign w:val="bottom"/>
          </w:tcPr>
          <w:p w14:paraId="4B9A48A6" w14:textId="77777777" w:rsidR="002A3970" w:rsidRDefault="002A3970">
            <w:pPr>
              <w:rPr>
                <w:rFonts w:ascii="宋体"/>
              </w:rPr>
            </w:pPr>
          </w:p>
        </w:tc>
        <w:tc>
          <w:tcPr>
            <w:tcW w:w="5" w:type="pct"/>
            <w:shd w:val="clear" w:color="auto" w:fill="auto"/>
            <w:vAlign w:val="bottom"/>
          </w:tcPr>
          <w:p w14:paraId="4B9A48A7" w14:textId="77777777" w:rsidR="002A3970" w:rsidRDefault="002A3970">
            <w:pPr>
              <w:rPr>
                <w:rFonts w:ascii="宋体"/>
              </w:rPr>
            </w:pPr>
          </w:p>
        </w:tc>
        <w:tc>
          <w:tcPr>
            <w:tcW w:w="0" w:type="auto"/>
            <w:shd w:val="clear" w:color="auto" w:fill="auto"/>
            <w:vAlign w:val="bottom"/>
          </w:tcPr>
          <w:p w14:paraId="4B9A48A8" w14:textId="77777777" w:rsidR="002A3970" w:rsidRDefault="002A3970">
            <w:pPr>
              <w:rPr>
                <w:rFonts w:ascii="宋体"/>
                <w:vanish/>
              </w:rPr>
            </w:pPr>
          </w:p>
        </w:tc>
        <w:tc>
          <w:tcPr>
            <w:tcW w:w="0" w:type="auto"/>
            <w:shd w:val="clear" w:color="auto" w:fill="auto"/>
            <w:vAlign w:val="bottom"/>
          </w:tcPr>
          <w:p w14:paraId="4B9A48A9" w14:textId="77777777" w:rsidR="002A3970" w:rsidRDefault="002A3970">
            <w:pPr>
              <w:rPr>
                <w:rFonts w:ascii="宋体"/>
                <w:vanish/>
              </w:rPr>
            </w:pPr>
          </w:p>
        </w:tc>
        <w:tc>
          <w:tcPr>
            <w:tcW w:w="0" w:type="auto"/>
            <w:shd w:val="clear" w:color="auto" w:fill="auto"/>
            <w:vAlign w:val="bottom"/>
          </w:tcPr>
          <w:p w14:paraId="4B9A48AA" w14:textId="77777777" w:rsidR="002A3970" w:rsidRDefault="002A3970">
            <w:pPr>
              <w:rPr>
                <w:rFonts w:ascii="宋体"/>
                <w:vanish/>
              </w:rPr>
            </w:pPr>
          </w:p>
        </w:tc>
        <w:tc>
          <w:tcPr>
            <w:tcW w:w="0" w:type="auto"/>
            <w:shd w:val="clear" w:color="auto" w:fill="auto"/>
            <w:vAlign w:val="bottom"/>
          </w:tcPr>
          <w:p w14:paraId="4B9A48AB" w14:textId="77777777" w:rsidR="002A3970" w:rsidRDefault="002A3970">
            <w:pPr>
              <w:rPr>
                <w:rFonts w:ascii="宋体"/>
                <w:vanish/>
              </w:rPr>
            </w:pPr>
          </w:p>
        </w:tc>
        <w:tc>
          <w:tcPr>
            <w:tcW w:w="50" w:type="pct"/>
            <w:shd w:val="clear" w:color="auto" w:fill="auto"/>
            <w:vAlign w:val="bottom"/>
          </w:tcPr>
          <w:p w14:paraId="4B9A48AC" w14:textId="77777777" w:rsidR="002A3970" w:rsidRDefault="002A3970">
            <w:pPr>
              <w:rPr>
                <w:rFonts w:ascii="宋体"/>
              </w:rPr>
            </w:pPr>
          </w:p>
        </w:tc>
        <w:tc>
          <w:tcPr>
            <w:tcW w:w="507" w:type="pct"/>
            <w:shd w:val="clear" w:color="auto" w:fill="auto"/>
            <w:vAlign w:val="bottom"/>
          </w:tcPr>
          <w:p w14:paraId="4B9A48AD" w14:textId="77777777" w:rsidR="002A3970" w:rsidRDefault="002A3970">
            <w:pPr>
              <w:rPr>
                <w:rFonts w:ascii="宋体"/>
              </w:rPr>
            </w:pPr>
          </w:p>
        </w:tc>
        <w:tc>
          <w:tcPr>
            <w:tcW w:w="5" w:type="pct"/>
            <w:shd w:val="clear" w:color="auto" w:fill="auto"/>
            <w:vAlign w:val="bottom"/>
          </w:tcPr>
          <w:p w14:paraId="4B9A48AE" w14:textId="77777777" w:rsidR="002A3970" w:rsidRDefault="002A3970">
            <w:pPr>
              <w:rPr>
                <w:rFonts w:ascii="宋体"/>
              </w:rPr>
            </w:pPr>
          </w:p>
        </w:tc>
        <w:tc>
          <w:tcPr>
            <w:tcW w:w="5" w:type="pct"/>
            <w:shd w:val="clear" w:color="auto" w:fill="auto"/>
            <w:vAlign w:val="bottom"/>
          </w:tcPr>
          <w:p w14:paraId="4B9A48AF" w14:textId="77777777" w:rsidR="002A3970" w:rsidRDefault="002A3970">
            <w:pPr>
              <w:rPr>
                <w:rFonts w:ascii="宋体"/>
              </w:rPr>
            </w:pPr>
          </w:p>
        </w:tc>
        <w:tc>
          <w:tcPr>
            <w:tcW w:w="19" w:type="pct"/>
            <w:shd w:val="clear" w:color="auto" w:fill="auto"/>
            <w:vAlign w:val="bottom"/>
          </w:tcPr>
          <w:p w14:paraId="4B9A48B0" w14:textId="77777777" w:rsidR="002A3970" w:rsidRDefault="002A3970">
            <w:pPr>
              <w:rPr>
                <w:rFonts w:ascii="宋体"/>
              </w:rPr>
            </w:pPr>
          </w:p>
        </w:tc>
        <w:tc>
          <w:tcPr>
            <w:tcW w:w="5" w:type="pct"/>
            <w:shd w:val="clear" w:color="auto" w:fill="auto"/>
            <w:vAlign w:val="bottom"/>
          </w:tcPr>
          <w:p w14:paraId="4B9A48B1" w14:textId="77777777" w:rsidR="002A3970" w:rsidRDefault="002A3970">
            <w:pPr>
              <w:rPr>
                <w:rFonts w:ascii="宋体"/>
              </w:rPr>
            </w:pPr>
          </w:p>
        </w:tc>
        <w:tc>
          <w:tcPr>
            <w:tcW w:w="50" w:type="pct"/>
            <w:shd w:val="clear" w:color="auto" w:fill="auto"/>
            <w:vAlign w:val="bottom"/>
          </w:tcPr>
          <w:p w14:paraId="4B9A48B2" w14:textId="77777777" w:rsidR="002A3970" w:rsidRDefault="002A3970">
            <w:pPr>
              <w:rPr>
                <w:rFonts w:ascii="宋体"/>
              </w:rPr>
            </w:pPr>
          </w:p>
        </w:tc>
        <w:tc>
          <w:tcPr>
            <w:tcW w:w="508" w:type="pct"/>
            <w:shd w:val="clear" w:color="auto" w:fill="auto"/>
            <w:vAlign w:val="bottom"/>
          </w:tcPr>
          <w:p w14:paraId="4B9A48B3" w14:textId="77777777" w:rsidR="002A3970" w:rsidRDefault="002A3970">
            <w:pPr>
              <w:rPr>
                <w:rFonts w:ascii="宋体"/>
              </w:rPr>
            </w:pPr>
          </w:p>
        </w:tc>
        <w:tc>
          <w:tcPr>
            <w:tcW w:w="5" w:type="pct"/>
            <w:shd w:val="clear" w:color="auto" w:fill="auto"/>
            <w:vAlign w:val="bottom"/>
          </w:tcPr>
          <w:p w14:paraId="4B9A48B4" w14:textId="77777777" w:rsidR="002A3970" w:rsidRDefault="002A3970">
            <w:pPr>
              <w:rPr>
                <w:rFonts w:ascii="宋体"/>
              </w:rPr>
            </w:pPr>
          </w:p>
        </w:tc>
        <w:tc>
          <w:tcPr>
            <w:tcW w:w="0" w:type="auto"/>
            <w:gridSpan w:val="3"/>
            <w:shd w:val="clear" w:color="auto" w:fill="auto"/>
            <w:vAlign w:val="bottom"/>
          </w:tcPr>
          <w:p w14:paraId="4B9A48B5" w14:textId="77777777" w:rsidR="002A3970" w:rsidRDefault="002A3970">
            <w:pPr>
              <w:rPr>
                <w:rFonts w:ascii="宋体"/>
                <w:vanish/>
              </w:rPr>
            </w:pPr>
          </w:p>
        </w:tc>
        <w:tc>
          <w:tcPr>
            <w:tcW w:w="0" w:type="auto"/>
            <w:gridSpan w:val="3"/>
            <w:shd w:val="clear" w:color="auto" w:fill="auto"/>
            <w:vAlign w:val="bottom"/>
          </w:tcPr>
          <w:p w14:paraId="4B9A48B6" w14:textId="77777777" w:rsidR="002A3970" w:rsidRDefault="002A3970">
            <w:pPr>
              <w:rPr>
                <w:rFonts w:ascii="宋体"/>
                <w:vanish/>
              </w:rPr>
            </w:pPr>
          </w:p>
        </w:tc>
      </w:tr>
      <w:tr w:rsidR="002A3970" w14:paraId="4B9A48C7" w14:textId="77777777">
        <w:trPr>
          <w:jc w:val="center"/>
        </w:trPr>
        <w:tc>
          <w:tcPr>
            <w:tcW w:w="0" w:type="auto"/>
            <w:gridSpan w:val="3"/>
            <w:shd w:val="clear" w:color="auto" w:fill="auto"/>
            <w:tcMar>
              <w:top w:w="40" w:type="dxa"/>
              <w:left w:w="20" w:type="dxa"/>
              <w:bottom w:w="40" w:type="dxa"/>
              <w:right w:w="20" w:type="dxa"/>
            </w:tcMar>
            <w:vAlign w:val="center"/>
          </w:tcPr>
          <w:p w14:paraId="4B9A48B8"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B9A48B9" w14:textId="77777777" w:rsidR="002A3970" w:rsidRDefault="002A3970">
            <w:pPr>
              <w:rPr>
                <w:rFonts w:ascii="宋体"/>
              </w:rPr>
            </w:pPr>
          </w:p>
        </w:tc>
        <w:tc>
          <w:tcPr>
            <w:tcW w:w="0" w:type="auto"/>
            <w:shd w:val="clear" w:color="auto" w:fill="auto"/>
            <w:vAlign w:val="bottom"/>
          </w:tcPr>
          <w:p w14:paraId="4B9A48BA" w14:textId="77777777" w:rsidR="002A3970" w:rsidRDefault="002A3970">
            <w:pPr>
              <w:rPr>
                <w:rFonts w:ascii="宋体"/>
                <w:vanish/>
              </w:rPr>
            </w:pPr>
          </w:p>
        </w:tc>
        <w:tc>
          <w:tcPr>
            <w:tcW w:w="0" w:type="auto"/>
            <w:shd w:val="clear" w:color="auto" w:fill="auto"/>
            <w:vAlign w:val="bottom"/>
          </w:tcPr>
          <w:p w14:paraId="4B9A48BB" w14:textId="77777777" w:rsidR="002A3970" w:rsidRDefault="002A3970">
            <w:pPr>
              <w:rPr>
                <w:rFonts w:ascii="宋体"/>
                <w:vanish/>
              </w:rPr>
            </w:pPr>
          </w:p>
        </w:tc>
        <w:tc>
          <w:tcPr>
            <w:tcW w:w="0" w:type="auto"/>
            <w:gridSpan w:val="5"/>
            <w:shd w:val="clear" w:color="auto" w:fill="auto"/>
            <w:tcMar>
              <w:top w:w="40" w:type="dxa"/>
              <w:left w:w="20" w:type="dxa"/>
              <w:bottom w:w="40" w:type="dxa"/>
              <w:right w:w="20" w:type="dxa"/>
            </w:tcMar>
            <w:vAlign w:val="center"/>
          </w:tcPr>
          <w:p w14:paraId="4B9A48BC" w14:textId="77777777" w:rsidR="002A3970" w:rsidRDefault="00C35E63">
            <w:pPr>
              <w:jc w:val="center"/>
              <w:textAlignment w:val="center"/>
            </w:pPr>
            <w:r>
              <w:rPr>
                <w:rFonts w:ascii="Times New Roman" w:eastAsia="宋体" w:hAnsi="Times New Roman"/>
                <w:b/>
                <w:bCs/>
                <w:color w:val="000000"/>
                <w:sz w:val="16"/>
                <w:szCs w:val="16"/>
              </w:rPr>
              <w:t>Nine Months Ended October 31,</w:t>
            </w:r>
          </w:p>
        </w:tc>
        <w:tc>
          <w:tcPr>
            <w:tcW w:w="0" w:type="auto"/>
            <w:gridSpan w:val="3"/>
            <w:shd w:val="clear" w:color="auto" w:fill="auto"/>
            <w:vAlign w:val="bottom"/>
          </w:tcPr>
          <w:p w14:paraId="4B9A48BD" w14:textId="77777777" w:rsidR="002A3970" w:rsidRDefault="002A3970">
            <w:pPr>
              <w:rPr>
                <w:rFonts w:ascii="宋体"/>
                <w:vanish/>
              </w:rPr>
            </w:pPr>
          </w:p>
        </w:tc>
        <w:tc>
          <w:tcPr>
            <w:tcW w:w="0" w:type="auto"/>
            <w:shd w:val="clear" w:color="auto" w:fill="auto"/>
            <w:vAlign w:val="bottom"/>
          </w:tcPr>
          <w:p w14:paraId="4B9A48BE" w14:textId="77777777" w:rsidR="002A3970" w:rsidRDefault="002A3970">
            <w:pPr>
              <w:rPr>
                <w:rFonts w:ascii="宋体"/>
              </w:rPr>
            </w:pPr>
          </w:p>
        </w:tc>
        <w:tc>
          <w:tcPr>
            <w:tcW w:w="0" w:type="auto"/>
            <w:shd w:val="clear" w:color="auto" w:fill="auto"/>
            <w:vAlign w:val="bottom"/>
          </w:tcPr>
          <w:p w14:paraId="4B9A48BF" w14:textId="77777777" w:rsidR="002A3970" w:rsidRDefault="002A3970">
            <w:pPr>
              <w:rPr>
                <w:rFonts w:ascii="宋体"/>
              </w:rPr>
            </w:pPr>
          </w:p>
        </w:tc>
        <w:tc>
          <w:tcPr>
            <w:tcW w:w="0" w:type="auto"/>
            <w:shd w:val="clear" w:color="auto" w:fill="auto"/>
            <w:vAlign w:val="bottom"/>
          </w:tcPr>
          <w:p w14:paraId="4B9A48C0" w14:textId="77777777" w:rsidR="002A3970" w:rsidRDefault="002A3970">
            <w:pPr>
              <w:rPr>
                <w:rFonts w:ascii="宋体"/>
              </w:rPr>
            </w:pPr>
          </w:p>
        </w:tc>
        <w:tc>
          <w:tcPr>
            <w:tcW w:w="0" w:type="auto"/>
            <w:shd w:val="clear" w:color="auto" w:fill="auto"/>
            <w:vAlign w:val="bottom"/>
          </w:tcPr>
          <w:p w14:paraId="4B9A48C1" w14:textId="77777777" w:rsidR="002A3970" w:rsidRDefault="002A3970">
            <w:pPr>
              <w:rPr>
                <w:rFonts w:ascii="宋体"/>
              </w:rPr>
            </w:pPr>
          </w:p>
        </w:tc>
        <w:tc>
          <w:tcPr>
            <w:tcW w:w="0" w:type="auto"/>
            <w:shd w:val="clear" w:color="auto" w:fill="auto"/>
            <w:vAlign w:val="bottom"/>
          </w:tcPr>
          <w:p w14:paraId="4B9A48C2" w14:textId="77777777" w:rsidR="002A3970" w:rsidRDefault="002A3970">
            <w:pPr>
              <w:rPr>
                <w:rFonts w:ascii="宋体"/>
              </w:rPr>
            </w:pPr>
          </w:p>
        </w:tc>
        <w:tc>
          <w:tcPr>
            <w:tcW w:w="0" w:type="auto"/>
            <w:shd w:val="clear" w:color="auto" w:fill="auto"/>
            <w:vAlign w:val="bottom"/>
          </w:tcPr>
          <w:p w14:paraId="4B9A48C3" w14:textId="77777777" w:rsidR="002A3970" w:rsidRDefault="002A3970">
            <w:pPr>
              <w:rPr>
                <w:rFonts w:ascii="宋体"/>
              </w:rPr>
            </w:pPr>
          </w:p>
        </w:tc>
        <w:tc>
          <w:tcPr>
            <w:tcW w:w="0" w:type="auto"/>
            <w:shd w:val="clear" w:color="auto" w:fill="auto"/>
            <w:vAlign w:val="bottom"/>
          </w:tcPr>
          <w:p w14:paraId="4B9A48C4" w14:textId="77777777" w:rsidR="002A3970" w:rsidRDefault="002A3970">
            <w:pPr>
              <w:rPr>
                <w:rFonts w:ascii="宋体"/>
              </w:rPr>
            </w:pPr>
          </w:p>
        </w:tc>
        <w:tc>
          <w:tcPr>
            <w:tcW w:w="0" w:type="auto"/>
            <w:shd w:val="clear" w:color="auto" w:fill="auto"/>
            <w:vAlign w:val="bottom"/>
          </w:tcPr>
          <w:p w14:paraId="4B9A48C5" w14:textId="77777777" w:rsidR="002A3970" w:rsidRDefault="002A3970">
            <w:pPr>
              <w:rPr>
                <w:rFonts w:ascii="宋体"/>
              </w:rPr>
            </w:pPr>
          </w:p>
        </w:tc>
        <w:tc>
          <w:tcPr>
            <w:tcW w:w="0" w:type="auto"/>
            <w:shd w:val="clear" w:color="auto" w:fill="auto"/>
            <w:vAlign w:val="bottom"/>
          </w:tcPr>
          <w:p w14:paraId="4B9A48C6" w14:textId="77777777" w:rsidR="002A3970" w:rsidRDefault="002A3970">
            <w:pPr>
              <w:rPr>
                <w:rFonts w:ascii="宋体"/>
              </w:rPr>
            </w:pPr>
          </w:p>
        </w:tc>
      </w:tr>
      <w:tr w:rsidR="002A3970" w14:paraId="4B9A48D3" w14:textId="77777777">
        <w:trPr>
          <w:jc w:val="center"/>
        </w:trPr>
        <w:tc>
          <w:tcPr>
            <w:tcW w:w="0" w:type="auto"/>
            <w:gridSpan w:val="3"/>
            <w:shd w:val="clear" w:color="auto" w:fill="auto"/>
            <w:tcMar>
              <w:top w:w="40" w:type="dxa"/>
              <w:left w:w="20" w:type="dxa"/>
              <w:bottom w:w="40" w:type="dxa"/>
              <w:right w:w="20" w:type="dxa"/>
            </w:tcMar>
            <w:vAlign w:val="center"/>
          </w:tcPr>
          <w:p w14:paraId="4B9A48C8" w14:textId="77777777" w:rsidR="002A3970" w:rsidRDefault="00C35E63">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8C9" w14:textId="77777777" w:rsidR="002A3970" w:rsidRDefault="002A3970">
            <w:pPr>
              <w:rPr>
                <w:rFonts w:ascii="宋体"/>
              </w:rPr>
            </w:pPr>
          </w:p>
        </w:tc>
        <w:tc>
          <w:tcPr>
            <w:tcW w:w="0" w:type="auto"/>
            <w:shd w:val="clear" w:color="auto" w:fill="auto"/>
            <w:vAlign w:val="bottom"/>
          </w:tcPr>
          <w:p w14:paraId="4B9A48CA" w14:textId="77777777" w:rsidR="002A3970" w:rsidRDefault="002A3970">
            <w:pPr>
              <w:rPr>
                <w:rFonts w:ascii="宋体"/>
                <w:vanish/>
              </w:rPr>
            </w:pPr>
          </w:p>
        </w:tc>
        <w:tc>
          <w:tcPr>
            <w:tcW w:w="0" w:type="auto"/>
            <w:shd w:val="clear" w:color="auto" w:fill="auto"/>
            <w:vAlign w:val="bottom"/>
          </w:tcPr>
          <w:p w14:paraId="4B9A48CB" w14:textId="77777777" w:rsidR="002A3970" w:rsidRDefault="002A3970">
            <w:pPr>
              <w:rPr>
                <w:rFonts w:ascii="宋体"/>
                <w:vanish/>
              </w:rPr>
            </w:pPr>
          </w:p>
        </w:tc>
        <w:tc>
          <w:tcPr>
            <w:tcW w:w="0" w:type="auto"/>
            <w:shd w:val="clear" w:color="auto" w:fill="auto"/>
            <w:vAlign w:val="bottom"/>
          </w:tcPr>
          <w:p w14:paraId="4B9A48CC" w14:textId="77777777" w:rsidR="002A3970" w:rsidRDefault="002A3970">
            <w:pPr>
              <w:rPr>
                <w:rFonts w:ascii="宋体"/>
                <w:vanish/>
              </w:rPr>
            </w:pPr>
          </w:p>
        </w:tc>
        <w:tc>
          <w:tcPr>
            <w:tcW w:w="0" w:type="auto"/>
            <w:shd w:val="clear" w:color="auto" w:fill="auto"/>
            <w:vAlign w:val="bottom"/>
          </w:tcPr>
          <w:p w14:paraId="4B9A48CD" w14:textId="77777777" w:rsidR="002A3970" w:rsidRDefault="002A397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8CE" w14:textId="77777777" w:rsidR="002A3970" w:rsidRDefault="00C35E63">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8CF"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B9A48D0" w14:textId="77777777" w:rsidR="002A3970" w:rsidRDefault="00C35E63">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vAlign w:val="bottom"/>
          </w:tcPr>
          <w:p w14:paraId="4B9A48D1" w14:textId="77777777" w:rsidR="002A3970" w:rsidRDefault="002A3970">
            <w:pPr>
              <w:rPr>
                <w:rFonts w:ascii="宋体"/>
                <w:vanish/>
              </w:rPr>
            </w:pPr>
          </w:p>
        </w:tc>
        <w:tc>
          <w:tcPr>
            <w:tcW w:w="0" w:type="auto"/>
            <w:gridSpan w:val="3"/>
            <w:shd w:val="clear" w:color="auto" w:fill="auto"/>
            <w:vAlign w:val="bottom"/>
          </w:tcPr>
          <w:p w14:paraId="4B9A48D2" w14:textId="77777777" w:rsidR="002A3970" w:rsidRDefault="002A3970">
            <w:pPr>
              <w:rPr>
                <w:rFonts w:ascii="宋体"/>
                <w:vanish/>
              </w:rPr>
            </w:pPr>
          </w:p>
        </w:tc>
      </w:tr>
      <w:tr w:rsidR="002A3970" w14:paraId="4B9A48E3" w14:textId="77777777">
        <w:trPr>
          <w:jc w:val="center"/>
        </w:trPr>
        <w:tc>
          <w:tcPr>
            <w:tcW w:w="0" w:type="auto"/>
            <w:gridSpan w:val="3"/>
            <w:shd w:val="clear" w:color="auto" w:fill="CCEEFF"/>
            <w:tcMar>
              <w:top w:w="40" w:type="dxa"/>
              <w:left w:w="20" w:type="dxa"/>
              <w:bottom w:w="40" w:type="dxa"/>
              <w:right w:w="20" w:type="dxa"/>
            </w:tcMar>
            <w:vAlign w:val="center"/>
          </w:tcPr>
          <w:p w14:paraId="4B9A48D4" w14:textId="77777777" w:rsidR="002A3970" w:rsidRDefault="00C35E63">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4B9A48D5" w14:textId="77777777" w:rsidR="002A3970" w:rsidRDefault="002A3970">
            <w:pPr>
              <w:rPr>
                <w:rFonts w:ascii="宋体"/>
              </w:rPr>
            </w:pPr>
          </w:p>
        </w:tc>
        <w:tc>
          <w:tcPr>
            <w:tcW w:w="0" w:type="auto"/>
            <w:shd w:val="clear" w:color="auto" w:fill="auto"/>
            <w:vAlign w:val="bottom"/>
          </w:tcPr>
          <w:p w14:paraId="4B9A48D6" w14:textId="77777777" w:rsidR="002A3970" w:rsidRDefault="002A3970">
            <w:pPr>
              <w:rPr>
                <w:rFonts w:ascii="宋体"/>
                <w:vanish/>
              </w:rPr>
            </w:pPr>
          </w:p>
        </w:tc>
        <w:tc>
          <w:tcPr>
            <w:tcW w:w="0" w:type="auto"/>
            <w:shd w:val="clear" w:color="auto" w:fill="auto"/>
            <w:vAlign w:val="bottom"/>
          </w:tcPr>
          <w:p w14:paraId="4B9A48D7" w14:textId="77777777" w:rsidR="002A3970" w:rsidRDefault="002A3970">
            <w:pPr>
              <w:rPr>
                <w:rFonts w:ascii="宋体"/>
                <w:vanish/>
              </w:rPr>
            </w:pPr>
          </w:p>
        </w:tc>
        <w:tc>
          <w:tcPr>
            <w:tcW w:w="0" w:type="auto"/>
            <w:shd w:val="clear" w:color="auto" w:fill="auto"/>
            <w:vAlign w:val="bottom"/>
          </w:tcPr>
          <w:p w14:paraId="4B9A48D8" w14:textId="77777777" w:rsidR="002A3970" w:rsidRDefault="002A3970">
            <w:pPr>
              <w:rPr>
                <w:rFonts w:ascii="宋体"/>
                <w:vanish/>
              </w:rPr>
            </w:pPr>
          </w:p>
        </w:tc>
        <w:tc>
          <w:tcPr>
            <w:tcW w:w="0" w:type="auto"/>
            <w:shd w:val="clear" w:color="auto" w:fill="auto"/>
            <w:vAlign w:val="bottom"/>
          </w:tcPr>
          <w:p w14:paraId="4B9A48D9" w14:textId="77777777" w:rsidR="002A3970" w:rsidRDefault="002A3970">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8DA"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8DB" w14:textId="77777777" w:rsidR="002A3970" w:rsidRDefault="00C35E63">
            <w:pPr>
              <w:jc w:val="right"/>
              <w:textAlignment w:val="center"/>
            </w:pPr>
            <w:r>
              <w:rPr>
                <w:rFonts w:ascii="Times New Roman" w:eastAsia="宋体" w:hAnsi="Times New Roman"/>
                <w:color w:val="000000"/>
                <w:sz w:val="16"/>
                <w:szCs w:val="16"/>
              </w:rPr>
              <w:t>(5,581)</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8D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8DD"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8DE"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8DF" w14:textId="77777777" w:rsidR="002A3970" w:rsidRDefault="00C35E63">
            <w:pPr>
              <w:jc w:val="right"/>
              <w:textAlignment w:val="center"/>
            </w:pPr>
            <w:r>
              <w:rPr>
                <w:rFonts w:ascii="Times New Roman" w:eastAsia="宋体" w:hAnsi="Times New Roman"/>
                <w:color w:val="000000"/>
                <w:sz w:val="16"/>
                <w:szCs w:val="16"/>
              </w:rPr>
              <w:t>(18,113)</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8E0" w14:textId="77777777" w:rsidR="002A3970" w:rsidRDefault="002A3970">
            <w:pPr>
              <w:jc w:val="right"/>
              <w:rPr>
                <w:rFonts w:ascii="宋体"/>
              </w:rPr>
            </w:pPr>
          </w:p>
        </w:tc>
        <w:tc>
          <w:tcPr>
            <w:tcW w:w="0" w:type="auto"/>
            <w:gridSpan w:val="3"/>
            <w:shd w:val="clear" w:color="auto" w:fill="auto"/>
            <w:vAlign w:val="bottom"/>
          </w:tcPr>
          <w:p w14:paraId="4B9A48E1" w14:textId="77777777" w:rsidR="002A3970" w:rsidRDefault="002A3970">
            <w:pPr>
              <w:rPr>
                <w:rFonts w:ascii="宋体"/>
                <w:vanish/>
              </w:rPr>
            </w:pPr>
          </w:p>
        </w:tc>
        <w:tc>
          <w:tcPr>
            <w:tcW w:w="0" w:type="auto"/>
            <w:gridSpan w:val="3"/>
            <w:shd w:val="clear" w:color="auto" w:fill="auto"/>
            <w:vAlign w:val="bottom"/>
          </w:tcPr>
          <w:p w14:paraId="4B9A48E2" w14:textId="77777777" w:rsidR="002A3970" w:rsidRDefault="002A3970">
            <w:pPr>
              <w:rPr>
                <w:rFonts w:ascii="宋体"/>
                <w:vanish/>
              </w:rPr>
            </w:pPr>
          </w:p>
        </w:tc>
      </w:tr>
    </w:tbl>
    <w:p w14:paraId="4B9A48E4" w14:textId="77777777" w:rsidR="002A3970" w:rsidRDefault="00C35E63">
      <w:pPr>
        <w:spacing w:before="60"/>
      </w:pPr>
      <w:r>
        <w:rPr>
          <w:rFonts w:ascii="Times New Roman" w:eastAsia="宋体" w:hAnsi="Times New Roman"/>
          <w:color w:val="000000"/>
          <w:sz w:val="20"/>
          <w:szCs w:val="20"/>
        </w:rPr>
        <w:t>Net cash from financing activities generally consists of transactions related to our short-term and long-term debt, dividends paid and the repurchase of Company stock. Transactions with noncontrolling interest shareholders are also class</w:t>
      </w:r>
      <w:r>
        <w:rPr>
          <w:rFonts w:ascii="Times New Roman" w:eastAsia="宋体" w:hAnsi="Times New Roman"/>
          <w:color w:val="000000"/>
          <w:sz w:val="20"/>
          <w:szCs w:val="20"/>
        </w:rPr>
        <w:t>ified as cash flows from financing activities. Net cash used in financing activities was $5.6 billion as compared to $18.1 billion for the nine months ended October 31, 2022 and 2021, respectively. The decrease in net cash used in financing activities is p</w:t>
      </w:r>
      <w:r>
        <w:rPr>
          <w:rFonts w:ascii="Times New Roman" w:eastAsia="宋体" w:hAnsi="Times New Roman"/>
          <w:color w:val="000000"/>
          <w:sz w:val="20"/>
          <w:szCs w:val="20"/>
        </w:rPr>
        <w:t>rimarily due to repayments of long-term debt and the related payment of premiums for the early extinguishment of certain notes in the prior fiscal period and an increase in short-term borrowings to fund working capital needs during the current fiscal perio</w:t>
      </w:r>
      <w:r>
        <w:rPr>
          <w:rFonts w:ascii="Times New Roman" w:eastAsia="宋体" w:hAnsi="Times New Roman"/>
          <w:color w:val="000000"/>
          <w:sz w:val="20"/>
          <w:szCs w:val="20"/>
        </w:rPr>
        <w:t>d, partially offset by the equity funding from the sale of subsidiary stock in the prior fiscal period.</w:t>
      </w:r>
    </w:p>
    <w:p w14:paraId="4B9A48E5" w14:textId="77777777" w:rsidR="002A3970" w:rsidRDefault="00C35E63">
      <w:pPr>
        <w:spacing w:before="100"/>
      </w:pPr>
      <w:r>
        <w:rPr>
          <w:rFonts w:ascii="Times New Roman" w:eastAsia="宋体" w:hAnsi="Times New Roman"/>
          <w:color w:val="000000"/>
          <w:sz w:val="20"/>
          <w:szCs w:val="20"/>
        </w:rPr>
        <w:t>In April 2022, the Company renewed and extended its existing 364-day revolving credit facility of $10.0 billion as well as its five-year credit facility</w:t>
      </w:r>
      <w:r>
        <w:rPr>
          <w:rFonts w:ascii="Times New Roman" w:eastAsia="宋体" w:hAnsi="Times New Roman"/>
          <w:color w:val="000000"/>
          <w:sz w:val="20"/>
          <w:szCs w:val="20"/>
        </w:rPr>
        <w:t xml:space="preserve"> of $5.0 billion. In total, we had committed lines of credit in the U.S. of $15.0 billion at October 31, 2022, all undrawn.</w:t>
      </w:r>
    </w:p>
    <w:p w14:paraId="4B9A48E6" w14:textId="77777777" w:rsidR="002A3970" w:rsidRDefault="00C35E63">
      <w:pPr>
        <w:jc w:val="center"/>
      </w:pPr>
      <w:r>
        <w:rPr>
          <w:rFonts w:ascii="Times New Roman" w:eastAsia="宋体" w:hAnsi="Times New Roman"/>
          <w:color w:val="000000"/>
          <w:sz w:val="20"/>
          <w:szCs w:val="20"/>
        </w:rPr>
        <w:t>25</w:t>
      </w:r>
    </w:p>
    <w:p w14:paraId="4B9A48E7" w14:textId="77777777" w:rsidR="002A3970" w:rsidRDefault="00C35E63">
      <w:r>
        <w:pict w14:anchorId="4B9A4C2E">
          <v:rect id="_x0000_i1049" style="width:415.3pt;height:1.5pt" o:hralign="center" o:hrstd="t" o:hr="t" fillcolor="#a0a0a0" stroked="f"/>
        </w:pict>
      </w:r>
    </w:p>
    <w:p w14:paraId="4B9A48E8" w14:textId="77777777" w:rsidR="002A3970" w:rsidRDefault="00C35E63">
      <w:hyperlink r:id="rId69" w:anchor="i0522a2f6333e456295d59e779af751cb_7" w:history="1">
        <w:r>
          <w:rPr>
            <w:rStyle w:val="a5"/>
            <w:rFonts w:ascii="Times New Roman" w:eastAsia="宋体" w:hAnsi="Times New Roman"/>
            <w:sz w:val="20"/>
            <w:szCs w:val="20"/>
          </w:rPr>
          <w:t>Table of Contents</w:t>
        </w:r>
      </w:hyperlink>
    </w:p>
    <w:p w14:paraId="4B9A48E9" w14:textId="77777777" w:rsidR="002A3970" w:rsidRDefault="00C35E63">
      <w:pPr>
        <w:spacing w:before="180"/>
      </w:pPr>
      <w:r>
        <w:rPr>
          <w:rFonts w:ascii="Times New Roman" w:eastAsia="宋体" w:hAnsi="Times New Roman"/>
          <w:i/>
          <w:iCs/>
          <w:color w:val="000000"/>
          <w:sz w:val="20"/>
          <w:szCs w:val="20"/>
        </w:rPr>
        <w:t>Long-term Debt</w:t>
      </w:r>
    </w:p>
    <w:p w14:paraId="4B9A48EA" w14:textId="77777777" w:rsidR="002A3970" w:rsidRDefault="00C35E63">
      <w:pPr>
        <w:spacing w:before="100"/>
      </w:pPr>
      <w:r>
        <w:rPr>
          <w:rFonts w:ascii="Times New Roman" w:eastAsia="宋体" w:hAnsi="Times New Roman"/>
          <w:color w:val="000000"/>
          <w:sz w:val="20"/>
          <w:szCs w:val="20"/>
        </w:rPr>
        <w:t>The following table provides the changes in our long-term debt for the nine months ended October 31, 2022:</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2A3970" w14:paraId="4B9A4900" w14:textId="77777777">
        <w:tc>
          <w:tcPr>
            <w:tcW w:w="50" w:type="pct"/>
            <w:shd w:val="clear" w:color="auto" w:fill="auto"/>
            <w:vAlign w:val="bottom"/>
          </w:tcPr>
          <w:p w14:paraId="4B9A48EB" w14:textId="77777777" w:rsidR="002A3970" w:rsidRDefault="002A3970">
            <w:pPr>
              <w:rPr>
                <w:rFonts w:ascii="宋体"/>
              </w:rPr>
            </w:pPr>
          </w:p>
        </w:tc>
        <w:tc>
          <w:tcPr>
            <w:tcW w:w="2375" w:type="pct"/>
            <w:shd w:val="clear" w:color="auto" w:fill="auto"/>
            <w:vAlign w:val="bottom"/>
          </w:tcPr>
          <w:p w14:paraId="4B9A48EC" w14:textId="77777777" w:rsidR="002A3970" w:rsidRDefault="002A3970">
            <w:pPr>
              <w:rPr>
                <w:rFonts w:ascii="宋体"/>
              </w:rPr>
            </w:pPr>
          </w:p>
        </w:tc>
        <w:tc>
          <w:tcPr>
            <w:tcW w:w="5" w:type="pct"/>
            <w:shd w:val="clear" w:color="auto" w:fill="auto"/>
            <w:vAlign w:val="bottom"/>
          </w:tcPr>
          <w:p w14:paraId="4B9A48ED" w14:textId="77777777" w:rsidR="002A3970" w:rsidRDefault="002A3970">
            <w:pPr>
              <w:rPr>
                <w:rFonts w:ascii="宋体"/>
              </w:rPr>
            </w:pPr>
          </w:p>
        </w:tc>
        <w:tc>
          <w:tcPr>
            <w:tcW w:w="5" w:type="pct"/>
            <w:shd w:val="clear" w:color="auto" w:fill="auto"/>
            <w:vAlign w:val="bottom"/>
          </w:tcPr>
          <w:p w14:paraId="4B9A48EE" w14:textId="77777777" w:rsidR="002A3970" w:rsidRDefault="002A3970">
            <w:pPr>
              <w:rPr>
                <w:rFonts w:ascii="宋体"/>
              </w:rPr>
            </w:pPr>
          </w:p>
        </w:tc>
        <w:tc>
          <w:tcPr>
            <w:tcW w:w="107" w:type="pct"/>
            <w:shd w:val="clear" w:color="auto" w:fill="auto"/>
            <w:vAlign w:val="bottom"/>
          </w:tcPr>
          <w:p w14:paraId="4B9A48EF" w14:textId="77777777" w:rsidR="002A3970" w:rsidRDefault="002A3970">
            <w:pPr>
              <w:rPr>
                <w:rFonts w:ascii="宋体"/>
              </w:rPr>
            </w:pPr>
          </w:p>
        </w:tc>
        <w:tc>
          <w:tcPr>
            <w:tcW w:w="5" w:type="pct"/>
            <w:shd w:val="clear" w:color="auto" w:fill="auto"/>
            <w:vAlign w:val="bottom"/>
          </w:tcPr>
          <w:p w14:paraId="4B9A48F0" w14:textId="77777777" w:rsidR="002A3970" w:rsidRDefault="002A3970">
            <w:pPr>
              <w:rPr>
                <w:rFonts w:ascii="宋体"/>
              </w:rPr>
            </w:pPr>
          </w:p>
        </w:tc>
        <w:tc>
          <w:tcPr>
            <w:tcW w:w="50" w:type="pct"/>
            <w:shd w:val="clear" w:color="auto" w:fill="auto"/>
            <w:vAlign w:val="bottom"/>
          </w:tcPr>
          <w:p w14:paraId="4B9A48F1" w14:textId="77777777" w:rsidR="002A3970" w:rsidRDefault="002A3970">
            <w:pPr>
              <w:rPr>
                <w:rFonts w:ascii="宋体"/>
              </w:rPr>
            </w:pPr>
          </w:p>
        </w:tc>
        <w:tc>
          <w:tcPr>
            <w:tcW w:w="684" w:type="pct"/>
            <w:shd w:val="clear" w:color="auto" w:fill="auto"/>
            <w:vAlign w:val="bottom"/>
          </w:tcPr>
          <w:p w14:paraId="4B9A48F2" w14:textId="77777777" w:rsidR="002A3970" w:rsidRDefault="002A3970">
            <w:pPr>
              <w:rPr>
                <w:rFonts w:ascii="宋体"/>
              </w:rPr>
            </w:pPr>
          </w:p>
        </w:tc>
        <w:tc>
          <w:tcPr>
            <w:tcW w:w="5" w:type="pct"/>
            <w:shd w:val="clear" w:color="auto" w:fill="auto"/>
            <w:vAlign w:val="bottom"/>
          </w:tcPr>
          <w:p w14:paraId="4B9A48F3" w14:textId="77777777" w:rsidR="002A3970" w:rsidRDefault="002A3970">
            <w:pPr>
              <w:rPr>
                <w:rFonts w:ascii="宋体"/>
              </w:rPr>
            </w:pPr>
          </w:p>
        </w:tc>
        <w:tc>
          <w:tcPr>
            <w:tcW w:w="5" w:type="pct"/>
            <w:shd w:val="clear" w:color="auto" w:fill="auto"/>
            <w:vAlign w:val="bottom"/>
          </w:tcPr>
          <w:p w14:paraId="4B9A48F4" w14:textId="77777777" w:rsidR="002A3970" w:rsidRDefault="002A3970">
            <w:pPr>
              <w:rPr>
                <w:rFonts w:ascii="宋体"/>
              </w:rPr>
            </w:pPr>
          </w:p>
        </w:tc>
        <w:tc>
          <w:tcPr>
            <w:tcW w:w="107" w:type="pct"/>
            <w:shd w:val="clear" w:color="auto" w:fill="auto"/>
            <w:vAlign w:val="bottom"/>
          </w:tcPr>
          <w:p w14:paraId="4B9A48F5" w14:textId="77777777" w:rsidR="002A3970" w:rsidRDefault="002A3970">
            <w:pPr>
              <w:rPr>
                <w:rFonts w:ascii="宋体"/>
              </w:rPr>
            </w:pPr>
          </w:p>
        </w:tc>
        <w:tc>
          <w:tcPr>
            <w:tcW w:w="5" w:type="pct"/>
            <w:shd w:val="clear" w:color="auto" w:fill="auto"/>
            <w:vAlign w:val="bottom"/>
          </w:tcPr>
          <w:p w14:paraId="4B9A48F6" w14:textId="77777777" w:rsidR="002A3970" w:rsidRDefault="002A3970">
            <w:pPr>
              <w:rPr>
                <w:rFonts w:ascii="宋体"/>
              </w:rPr>
            </w:pPr>
          </w:p>
        </w:tc>
        <w:tc>
          <w:tcPr>
            <w:tcW w:w="50" w:type="pct"/>
            <w:shd w:val="clear" w:color="auto" w:fill="auto"/>
            <w:vAlign w:val="bottom"/>
          </w:tcPr>
          <w:p w14:paraId="4B9A48F7" w14:textId="77777777" w:rsidR="002A3970" w:rsidRDefault="002A3970">
            <w:pPr>
              <w:rPr>
                <w:rFonts w:ascii="宋体"/>
              </w:rPr>
            </w:pPr>
          </w:p>
        </w:tc>
        <w:tc>
          <w:tcPr>
            <w:tcW w:w="684" w:type="pct"/>
            <w:shd w:val="clear" w:color="auto" w:fill="auto"/>
            <w:vAlign w:val="bottom"/>
          </w:tcPr>
          <w:p w14:paraId="4B9A48F8" w14:textId="77777777" w:rsidR="002A3970" w:rsidRDefault="002A3970">
            <w:pPr>
              <w:rPr>
                <w:rFonts w:ascii="宋体"/>
              </w:rPr>
            </w:pPr>
          </w:p>
        </w:tc>
        <w:tc>
          <w:tcPr>
            <w:tcW w:w="5" w:type="pct"/>
            <w:shd w:val="clear" w:color="auto" w:fill="auto"/>
            <w:vAlign w:val="bottom"/>
          </w:tcPr>
          <w:p w14:paraId="4B9A48F9" w14:textId="77777777" w:rsidR="002A3970" w:rsidRDefault="002A3970">
            <w:pPr>
              <w:rPr>
                <w:rFonts w:ascii="宋体"/>
              </w:rPr>
            </w:pPr>
          </w:p>
        </w:tc>
        <w:tc>
          <w:tcPr>
            <w:tcW w:w="5" w:type="pct"/>
            <w:shd w:val="clear" w:color="auto" w:fill="auto"/>
            <w:vAlign w:val="bottom"/>
          </w:tcPr>
          <w:p w14:paraId="4B9A48FA" w14:textId="77777777" w:rsidR="002A3970" w:rsidRDefault="002A3970">
            <w:pPr>
              <w:rPr>
                <w:rFonts w:ascii="宋体"/>
              </w:rPr>
            </w:pPr>
          </w:p>
        </w:tc>
        <w:tc>
          <w:tcPr>
            <w:tcW w:w="107" w:type="pct"/>
            <w:shd w:val="clear" w:color="auto" w:fill="auto"/>
            <w:vAlign w:val="bottom"/>
          </w:tcPr>
          <w:p w14:paraId="4B9A48FB" w14:textId="77777777" w:rsidR="002A3970" w:rsidRDefault="002A3970">
            <w:pPr>
              <w:rPr>
                <w:rFonts w:ascii="宋体"/>
              </w:rPr>
            </w:pPr>
          </w:p>
        </w:tc>
        <w:tc>
          <w:tcPr>
            <w:tcW w:w="5" w:type="pct"/>
            <w:shd w:val="clear" w:color="auto" w:fill="auto"/>
            <w:vAlign w:val="bottom"/>
          </w:tcPr>
          <w:p w14:paraId="4B9A48FC" w14:textId="77777777" w:rsidR="002A3970" w:rsidRDefault="002A3970">
            <w:pPr>
              <w:rPr>
                <w:rFonts w:ascii="宋体"/>
              </w:rPr>
            </w:pPr>
          </w:p>
        </w:tc>
        <w:tc>
          <w:tcPr>
            <w:tcW w:w="50" w:type="pct"/>
            <w:shd w:val="clear" w:color="auto" w:fill="auto"/>
            <w:vAlign w:val="bottom"/>
          </w:tcPr>
          <w:p w14:paraId="4B9A48FD" w14:textId="77777777" w:rsidR="002A3970" w:rsidRDefault="002A3970">
            <w:pPr>
              <w:rPr>
                <w:rFonts w:ascii="宋体"/>
              </w:rPr>
            </w:pPr>
          </w:p>
        </w:tc>
        <w:tc>
          <w:tcPr>
            <w:tcW w:w="684" w:type="pct"/>
            <w:shd w:val="clear" w:color="auto" w:fill="auto"/>
            <w:vAlign w:val="bottom"/>
          </w:tcPr>
          <w:p w14:paraId="4B9A48FE" w14:textId="77777777" w:rsidR="002A3970" w:rsidRDefault="002A3970">
            <w:pPr>
              <w:rPr>
                <w:rFonts w:ascii="宋体"/>
              </w:rPr>
            </w:pPr>
          </w:p>
        </w:tc>
        <w:tc>
          <w:tcPr>
            <w:tcW w:w="5" w:type="pct"/>
            <w:shd w:val="clear" w:color="auto" w:fill="auto"/>
            <w:vAlign w:val="bottom"/>
          </w:tcPr>
          <w:p w14:paraId="4B9A48FF" w14:textId="77777777" w:rsidR="002A3970" w:rsidRDefault="002A3970">
            <w:pPr>
              <w:rPr>
                <w:rFonts w:ascii="宋体"/>
              </w:rPr>
            </w:pPr>
          </w:p>
        </w:tc>
      </w:tr>
      <w:tr w:rsidR="002A3970" w14:paraId="4B9A4908" w14:textId="77777777">
        <w:tc>
          <w:tcPr>
            <w:tcW w:w="0" w:type="auto"/>
            <w:gridSpan w:val="3"/>
            <w:shd w:val="clear" w:color="auto" w:fill="auto"/>
            <w:tcMar>
              <w:top w:w="40" w:type="dxa"/>
              <w:left w:w="20" w:type="dxa"/>
              <w:bottom w:w="40" w:type="dxa"/>
              <w:right w:w="20" w:type="dxa"/>
            </w:tcMar>
            <w:vAlign w:val="bottom"/>
          </w:tcPr>
          <w:p w14:paraId="4B9A4901" w14:textId="77777777" w:rsidR="002A3970" w:rsidRDefault="00C35E63">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B9A4902"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903" w14:textId="77777777" w:rsidR="002A3970" w:rsidRDefault="00C35E63">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4B9A4904"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905" w14:textId="77777777" w:rsidR="002A3970" w:rsidRDefault="00C35E63">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4B9A490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907" w14:textId="77777777" w:rsidR="002A3970" w:rsidRDefault="00C35E63">
            <w:pPr>
              <w:jc w:val="center"/>
              <w:textAlignment w:val="bottom"/>
            </w:pPr>
            <w:r>
              <w:rPr>
                <w:rFonts w:ascii="Times New Roman" w:eastAsia="宋体" w:hAnsi="Times New Roman"/>
                <w:b/>
                <w:bCs/>
                <w:color w:val="000000"/>
                <w:sz w:val="16"/>
                <w:szCs w:val="16"/>
              </w:rPr>
              <w:t>Total</w:t>
            </w:r>
          </w:p>
        </w:tc>
      </w:tr>
      <w:tr w:rsidR="002A3970" w14:paraId="4B9A4916" w14:textId="77777777">
        <w:tc>
          <w:tcPr>
            <w:tcW w:w="0" w:type="auto"/>
            <w:gridSpan w:val="3"/>
            <w:shd w:val="clear" w:color="auto" w:fill="CCEEFF"/>
            <w:tcMar>
              <w:top w:w="40" w:type="dxa"/>
              <w:left w:w="20" w:type="dxa"/>
              <w:bottom w:w="40" w:type="dxa"/>
              <w:right w:w="20" w:type="dxa"/>
            </w:tcMar>
            <w:vAlign w:val="center"/>
          </w:tcPr>
          <w:p w14:paraId="4B9A4909" w14:textId="77777777" w:rsidR="002A3970" w:rsidRDefault="00C35E63">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4B9A490A"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90B"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90C" w14:textId="77777777" w:rsidR="002A3970" w:rsidRDefault="00C35E63">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90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0E"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90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910" w14:textId="77777777" w:rsidR="002A3970" w:rsidRDefault="00C35E63">
            <w:pPr>
              <w:jc w:val="right"/>
              <w:textAlignment w:val="center"/>
            </w:pPr>
            <w:r>
              <w:rPr>
                <w:rFonts w:ascii="Times New Roman" w:eastAsia="宋体" w:hAnsi="Times New Roman"/>
                <w:color w:val="000000"/>
                <w:sz w:val="16"/>
                <w:szCs w:val="16"/>
              </w:rPr>
              <w:t>34,864 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91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12"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913"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914" w14:textId="77777777" w:rsidR="002A3970" w:rsidRDefault="00C35E63">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915" w14:textId="77777777" w:rsidR="002A3970" w:rsidRDefault="002A3970">
            <w:pPr>
              <w:jc w:val="right"/>
              <w:rPr>
                <w:rFonts w:ascii="宋体"/>
              </w:rPr>
            </w:pPr>
          </w:p>
        </w:tc>
      </w:tr>
      <w:tr w:rsidR="002A3970" w14:paraId="4B9A4921" w14:textId="77777777">
        <w:tc>
          <w:tcPr>
            <w:tcW w:w="0" w:type="auto"/>
            <w:gridSpan w:val="3"/>
            <w:shd w:val="clear" w:color="auto" w:fill="FFFFFF"/>
            <w:tcMar>
              <w:top w:w="40" w:type="dxa"/>
              <w:left w:w="20" w:type="dxa"/>
              <w:bottom w:w="40" w:type="dxa"/>
              <w:right w:w="20" w:type="dxa"/>
            </w:tcMar>
            <w:vAlign w:val="center"/>
          </w:tcPr>
          <w:p w14:paraId="4B9A4917" w14:textId="77777777" w:rsidR="002A3970" w:rsidRDefault="00C35E63">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vAlign w:val="bottom"/>
          </w:tcPr>
          <w:p w14:paraId="4B9A4918"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919"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491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1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91C" w14:textId="77777777" w:rsidR="002A3970" w:rsidRDefault="00C35E63">
            <w:pPr>
              <w:jc w:val="right"/>
              <w:textAlignment w:val="center"/>
            </w:pPr>
            <w:r>
              <w:rPr>
                <w:rFonts w:ascii="Times New Roman" w:eastAsia="宋体" w:hAnsi="Times New Roman"/>
                <w:color w:val="000000"/>
                <w:sz w:val="16"/>
                <w:szCs w:val="16"/>
              </w:rPr>
              <w:t>4,969 </w:t>
            </w:r>
          </w:p>
        </w:tc>
        <w:tc>
          <w:tcPr>
            <w:tcW w:w="0" w:type="auto"/>
            <w:shd w:val="clear" w:color="auto" w:fill="FFFFFF"/>
            <w:tcMar>
              <w:top w:w="40" w:type="dxa"/>
              <w:left w:w="0" w:type="dxa"/>
              <w:bottom w:w="40" w:type="dxa"/>
              <w:right w:w="20" w:type="dxa"/>
            </w:tcMar>
            <w:vAlign w:val="center"/>
          </w:tcPr>
          <w:p w14:paraId="4B9A491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1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91F" w14:textId="77777777" w:rsidR="002A3970" w:rsidRDefault="00C35E63">
            <w:pPr>
              <w:jc w:val="right"/>
              <w:textAlignment w:val="center"/>
            </w:pPr>
            <w:r>
              <w:rPr>
                <w:rFonts w:ascii="Times New Roman" w:eastAsia="宋体" w:hAnsi="Times New Roman"/>
                <w:color w:val="000000"/>
                <w:sz w:val="16"/>
                <w:szCs w:val="16"/>
              </w:rPr>
              <w:t>4,969 </w:t>
            </w:r>
          </w:p>
        </w:tc>
        <w:tc>
          <w:tcPr>
            <w:tcW w:w="0" w:type="auto"/>
            <w:shd w:val="clear" w:color="auto" w:fill="FFFFFF"/>
            <w:tcMar>
              <w:top w:w="40" w:type="dxa"/>
              <w:left w:w="0" w:type="dxa"/>
              <w:bottom w:w="40" w:type="dxa"/>
              <w:right w:w="20" w:type="dxa"/>
            </w:tcMar>
            <w:vAlign w:val="center"/>
          </w:tcPr>
          <w:p w14:paraId="4B9A4920" w14:textId="77777777" w:rsidR="002A3970" w:rsidRDefault="002A3970">
            <w:pPr>
              <w:jc w:val="right"/>
              <w:rPr>
                <w:rFonts w:ascii="宋体"/>
              </w:rPr>
            </w:pPr>
          </w:p>
        </w:tc>
      </w:tr>
      <w:tr w:rsidR="002A3970" w14:paraId="4B9A492C" w14:textId="77777777">
        <w:tc>
          <w:tcPr>
            <w:tcW w:w="0" w:type="auto"/>
            <w:gridSpan w:val="3"/>
            <w:shd w:val="clear" w:color="auto" w:fill="CCEEFF"/>
            <w:tcMar>
              <w:top w:w="40" w:type="dxa"/>
              <w:left w:w="20" w:type="dxa"/>
              <w:bottom w:w="40" w:type="dxa"/>
              <w:right w:w="20" w:type="dxa"/>
            </w:tcMar>
            <w:vAlign w:val="center"/>
          </w:tcPr>
          <w:p w14:paraId="4B9A4922" w14:textId="77777777" w:rsidR="002A3970" w:rsidRDefault="00C35E63">
            <w:pPr>
              <w:textAlignment w:val="center"/>
            </w:pPr>
            <w:r>
              <w:rPr>
                <w:rFonts w:ascii="Times New Roman" w:eastAsia="宋体" w:hAnsi="Times New Roman"/>
                <w:color w:val="000000"/>
                <w:sz w:val="16"/>
                <w:szCs w:val="16"/>
              </w:rPr>
              <w:t>Repa</w:t>
            </w:r>
            <w:r>
              <w:rPr>
                <w:rFonts w:ascii="Times New Roman" w:eastAsia="宋体" w:hAnsi="Times New Roman"/>
                <w:color w:val="000000"/>
                <w:sz w:val="16"/>
                <w:szCs w:val="16"/>
              </w:rPr>
              <w:t>yments of long-term debt</w:t>
            </w:r>
          </w:p>
        </w:tc>
        <w:tc>
          <w:tcPr>
            <w:tcW w:w="0" w:type="auto"/>
            <w:gridSpan w:val="3"/>
            <w:shd w:val="clear" w:color="auto" w:fill="CCEEFF"/>
            <w:tcMar>
              <w:top w:w="0" w:type="dxa"/>
              <w:left w:w="20" w:type="dxa"/>
              <w:bottom w:w="0" w:type="dxa"/>
              <w:right w:w="20" w:type="dxa"/>
            </w:tcMar>
            <w:vAlign w:val="bottom"/>
          </w:tcPr>
          <w:p w14:paraId="4B9A4923"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924" w14:textId="77777777" w:rsidR="002A3970" w:rsidRDefault="00C35E63">
            <w:pPr>
              <w:jc w:val="right"/>
              <w:textAlignment w:val="center"/>
            </w:pPr>
            <w:r>
              <w:rPr>
                <w:rFonts w:ascii="Times New Roman" w:eastAsia="宋体" w:hAnsi="Times New Roman"/>
                <w:color w:val="000000"/>
                <w:sz w:val="16"/>
                <w:szCs w:val="16"/>
              </w:rPr>
              <w:t>(1,439)</w:t>
            </w:r>
          </w:p>
        </w:tc>
        <w:tc>
          <w:tcPr>
            <w:tcW w:w="0" w:type="auto"/>
            <w:shd w:val="clear" w:color="auto" w:fill="CCEEFF"/>
            <w:tcMar>
              <w:top w:w="40" w:type="dxa"/>
              <w:left w:w="0" w:type="dxa"/>
              <w:bottom w:w="40" w:type="dxa"/>
              <w:right w:w="20" w:type="dxa"/>
            </w:tcMar>
            <w:vAlign w:val="center"/>
          </w:tcPr>
          <w:p w14:paraId="4B9A4925"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26"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927"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B9A4928"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2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92A" w14:textId="77777777" w:rsidR="002A3970" w:rsidRDefault="00C35E63">
            <w:pPr>
              <w:jc w:val="right"/>
              <w:textAlignment w:val="center"/>
            </w:pPr>
            <w:r>
              <w:rPr>
                <w:rFonts w:ascii="Times New Roman" w:eastAsia="宋体" w:hAnsi="Times New Roman"/>
                <w:color w:val="000000"/>
                <w:sz w:val="16"/>
                <w:szCs w:val="16"/>
              </w:rPr>
              <w:t>(1,439)</w:t>
            </w:r>
          </w:p>
        </w:tc>
        <w:tc>
          <w:tcPr>
            <w:tcW w:w="0" w:type="auto"/>
            <w:shd w:val="clear" w:color="auto" w:fill="CCEEFF"/>
            <w:tcMar>
              <w:top w:w="40" w:type="dxa"/>
              <w:left w:w="0" w:type="dxa"/>
              <w:bottom w:w="40" w:type="dxa"/>
              <w:right w:w="20" w:type="dxa"/>
            </w:tcMar>
            <w:vAlign w:val="center"/>
          </w:tcPr>
          <w:p w14:paraId="4B9A492B" w14:textId="77777777" w:rsidR="002A3970" w:rsidRDefault="002A3970">
            <w:pPr>
              <w:jc w:val="right"/>
              <w:rPr>
                <w:rFonts w:ascii="宋体"/>
              </w:rPr>
            </w:pPr>
          </w:p>
        </w:tc>
      </w:tr>
      <w:tr w:rsidR="002A3970" w14:paraId="4B9A4937" w14:textId="77777777">
        <w:tc>
          <w:tcPr>
            <w:tcW w:w="0" w:type="auto"/>
            <w:gridSpan w:val="3"/>
            <w:shd w:val="clear" w:color="auto" w:fill="FFFFFF"/>
            <w:tcMar>
              <w:top w:w="40" w:type="dxa"/>
              <w:left w:w="20" w:type="dxa"/>
              <w:bottom w:w="40" w:type="dxa"/>
              <w:right w:w="20" w:type="dxa"/>
            </w:tcMar>
            <w:vAlign w:val="center"/>
          </w:tcPr>
          <w:p w14:paraId="4B9A492D" w14:textId="77777777" w:rsidR="002A3970" w:rsidRDefault="00C35E63">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FFFFFF"/>
            <w:tcMar>
              <w:top w:w="0" w:type="dxa"/>
              <w:left w:w="20" w:type="dxa"/>
              <w:bottom w:w="0" w:type="dxa"/>
              <w:right w:w="20" w:type="dxa"/>
            </w:tcMar>
            <w:vAlign w:val="bottom"/>
          </w:tcPr>
          <w:p w14:paraId="4B9A492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92F" w14:textId="77777777" w:rsidR="002A3970" w:rsidRDefault="00C35E63">
            <w:pPr>
              <w:jc w:val="right"/>
              <w:textAlignment w:val="center"/>
            </w:pPr>
            <w:r>
              <w:rPr>
                <w:rFonts w:ascii="Times New Roman" w:eastAsia="宋体" w:hAnsi="Times New Roman"/>
                <w:color w:val="000000"/>
                <w:sz w:val="16"/>
                <w:szCs w:val="16"/>
              </w:rPr>
              <w:t>4,181 </w:t>
            </w:r>
          </w:p>
        </w:tc>
        <w:tc>
          <w:tcPr>
            <w:tcW w:w="0" w:type="auto"/>
            <w:shd w:val="clear" w:color="auto" w:fill="FFFFFF"/>
            <w:tcMar>
              <w:top w:w="40" w:type="dxa"/>
              <w:left w:w="0" w:type="dxa"/>
              <w:bottom w:w="40" w:type="dxa"/>
              <w:right w:w="20" w:type="dxa"/>
            </w:tcMar>
            <w:vAlign w:val="center"/>
          </w:tcPr>
          <w:p w14:paraId="4B9A493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3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932" w14:textId="77777777" w:rsidR="002A3970" w:rsidRDefault="00C35E63">
            <w:pPr>
              <w:jc w:val="right"/>
              <w:textAlignment w:val="center"/>
            </w:pPr>
            <w:r>
              <w:rPr>
                <w:rFonts w:ascii="Times New Roman" w:eastAsia="宋体" w:hAnsi="Times New Roman"/>
                <w:color w:val="000000"/>
                <w:sz w:val="16"/>
                <w:szCs w:val="16"/>
              </w:rPr>
              <w:t>(4,181)</w:t>
            </w:r>
          </w:p>
        </w:tc>
        <w:tc>
          <w:tcPr>
            <w:tcW w:w="0" w:type="auto"/>
            <w:shd w:val="clear" w:color="auto" w:fill="FFFFFF"/>
            <w:tcMar>
              <w:top w:w="40" w:type="dxa"/>
              <w:left w:w="0" w:type="dxa"/>
              <w:bottom w:w="40" w:type="dxa"/>
              <w:right w:w="20" w:type="dxa"/>
            </w:tcMar>
            <w:vAlign w:val="center"/>
          </w:tcPr>
          <w:p w14:paraId="4B9A493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3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935" w14:textId="77777777" w:rsidR="002A3970" w:rsidRDefault="00C35E63">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B9A4936" w14:textId="77777777" w:rsidR="002A3970" w:rsidRDefault="002A3970">
            <w:pPr>
              <w:jc w:val="right"/>
              <w:rPr>
                <w:rFonts w:ascii="宋体"/>
              </w:rPr>
            </w:pPr>
          </w:p>
        </w:tc>
      </w:tr>
      <w:tr w:rsidR="002A3970" w14:paraId="4B9A4942" w14:textId="77777777">
        <w:tc>
          <w:tcPr>
            <w:tcW w:w="0" w:type="auto"/>
            <w:gridSpan w:val="3"/>
            <w:shd w:val="clear" w:color="auto" w:fill="CCEEFF"/>
            <w:tcMar>
              <w:top w:w="40" w:type="dxa"/>
              <w:left w:w="20" w:type="dxa"/>
              <w:bottom w:w="40" w:type="dxa"/>
              <w:right w:w="20" w:type="dxa"/>
            </w:tcMar>
            <w:vAlign w:val="center"/>
          </w:tcPr>
          <w:p w14:paraId="4B9A4938" w14:textId="77777777" w:rsidR="002A3970" w:rsidRDefault="00C35E63">
            <w:pPr>
              <w:textAlignment w:val="center"/>
            </w:pPr>
            <w:r>
              <w:rPr>
                <w:rFonts w:ascii="Times New Roman" w:eastAsia="宋体" w:hAnsi="Times New Roman"/>
                <w:color w:val="000000"/>
                <w:sz w:val="16"/>
                <w:szCs w:val="16"/>
              </w:rPr>
              <w:t>Othe</w:t>
            </w:r>
            <w:r>
              <w:rPr>
                <w:rFonts w:ascii="Times New Roman" w:eastAsia="宋体" w:hAnsi="Times New Roman"/>
                <w:color w:val="000000"/>
                <w:sz w:val="16"/>
                <w:szCs w:val="16"/>
              </w:rPr>
              <w:t>r</w:t>
            </w:r>
          </w:p>
        </w:tc>
        <w:tc>
          <w:tcPr>
            <w:tcW w:w="0" w:type="auto"/>
            <w:gridSpan w:val="3"/>
            <w:shd w:val="clear" w:color="auto" w:fill="CCEEFF"/>
            <w:tcMar>
              <w:top w:w="0" w:type="dxa"/>
              <w:left w:w="20" w:type="dxa"/>
              <w:bottom w:w="0" w:type="dxa"/>
              <w:right w:w="20" w:type="dxa"/>
            </w:tcMar>
            <w:vAlign w:val="bottom"/>
          </w:tcPr>
          <w:p w14:paraId="4B9A493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93A" w14:textId="77777777" w:rsidR="002A3970" w:rsidRDefault="00C35E63">
            <w:pPr>
              <w:jc w:val="right"/>
              <w:textAlignment w:val="center"/>
            </w:pPr>
            <w:r>
              <w:rPr>
                <w:rFonts w:ascii="Times New Roman" w:eastAsia="宋体" w:hAnsi="Times New Roman"/>
                <w:color w:val="000000"/>
                <w:sz w:val="16"/>
                <w:szCs w:val="16"/>
              </w:rPr>
              <w:t>(87)</w:t>
            </w:r>
          </w:p>
        </w:tc>
        <w:tc>
          <w:tcPr>
            <w:tcW w:w="0" w:type="auto"/>
            <w:shd w:val="clear" w:color="auto" w:fill="CCEEFF"/>
            <w:tcMar>
              <w:top w:w="40" w:type="dxa"/>
              <w:left w:w="0" w:type="dxa"/>
              <w:bottom w:w="40" w:type="dxa"/>
              <w:right w:w="20" w:type="dxa"/>
            </w:tcMar>
            <w:vAlign w:val="center"/>
          </w:tcPr>
          <w:p w14:paraId="4B9A493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3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93D" w14:textId="77777777" w:rsidR="002A3970" w:rsidRDefault="00C35E63">
            <w:pPr>
              <w:jc w:val="right"/>
              <w:textAlignment w:val="center"/>
            </w:pPr>
            <w:r>
              <w:rPr>
                <w:rFonts w:ascii="Times New Roman" w:eastAsia="宋体" w:hAnsi="Times New Roman"/>
                <w:color w:val="000000"/>
                <w:sz w:val="16"/>
                <w:szCs w:val="16"/>
              </w:rPr>
              <w:t>(1,717)</w:t>
            </w:r>
          </w:p>
        </w:tc>
        <w:tc>
          <w:tcPr>
            <w:tcW w:w="0" w:type="auto"/>
            <w:shd w:val="clear" w:color="auto" w:fill="CCEEFF"/>
            <w:tcMar>
              <w:top w:w="40" w:type="dxa"/>
              <w:left w:w="0" w:type="dxa"/>
              <w:bottom w:w="40" w:type="dxa"/>
              <w:right w:w="20" w:type="dxa"/>
            </w:tcMar>
            <w:vAlign w:val="center"/>
          </w:tcPr>
          <w:p w14:paraId="4B9A493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3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940" w14:textId="77777777" w:rsidR="002A3970" w:rsidRDefault="00C35E63">
            <w:pPr>
              <w:jc w:val="right"/>
              <w:textAlignment w:val="center"/>
            </w:pPr>
            <w:r>
              <w:rPr>
                <w:rFonts w:ascii="Times New Roman" w:eastAsia="宋体" w:hAnsi="Times New Roman"/>
                <w:color w:val="000000"/>
                <w:sz w:val="16"/>
                <w:szCs w:val="16"/>
              </w:rPr>
              <w:t>(1,804)</w:t>
            </w:r>
          </w:p>
        </w:tc>
        <w:tc>
          <w:tcPr>
            <w:tcW w:w="0" w:type="auto"/>
            <w:shd w:val="clear" w:color="auto" w:fill="CCEEFF"/>
            <w:tcMar>
              <w:top w:w="40" w:type="dxa"/>
              <w:left w:w="0" w:type="dxa"/>
              <w:bottom w:w="40" w:type="dxa"/>
              <w:right w:w="20" w:type="dxa"/>
            </w:tcMar>
            <w:vAlign w:val="center"/>
          </w:tcPr>
          <w:p w14:paraId="4B9A4941" w14:textId="77777777" w:rsidR="002A3970" w:rsidRDefault="002A3970">
            <w:pPr>
              <w:jc w:val="right"/>
              <w:rPr>
                <w:rFonts w:ascii="宋体"/>
              </w:rPr>
            </w:pPr>
          </w:p>
        </w:tc>
      </w:tr>
      <w:tr w:rsidR="002A3970" w14:paraId="4B9A4950" w14:textId="77777777">
        <w:tc>
          <w:tcPr>
            <w:tcW w:w="0" w:type="auto"/>
            <w:gridSpan w:val="3"/>
            <w:shd w:val="clear" w:color="auto" w:fill="FFFFFF"/>
            <w:tcMar>
              <w:top w:w="40" w:type="dxa"/>
              <w:left w:w="20" w:type="dxa"/>
              <w:bottom w:w="40" w:type="dxa"/>
              <w:right w:w="20" w:type="dxa"/>
            </w:tcMar>
            <w:vAlign w:val="center"/>
          </w:tcPr>
          <w:p w14:paraId="4B9A4943" w14:textId="77777777" w:rsidR="002A3970" w:rsidRDefault="00C35E63">
            <w:pPr>
              <w:textAlignment w:val="center"/>
            </w:pPr>
            <w:r>
              <w:rPr>
                <w:rFonts w:ascii="Times New Roman" w:eastAsia="宋体" w:hAnsi="Times New Roman"/>
                <w:b/>
                <w:bCs/>
                <w:color w:val="000000"/>
                <w:sz w:val="16"/>
                <w:szCs w:val="16"/>
              </w:rPr>
              <w:t>Balances as of October 31, 2022</w:t>
            </w:r>
          </w:p>
        </w:tc>
        <w:tc>
          <w:tcPr>
            <w:tcW w:w="0" w:type="auto"/>
            <w:gridSpan w:val="3"/>
            <w:shd w:val="clear" w:color="auto" w:fill="FFFFFF"/>
            <w:tcMar>
              <w:top w:w="0" w:type="dxa"/>
              <w:left w:w="20" w:type="dxa"/>
              <w:bottom w:w="0" w:type="dxa"/>
              <w:right w:w="20" w:type="dxa"/>
            </w:tcMar>
            <w:vAlign w:val="bottom"/>
          </w:tcPr>
          <w:p w14:paraId="4B9A4944"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945"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946" w14:textId="77777777" w:rsidR="002A3970" w:rsidRDefault="00C35E63">
            <w:pPr>
              <w:jc w:val="right"/>
              <w:textAlignment w:val="center"/>
            </w:pPr>
            <w:r>
              <w:rPr>
                <w:rFonts w:ascii="Times New Roman" w:eastAsia="宋体" w:hAnsi="Times New Roman"/>
                <w:color w:val="000000"/>
                <w:sz w:val="16"/>
                <w:szCs w:val="16"/>
              </w:rPr>
              <w:t>5,458 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947"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48"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949"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94A" w14:textId="77777777" w:rsidR="002A3970" w:rsidRDefault="00C35E63">
            <w:pPr>
              <w:jc w:val="right"/>
              <w:textAlignment w:val="center"/>
            </w:pPr>
            <w:r>
              <w:rPr>
                <w:rFonts w:ascii="Times New Roman" w:eastAsia="宋体" w:hAnsi="Times New Roman"/>
                <w:color w:val="000000"/>
                <w:sz w:val="16"/>
                <w:szCs w:val="16"/>
              </w:rPr>
              <w:t>33,935 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94B"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4C" w14:textId="77777777" w:rsidR="002A3970" w:rsidRDefault="002A397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94D"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B9A494E" w14:textId="77777777" w:rsidR="002A3970" w:rsidRDefault="00C35E63">
            <w:pPr>
              <w:jc w:val="right"/>
              <w:textAlignment w:val="center"/>
            </w:pPr>
            <w:r>
              <w:rPr>
                <w:rFonts w:ascii="Times New Roman" w:eastAsia="宋体" w:hAnsi="Times New Roman"/>
                <w:color w:val="000000"/>
                <w:sz w:val="16"/>
                <w:szCs w:val="16"/>
              </w:rPr>
              <w:t>39,393 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94F" w14:textId="77777777" w:rsidR="002A3970" w:rsidRDefault="002A3970">
            <w:pPr>
              <w:jc w:val="right"/>
              <w:rPr>
                <w:rFonts w:ascii="宋体"/>
              </w:rPr>
            </w:pPr>
          </w:p>
        </w:tc>
      </w:tr>
    </w:tbl>
    <w:p w14:paraId="4B9A4951" w14:textId="77777777" w:rsidR="002A3970" w:rsidRDefault="00C35E63">
      <w:pPr>
        <w:spacing w:before="200"/>
      </w:pPr>
      <w:r>
        <w:rPr>
          <w:rFonts w:ascii="Times New Roman" w:eastAsia="宋体" w:hAnsi="Times New Roman"/>
          <w:color w:val="000000"/>
          <w:sz w:val="20"/>
          <w:szCs w:val="20"/>
        </w:rPr>
        <w:t>During the nine months ended October 31, 2022, our total outstanding long-term debt increased $1.7 billion primarily due to the issuance of new long-term debt in Septe</w:t>
      </w:r>
      <w:r>
        <w:rPr>
          <w:rFonts w:ascii="Times New Roman" w:eastAsia="宋体" w:hAnsi="Times New Roman"/>
          <w:color w:val="000000"/>
          <w:sz w:val="20"/>
          <w:szCs w:val="20"/>
        </w:rPr>
        <w:t xml:space="preserve">mber 2022, partially offset by the maturities of certain long-term debt. Refer to </w:t>
      </w:r>
      <w:hyperlink r:id="rId70" w:anchor="i0522a2f6333e456295d59e779af751cb_46"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xml:space="preserve"> to our Condensed Consolidated Financial Statements for details on the issuances of long-term debt.</w:t>
      </w:r>
    </w:p>
    <w:p w14:paraId="4B9A4952" w14:textId="77777777" w:rsidR="002A3970" w:rsidRDefault="00C35E63">
      <w:pPr>
        <w:spacing w:before="180"/>
      </w:pPr>
      <w:r>
        <w:rPr>
          <w:rFonts w:ascii="Times New Roman" w:eastAsia="宋体" w:hAnsi="Times New Roman"/>
          <w:i/>
          <w:iCs/>
          <w:color w:val="000000"/>
          <w:sz w:val="20"/>
          <w:szCs w:val="20"/>
        </w:rPr>
        <w:t>Dividends</w:t>
      </w:r>
    </w:p>
    <w:p w14:paraId="4B9A4953" w14:textId="77777777" w:rsidR="002A3970" w:rsidRDefault="00C35E63">
      <w:pPr>
        <w:spacing w:before="100"/>
      </w:pPr>
      <w:r>
        <w:rPr>
          <w:rFonts w:ascii="Times New Roman" w:eastAsia="宋体" w:hAnsi="Times New Roman"/>
          <w:color w:val="000000"/>
          <w:sz w:val="20"/>
          <w:szCs w:val="20"/>
        </w:rPr>
        <w:t xml:space="preserve">Effective February 17, 2022, the Board of Directors approved the fiscal 2023 annual dividend of $2.24 per share, an increase over the fiscal 2022 </w:t>
      </w:r>
      <w:r>
        <w:rPr>
          <w:rFonts w:ascii="Times New Roman" w:eastAsia="宋体" w:hAnsi="Times New Roman"/>
          <w:color w:val="000000"/>
          <w:sz w:val="20"/>
          <w:szCs w:val="20"/>
        </w:rPr>
        <w:t xml:space="preserve">annual dividend of $2.20 per share. For fiscal 2023, the annual dividend was or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installments of $0.56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2A3970" w14:paraId="4B9A495D" w14:textId="77777777">
        <w:tc>
          <w:tcPr>
            <w:tcW w:w="50" w:type="pct"/>
            <w:shd w:val="clear" w:color="auto" w:fill="auto"/>
            <w:vAlign w:val="bottom"/>
          </w:tcPr>
          <w:p w14:paraId="4B9A4954" w14:textId="77777777" w:rsidR="002A3970" w:rsidRDefault="002A3970">
            <w:pPr>
              <w:rPr>
                <w:rFonts w:ascii="宋体"/>
              </w:rPr>
            </w:pPr>
          </w:p>
        </w:tc>
        <w:tc>
          <w:tcPr>
            <w:tcW w:w="3358" w:type="pct"/>
            <w:shd w:val="clear" w:color="auto" w:fill="auto"/>
            <w:vAlign w:val="bottom"/>
          </w:tcPr>
          <w:p w14:paraId="4B9A4955" w14:textId="77777777" w:rsidR="002A3970" w:rsidRDefault="002A3970">
            <w:pPr>
              <w:rPr>
                <w:rFonts w:ascii="宋体"/>
              </w:rPr>
            </w:pPr>
          </w:p>
        </w:tc>
        <w:tc>
          <w:tcPr>
            <w:tcW w:w="5" w:type="pct"/>
            <w:shd w:val="clear" w:color="auto" w:fill="auto"/>
            <w:vAlign w:val="bottom"/>
          </w:tcPr>
          <w:p w14:paraId="4B9A4956" w14:textId="77777777" w:rsidR="002A3970" w:rsidRDefault="002A3970">
            <w:pPr>
              <w:rPr>
                <w:rFonts w:ascii="宋体"/>
              </w:rPr>
            </w:pPr>
          </w:p>
        </w:tc>
        <w:tc>
          <w:tcPr>
            <w:tcW w:w="5" w:type="pct"/>
            <w:shd w:val="clear" w:color="auto" w:fill="auto"/>
            <w:vAlign w:val="bottom"/>
          </w:tcPr>
          <w:p w14:paraId="4B9A4957" w14:textId="77777777" w:rsidR="002A3970" w:rsidRDefault="002A3970">
            <w:pPr>
              <w:rPr>
                <w:rFonts w:ascii="宋体"/>
              </w:rPr>
            </w:pPr>
          </w:p>
        </w:tc>
        <w:tc>
          <w:tcPr>
            <w:tcW w:w="106" w:type="pct"/>
            <w:shd w:val="clear" w:color="auto" w:fill="auto"/>
            <w:vAlign w:val="bottom"/>
          </w:tcPr>
          <w:p w14:paraId="4B9A4958" w14:textId="77777777" w:rsidR="002A3970" w:rsidRDefault="002A3970">
            <w:pPr>
              <w:rPr>
                <w:rFonts w:ascii="宋体"/>
              </w:rPr>
            </w:pPr>
          </w:p>
        </w:tc>
        <w:tc>
          <w:tcPr>
            <w:tcW w:w="5" w:type="pct"/>
            <w:shd w:val="clear" w:color="auto" w:fill="auto"/>
            <w:vAlign w:val="bottom"/>
          </w:tcPr>
          <w:p w14:paraId="4B9A4959" w14:textId="77777777" w:rsidR="002A3970" w:rsidRDefault="002A3970">
            <w:pPr>
              <w:rPr>
                <w:rFonts w:ascii="宋体"/>
              </w:rPr>
            </w:pPr>
          </w:p>
        </w:tc>
        <w:tc>
          <w:tcPr>
            <w:tcW w:w="50" w:type="pct"/>
            <w:shd w:val="clear" w:color="auto" w:fill="auto"/>
            <w:vAlign w:val="bottom"/>
          </w:tcPr>
          <w:p w14:paraId="4B9A495A" w14:textId="77777777" w:rsidR="002A3970" w:rsidRDefault="002A3970">
            <w:pPr>
              <w:rPr>
                <w:rFonts w:ascii="宋体"/>
              </w:rPr>
            </w:pPr>
          </w:p>
        </w:tc>
        <w:tc>
          <w:tcPr>
            <w:tcW w:w="1414" w:type="pct"/>
            <w:shd w:val="clear" w:color="auto" w:fill="auto"/>
            <w:vAlign w:val="bottom"/>
          </w:tcPr>
          <w:p w14:paraId="4B9A495B" w14:textId="77777777" w:rsidR="002A3970" w:rsidRDefault="002A3970">
            <w:pPr>
              <w:rPr>
                <w:rFonts w:ascii="宋体"/>
              </w:rPr>
            </w:pPr>
          </w:p>
        </w:tc>
        <w:tc>
          <w:tcPr>
            <w:tcW w:w="5" w:type="pct"/>
            <w:shd w:val="clear" w:color="auto" w:fill="auto"/>
            <w:vAlign w:val="bottom"/>
          </w:tcPr>
          <w:p w14:paraId="4B9A495C" w14:textId="77777777" w:rsidR="002A3970" w:rsidRDefault="002A3970">
            <w:pPr>
              <w:rPr>
                <w:rFonts w:ascii="宋体"/>
              </w:rPr>
            </w:pPr>
          </w:p>
        </w:tc>
      </w:tr>
      <w:tr w:rsidR="002A3970" w14:paraId="4B9A4961" w14:textId="77777777">
        <w:tc>
          <w:tcPr>
            <w:tcW w:w="0" w:type="auto"/>
            <w:gridSpan w:val="3"/>
            <w:shd w:val="clear" w:color="auto" w:fill="auto"/>
            <w:tcMar>
              <w:top w:w="40" w:type="dxa"/>
              <w:left w:w="20" w:type="dxa"/>
              <w:bottom w:w="40" w:type="dxa"/>
              <w:right w:w="20" w:type="dxa"/>
            </w:tcMar>
            <w:vAlign w:val="bottom"/>
          </w:tcPr>
          <w:p w14:paraId="4B9A495E" w14:textId="77777777" w:rsidR="002A3970" w:rsidRDefault="00C35E63">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4B9A495F"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B9A4960" w14:textId="77777777" w:rsidR="002A3970" w:rsidRDefault="00C35E63">
            <w:pPr>
              <w:textAlignment w:val="bottom"/>
            </w:pPr>
            <w:r>
              <w:rPr>
                <w:rFonts w:ascii="Times New Roman" w:eastAsia="宋体" w:hAnsi="Times New Roman"/>
                <w:b/>
                <w:bCs/>
                <w:color w:val="000000"/>
                <w:sz w:val="16"/>
                <w:szCs w:val="16"/>
              </w:rPr>
              <w:t>Payable Date</w:t>
            </w:r>
          </w:p>
        </w:tc>
      </w:tr>
      <w:tr w:rsidR="002A3970" w14:paraId="4B9A496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B9A4962" w14:textId="77777777" w:rsidR="002A3970" w:rsidRDefault="00C35E63">
            <w:pPr>
              <w:textAlignment w:val="center"/>
            </w:pPr>
            <w:r>
              <w:rPr>
                <w:rFonts w:ascii="Times New Roman" w:eastAsia="宋体" w:hAnsi="Times New Roman"/>
                <w:color w:val="000000"/>
                <w:sz w:val="16"/>
                <w:szCs w:val="16"/>
              </w:rPr>
              <w:t>March 18, 2022</w:t>
            </w:r>
          </w:p>
        </w:tc>
        <w:tc>
          <w:tcPr>
            <w:tcW w:w="0" w:type="auto"/>
            <w:gridSpan w:val="3"/>
            <w:shd w:val="clear" w:color="auto" w:fill="CCEEFF"/>
            <w:tcMar>
              <w:top w:w="40" w:type="dxa"/>
              <w:left w:w="20" w:type="dxa"/>
              <w:bottom w:w="40" w:type="dxa"/>
              <w:right w:w="20" w:type="dxa"/>
            </w:tcMar>
            <w:vAlign w:val="center"/>
          </w:tcPr>
          <w:p w14:paraId="4B9A4963" w14:textId="77777777" w:rsidR="002A3970" w:rsidRDefault="00C35E63">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B9A4964" w14:textId="77777777" w:rsidR="002A3970" w:rsidRDefault="00C35E63">
            <w:pPr>
              <w:textAlignment w:val="center"/>
            </w:pPr>
            <w:r>
              <w:rPr>
                <w:rFonts w:ascii="Times New Roman" w:eastAsia="宋体" w:hAnsi="Times New Roman"/>
                <w:color w:val="000000"/>
                <w:sz w:val="16"/>
                <w:szCs w:val="16"/>
              </w:rPr>
              <w:t>April 4, 2022</w:t>
            </w:r>
          </w:p>
        </w:tc>
      </w:tr>
      <w:tr w:rsidR="002A3970" w14:paraId="4B9A4969" w14:textId="77777777">
        <w:tc>
          <w:tcPr>
            <w:tcW w:w="0" w:type="auto"/>
            <w:gridSpan w:val="3"/>
            <w:shd w:val="clear" w:color="auto" w:fill="FFFFFF"/>
            <w:tcMar>
              <w:top w:w="40" w:type="dxa"/>
              <w:left w:w="20" w:type="dxa"/>
              <w:bottom w:w="40" w:type="dxa"/>
              <w:right w:w="20" w:type="dxa"/>
            </w:tcMar>
            <w:vAlign w:val="center"/>
          </w:tcPr>
          <w:p w14:paraId="4B9A4966" w14:textId="77777777" w:rsidR="002A3970" w:rsidRDefault="00C35E63">
            <w:pPr>
              <w:textAlignment w:val="center"/>
            </w:pPr>
            <w:r>
              <w:rPr>
                <w:rFonts w:ascii="Times New Roman" w:eastAsia="宋体" w:hAnsi="Times New Roman"/>
                <w:color w:val="000000"/>
                <w:sz w:val="16"/>
                <w:szCs w:val="16"/>
              </w:rPr>
              <w:t>May 6, 2022</w:t>
            </w:r>
          </w:p>
        </w:tc>
        <w:tc>
          <w:tcPr>
            <w:tcW w:w="0" w:type="auto"/>
            <w:gridSpan w:val="3"/>
            <w:shd w:val="clear" w:color="auto" w:fill="FFFFFF"/>
            <w:tcMar>
              <w:top w:w="40" w:type="dxa"/>
              <w:left w:w="20" w:type="dxa"/>
              <w:bottom w:w="40" w:type="dxa"/>
              <w:right w:w="20" w:type="dxa"/>
            </w:tcMar>
            <w:vAlign w:val="center"/>
          </w:tcPr>
          <w:p w14:paraId="4B9A4967"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B9A4968" w14:textId="77777777" w:rsidR="002A3970" w:rsidRDefault="00C35E63">
            <w:pPr>
              <w:textAlignment w:val="center"/>
            </w:pPr>
            <w:r>
              <w:rPr>
                <w:rFonts w:ascii="Times New Roman" w:eastAsia="宋体" w:hAnsi="Times New Roman"/>
                <w:color w:val="000000"/>
                <w:sz w:val="16"/>
                <w:szCs w:val="16"/>
              </w:rPr>
              <w:t>May 31, 2022</w:t>
            </w:r>
          </w:p>
        </w:tc>
      </w:tr>
      <w:tr w:rsidR="002A3970" w14:paraId="4B9A496D" w14:textId="77777777">
        <w:tc>
          <w:tcPr>
            <w:tcW w:w="0" w:type="auto"/>
            <w:gridSpan w:val="3"/>
            <w:shd w:val="clear" w:color="auto" w:fill="CCEEFF"/>
            <w:tcMar>
              <w:top w:w="40" w:type="dxa"/>
              <w:left w:w="20" w:type="dxa"/>
              <w:bottom w:w="40" w:type="dxa"/>
              <w:right w:w="20" w:type="dxa"/>
            </w:tcMar>
            <w:vAlign w:val="center"/>
          </w:tcPr>
          <w:p w14:paraId="4B9A496A" w14:textId="77777777" w:rsidR="002A3970" w:rsidRDefault="00C35E63">
            <w:pPr>
              <w:textAlignment w:val="center"/>
            </w:pPr>
            <w:r>
              <w:rPr>
                <w:rFonts w:ascii="Times New Roman" w:eastAsia="宋体" w:hAnsi="Times New Roman"/>
                <w:color w:val="000000"/>
                <w:sz w:val="16"/>
                <w:szCs w:val="16"/>
              </w:rPr>
              <w:t>August 12, 2022</w:t>
            </w:r>
          </w:p>
        </w:tc>
        <w:tc>
          <w:tcPr>
            <w:tcW w:w="0" w:type="auto"/>
            <w:gridSpan w:val="3"/>
            <w:shd w:val="clear" w:color="auto" w:fill="CCEEFF"/>
            <w:tcMar>
              <w:top w:w="40" w:type="dxa"/>
              <w:left w:w="20" w:type="dxa"/>
              <w:bottom w:w="40" w:type="dxa"/>
              <w:right w:w="20" w:type="dxa"/>
            </w:tcMar>
            <w:vAlign w:val="center"/>
          </w:tcPr>
          <w:p w14:paraId="4B9A496B"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B9A496C" w14:textId="77777777" w:rsidR="002A3970" w:rsidRDefault="00C35E63">
            <w:pPr>
              <w:textAlignment w:val="center"/>
            </w:pPr>
            <w:r>
              <w:rPr>
                <w:rFonts w:ascii="Times New Roman" w:eastAsia="宋体" w:hAnsi="Times New Roman"/>
                <w:color w:val="000000"/>
                <w:sz w:val="16"/>
                <w:szCs w:val="16"/>
              </w:rPr>
              <w:t>September 6, 2022</w:t>
            </w:r>
          </w:p>
        </w:tc>
      </w:tr>
      <w:tr w:rsidR="002A3970" w14:paraId="4B9A4971" w14:textId="77777777">
        <w:tc>
          <w:tcPr>
            <w:tcW w:w="0" w:type="auto"/>
            <w:gridSpan w:val="3"/>
            <w:shd w:val="clear" w:color="auto" w:fill="FFFFFF"/>
            <w:tcMar>
              <w:top w:w="40" w:type="dxa"/>
              <w:left w:w="20" w:type="dxa"/>
              <w:bottom w:w="40" w:type="dxa"/>
              <w:right w:w="20" w:type="dxa"/>
            </w:tcMar>
            <w:vAlign w:val="center"/>
          </w:tcPr>
          <w:p w14:paraId="4B9A496E" w14:textId="77777777" w:rsidR="002A3970" w:rsidRDefault="00C35E63">
            <w:pPr>
              <w:textAlignment w:val="center"/>
            </w:pPr>
            <w:r>
              <w:rPr>
                <w:rFonts w:ascii="Times New Roman" w:eastAsia="宋体" w:hAnsi="Times New Roman"/>
                <w:color w:val="000000"/>
                <w:sz w:val="16"/>
                <w:szCs w:val="16"/>
              </w:rPr>
              <w:t>December 9, 2022</w:t>
            </w:r>
          </w:p>
        </w:tc>
        <w:tc>
          <w:tcPr>
            <w:tcW w:w="0" w:type="auto"/>
            <w:gridSpan w:val="3"/>
            <w:shd w:val="clear" w:color="auto" w:fill="FFFFFF"/>
            <w:tcMar>
              <w:top w:w="40" w:type="dxa"/>
              <w:left w:w="20" w:type="dxa"/>
              <w:bottom w:w="40" w:type="dxa"/>
              <w:right w:w="20" w:type="dxa"/>
            </w:tcMar>
            <w:vAlign w:val="center"/>
          </w:tcPr>
          <w:p w14:paraId="4B9A496F"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B9A4970" w14:textId="77777777" w:rsidR="002A3970" w:rsidRDefault="00C35E63">
            <w:pPr>
              <w:textAlignment w:val="center"/>
            </w:pPr>
            <w:r>
              <w:rPr>
                <w:rFonts w:ascii="Times New Roman" w:eastAsia="宋体" w:hAnsi="Times New Roman"/>
                <w:color w:val="000000"/>
                <w:sz w:val="16"/>
                <w:szCs w:val="16"/>
              </w:rPr>
              <w:t>January 3, 2023</w:t>
            </w:r>
          </w:p>
        </w:tc>
      </w:tr>
    </w:tbl>
    <w:p w14:paraId="4B9A4972" w14:textId="77777777" w:rsidR="002A3970" w:rsidRDefault="00C35E63">
      <w:pPr>
        <w:spacing w:before="60"/>
      </w:pPr>
      <w:r>
        <w:rPr>
          <w:rFonts w:ascii="Times New Roman" w:eastAsia="宋体" w:hAnsi="Times New Roman"/>
          <w:color w:val="000000"/>
          <w:sz w:val="20"/>
          <w:szCs w:val="20"/>
        </w:rPr>
        <w:t>The dividend installments payable on April 4, 2022, May 31, 2022, and September 6, 2022 were paid as scheduled.</w:t>
      </w:r>
    </w:p>
    <w:p w14:paraId="4B9A4973" w14:textId="77777777" w:rsidR="002A3970" w:rsidRDefault="00C35E63">
      <w:pPr>
        <w:spacing w:before="180"/>
      </w:pPr>
      <w:r>
        <w:rPr>
          <w:rFonts w:ascii="Times New Roman" w:eastAsia="宋体" w:hAnsi="Times New Roman"/>
          <w:i/>
          <w:iCs/>
          <w:color w:val="000000"/>
          <w:sz w:val="20"/>
          <w:szCs w:val="20"/>
        </w:rPr>
        <w:t xml:space="preserve">Company Share Repurchase Program </w:t>
      </w:r>
    </w:p>
    <w:p w14:paraId="4B9A4974" w14:textId="77777777" w:rsidR="002A3970" w:rsidRDefault="00C35E63">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Any repurchased shares are constructively retired and returned to an uni</w:t>
      </w:r>
      <w:r>
        <w:rPr>
          <w:rFonts w:ascii="Times New Roman" w:eastAsia="宋体" w:hAnsi="Times New Roman"/>
          <w:color w:val="000000"/>
          <w:sz w:val="20"/>
          <w:szCs w:val="20"/>
        </w:rPr>
        <w:t xml:space="preserve">ssued status. </w:t>
      </w:r>
      <w:r>
        <w:rPr>
          <w:rFonts w:ascii="Times New Roman" w:eastAsia="宋体" w:hAnsi="Times New Roman"/>
          <w:color w:val="000000"/>
          <w:sz w:val="20"/>
          <w:szCs w:val="20"/>
          <w:shd w:val="clear" w:color="auto" w:fill="FFFFFF"/>
        </w:rPr>
        <w:t>As of October 31, 2022, authorization for $1.9 billion of share repurchases remained under the existing share repurchase program.</w:t>
      </w:r>
      <w:r>
        <w:rPr>
          <w:rFonts w:ascii="Times New Roman" w:eastAsia="宋体" w:hAnsi="Times New Roman"/>
          <w:color w:val="000000"/>
          <w:sz w:val="20"/>
          <w:szCs w:val="20"/>
        </w:rPr>
        <w:t xml:space="preserve"> On November 14, 2022, the Company approved a new $20.0 billion share repurchase program, which has no expiration</w:t>
      </w:r>
      <w:r>
        <w:rPr>
          <w:rFonts w:ascii="Times New Roman" w:eastAsia="宋体" w:hAnsi="Times New Roman"/>
          <w:color w:val="000000"/>
          <w:sz w:val="20"/>
          <w:szCs w:val="20"/>
        </w:rPr>
        <w:t xml:space="preserve"> date or other restrictions limiting the period over which the Company can make repurchases. Beginning November 21, 2022, the new share repurchase program replaced </w:t>
      </w:r>
      <w:r>
        <w:rPr>
          <w:rFonts w:ascii="Times New Roman" w:eastAsia="宋体" w:hAnsi="Times New Roman"/>
          <w:color w:val="000000"/>
          <w:sz w:val="20"/>
          <w:szCs w:val="20"/>
          <w:shd w:val="clear" w:color="auto" w:fill="FFFFFF"/>
        </w:rPr>
        <w:t>the existing share repurchase program, which had remaining authorization of $1.4 billion for</w:t>
      </w:r>
      <w:r>
        <w:rPr>
          <w:rFonts w:ascii="Times New Roman" w:eastAsia="宋体" w:hAnsi="Times New Roman"/>
          <w:color w:val="000000"/>
          <w:sz w:val="20"/>
          <w:szCs w:val="20"/>
          <w:shd w:val="clear" w:color="auto" w:fill="FFFFFF"/>
        </w:rPr>
        <w:t xml:space="preserve"> share repurchases. </w:t>
      </w:r>
    </w:p>
    <w:p w14:paraId="4B9A4975" w14:textId="77777777" w:rsidR="002A3970" w:rsidRDefault="00C35E63">
      <w:pPr>
        <w:spacing w:before="100"/>
      </w:pPr>
      <w:r>
        <w:rPr>
          <w:rFonts w:ascii="Times New Roman" w:eastAsia="宋体" w:hAnsi="Times New Roman"/>
          <w:color w:val="000000"/>
          <w:sz w:val="20"/>
          <w:szCs w:val="20"/>
        </w:rPr>
        <w:t>We regularly review share repurchase activity and consider several factors in determining when to execute share repurchases, including, among other things, current cash needs, capacity for leverage, cost of borrowings, our results of o</w:t>
      </w:r>
      <w:r>
        <w:rPr>
          <w:rFonts w:ascii="Times New Roman" w:eastAsia="宋体" w:hAnsi="Times New Roman"/>
          <w:color w:val="000000"/>
          <w:sz w:val="20"/>
          <w:szCs w:val="20"/>
        </w:rPr>
        <w:t>perations and the market price of our common stock. We anticipate that a majority of the ongoing share repurchase program will be funded through the Company's free cash flow. The following table provides, on a settlement date basis, share repurchase inform</w:t>
      </w:r>
      <w:r>
        <w:rPr>
          <w:rFonts w:ascii="Times New Roman" w:eastAsia="宋体" w:hAnsi="Times New Roman"/>
          <w:color w:val="000000"/>
          <w:sz w:val="20"/>
          <w:szCs w:val="20"/>
        </w:rPr>
        <w:t>ation for the nine months ended October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656"/>
        <w:gridCol w:w="37"/>
        <w:gridCol w:w="36"/>
        <w:gridCol w:w="36"/>
        <w:gridCol w:w="200"/>
        <w:gridCol w:w="200"/>
        <w:gridCol w:w="200"/>
        <w:gridCol w:w="100"/>
        <w:gridCol w:w="728"/>
        <w:gridCol w:w="36"/>
        <w:gridCol w:w="36"/>
        <w:gridCol w:w="36"/>
        <w:gridCol w:w="36"/>
        <w:gridCol w:w="36"/>
        <w:gridCol w:w="36"/>
        <w:gridCol w:w="36"/>
        <w:gridCol w:w="100"/>
        <w:gridCol w:w="717"/>
        <w:gridCol w:w="36"/>
      </w:tblGrid>
      <w:tr w:rsidR="002A3970" w14:paraId="4B9A4988" w14:textId="77777777">
        <w:tc>
          <w:tcPr>
            <w:tcW w:w="50" w:type="pct"/>
            <w:shd w:val="clear" w:color="auto" w:fill="auto"/>
            <w:vAlign w:val="bottom"/>
          </w:tcPr>
          <w:p w14:paraId="4B9A4976" w14:textId="77777777" w:rsidR="002A3970" w:rsidRDefault="002A3970">
            <w:pPr>
              <w:rPr>
                <w:rFonts w:ascii="宋体"/>
              </w:rPr>
            </w:pPr>
          </w:p>
        </w:tc>
        <w:tc>
          <w:tcPr>
            <w:tcW w:w="3768" w:type="pct"/>
            <w:shd w:val="clear" w:color="auto" w:fill="auto"/>
            <w:vAlign w:val="bottom"/>
          </w:tcPr>
          <w:p w14:paraId="4B9A4977" w14:textId="77777777" w:rsidR="002A3970" w:rsidRDefault="002A3970">
            <w:pPr>
              <w:rPr>
                <w:rFonts w:ascii="宋体"/>
              </w:rPr>
            </w:pPr>
          </w:p>
        </w:tc>
        <w:tc>
          <w:tcPr>
            <w:tcW w:w="5" w:type="pct"/>
            <w:shd w:val="clear" w:color="auto" w:fill="auto"/>
            <w:vAlign w:val="bottom"/>
          </w:tcPr>
          <w:p w14:paraId="4B9A4978" w14:textId="77777777" w:rsidR="002A3970" w:rsidRDefault="002A3970">
            <w:pPr>
              <w:rPr>
                <w:rFonts w:ascii="宋体"/>
              </w:rPr>
            </w:pPr>
          </w:p>
        </w:tc>
        <w:tc>
          <w:tcPr>
            <w:tcW w:w="0" w:type="auto"/>
            <w:shd w:val="clear" w:color="auto" w:fill="auto"/>
            <w:vAlign w:val="bottom"/>
          </w:tcPr>
          <w:p w14:paraId="4B9A4979" w14:textId="77777777" w:rsidR="002A3970" w:rsidRDefault="002A3970">
            <w:pPr>
              <w:rPr>
                <w:rFonts w:ascii="宋体"/>
                <w:vanish/>
              </w:rPr>
            </w:pPr>
          </w:p>
        </w:tc>
        <w:tc>
          <w:tcPr>
            <w:tcW w:w="0" w:type="auto"/>
            <w:shd w:val="clear" w:color="auto" w:fill="auto"/>
            <w:vAlign w:val="bottom"/>
          </w:tcPr>
          <w:p w14:paraId="4B9A497A" w14:textId="77777777" w:rsidR="002A3970" w:rsidRDefault="002A3970">
            <w:pPr>
              <w:rPr>
                <w:rFonts w:ascii="宋体"/>
                <w:vanish/>
              </w:rPr>
            </w:pPr>
          </w:p>
        </w:tc>
        <w:tc>
          <w:tcPr>
            <w:tcW w:w="0" w:type="auto"/>
            <w:shd w:val="clear" w:color="auto" w:fill="auto"/>
            <w:vAlign w:val="bottom"/>
          </w:tcPr>
          <w:p w14:paraId="4B9A497B" w14:textId="77777777" w:rsidR="002A3970" w:rsidRDefault="002A3970">
            <w:pPr>
              <w:rPr>
                <w:rFonts w:ascii="宋体"/>
                <w:vanish/>
              </w:rPr>
            </w:pPr>
          </w:p>
        </w:tc>
        <w:tc>
          <w:tcPr>
            <w:tcW w:w="0" w:type="auto"/>
            <w:shd w:val="clear" w:color="auto" w:fill="auto"/>
            <w:vAlign w:val="bottom"/>
          </w:tcPr>
          <w:p w14:paraId="4B9A497C" w14:textId="77777777" w:rsidR="002A3970" w:rsidRDefault="002A3970">
            <w:pPr>
              <w:rPr>
                <w:rFonts w:ascii="宋体"/>
                <w:vanish/>
              </w:rPr>
            </w:pPr>
          </w:p>
        </w:tc>
        <w:tc>
          <w:tcPr>
            <w:tcW w:w="0" w:type="auto"/>
            <w:shd w:val="clear" w:color="auto" w:fill="auto"/>
            <w:vAlign w:val="bottom"/>
          </w:tcPr>
          <w:p w14:paraId="4B9A497D" w14:textId="77777777" w:rsidR="002A3970" w:rsidRDefault="002A3970">
            <w:pPr>
              <w:rPr>
                <w:rFonts w:ascii="宋体"/>
                <w:vanish/>
              </w:rPr>
            </w:pPr>
          </w:p>
        </w:tc>
        <w:tc>
          <w:tcPr>
            <w:tcW w:w="50" w:type="pct"/>
            <w:shd w:val="clear" w:color="auto" w:fill="auto"/>
            <w:vAlign w:val="bottom"/>
          </w:tcPr>
          <w:p w14:paraId="4B9A497E" w14:textId="77777777" w:rsidR="002A3970" w:rsidRDefault="002A3970">
            <w:pPr>
              <w:rPr>
                <w:rFonts w:ascii="宋体"/>
              </w:rPr>
            </w:pPr>
          </w:p>
        </w:tc>
        <w:tc>
          <w:tcPr>
            <w:tcW w:w="507" w:type="pct"/>
            <w:shd w:val="clear" w:color="auto" w:fill="auto"/>
            <w:vAlign w:val="bottom"/>
          </w:tcPr>
          <w:p w14:paraId="4B9A497F" w14:textId="77777777" w:rsidR="002A3970" w:rsidRDefault="002A3970">
            <w:pPr>
              <w:rPr>
                <w:rFonts w:ascii="宋体"/>
              </w:rPr>
            </w:pPr>
          </w:p>
        </w:tc>
        <w:tc>
          <w:tcPr>
            <w:tcW w:w="5" w:type="pct"/>
            <w:shd w:val="clear" w:color="auto" w:fill="auto"/>
            <w:vAlign w:val="bottom"/>
          </w:tcPr>
          <w:p w14:paraId="4B9A4980" w14:textId="77777777" w:rsidR="002A3970" w:rsidRDefault="002A3970">
            <w:pPr>
              <w:rPr>
                <w:rFonts w:ascii="宋体"/>
              </w:rPr>
            </w:pPr>
          </w:p>
        </w:tc>
        <w:tc>
          <w:tcPr>
            <w:tcW w:w="5" w:type="pct"/>
            <w:shd w:val="clear" w:color="auto" w:fill="auto"/>
            <w:vAlign w:val="bottom"/>
          </w:tcPr>
          <w:p w14:paraId="4B9A4981" w14:textId="77777777" w:rsidR="002A3970" w:rsidRDefault="002A3970">
            <w:pPr>
              <w:rPr>
                <w:rFonts w:ascii="宋体"/>
              </w:rPr>
            </w:pPr>
          </w:p>
        </w:tc>
        <w:tc>
          <w:tcPr>
            <w:tcW w:w="41" w:type="pct"/>
            <w:shd w:val="clear" w:color="auto" w:fill="auto"/>
            <w:vAlign w:val="bottom"/>
          </w:tcPr>
          <w:p w14:paraId="4B9A4982" w14:textId="77777777" w:rsidR="002A3970" w:rsidRDefault="002A3970">
            <w:pPr>
              <w:rPr>
                <w:rFonts w:ascii="宋体"/>
              </w:rPr>
            </w:pPr>
          </w:p>
        </w:tc>
        <w:tc>
          <w:tcPr>
            <w:tcW w:w="5" w:type="pct"/>
            <w:shd w:val="clear" w:color="auto" w:fill="auto"/>
            <w:vAlign w:val="bottom"/>
          </w:tcPr>
          <w:p w14:paraId="4B9A4983" w14:textId="77777777" w:rsidR="002A3970" w:rsidRDefault="002A3970">
            <w:pPr>
              <w:rPr>
                <w:rFonts w:ascii="宋体"/>
              </w:rPr>
            </w:pPr>
          </w:p>
        </w:tc>
        <w:tc>
          <w:tcPr>
            <w:tcW w:w="0" w:type="auto"/>
            <w:gridSpan w:val="3"/>
            <w:shd w:val="clear" w:color="auto" w:fill="auto"/>
            <w:vAlign w:val="bottom"/>
          </w:tcPr>
          <w:p w14:paraId="4B9A4984" w14:textId="77777777" w:rsidR="002A3970" w:rsidRDefault="002A3970">
            <w:pPr>
              <w:rPr>
                <w:rFonts w:ascii="宋体"/>
                <w:vanish/>
              </w:rPr>
            </w:pPr>
          </w:p>
        </w:tc>
        <w:tc>
          <w:tcPr>
            <w:tcW w:w="50" w:type="pct"/>
            <w:shd w:val="clear" w:color="auto" w:fill="auto"/>
            <w:vAlign w:val="bottom"/>
          </w:tcPr>
          <w:p w14:paraId="4B9A4985" w14:textId="77777777" w:rsidR="002A3970" w:rsidRDefault="002A3970">
            <w:pPr>
              <w:rPr>
                <w:rFonts w:ascii="宋体"/>
              </w:rPr>
            </w:pPr>
          </w:p>
        </w:tc>
        <w:tc>
          <w:tcPr>
            <w:tcW w:w="507" w:type="pct"/>
            <w:shd w:val="clear" w:color="auto" w:fill="auto"/>
            <w:vAlign w:val="bottom"/>
          </w:tcPr>
          <w:p w14:paraId="4B9A4986" w14:textId="77777777" w:rsidR="002A3970" w:rsidRDefault="002A3970">
            <w:pPr>
              <w:rPr>
                <w:rFonts w:ascii="宋体"/>
              </w:rPr>
            </w:pPr>
          </w:p>
        </w:tc>
        <w:tc>
          <w:tcPr>
            <w:tcW w:w="5" w:type="pct"/>
            <w:shd w:val="clear" w:color="auto" w:fill="auto"/>
            <w:vAlign w:val="bottom"/>
          </w:tcPr>
          <w:p w14:paraId="4B9A4987" w14:textId="77777777" w:rsidR="002A3970" w:rsidRDefault="002A3970">
            <w:pPr>
              <w:rPr>
                <w:rFonts w:ascii="宋体"/>
              </w:rPr>
            </w:pPr>
          </w:p>
        </w:tc>
      </w:tr>
      <w:tr w:rsidR="002A3970" w14:paraId="4B9A4999" w14:textId="77777777">
        <w:tc>
          <w:tcPr>
            <w:tcW w:w="0" w:type="auto"/>
            <w:gridSpan w:val="3"/>
            <w:shd w:val="clear" w:color="auto" w:fill="auto"/>
            <w:tcMar>
              <w:top w:w="0" w:type="dxa"/>
              <w:left w:w="20" w:type="dxa"/>
              <w:bottom w:w="0" w:type="dxa"/>
              <w:right w:w="20" w:type="dxa"/>
            </w:tcMar>
            <w:vAlign w:val="bottom"/>
          </w:tcPr>
          <w:p w14:paraId="4B9A4989" w14:textId="77777777" w:rsidR="002A3970" w:rsidRDefault="002A3970">
            <w:pPr>
              <w:rPr>
                <w:rFonts w:ascii="宋体"/>
              </w:rPr>
            </w:pPr>
          </w:p>
        </w:tc>
        <w:tc>
          <w:tcPr>
            <w:tcW w:w="0" w:type="auto"/>
            <w:shd w:val="clear" w:color="auto" w:fill="auto"/>
            <w:vAlign w:val="bottom"/>
          </w:tcPr>
          <w:p w14:paraId="4B9A498A" w14:textId="77777777" w:rsidR="002A3970" w:rsidRDefault="002A3970">
            <w:pPr>
              <w:rPr>
                <w:rFonts w:ascii="宋体"/>
                <w:vanish/>
              </w:rPr>
            </w:pPr>
          </w:p>
        </w:tc>
        <w:tc>
          <w:tcPr>
            <w:tcW w:w="0" w:type="auto"/>
            <w:shd w:val="clear" w:color="auto" w:fill="auto"/>
            <w:vAlign w:val="bottom"/>
          </w:tcPr>
          <w:p w14:paraId="4B9A498B" w14:textId="77777777" w:rsidR="002A3970" w:rsidRDefault="002A3970">
            <w:pPr>
              <w:rPr>
                <w:rFonts w:ascii="宋体"/>
                <w:vanish/>
              </w:rPr>
            </w:pPr>
          </w:p>
        </w:tc>
        <w:tc>
          <w:tcPr>
            <w:tcW w:w="0" w:type="auto"/>
            <w:gridSpan w:val="3"/>
            <w:shd w:val="clear" w:color="auto" w:fill="auto"/>
            <w:tcMar>
              <w:top w:w="40" w:type="dxa"/>
              <w:left w:w="20" w:type="dxa"/>
              <w:bottom w:w="40" w:type="dxa"/>
              <w:right w:w="20" w:type="dxa"/>
            </w:tcMar>
            <w:vAlign w:val="bottom"/>
          </w:tcPr>
          <w:p w14:paraId="4B9A498C" w14:textId="77777777" w:rsidR="002A3970" w:rsidRDefault="00C35E63">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vAlign w:val="bottom"/>
          </w:tcPr>
          <w:p w14:paraId="4B9A498D" w14:textId="77777777" w:rsidR="002A3970" w:rsidRDefault="002A3970">
            <w:pPr>
              <w:rPr>
                <w:rFonts w:ascii="宋体"/>
              </w:rPr>
            </w:pPr>
          </w:p>
        </w:tc>
        <w:tc>
          <w:tcPr>
            <w:tcW w:w="0" w:type="auto"/>
            <w:shd w:val="clear" w:color="auto" w:fill="auto"/>
            <w:vAlign w:val="bottom"/>
          </w:tcPr>
          <w:p w14:paraId="4B9A498E" w14:textId="77777777" w:rsidR="002A3970" w:rsidRDefault="002A3970">
            <w:pPr>
              <w:rPr>
                <w:rFonts w:ascii="宋体"/>
              </w:rPr>
            </w:pPr>
          </w:p>
        </w:tc>
        <w:tc>
          <w:tcPr>
            <w:tcW w:w="0" w:type="auto"/>
            <w:shd w:val="clear" w:color="auto" w:fill="auto"/>
            <w:vAlign w:val="bottom"/>
          </w:tcPr>
          <w:p w14:paraId="4B9A498F" w14:textId="77777777" w:rsidR="002A3970" w:rsidRDefault="002A3970">
            <w:pPr>
              <w:rPr>
                <w:rFonts w:ascii="宋体"/>
              </w:rPr>
            </w:pPr>
          </w:p>
        </w:tc>
        <w:tc>
          <w:tcPr>
            <w:tcW w:w="0" w:type="auto"/>
            <w:shd w:val="clear" w:color="auto" w:fill="auto"/>
            <w:vAlign w:val="bottom"/>
          </w:tcPr>
          <w:p w14:paraId="4B9A4990" w14:textId="77777777" w:rsidR="002A3970" w:rsidRDefault="002A3970">
            <w:pPr>
              <w:rPr>
                <w:rFonts w:ascii="宋体"/>
              </w:rPr>
            </w:pPr>
          </w:p>
        </w:tc>
        <w:tc>
          <w:tcPr>
            <w:tcW w:w="0" w:type="auto"/>
            <w:shd w:val="clear" w:color="auto" w:fill="auto"/>
            <w:vAlign w:val="bottom"/>
          </w:tcPr>
          <w:p w14:paraId="4B9A4991" w14:textId="77777777" w:rsidR="002A3970" w:rsidRDefault="002A3970">
            <w:pPr>
              <w:rPr>
                <w:rFonts w:ascii="宋体"/>
              </w:rPr>
            </w:pPr>
          </w:p>
        </w:tc>
        <w:tc>
          <w:tcPr>
            <w:tcW w:w="0" w:type="auto"/>
            <w:shd w:val="clear" w:color="auto" w:fill="auto"/>
            <w:vAlign w:val="bottom"/>
          </w:tcPr>
          <w:p w14:paraId="4B9A4992" w14:textId="77777777" w:rsidR="002A3970" w:rsidRDefault="002A3970">
            <w:pPr>
              <w:rPr>
                <w:rFonts w:ascii="宋体"/>
              </w:rPr>
            </w:pPr>
          </w:p>
        </w:tc>
        <w:tc>
          <w:tcPr>
            <w:tcW w:w="0" w:type="auto"/>
            <w:shd w:val="clear" w:color="auto" w:fill="auto"/>
            <w:vAlign w:val="bottom"/>
          </w:tcPr>
          <w:p w14:paraId="4B9A4993" w14:textId="77777777" w:rsidR="002A3970" w:rsidRDefault="002A3970">
            <w:pPr>
              <w:rPr>
                <w:rFonts w:ascii="宋体"/>
              </w:rPr>
            </w:pPr>
          </w:p>
        </w:tc>
        <w:tc>
          <w:tcPr>
            <w:tcW w:w="0" w:type="auto"/>
            <w:shd w:val="clear" w:color="auto" w:fill="auto"/>
            <w:vAlign w:val="bottom"/>
          </w:tcPr>
          <w:p w14:paraId="4B9A4994" w14:textId="77777777" w:rsidR="002A3970" w:rsidRDefault="002A3970">
            <w:pPr>
              <w:rPr>
                <w:rFonts w:ascii="宋体"/>
              </w:rPr>
            </w:pPr>
          </w:p>
        </w:tc>
        <w:tc>
          <w:tcPr>
            <w:tcW w:w="0" w:type="auto"/>
            <w:shd w:val="clear" w:color="auto" w:fill="auto"/>
            <w:vAlign w:val="bottom"/>
          </w:tcPr>
          <w:p w14:paraId="4B9A4995" w14:textId="77777777" w:rsidR="002A3970" w:rsidRDefault="002A3970">
            <w:pPr>
              <w:rPr>
                <w:rFonts w:ascii="宋体"/>
              </w:rPr>
            </w:pPr>
          </w:p>
        </w:tc>
        <w:tc>
          <w:tcPr>
            <w:tcW w:w="0" w:type="auto"/>
            <w:shd w:val="clear" w:color="auto" w:fill="auto"/>
            <w:vAlign w:val="bottom"/>
          </w:tcPr>
          <w:p w14:paraId="4B9A4996" w14:textId="77777777" w:rsidR="002A3970" w:rsidRDefault="002A3970">
            <w:pPr>
              <w:rPr>
                <w:rFonts w:ascii="宋体"/>
              </w:rPr>
            </w:pPr>
          </w:p>
        </w:tc>
        <w:tc>
          <w:tcPr>
            <w:tcW w:w="0" w:type="auto"/>
            <w:shd w:val="clear" w:color="auto" w:fill="auto"/>
            <w:vAlign w:val="bottom"/>
          </w:tcPr>
          <w:p w14:paraId="4B9A4997" w14:textId="77777777" w:rsidR="002A3970" w:rsidRDefault="002A3970">
            <w:pPr>
              <w:rPr>
                <w:rFonts w:ascii="宋体"/>
              </w:rPr>
            </w:pPr>
          </w:p>
        </w:tc>
        <w:tc>
          <w:tcPr>
            <w:tcW w:w="0" w:type="auto"/>
            <w:shd w:val="clear" w:color="auto" w:fill="auto"/>
            <w:vAlign w:val="bottom"/>
          </w:tcPr>
          <w:p w14:paraId="4B9A4998" w14:textId="77777777" w:rsidR="002A3970" w:rsidRDefault="002A3970">
            <w:pPr>
              <w:rPr>
                <w:rFonts w:ascii="宋体"/>
              </w:rPr>
            </w:pPr>
          </w:p>
        </w:tc>
      </w:tr>
      <w:tr w:rsidR="002A3970" w14:paraId="4B9A49A4" w14:textId="77777777">
        <w:tc>
          <w:tcPr>
            <w:tcW w:w="0" w:type="auto"/>
            <w:gridSpan w:val="3"/>
            <w:shd w:val="clear" w:color="auto" w:fill="auto"/>
            <w:tcMar>
              <w:top w:w="40" w:type="dxa"/>
              <w:left w:w="20" w:type="dxa"/>
              <w:bottom w:w="40" w:type="dxa"/>
              <w:right w:w="20" w:type="dxa"/>
            </w:tcMar>
            <w:vAlign w:val="bottom"/>
          </w:tcPr>
          <w:p w14:paraId="4B9A499A" w14:textId="77777777" w:rsidR="002A3970" w:rsidRDefault="00C35E63">
            <w:pPr>
              <w:textAlignment w:val="bottom"/>
            </w:pPr>
            <w:r>
              <w:rPr>
                <w:rFonts w:ascii="Times New Roman" w:eastAsia="宋体" w:hAnsi="Times New Roman"/>
                <w:i/>
                <w:iCs/>
                <w:color w:val="000000"/>
                <w:sz w:val="16"/>
                <w:szCs w:val="16"/>
              </w:rPr>
              <w:t>(Amounts in millions, except per share data)</w:t>
            </w:r>
          </w:p>
        </w:tc>
        <w:tc>
          <w:tcPr>
            <w:tcW w:w="0" w:type="auto"/>
            <w:shd w:val="clear" w:color="auto" w:fill="auto"/>
            <w:vAlign w:val="bottom"/>
          </w:tcPr>
          <w:p w14:paraId="4B9A499B" w14:textId="77777777" w:rsidR="002A3970" w:rsidRDefault="002A3970">
            <w:pPr>
              <w:rPr>
                <w:rFonts w:ascii="宋体"/>
                <w:vanish/>
              </w:rPr>
            </w:pPr>
          </w:p>
        </w:tc>
        <w:tc>
          <w:tcPr>
            <w:tcW w:w="0" w:type="auto"/>
            <w:shd w:val="clear" w:color="auto" w:fill="auto"/>
            <w:vAlign w:val="bottom"/>
          </w:tcPr>
          <w:p w14:paraId="4B9A499C" w14:textId="77777777" w:rsidR="002A3970" w:rsidRDefault="002A3970">
            <w:pPr>
              <w:rPr>
                <w:rFonts w:ascii="宋体"/>
                <w:vanish/>
              </w:rPr>
            </w:pPr>
          </w:p>
        </w:tc>
        <w:tc>
          <w:tcPr>
            <w:tcW w:w="0" w:type="auto"/>
            <w:shd w:val="clear" w:color="auto" w:fill="auto"/>
            <w:vAlign w:val="bottom"/>
          </w:tcPr>
          <w:p w14:paraId="4B9A499D" w14:textId="77777777" w:rsidR="002A3970" w:rsidRDefault="002A3970">
            <w:pPr>
              <w:rPr>
                <w:rFonts w:ascii="宋体"/>
                <w:vanish/>
              </w:rPr>
            </w:pPr>
          </w:p>
        </w:tc>
        <w:tc>
          <w:tcPr>
            <w:tcW w:w="0" w:type="auto"/>
            <w:shd w:val="clear" w:color="auto" w:fill="auto"/>
            <w:vAlign w:val="bottom"/>
          </w:tcPr>
          <w:p w14:paraId="4B9A499E" w14:textId="77777777" w:rsidR="002A3970" w:rsidRDefault="002A3970">
            <w:pPr>
              <w:rPr>
                <w:rFonts w:ascii="宋体"/>
                <w:vanish/>
              </w:rPr>
            </w:pPr>
          </w:p>
        </w:tc>
        <w:tc>
          <w:tcPr>
            <w:tcW w:w="0" w:type="auto"/>
            <w:shd w:val="clear" w:color="auto" w:fill="auto"/>
            <w:vAlign w:val="bottom"/>
          </w:tcPr>
          <w:p w14:paraId="4B9A499F" w14:textId="77777777" w:rsidR="002A3970" w:rsidRDefault="002A397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9A0" w14:textId="77777777" w:rsidR="002A3970" w:rsidRDefault="00C35E63">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B9A49A1" w14:textId="77777777" w:rsidR="002A3970" w:rsidRDefault="002A3970">
            <w:pPr>
              <w:rPr>
                <w:rFonts w:ascii="宋体"/>
              </w:rPr>
            </w:pPr>
          </w:p>
        </w:tc>
        <w:tc>
          <w:tcPr>
            <w:tcW w:w="0" w:type="auto"/>
            <w:gridSpan w:val="3"/>
            <w:shd w:val="clear" w:color="auto" w:fill="auto"/>
            <w:vAlign w:val="bottom"/>
          </w:tcPr>
          <w:p w14:paraId="4B9A49A2" w14:textId="77777777" w:rsidR="002A3970" w:rsidRDefault="002A397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9A3" w14:textId="77777777" w:rsidR="002A3970" w:rsidRDefault="00C35E63">
            <w:pPr>
              <w:jc w:val="center"/>
              <w:textAlignment w:val="bottom"/>
            </w:pPr>
            <w:r>
              <w:rPr>
                <w:rFonts w:ascii="Times New Roman" w:eastAsia="宋体" w:hAnsi="Times New Roman"/>
                <w:b/>
                <w:bCs/>
                <w:color w:val="000000"/>
                <w:sz w:val="16"/>
                <w:szCs w:val="16"/>
              </w:rPr>
              <w:t>2021</w:t>
            </w:r>
          </w:p>
        </w:tc>
      </w:tr>
      <w:tr w:rsidR="002A3970" w14:paraId="4B9A49B1" w14:textId="77777777">
        <w:tc>
          <w:tcPr>
            <w:tcW w:w="0" w:type="auto"/>
            <w:gridSpan w:val="3"/>
            <w:shd w:val="clear" w:color="auto" w:fill="CCEEFF"/>
            <w:tcMar>
              <w:top w:w="40" w:type="dxa"/>
              <w:left w:w="20" w:type="dxa"/>
              <w:bottom w:w="40" w:type="dxa"/>
              <w:right w:w="20" w:type="dxa"/>
            </w:tcMar>
            <w:vAlign w:val="center"/>
          </w:tcPr>
          <w:p w14:paraId="4B9A49A5" w14:textId="77777777" w:rsidR="002A3970" w:rsidRDefault="00C35E63">
            <w:pPr>
              <w:textAlignment w:val="center"/>
            </w:pPr>
            <w:r>
              <w:rPr>
                <w:rFonts w:ascii="Times New Roman" w:eastAsia="宋体" w:hAnsi="Times New Roman"/>
                <w:color w:val="000000"/>
                <w:sz w:val="16"/>
                <w:szCs w:val="16"/>
              </w:rPr>
              <w:t>Total number of shares repurchased</w:t>
            </w:r>
          </w:p>
        </w:tc>
        <w:tc>
          <w:tcPr>
            <w:tcW w:w="0" w:type="auto"/>
            <w:shd w:val="clear" w:color="auto" w:fill="auto"/>
            <w:vAlign w:val="bottom"/>
          </w:tcPr>
          <w:p w14:paraId="4B9A49A6" w14:textId="77777777" w:rsidR="002A3970" w:rsidRDefault="002A3970">
            <w:pPr>
              <w:rPr>
                <w:rFonts w:ascii="宋体"/>
                <w:vanish/>
              </w:rPr>
            </w:pPr>
          </w:p>
        </w:tc>
        <w:tc>
          <w:tcPr>
            <w:tcW w:w="0" w:type="auto"/>
            <w:shd w:val="clear" w:color="auto" w:fill="auto"/>
            <w:vAlign w:val="bottom"/>
          </w:tcPr>
          <w:p w14:paraId="4B9A49A7" w14:textId="77777777" w:rsidR="002A3970" w:rsidRDefault="002A3970">
            <w:pPr>
              <w:rPr>
                <w:rFonts w:ascii="宋体"/>
                <w:vanish/>
              </w:rPr>
            </w:pPr>
          </w:p>
        </w:tc>
        <w:tc>
          <w:tcPr>
            <w:tcW w:w="0" w:type="auto"/>
            <w:shd w:val="clear" w:color="auto" w:fill="auto"/>
            <w:vAlign w:val="bottom"/>
          </w:tcPr>
          <w:p w14:paraId="4B9A49A8" w14:textId="77777777" w:rsidR="002A3970" w:rsidRDefault="002A3970">
            <w:pPr>
              <w:rPr>
                <w:rFonts w:ascii="宋体"/>
                <w:vanish/>
              </w:rPr>
            </w:pPr>
          </w:p>
        </w:tc>
        <w:tc>
          <w:tcPr>
            <w:tcW w:w="0" w:type="auto"/>
            <w:shd w:val="clear" w:color="auto" w:fill="auto"/>
            <w:vAlign w:val="bottom"/>
          </w:tcPr>
          <w:p w14:paraId="4B9A49A9" w14:textId="77777777" w:rsidR="002A3970" w:rsidRDefault="002A3970">
            <w:pPr>
              <w:rPr>
                <w:rFonts w:ascii="宋体"/>
                <w:vanish/>
              </w:rPr>
            </w:pPr>
          </w:p>
        </w:tc>
        <w:tc>
          <w:tcPr>
            <w:tcW w:w="0" w:type="auto"/>
            <w:shd w:val="clear" w:color="auto" w:fill="auto"/>
            <w:vAlign w:val="bottom"/>
          </w:tcPr>
          <w:p w14:paraId="4B9A49AA" w14:textId="77777777" w:rsidR="002A3970" w:rsidRDefault="002A3970">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9AB" w14:textId="77777777" w:rsidR="002A3970" w:rsidRDefault="00C35E63">
            <w:pPr>
              <w:jc w:val="right"/>
              <w:textAlignment w:val="center"/>
            </w:pPr>
            <w:r>
              <w:rPr>
                <w:rFonts w:ascii="Times New Roman" w:eastAsia="宋体" w:hAnsi="Times New Roman"/>
                <w:color w:val="000000"/>
                <w:sz w:val="16"/>
                <w:szCs w:val="16"/>
              </w:rPr>
              <w:t>65.5 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9AC"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AD" w14:textId="77777777" w:rsidR="002A3970" w:rsidRDefault="002A3970">
            <w:pPr>
              <w:rPr>
                <w:rFonts w:ascii="宋体"/>
              </w:rPr>
            </w:pPr>
          </w:p>
        </w:tc>
        <w:tc>
          <w:tcPr>
            <w:tcW w:w="0" w:type="auto"/>
            <w:gridSpan w:val="3"/>
            <w:shd w:val="clear" w:color="auto" w:fill="auto"/>
            <w:vAlign w:val="bottom"/>
          </w:tcPr>
          <w:p w14:paraId="4B9A49AE" w14:textId="77777777" w:rsidR="002A3970" w:rsidRDefault="002A3970">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9AF" w14:textId="77777777" w:rsidR="002A3970" w:rsidRDefault="00C35E63">
            <w:pPr>
              <w:jc w:val="right"/>
              <w:textAlignment w:val="center"/>
            </w:pPr>
            <w:r>
              <w:rPr>
                <w:rFonts w:ascii="Times New Roman" w:eastAsia="宋体" w:hAnsi="Times New Roman"/>
                <w:color w:val="000000"/>
                <w:sz w:val="16"/>
                <w:szCs w:val="16"/>
              </w:rPr>
              <w:t>52.7 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9B0" w14:textId="77777777" w:rsidR="002A3970" w:rsidRDefault="002A3970">
            <w:pPr>
              <w:jc w:val="right"/>
              <w:rPr>
                <w:rFonts w:ascii="宋体"/>
              </w:rPr>
            </w:pPr>
          </w:p>
        </w:tc>
      </w:tr>
      <w:tr w:rsidR="002A3970" w14:paraId="4B9A49C0" w14:textId="77777777">
        <w:tc>
          <w:tcPr>
            <w:tcW w:w="0" w:type="auto"/>
            <w:gridSpan w:val="3"/>
            <w:shd w:val="clear" w:color="auto" w:fill="FFFFFF"/>
            <w:tcMar>
              <w:top w:w="40" w:type="dxa"/>
              <w:left w:w="20" w:type="dxa"/>
              <w:bottom w:w="40" w:type="dxa"/>
              <w:right w:w="20" w:type="dxa"/>
            </w:tcMar>
            <w:vAlign w:val="center"/>
          </w:tcPr>
          <w:p w14:paraId="4B9A49B2" w14:textId="77777777" w:rsidR="002A3970" w:rsidRDefault="00C35E63">
            <w:pPr>
              <w:textAlignment w:val="center"/>
            </w:pPr>
            <w:r>
              <w:rPr>
                <w:rFonts w:ascii="Times New Roman" w:eastAsia="宋体" w:hAnsi="Times New Roman"/>
                <w:color w:val="000000"/>
                <w:sz w:val="16"/>
                <w:szCs w:val="16"/>
              </w:rPr>
              <w:t>Average price paid per share</w:t>
            </w:r>
          </w:p>
        </w:tc>
        <w:tc>
          <w:tcPr>
            <w:tcW w:w="0" w:type="auto"/>
            <w:shd w:val="clear" w:color="auto" w:fill="auto"/>
            <w:vAlign w:val="bottom"/>
          </w:tcPr>
          <w:p w14:paraId="4B9A49B3" w14:textId="77777777" w:rsidR="002A3970" w:rsidRDefault="002A3970">
            <w:pPr>
              <w:rPr>
                <w:rFonts w:ascii="宋体"/>
                <w:vanish/>
              </w:rPr>
            </w:pPr>
          </w:p>
        </w:tc>
        <w:tc>
          <w:tcPr>
            <w:tcW w:w="0" w:type="auto"/>
            <w:shd w:val="clear" w:color="auto" w:fill="auto"/>
            <w:vAlign w:val="bottom"/>
          </w:tcPr>
          <w:p w14:paraId="4B9A49B4" w14:textId="77777777" w:rsidR="002A3970" w:rsidRDefault="002A3970">
            <w:pPr>
              <w:rPr>
                <w:rFonts w:ascii="宋体"/>
                <w:vanish/>
              </w:rPr>
            </w:pPr>
          </w:p>
        </w:tc>
        <w:tc>
          <w:tcPr>
            <w:tcW w:w="0" w:type="auto"/>
            <w:shd w:val="clear" w:color="auto" w:fill="auto"/>
            <w:vAlign w:val="bottom"/>
          </w:tcPr>
          <w:p w14:paraId="4B9A49B5" w14:textId="77777777" w:rsidR="002A3970" w:rsidRDefault="002A3970">
            <w:pPr>
              <w:rPr>
                <w:rFonts w:ascii="宋体"/>
                <w:vanish/>
              </w:rPr>
            </w:pPr>
          </w:p>
        </w:tc>
        <w:tc>
          <w:tcPr>
            <w:tcW w:w="0" w:type="auto"/>
            <w:shd w:val="clear" w:color="auto" w:fill="auto"/>
            <w:vAlign w:val="bottom"/>
          </w:tcPr>
          <w:p w14:paraId="4B9A49B6" w14:textId="77777777" w:rsidR="002A3970" w:rsidRDefault="002A3970">
            <w:pPr>
              <w:rPr>
                <w:rFonts w:ascii="宋体"/>
                <w:vanish/>
              </w:rPr>
            </w:pPr>
          </w:p>
        </w:tc>
        <w:tc>
          <w:tcPr>
            <w:tcW w:w="0" w:type="auto"/>
            <w:shd w:val="clear" w:color="auto" w:fill="auto"/>
            <w:vAlign w:val="bottom"/>
          </w:tcPr>
          <w:p w14:paraId="4B9A49B7" w14:textId="77777777" w:rsidR="002A3970" w:rsidRDefault="002A3970">
            <w:pPr>
              <w:rPr>
                <w:rFonts w:ascii="宋体"/>
                <w:vanish/>
              </w:rPr>
            </w:pPr>
          </w:p>
        </w:tc>
        <w:tc>
          <w:tcPr>
            <w:tcW w:w="0" w:type="auto"/>
            <w:shd w:val="clear" w:color="auto" w:fill="FFFFFF"/>
            <w:tcMar>
              <w:top w:w="40" w:type="dxa"/>
              <w:left w:w="20" w:type="dxa"/>
              <w:bottom w:w="40" w:type="dxa"/>
              <w:right w:w="0" w:type="dxa"/>
            </w:tcMar>
            <w:vAlign w:val="center"/>
          </w:tcPr>
          <w:p w14:paraId="4B9A49B8"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9B9" w14:textId="77777777" w:rsidR="002A3970" w:rsidRDefault="00C35E63">
            <w:pPr>
              <w:jc w:val="right"/>
              <w:textAlignment w:val="center"/>
            </w:pPr>
            <w:r>
              <w:rPr>
                <w:rFonts w:ascii="Times New Roman" w:eastAsia="宋体" w:hAnsi="Times New Roman"/>
                <w:color w:val="000000"/>
                <w:sz w:val="16"/>
                <w:szCs w:val="16"/>
              </w:rPr>
              <w:t>132.86 </w:t>
            </w:r>
          </w:p>
        </w:tc>
        <w:tc>
          <w:tcPr>
            <w:tcW w:w="0" w:type="auto"/>
            <w:shd w:val="clear" w:color="auto" w:fill="FFFFFF"/>
            <w:tcMar>
              <w:top w:w="40" w:type="dxa"/>
              <w:left w:w="0" w:type="dxa"/>
              <w:bottom w:w="40" w:type="dxa"/>
              <w:right w:w="20" w:type="dxa"/>
            </w:tcMar>
            <w:vAlign w:val="center"/>
          </w:tcPr>
          <w:p w14:paraId="4B9A49BA"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9BB" w14:textId="77777777" w:rsidR="002A3970" w:rsidRDefault="002A3970">
            <w:pPr>
              <w:rPr>
                <w:rFonts w:ascii="宋体"/>
              </w:rPr>
            </w:pPr>
          </w:p>
        </w:tc>
        <w:tc>
          <w:tcPr>
            <w:tcW w:w="0" w:type="auto"/>
            <w:gridSpan w:val="3"/>
            <w:shd w:val="clear" w:color="auto" w:fill="auto"/>
            <w:vAlign w:val="bottom"/>
          </w:tcPr>
          <w:p w14:paraId="4B9A49BC" w14:textId="77777777" w:rsidR="002A3970" w:rsidRDefault="002A3970">
            <w:pPr>
              <w:rPr>
                <w:rFonts w:ascii="宋体"/>
                <w:vanish/>
              </w:rPr>
            </w:pPr>
          </w:p>
        </w:tc>
        <w:tc>
          <w:tcPr>
            <w:tcW w:w="0" w:type="auto"/>
            <w:shd w:val="clear" w:color="auto" w:fill="FFFFFF"/>
            <w:tcMar>
              <w:top w:w="40" w:type="dxa"/>
              <w:left w:w="20" w:type="dxa"/>
              <w:bottom w:w="40" w:type="dxa"/>
              <w:right w:w="0" w:type="dxa"/>
            </w:tcMar>
            <w:vAlign w:val="center"/>
          </w:tcPr>
          <w:p w14:paraId="4B9A49BD"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B9A49BE" w14:textId="77777777" w:rsidR="002A3970" w:rsidRDefault="00C35E63">
            <w:pPr>
              <w:jc w:val="right"/>
              <w:textAlignment w:val="center"/>
            </w:pPr>
            <w:r>
              <w:rPr>
                <w:rFonts w:ascii="Times New Roman" w:eastAsia="宋体" w:hAnsi="Times New Roman"/>
                <w:color w:val="000000"/>
                <w:sz w:val="16"/>
                <w:szCs w:val="16"/>
              </w:rPr>
              <w:t>139.76 </w:t>
            </w:r>
          </w:p>
        </w:tc>
        <w:tc>
          <w:tcPr>
            <w:tcW w:w="0" w:type="auto"/>
            <w:shd w:val="clear" w:color="auto" w:fill="FFFFFF"/>
            <w:tcMar>
              <w:top w:w="40" w:type="dxa"/>
              <w:left w:w="0" w:type="dxa"/>
              <w:bottom w:w="40" w:type="dxa"/>
              <w:right w:w="20" w:type="dxa"/>
            </w:tcMar>
            <w:vAlign w:val="center"/>
          </w:tcPr>
          <w:p w14:paraId="4B9A49BF" w14:textId="77777777" w:rsidR="002A3970" w:rsidRDefault="002A3970">
            <w:pPr>
              <w:jc w:val="right"/>
              <w:rPr>
                <w:rFonts w:ascii="宋体"/>
              </w:rPr>
            </w:pPr>
          </w:p>
        </w:tc>
      </w:tr>
      <w:tr w:rsidR="002A3970" w14:paraId="4B9A49CF" w14:textId="77777777">
        <w:tc>
          <w:tcPr>
            <w:tcW w:w="0" w:type="auto"/>
            <w:gridSpan w:val="3"/>
            <w:shd w:val="clear" w:color="auto" w:fill="CCEEFF"/>
            <w:tcMar>
              <w:top w:w="40" w:type="dxa"/>
              <w:left w:w="20" w:type="dxa"/>
              <w:bottom w:w="40" w:type="dxa"/>
              <w:right w:w="20" w:type="dxa"/>
            </w:tcMar>
            <w:vAlign w:val="center"/>
          </w:tcPr>
          <w:p w14:paraId="4B9A49C1" w14:textId="77777777" w:rsidR="002A3970" w:rsidRDefault="00C35E63">
            <w:pPr>
              <w:textAlignment w:val="center"/>
            </w:pPr>
            <w:r>
              <w:rPr>
                <w:rFonts w:ascii="Times New Roman" w:eastAsia="宋体" w:hAnsi="Times New Roman"/>
                <w:color w:val="000000"/>
                <w:sz w:val="16"/>
                <w:szCs w:val="16"/>
              </w:rPr>
              <w:t>Total amount paid for share repurchases</w:t>
            </w:r>
          </w:p>
        </w:tc>
        <w:tc>
          <w:tcPr>
            <w:tcW w:w="0" w:type="auto"/>
            <w:shd w:val="clear" w:color="auto" w:fill="auto"/>
            <w:vAlign w:val="bottom"/>
          </w:tcPr>
          <w:p w14:paraId="4B9A49C2" w14:textId="77777777" w:rsidR="002A3970" w:rsidRDefault="002A3970">
            <w:pPr>
              <w:rPr>
                <w:rFonts w:ascii="宋体"/>
                <w:vanish/>
              </w:rPr>
            </w:pPr>
          </w:p>
        </w:tc>
        <w:tc>
          <w:tcPr>
            <w:tcW w:w="0" w:type="auto"/>
            <w:shd w:val="clear" w:color="auto" w:fill="auto"/>
            <w:vAlign w:val="bottom"/>
          </w:tcPr>
          <w:p w14:paraId="4B9A49C3" w14:textId="77777777" w:rsidR="002A3970" w:rsidRDefault="002A3970">
            <w:pPr>
              <w:rPr>
                <w:rFonts w:ascii="宋体"/>
                <w:vanish/>
              </w:rPr>
            </w:pPr>
          </w:p>
        </w:tc>
        <w:tc>
          <w:tcPr>
            <w:tcW w:w="0" w:type="auto"/>
            <w:shd w:val="clear" w:color="auto" w:fill="auto"/>
            <w:vAlign w:val="bottom"/>
          </w:tcPr>
          <w:p w14:paraId="4B9A49C4" w14:textId="77777777" w:rsidR="002A3970" w:rsidRDefault="002A3970">
            <w:pPr>
              <w:rPr>
                <w:rFonts w:ascii="宋体"/>
                <w:vanish/>
              </w:rPr>
            </w:pPr>
          </w:p>
        </w:tc>
        <w:tc>
          <w:tcPr>
            <w:tcW w:w="0" w:type="auto"/>
            <w:shd w:val="clear" w:color="auto" w:fill="auto"/>
            <w:vAlign w:val="bottom"/>
          </w:tcPr>
          <w:p w14:paraId="4B9A49C5" w14:textId="77777777" w:rsidR="002A3970" w:rsidRDefault="002A3970">
            <w:pPr>
              <w:rPr>
                <w:rFonts w:ascii="宋体"/>
                <w:vanish/>
              </w:rPr>
            </w:pPr>
          </w:p>
        </w:tc>
        <w:tc>
          <w:tcPr>
            <w:tcW w:w="0" w:type="auto"/>
            <w:shd w:val="clear" w:color="auto" w:fill="auto"/>
            <w:vAlign w:val="bottom"/>
          </w:tcPr>
          <w:p w14:paraId="4B9A49C6" w14:textId="77777777" w:rsidR="002A3970" w:rsidRDefault="002A3970">
            <w:pPr>
              <w:rPr>
                <w:rFonts w:ascii="宋体"/>
                <w:vanish/>
              </w:rPr>
            </w:pPr>
          </w:p>
        </w:tc>
        <w:tc>
          <w:tcPr>
            <w:tcW w:w="0" w:type="auto"/>
            <w:shd w:val="clear" w:color="auto" w:fill="CCEEFF"/>
            <w:tcMar>
              <w:top w:w="40" w:type="dxa"/>
              <w:left w:w="20" w:type="dxa"/>
              <w:bottom w:w="40" w:type="dxa"/>
              <w:right w:w="0" w:type="dxa"/>
            </w:tcMar>
            <w:vAlign w:val="center"/>
          </w:tcPr>
          <w:p w14:paraId="4B9A49C7"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9C8" w14:textId="77777777" w:rsidR="002A3970" w:rsidRDefault="00C35E63">
            <w:pPr>
              <w:jc w:val="right"/>
              <w:textAlignment w:val="center"/>
            </w:pPr>
            <w:r>
              <w:rPr>
                <w:rFonts w:ascii="Times New Roman" w:eastAsia="宋体" w:hAnsi="Times New Roman"/>
                <w:color w:val="000000"/>
                <w:sz w:val="16"/>
                <w:szCs w:val="16"/>
              </w:rPr>
              <w:t>8,708 </w:t>
            </w:r>
          </w:p>
        </w:tc>
        <w:tc>
          <w:tcPr>
            <w:tcW w:w="0" w:type="auto"/>
            <w:shd w:val="clear" w:color="auto" w:fill="CCEEFF"/>
            <w:tcMar>
              <w:top w:w="40" w:type="dxa"/>
              <w:left w:w="0" w:type="dxa"/>
              <w:bottom w:w="40" w:type="dxa"/>
              <w:right w:w="20" w:type="dxa"/>
            </w:tcMar>
            <w:vAlign w:val="center"/>
          </w:tcPr>
          <w:p w14:paraId="4B9A49C9"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9CA" w14:textId="77777777" w:rsidR="002A3970" w:rsidRDefault="002A3970">
            <w:pPr>
              <w:rPr>
                <w:rFonts w:ascii="宋体"/>
              </w:rPr>
            </w:pPr>
          </w:p>
        </w:tc>
        <w:tc>
          <w:tcPr>
            <w:tcW w:w="0" w:type="auto"/>
            <w:gridSpan w:val="3"/>
            <w:shd w:val="clear" w:color="auto" w:fill="auto"/>
            <w:vAlign w:val="bottom"/>
          </w:tcPr>
          <w:p w14:paraId="4B9A49CB" w14:textId="77777777" w:rsidR="002A3970" w:rsidRDefault="002A3970">
            <w:pPr>
              <w:rPr>
                <w:rFonts w:ascii="宋体"/>
                <w:vanish/>
              </w:rPr>
            </w:pPr>
          </w:p>
        </w:tc>
        <w:tc>
          <w:tcPr>
            <w:tcW w:w="0" w:type="auto"/>
            <w:shd w:val="clear" w:color="auto" w:fill="CCEEFF"/>
            <w:tcMar>
              <w:top w:w="40" w:type="dxa"/>
              <w:left w:w="20" w:type="dxa"/>
              <w:bottom w:w="40" w:type="dxa"/>
              <w:right w:w="0" w:type="dxa"/>
            </w:tcMar>
            <w:vAlign w:val="center"/>
          </w:tcPr>
          <w:p w14:paraId="4B9A49CC" w14:textId="77777777" w:rsidR="002A3970" w:rsidRDefault="00C35E63">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B9A49CD" w14:textId="77777777" w:rsidR="002A3970" w:rsidRDefault="00C35E63">
            <w:pPr>
              <w:jc w:val="right"/>
              <w:textAlignment w:val="center"/>
            </w:pPr>
            <w:r>
              <w:rPr>
                <w:rFonts w:ascii="Times New Roman" w:eastAsia="宋体" w:hAnsi="Times New Roman"/>
                <w:color w:val="000000"/>
                <w:sz w:val="16"/>
                <w:szCs w:val="16"/>
              </w:rPr>
              <w:t>7,368 </w:t>
            </w:r>
          </w:p>
        </w:tc>
        <w:tc>
          <w:tcPr>
            <w:tcW w:w="0" w:type="auto"/>
            <w:shd w:val="clear" w:color="auto" w:fill="CCEEFF"/>
            <w:tcMar>
              <w:top w:w="40" w:type="dxa"/>
              <w:left w:w="0" w:type="dxa"/>
              <w:bottom w:w="40" w:type="dxa"/>
              <w:right w:w="20" w:type="dxa"/>
            </w:tcMar>
            <w:vAlign w:val="center"/>
          </w:tcPr>
          <w:p w14:paraId="4B9A49CE" w14:textId="77777777" w:rsidR="002A3970" w:rsidRDefault="002A3970">
            <w:pPr>
              <w:jc w:val="right"/>
              <w:rPr>
                <w:rFonts w:ascii="宋体"/>
              </w:rPr>
            </w:pPr>
          </w:p>
        </w:tc>
      </w:tr>
    </w:tbl>
    <w:p w14:paraId="4B9A49D0" w14:textId="77777777" w:rsidR="002A3970" w:rsidRDefault="00C35E63">
      <w:pPr>
        <w:spacing w:before="180" w:after="100"/>
      </w:pPr>
      <w:r>
        <w:rPr>
          <w:rFonts w:ascii="Times New Roman" w:eastAsia="宋体" w:hAnsi="Times New Roman"/>
          <w:i/>
          <w:iCs/>
          <w:color w:val="000000"/>
          <w:sz w:val="20"/>
          <w:szCs w:val="20"/>
        </w:rPr>
        <w:t>Purchase of Subsidiary Stock</w:t>
      </w:r>
    </w:p>
    <w:p w14:paraId="4B9A49D1" w14:textId="77777777" w:rsidR="002A3970" w:rsidRDefault="00C35E63">
      <w:pPr>
        <w:spacing w:before="100" w:after="100"/>
      </w:pPr>
      <w:r>
        <w:rPr>
          <w:rFonts w:ascii="Times New Roman" w:eastAsia="宋体" w:hAnsi="Times New Roman"/>
          <w:color w:val="000000"/>
          <w:sz w:val="20"/>
          <w:szCs w:val="20"/>
        </w:rPr>
        <w:t xml:space="preserve">In the fourth quarter of fiscal 2023, the Company completed a $0.4 billion buyout of the </w:t>
      </w:r>
      <w:r>
        <w:rPr>
          <w:rFonts w:ascii="Times New Roman" w:eastAsia="宋体" w:hAnsi="Times New Roman"/>
          <w:color w:val="000000"/>
          <w:sz w:val="20"/>
          <w:szCs w:val="20"/>
        </w:rPr>
        <w:t>noncontrolling interest shareholders of the Company's Massmart subsidiary. This transaction increased the Company's ownership of Massmart to 100%.</w:t>
      </w:r>
    </w:p>
    <w:p w14:paraId="4B9A49D2" w14:textId="77777777" w:rsidR="002A3970" w:rsidRDefault="00C35E63">
      <w:pPr>
        <w:spacing w:before="180" w:after="100"/>
      </w:pPr>
      <w:r>
        <w:rPr>
          <w:rFonts w:ascii="Times New Roman" w:eastAsia="宋体" w:hAnsi="Times New Roman"/>
          <w:i/>
          <w:iCs/>
          <w:color w:val="000000"/>
          <w:sz w:val="20"/>
          <w:szCs w:val="20"/>
        </w:rPr>
        <w:t>Material Cash Requirements</w:t>
      </w:r>
    </w:p>
    <w:p w14:paraId="4B9A49D3" w14:textId="77777777" w:rsidR="002A3970" w:rsidRDefault="00C35E63">
      <w:r>
        <w:rPr>
          <w:rFonts w:ascii="Times New Roman" w:eastAsia="宋体" w:hAnsi="Times New Roman"/>
          <w:color w:val="000000"/>
          <w:sz w:val="20"/>
          <w:szCs w:val="20"/>
        </w:rPr>
        <w:t>Material cash requirements from operating activities primarily consist of inventor</w:t>
      </w:r>
      <w:r>
        <w:rPr>
          <w:rFonts w:ascii="Times New Roman" w:eastAsia="宋体" w:hAnsi="Times New Roman"/>
          <w:color w:val="000000"/>
          <w:sz w:val="20"/>
          <w:szCs w:val="20"/>
        </w:rPr>
        <w:t>y purchases, employee related costs, taxes, interest and other general operating expenses, which we expect to be primarily satisfied by our cash from operations. Other material cash requirements from known contractual and other obligations include short-te</w:t>
      </w:r>
      <w:r>
        <w:rPr>
          <w:rFonts w:ascii="Times New Roman" w:eastAsia="宋体" w:hAnsi="Times New Roman"/>
          <w:color w:val="000000"/>
          <w:sz w:val="20"/>
          <w:szCs w:val="20"/>
        </w:rPr>
        <w:t>rm borrowings, long-term debt and related interest payments, leases and purchase obligations.</w:t>
      </w:r>
    </w:p>
    <w:p w14:paraId="4B9A49D4" w14:textId="77777777" w:rsidR="002A3970" w:rsidRDefault="00C35E63">
      <w:pPr>
        <w:jc w:val="center"/>
      </w:pPr>
      <w:r>
        <w:rPr>
          <w:rFonts w:ascii="Times New Roman" w:eastAsia="宋体" w:hAnsi="Times New Roman"/>
          <w:color w:val="000000"/>
          <w:sz w:val="20"/>
          <w:szCs w:val="20"/>
        </w:rPr>
        <w:t>26</w:t>
      </w:r>
    </w:p>
    <w:p w14:paraId="4B9A49D5" w14:textId="77777777" w:rsidR="002A3970" w:rsidRDefault="00C35E63">
      <w:r>
        <w:pict w14:anchorId="4B9A4C2F">
          <v:rect id="_x0000_i1050" style="width:415.3pt;height:1.5pt" o:hralign="center" o:hrstd="t" o:hr="t" fillcolor="#a0a0a0" stroked="f"/>
        </w:pict>
      </w:r>
    </w:p>
    <w:p w14:paraId="4B9A49D6" w14:textId="77777777" w:rsidR="002A3970" w:rsidRDefault="00C35E63">
      <w:hyperlink r:id="rId71" w:anchor="i0522a2f6333e456295d59e779af751cb_7"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Contents</w:t>
        </w:r>
      </w:hyperlink>
    </w:p>
    <w:p w14:paraId="4B9A49D7" w14:textId="77777777" w:rsidR="002A3970" w:rsidRDefault="00C35E63">
      <w:pPr>
        <w:spacing w:before="140" w:after="100"/>
      </w:pPr>
      <w:r>
        <w:rPr>
          <w:rFonts w:ascii="Times New Roman" w:eastAsia="宋体" w:hAnsi="Times New Roman"/>
          <w:b/>
          <w:bCs/>
          <w:color w:val="000000"/>
          <w:sz w:val="20"/>
          <w:szCs w:val="20"/>
          <w:u w:val="single"/>
        </w:rPr>
        <w:t>Capital Resources</w:t>
      </w:r>
    </w:p>
    <w:p w14:paraId="4B9A49D8" w14:textId="77777777" w:rsidR="002A3970" w:rsidRDefault="00C35E63">
      <w:r>
        <w:rPr>
          <w:rFonts w:ascii="Times New Roman" w:eastAsia="宋体" w:hAnsi="Times New Roman"/>
          <w:color w:val="000000"/>
          <w:sz w:val="20"/>
          <w:szCs w:val="20"/>
        </w:rPr>
        <w:t>We believe our cash flows from operations, current cash position, short-term borrowings and access to capital markets will continue to be sufficient to meet our anticipated cash requirements and contractual obligations, which includes funding seasonal buil</w:t>
      </w:r>
      <w:r>
        <w:rPr>
          <w:rFonts w:ascii="Times New Roman" w:eastAsia="宋体" w:hAnsi="Times New Roman"/>
          <w:color w:val="000000"/>
          <w:sz w:val="20"/>
          <w:szCs w:val="20"/>
        </w:rPr>
        <w:t xml:space="preserve">dups in merchandise inventories and funding our capital expenditures, acquisitions, dividend payments and share repurchases. </w:t>
      </w:r>
    </w:p>
    <w:p w14:paraId="4B9A49D9" w14:textId="77777777" w:rsidR="002A3970" w:rsidRDefault="00C35E63">
      <w:pPr>
        <w:spacing w:before="100"/>
      </w:pPr>
      <w:r>
        <w:rPr>
          <w:rFonts w:ascii="Times New Roman" w:eastAsia="宋体" w:hAnsi="Times New Roman"/>
          <w:color w:val="000000"/>
          <w:sz w:val="20"/>
          <w:szCs w:val="20"/>
        </w:rPr>
        <w:t>We have strong commercial paper and long-term debt ratings that have enabled and should continue to enable us to refinance our deb</w:t>
      </w:r>
      <w:r>
        <w:rPr>
          <w:rFonts w:ascii="Times New Roman" w:eastAsia="宋体" w:hAnsi="Times New Roman"/>
          <w:color w:val="000000"/>
          <w:sz w:val="20"/>
          <w:szCs w:val="20"/>
        </w:rPr>
        <w:t>t as it becomes due at favorable rates in capital markets. As of October 31, 2022, the ratings assigned to our commercial paper and rated series of our outstanding long-term debt were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2A3970" w14:paraId="4B9A49E9" w14:textId="77777777">
        <w:trPr>
          <w:jc w:val="center"/>
        </w:trPr>
        <w:tc>
          <w:tcPr>
            <w:tcW w:w="50" w:type="pct"/>
            <w:shd w:val="clear" w:color="auto" w:fill="auto"/>
            <w:vAlign w:val="bottom"/>
          </w:tcPr>
          <w:p w14:paraId="4B9A49DA" w14:textId="77777777" w:rsidR="002A3970" w:rsidRDefault="002A3970">
            <w:pPr>
              <w:rPr>
                <w:rFonts w:ascii="宋体"/>
              </w:rPr>
            </w:pPr>
          </w:p>
        </w:tc>
        <w:tc>
          <w:tcPr>
            <w:tcW w:w="1972" w:type="pct"/>
            <w:shd w:val="clear" w:color="auto" w:fill="auto"/>
            <w:vAlign w:val="bottom"/>
          </w:tcPr>
          <w:p w14:paraId="4B9A49DB" w14:textId="77777777" w:rsidR="002A3970" w:rsidRDefault="002A3970">
            <w:pPr>
              <w:rPr>
                <w:rFonts w:ascii="宋体"/>
              </w:rPr>
            </w:pPr>
          </w:p>
        </w:tc>
        <w:tc>
          <w:tcPr>
            <w:tcW w:w="5" w:type="pct"/>
            <w:shd w:val="clear" w:color="auto" w:fill="auto"/>
            <w:vAlign w:val="bottom"/>
          </w:tcPr>
          <w:p w14:paraId="4B9A49DC" w14:textId="77777777" w:rsidR="002A3970" w:rsidRDefault="002A3970">
            <w:pPr>
              <w:rPr>
                <w:rFonts w:ascii="宋体"/>
              </w:rPr>
            </w:pPr>
          </w:p>
        </w:tc>
        <w:tc>
          <w:tcPr>
            <w:tcW w:w="5" w:type="pct"/>
            <w:shd w:val="clear" w:color="auto" w:fill="auto"/>
            <w:vAlign w:val="bottom"/>
          </w:tcPr>
          <w:p w14:paraId="4B9A49DD" w14:textId="77777777" w:rsidR="002A3970" w:rsidRDefault="002A3970">
            <w:pPr>
              <w:rPr>
                <w:rFonts w:ascii="宋体"/>
              </w:rPr>
            </w:pPr>
          </w:p>
        </w:tc>
        <w:tc>
          <w:tcPr>
            <w:tcW w:w="107" w:type="pct"/>
            <w:shd w:val="clear" w:color="auto" w:fill="auto"/>
            <w:vAlign w:val="bottom"/>
          </w:tcPr>
          <w:p w14:paraId="4B9A49DE" w14:textId="77777777" w:rsidR="002A3970" w:rsidRDefault="002A3970">
            <w:pPr>
              <w:rPr>
                <w:rFonts w:ascii="宋体"/>
              </w:rPr>
            </w:pPr>
          </w:p>
        </w:tc>
        <w:tc>
          <w:tcPr>
            <w:tcW w:w="5" w:type="pct"/>
            <w:shd w:val="clear" w:color="auto" w:fill="auto"/>
            <w:vAlign w:val="bottom"/>
          </w:tcPr>
          <w:p w14:paraId="4B9A49DF" w14:textId="77777777" w:rsidR="002A3970" w:rsidRDefault="002A3970">
            <w:pPr>
              <w:rPr>
                <w:rFonts w:ascii="宋体"/>
              </w:rPr>
            </w:pPr>
          </w:p>
        </w:tc>
        <w:tc>
          <w:tcPr>
            <w:tcW w:w="50" w:type="pct"/>
            <w:shd w:val="clear" w:color="auto" w:fill="auto"/>
            <w:vAlign w:val="bottom"/>
          </w:tcPr>
          <w:p w14:paraId="4B9A49E0" w14:textId="77777777" w:rsidR="002A3970" w:rsidRDefault="002A3970">
            <w:pPr>
              <w:rPr>
                <w:rFonts w:ascii="宋体"/>
              </w:rPr>
            </w:pPr>
          </w:p>
        </w:tc>
        <w:tc>
          <w:tcPr>
            <w:tcW w:w="1313" w:type="pct"/>
            <w:shd w:val="clear" w:color="auto" w:fill="auto"/>
            <w:vAlign w:val="bottom"/>
          </w:tcPr>
          <w:p w14:paraId="4B9A49E1" w14:textId="77777777" w:rsidR="002A3970" w:rsidRDefault="002A3970">
            <w:pPr>
              <w:rPr>
                <w:rFonts w:ascii="宋体"/>
              </w:rPr>
            </w:pPr>
          </w:p>
        </w:tc>
        <w:tc>
          <w:tcPr>
            <w:tcW w:w="5" w:type="pct"/>
            <w:shd w:val="clear" w:color="auto" w:fill="auto"/>
            <w:vAlign w:val="bottom"/>
          </w:tcPr>
          <w:p w14:paraId="4B9A49E2" w14:textId="77777777" w:rsidR="002A3970" w:rsidRDefault="002A3970">
            <w:pPr>
              <w:rPr>
                <w:rFonts w:ascii="宋体"/>
              </w:rPr>
            </w:pPr>
          </w:p>
        </w:tc>
        <w:tc>
          <w:tcPr>
            <w:tcW w:w="5" w:type="pct"/>
            <w:shd w:val="clear" w:color="auto" w:fill="auto"/>
            <w:vAlign w:val="bottom"/>
          </w:tcPr>
          <w:p w14:paraId="4B9A49E3" w14:textId="77777777" w:rsidR="002A3970" w:rsidRDefault="002A3970">
            <w:pPr>
              <w:rPr>
                <w:rFonts w:ascii="宋体"/>
              </w:rPr>
            </w:pPr>
          </w:p>
        </w:tc>
        <w:tc>
          <w:tcPr>
            <w:tcW w:w="107" w:type="pct"/>
            <w:shd w:val="clear" w:color="auto" w:fill="auto"/>
            <w:vAlign w:val="bottom"/>
          </w:tcPr>
          <w:p w14:paraId="4B9A49E4" w14:textId="77777777" w:rsidR="002A3970" w:rsidRDefault="002A3970">
            <w:pPr>
              <w:rPr>
                <w:rFonts w:ascii="宋体"/>
              </w:rPr>
            </w:pPr>
          </w:p>
        </w:tc>
        <w:tc>
          <w:tcPr>
            <w:tcW w:w="5" w:type="pct"/>
            <w:shd w:val="clear" w:color="auto" w:fill="auto"/>
            <w:vAlign w:val="bottom"/>
          </w:tcPr>
          <w:p w14:paraId="4B9A49E5" w14:textId="77777777" w:rsidR="002A3970" w:rsidRDefault="002A3970">
            <w:pPr>
              <w:rPr>
                <w:rFonts w:ascii="宋体"/>
              </w:rPr>
            </w:pPr>
          </w:p>
        </w:tc>
        <w:tc>
          <w:tcPr>
            <w:tcW w:w="50" w:type="pct"/>
            <w:shd w:val="clear" w:color="auto" w:fill="auto"/>
            <w:vAlign w:val="bottom"/>
          </w:tcPr>
          <w:p w14:paraId="4B9A49E6" w14:textId="77777777" w:rsidR="002A3970" w:rsidRDefault="002A3970">
            <w:pPr>
              <w:rPr>
                <w:rFonts w:ascii="宋体"/>
              </w:rPr>
            </w:pPr>
          </w:p>
        </w:tc>
        <w:tc>
          <w:tcPr>
            <w:tcW w:w="1314" w:type="pct"/>
            <w:shd w:val="clear" w:color="auto" w:fill="auto"/>
            <w:vAlign w:val="bottom"/>
          </w:tcPr>
          <w:p w14:paraId="4B9A49E7" w14:textId="77777777" w:rsidR="002A3970" w:rsidRDefault="002A3970">
            <w:pPr>
              <w:rPr>
                <w:rFonts w:ascii="宋体"/>
              </w:rPr>
            </w:pPr>
          </w:p>
        </w:tc>
        <w:tc>
          <w:tcPr>
            <w:tcW w:w="5" w:type="pct"/>
            <w:shd w:val="clear" w:color="auto" w:fill="auto"/>
            <w:vAlign w:val="bottom"/>
          </w:tcPr>
          <w:p w14:paraId="4B9A49E8" w14:textId="77777777" w:rsidR="002A3970" w:rsidRDefault="002A3970">
            <w:pPr>
              <w:rPr>
                <w:rFonts w:ascii="宋体"/>
              </w:rPr>
            </w:pPr>
          </w:p>
        </w:tc>
      </w:tr>
      <w:tr w:rsidR="002A3970" w14:paraId="4B9A49EF" w14:textId="77777777">
        <w:trPr>
          <w:jc w:val="center"/>
        </w:trPr>
        <w:tc>
          <w:tcPr>
            <w:tcW w:w="0" w:type="auto"/>
            <w:gridSpan w:val="3"/>
            <w:shd w:val="clear" w:color="auto" w:fill="auto"/>
            <w:tcMar>
              <w:top w:w="40" w:type="dxa"/>
              <w:left w:w="20" w:type="dxa"/>
              <w:bottom w:w="40" w:type="dxa"/>
              <w:right w:w="20" w:type="dxa"/>
            </w:tcMar>
            <w:vAlign w:val="bottom"/>
          </w:tcPr>
          <w:p w14:paraId="4B9A49EA" w14:textId="77777777" w:rsidR="002A3970" w:rsidRDefault="00C35E63">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4B9A49EB"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B9A49EC" w14:textId="77777777" w:rsidR="002A3970" w:rsidRDefault="00C35E63">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4B9A49ED" w14:textId="77777777" w:rsidR="002A3970" w:rsidRDefault="00C35E63">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B9A49EE" w14:textId="77777777" w:rsidR="002A3970" w:rsidRDefault="00C35E63">
            <w:pPr>
              <w:jc w:val="center"/>
              <w:textAlignment w:val="bottom"/>
            </w:pPr>
            <w:r>
              <w:rPr>
                <w:rFonts w:ascii="Times New Roman" w:eastAsia="宋体" w:hAnsi="Times New Roman"/>
                <w:b/>
                <w:bCs/>
                <w:color w:val="000000"/>
                <w:sz w:val="16"/>
                <w:szCs w:val="16"/>
              </w:rPr>
              <w:t>Long-term debt</w:t>
            </w:r>
          </w:p>
        </w:tc>
      </w:tr>
      <w:tr w:rsidR="002A3970" w14:paraId="4B9A49F5"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B9A49F0" w14:textId="77777777" w:rsidR="002A3970" w:rsidRDefault="00C35E63">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4B9A49F1" w14:textId="77777777" w:rsidR="002A3970" w:rsidRDefault="00C35E63">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B9A49F2" w14:textId="77777777" w:rsidR="002A3970" w:rsidRDefault="00C35E63">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4B9A49F3" w14:textId="77777777" w:rsidR="002A3970" w:rsidRDefault="00C35E63">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B9A49F4" w14:textId="77777777" w:rsidR="002A3970" w:rsidRDefault="00C35E63">
            <w:pPr>
              <w:jc w:val="center"/>
              <w:textAlignment w:val="center"/>
            </w:pPr>
            <w:r>
              <w:rPr>
                <w:rFonts w:ascii="Times New Roman" w:eastAsia="宋体" w:hAnsi="Times New Roman"/>
                <w:color w:val="000000"/>
                <w:sz w:val="16"/>
                <w:szCs w:val="16"/>
              </w:rPr>
              <w:t>AA</w:t>
            </w:r>
          </w:p>
        </w:tc>
      </w:tr>
      <w:tr w:rsidR="002A3970" w14:paraId="4B9A49FB" w14:textId="77777777">
        <w:trPr>
          <w:jc w:val="center"/>
        </w:trPr>
        <w:tc>
          <w:tcPr>
            <w:tcW w:w="0" w:type="auto"/>
            <w:gridSpan w:val="3"/>
            <w:shd w:val="clear" w:color="auto" w:fill="FFFFFF"/>
            <w:tcMar>
              <w:top w:w="40" w:type="dxa"/>
              <w:left w:w="20" w:type="dxa"/>
              <w:bottom w:w="40" w:type="dxa"/>
              <w:right w:w="20" w:type="dxa"/>
            </w:tcMar>
            <w:vAlign w:val="center"/>
          </w:tcPr>
          <w:p w14:paraId="4B9A49F6" w14:textId="77777777" w:rsidR="002A3970" w:rsidRDefault="00C35E63">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4B9A49F7"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B9A49F8" w14:textId="77777777" w:rsidR="002A3970" w:rsidRDefault="00C35E63">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4B9A49F9"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B9A49FA" w14:textId="77777777" w:rsidR="002A3970" w:rsidRDefault="00C35E63">
            <w:pPr>
              <w:jc w:val="center"/>
              <w:textAlignment w:val="center"/>
            </w:pPr>
            <w:r>
              <w:rPr>
                <w:rFonts w:ascii="Times New Roman" w:eastAsia="宋体" w:hAnsi="Times New Roman"/>
                <w:color w:val="000000"/>
                <w:sz w:val="16"/>
                <w:szCs w:val="16"/>
              </w:rPr>
              <w:t>Aa2</w:t>
            </w:r>
          </w:p>
        </w:tc>
      </w:tr>
      <w:tr w:rsidR="002A3970" w14:paraId="4B9A4A01" w14:textId="77777777">
        <w:trPr>
          <w:jc w:val="center"/>
        </w:trPr>
        <w:tc>
          <w:tcPr>
            <w:tcW w:w="0" w:type="auto"/>
            <w:gridSpan w:val="3"/>
            <w:shd w:val="clear" w:color="auto" w:fill="CCEEFF"/>
            <w:tcMar>
              <w:top w:w="40" w:type="dxa"/>
              <w:left w:w="20" w:type="dxa"/>
              <w:bottom w:w="40" w:type="dxa"/>
              <w:right w:w="20" w:type="dxa"/>
            </w:tcMar>
            <w:vAlign w:val="center"/>
          </w:tcPr>
          <w:p w14:paraId="4B9A49FC" w14:textId="77777777" w:rsidR="002A3970" w:rsidRDefault="00C35E63">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4B9A49FD"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B9A49FE" w14:textId="77777777" w:rsidR="002A3970" w:rsidRDefault="00C35E63">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4B9A49FF" w14:textId="77777777" w:rsidR="002A3970" w:rsidRDefault="00C35E63">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B9A4A00" w14:textId="77777777" w:rsidR="002A3970" w:rsidRDefault="00C35E63">
            <w:pPr>
              <w:jc w:val="center"/>
              <w:textAlignment w:val="center"/>
            </w:pPr>
            <w:r>
              <w:rPr>
                <w:rFonts w:ascii="Times New Roman" w:eastAsia="宋体" w:hAnsi="Times New Roman"/>
                <w:color w:val="000000"/>
                <w:sz w:val="16"/>
                <w:szCs w:val="16"/>
              </w:rPr>
              <w:t>AA</w:t>
            </w:r>
          </w:p>
        </w:tc>
      </w:tr>
    </w:tbl>
    <w:p w14:paraId="4B9A4A02" w14:textId="77777777" w:rsidR="002A3970" w:rsidRDefault="00C35E63">
      <w:pPr>
        <w:spacing w:before="100"/>
      </w:pPr>
      <w:r>
        <w:rPr>
          <w:rFonts w:ascii="Times New Roman" w:eastAsia="宋体" w:hAnsi="Times New Roman"/>
          <w:color w:val="000000"/>
          <w:sz w:val="20"/>
          <w:szCs w:val="20"/>
        </w:rPr>
        <w:t xml:space="preserve">Credit rating agencies review their ratings periodically and, therefore, the credit ratings assigned to us by each </w:t>
      </w:r>
      <w:r>
        <w:rPr>
          <w:rFonts w:ascii="Times New Roman" w:eastAsia="宋体" w:hAnsi="Times New Roman"/>
          <w:color w:val="000000"/>
          <w:sz w:val="20"/>
          <w:szCs w:val="20"/>
        </w:rPr>
        <w:t>agency may be subject to revision at any time. Accordingly, we are not able to predict whether our current credit ratings will remain consistent over time. Factors that could affect our credit ratings include changes in our operating performance, the gener</w:t>
      </w:r>
      <w:r>
        <w:rPr>
          <w:rFonts w:ascii="Times New Roman" w:eastAsia="宋体" w:hAnsi="Times New Roman"/>
          <w:color w:val="000000"/>
          <w:sz w:val="20"/>
          <w:szCs w:val="20"/>
        </w:rPr>
        <w:t>al economic environment, conditions in the retail industry, our financial position, including our total debt and capitalization, and changes in our business strategy. Any downgrade of our credit ratings by a credit rating agency could increase our future b</w:t>
      </w:r>
      <w:r>
        <w:rPr>
          <w:rFonts w:ascii="Times New Roman" w:eastAsia="宋体" w:hAnsi="Times New Roman"/>
          <w:color w:val="000000"/>
          <w:sz w:val="20"/>
          <w:szCs w:val="20"/>
        </w:rPr>
        <w:t>orrowing costs or impair our ability to access capital and credit markets on terms commercially acceptable to us. In addition, any downgrade of our current short-term credit ratings could impair our ability to access the commercial paper markets with the s</w:t>
      </w:r>
      <w:r>
        <w:rPr>
          <w:rFonts w:ascii="Times New Roman" w:eastAsia="宋体" w:hAnsi="Times New Roman"/>
          <w:color w:val="000000"/>
          <w:sz w:val="20"/>
          <w:szCs w:val="20"/>
        </w:rPr>
        <w:t>ame flexibility that we have experienced historically, potentially requiring us to rely more heavily on more expensive types of debt financing. The credit rating agency ratings are not recommendations to buy, sell or hold our commercial paper or debt secur</w:t>
      </w:r>
      <w:r>
        <w:rPr>
          <w:rFonts w:ascii="Times New Roman" w:eastAsia="宋体" w:hAnsi="Times New Roman"/>
          <w:color w:val="000000"/>
          <w:sz w:val="20"/>
          <w:szCs w:val="20"/>
        </w:rPr>
        <w:t>ities. Each rating may be subject to revision or withdrawal at any time by the assigning rating organization and should be evaluated independently of any other rating. Moreover, each credit rating is specific to the security to which it applies.</w:t>
      </w:r>
    </w:p>
    <w:p w14:paraId="4B9A4A03" w14:textId="77777777" w:rsidR="002A3970" w:rsidRDefault="00C35E63">
      <w:pPr>
        <w:spacing w:before="180"/>
      </w:pPr>
      <w:r>
        <w:rPr>
          <w:rFonts w:ascii="Times New Roman" w:eastAsia="宋体" w:hAnsi="Times New Roman"/>
          <w:b/>
          <w:bCs/>
          <w:color w:val="000000"/>
          <w:sz w:val="20"/>
          <w:szCs w:val="20"/>
        </w:rPr>
        <w:t>Other Matt</w:t>
      </w:r>
      <w:r>
        <w:rPr>
          <w:rFonts w:ascii="Times New Roman" w:eastAsia="宋体" w:hAnsi="Times New Roman"/>
          <w:b/>
          <w:bCs/>
          <w:color w:val="000000"/>
          <w:sz w:val="20"/>
          <w:szCs w:val="20"/>
        </w:rPr>
        <w:t>ers</w:t>
      </w:r>
    </w:p>
    <w:p w14:paraId="4B9A4A04" w14:textId="77777777" w:rsidR="002A3970" w:rsidRDefault="00C35E63">
      <w:r>
        <w:rPr>
          <w:rFonts w:ascii="Times New Roman" w:eastAsia="宋体" w:hAnsi="Times New Roman"/>
          <w:color w:val="000000"/>
          <w:sz w:val="20"/>
          <w:szCs w:val="20"/>
        </w:rPr>
        <w:t xml:space="preserve">In </w:t>
      </w:r>
      <w:hyperlink r:id="rId72" w:anchor="i0522a2f6333e456295d59e779af751cb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our Condensed Consolidated Financial Statements, which is captioned "Contingencies" an</w:t>
      </w:r>
      <w:r>
        <w:rPr>
          <w:rFonts w:ascii="Times New Roman" w:eastAsia="宋体" w:hAnsi="Times New Roman"/>
          <w:color w:val="000000"/>
          <w:sz w:val="20"/>
          <w:szCs w:val="20"/>
        </w:rPr>
        <w:t>d appears in Part I of this Quarterly Report on Form 10-Q under the caption "</w:t>
      </w:r>
      <w:hyperlink r:id="rId73" w:anchor="i0522a2f6333e456295d59e779af751cb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we discuss, under the sub-caption "</w:t>
      </w:r>
      <w:r>
        <w:rPr>
          <w:rFonts w:ascii="Times New Roman" w:eastAsia="宋体" w:hAnsi="Times New Roman"/>
          <w:i/>
          <w:iCs/>
          <w:color w:val="000000"/>
          <w:sz w:val="20"/>
          <w:szCs w:val="20"/>
        </w:rPr>
        <w:t>Opioids Litigation</w:t>
      </w:r>
      <w:r>
        <w:rPr>
          <w:rFonts w:ascii="Times New Roman" w:eastAsia="宋体" w:hAnsi="Times New Roman"/>
          <w:color w:val="000000"/>
          <w:sz w:val="20"/>
          <w:szCs w:val="20"/>
        </w:rPr>
        <w:t xml:space="preserve">," the Prescription Opiate Litigation, the Settlement Framework, and other matters, including certain risks arising therefrom. In that </w:t>
      </w:r>
      <w:hyperlink r:id="rId74" w:anchor="i0522a2f6333e456295d59e779af751cb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we also discuss, under the sub-caption "</w:t>
      </w:r>
      <w:r>
        <w:rPr>
          <w:rFonts w:ascii="Times New Roman" w:eastAsia="宋体" w:hAnsi="Times New Roman"/>
          <w:i/>
          <w:iCs/>
          <w:color w:val="000000"/>
          <w:sz w:val="20"/>
          <w:szCs w:val="20"/>
        </w:rPr>
        <w:t xml:space="preserve">Asda Equal Value Claims," </w:t>
      </w:r>
      <w:r>
        <w:rPr>
          <w:rFonts w:ascii="Times New Roman" w:eastAsia="宋体" w:hAnsi="Times New Roman"/>
          <w:color w:val="000000"/>
          <w:sz w:val="20"/>
          <w:szCs w:val="20"/>
        </w:rPr>
        <w:t>the Company's indemnification obligation for the Asda Equal Value Claims matter as well as u</w:t>
      </w:r>
      <w:r>
        <w:rPr>
          <w:rFonts w:ascii="Times New Roman" w:eastAsia="宋体" w:hAnsi="Times New Roman"/>
          <w:color w:val="000000"/>
          <w:sz w:val="20"/>
          <w:szCs w:val="20"/>
        </w:rPr>
        <w:t>nder the sub-caption "</w:t>
      </w:r>
      <w:r>
        <w:rPr>
          <w:rFonts w:ascii="Times New Roman" w:eastAsia="宋体" w:hAnsi="Times New Roman"/>
          <w:i/>
          <w:iCs/>
          <w:color w:val="000000"/>
          <w:sz w:val="20"/>
          <w:szCs w:val="20"/>
        </w:rPr>
        <w:t>Money Transfer Agent Services Matters,</w:t>
      </w:r>
      <w:r>
        <w:rPr>
          <w:rFonts w:ascii="Times New Roman" w:eastAsia="宋体" w:hAnsi="Times New Roman"/>
          <w:color w:val="000000"/>
          <w:sz w:val="20"/>
          <w:szCs w:val="20"/>
        </w:rPr>
        <w:t>" a United States Federal Trade Commission complaint related to money transfers and the Company's anti-fraud program and a government investigation by the U.S. Attorney's Office for the Middle Dis</w:t>
      </w:r>
      <w:r>
        <w:rPr>
          <w:rFonts w:ascii="Times New Roman" w:eastAsia="宋体" w:hAnsi="Times New Roman"/>
          <w:color w:val="000000"/>
          <w:sz w:val="20"/>
          <w:szCs w:val="20"/>
        </w:rPr>
        <w:t xml:space="preserve">trict of Pennsylvania into the Company's consumer fraud prevention program and anti-money laundering compliance related to the Company's money transfer agent services. We also discuss various legal proceedings related to the Federal and State Prescription </w:t>
      </w:r>
      <w:r>
        <w:rPr>
          <w:rFonts w:ascii="Times New Roman" w:eastAsia="宋体" w:hAnsi="Times New Roman"/>
          <w:color w:val="000000"/>
          <w:sz w:val="20"/>
          <w:szCs w:val="20"/>
        </w:rPr>
        <w:t xml:space="preserve">Opiate Litigation, DOJ Opioid Civil Litigation and Opioids Related Securities Class Actions and Derivative Litigation, Asda Equal Value Claims, and Money Transfer Agent Services litigation in </w:t>
      </w:r>
      <w:hyperlink r:id="rId75" w:anchor="i0522a2f6333e456295d59e779af751cb_109"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76" w:anchor="i0522a2f6333e456295d59e779af751cb_112"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xml:space="preserve">," under the sub-caption "I. Supplemental Information." We also discuss items related to the Foreign Direct Investment matter in India in </w:t>
      </w:r>
      <w:hyperlink r:id="rId77" w:anchor="i0522a2f6333e456295d59e779af751cb_109"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78" w:anchor="i0522a2f6333e456295d59e779af751cb_112"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"II. Certain Other Matters." We also discuss an environmental matter with the State of California in</w:t>
      </w:r>
      <w:hyperlink r:id="rId79" w:anchor="i0522a2f6333e456295d59e779af751cb_109" w:history="1">
        <w:r>
          <w:rPr>
            <w:rStyle w:val="a5"/>
            <w:rFonts w:ascii="Times New Roman" w:eastAsia="宋体" w:hAnsi="Times New Roman"/>
            <w:sz w:val="20"/>
            <w:szCs w:val="20"/>
            <w:u w:val="none"/>
          </w:rPr>
          <w:t xml:space="preserve"> </w:t>
        </w:r>
      </w:hyperlink>
      <w:hyperlink r:id="rId80" w:anchor="i0522a2f6333e456295d59e779af751cb_109"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81" w:anchor="i0522a2f6333e456295d59e779af751cb_112"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"III. Environmental Matters." The foregoing matters and other matters described elsewhere in this Quarterly Report on Form 10-Q represent contingent liabilities of the Company that may or ma</w:t>
      </w:r>
      <w:r>
        <w:rPr>
          <w:rFonts w:ascii="Times New Roman" w:eastAsia="宋体" w:hAnsi="Times New Roman"/>
          <w:color w:val="000000"/>
          <w:sz w:val="20"/>
          <w:szCs w:val="20"/>
        </w:rPr>
        <w:t>y not result in the incurrence of a material liability by the Company upon their final resolution.</w:t>
      </w:r>
    </w:p>
    <w:p w14:paraId="4B9A4A05" w14:textId="77777777" w:rsidR="002A3970" w:rsidRDefault="00C35E63">
      <w:pPr>
        <w:spacing w:before="180"/>
      </w:pPr>
      <w:r>
        <w:rPr>
          <w:rFonts w:ascii="Times New Roman" w:eastAsia="宋体" w:hAnsi="Times New Roman"/>
          <w:b/>
          <w:bCs/>
          <w:color w:val="000000"/>
          <w:sz w:val="20"/>
          <w:szCs w:val="20"/>
        </w:rPr>
        <w:t>Item 3. Quantitative and Qualitative Disclosures About Market Risk</w:t>
      </w:r>
    </w:p>
    <w:p w14:paraId="4B9A4A06" w14:textId="77777777" w:rsidR="002A3970" w:rsidRDefault="00C35E63">
      <w:pPr>
        <w:spacing w:before="100"/>
      </w:pPr>
      <w:r>
        <w:rPr>
          <w:rFonts w:ascii="Times New Roman" w:eastAsia="宋体" w:hAnsi="Times New Roman"/>
          <w:color w:val="000000"/>
          <w:sz w:val="20"/>
          <w:szCs w:val="20"/>
        </w:rPr>
        <w:t>Market risks relating to our operations result primarily from changes in interest rates, c</w:t>
      </w:r>
      <w:r>
        <w:rPr>
          <w:rFonts w:ascii="Times New Roman" w:eastAsia="宋体" w:hAnsi="Times New Roman"/>
          <w:color w:val="000000"/>
          <w:sz w:val="20"/>
          <w:szCs w:val="20"/>
        </w:rPr>
        <w:t>urrency exchange rates and the fair value of certain equity investments. As of October 31, 2022, there were no material changes to our market risks disclosed in our Annual Report on Form 10-K for the fiscal year ended January 31, 2022. The information conc</w:t>
      </w:r>
      <w:r>
        <w:rPr>
          <w:rFonts w:ascii="Times New Roman" w:eastAsia="宋体" w:hAnsi="Times New Roman"/>
          <w:color w:val="000000"/>
          <w:sz w:val="20"/>
          <w:szCs w:val="20"/>
        </w:rPr>
        <w:t>erning market risk set forth in Part II, Item 7A. of our Annual Report on Form 10-K for the fiscal year ended January 31, 2022, as filed with the SEC on March 18, 2022, under the caption "</w:t>
      </w:r>
      <w:hyperlink r:id="rId82" w:anchor="i1ba69ebb72ec48f9b754a5e96c4cdf3f_118" w:history="1">
        <w:r>
          <w:rPr>
            <w:rStyle w:val="a5"/>
            <w:rFonts w:ascii="Times New Roman" w:eastAsia="宋体" w:hAnsi="Times New Roman"/>
            <w:sz w:val="20"/>
            <w:szCs w:val="20"/>
          </w:rPr>
          <w:t>Quantitative and Qualitative Disclosures About Market Risk</w:t>
        </w:r>
      </w:hyperlink>
      <w:r>
        <w:rPr>
          <w:rFonts w:ascii="Times New Roman" w:eastAsia="宋体" w:hAnsi="Times New Roman"/>
          <w:color w:val="000000"/>
          <w:sz w:val="20"/>
          <w:szCs w:val="20"/>
        </w:rPr>
        <w:t>," is hereby incorporated by reference into this Quarterly Report on Form 10-Q.</w:t>
      </w:r>
    </w:p>
    <w:p w14:paraId="4B9A4A07" w14:textId="77777777" w:rsidR="002A3970" w:rsidRDefault="00C35E63">
      <w:pPr>
        <w:jc w:val="center"/>
      </w:pPr>
      <w:r>
        <w:rPr>
          <w:rFonts w:ascii="Times New Roman" w:eastAsia="宋体" w:hAnsi="Times New Roman"/>
          <w:color w:val="000000"/>
          <w:sz w:val="20"/>
          <w:szCs w:val="20"/>
        </w:rPr>
        <w:t>27</w:t>
      </w:r>
    </w:p>
    <w:p w14:paraId="4B9A4A08" w14:textId="77777777" w:rsidR="002A3970" w:rsidRDefault="00C35E63">
      <w:r>
        <w:pict w14:anchorId="4B9A4C30">
          <v:rect id="_x0000_i1051" style="width:415.3pt;height:1.5pt" o:hralign="center" o:hrstd="t" o:hr="t" fillcolor="#a0a0a0" stroked="f"/>
        </w:pict>
      </w:r>
    </w:p>
    <w:p w14:paraId="4B9A4A09" w14:textId="77777777" w:rsidR="002A3970" w:rsidRDefault="00C35E63">
      <w:hyperlink r:id="rId83" w:anchor="i0522a2f6333e456295d59e779af751cb_7" w:history="1">
        <w:r>
          <w:rPr>
            <w:rStyle w:val="a5"/>
            <w:rFonts w:ascii="Times New Roman" w:eastAsia="宋体" w:hAnsi="Times New Roman"/>
            <w:sz w:val="20"/>
            <w:szCs w:val="20"/>
          </w:rPr>
          <w:t>Table of Contents</w:t>
        </w:r>
      </w:hyperlink>
    </w:p>
    <w:p w14:paraId="4B9A4A0A" w14:textId="77777777" w:rsidR="002A3970" w:rsidRDefault="00C35E63">
      <w:pPr>
        <w:spacing w:before="180"/>
      </w:pPr>
      <w:r>
        <w:rPr>
          <w:rFonts w:ascii="Times New Roman" w:eastAsia="宋体" w:hAnsi="Times New Roman"/>
          <w:b/>
          <w:bCs/>
          <w:color w:val="000000"/>
          <w:sz w:val="20"/>
          <w:szCs w:val="20"/>
        </w:rPr>
        <w:t>Item 4. Controls and Procedures</w:t>
      </w:r>
    </w:p>
    <w:p w14:paraId="4B9A4A0B" w14:textId="77777777" w:rsidR="002A3970" w:rsidRDefault="00C35E63">
      <w:pPr>
        <w:spacing w:before="100"/>
      </w:pPr>
      <w:r>
        <w:rPr>
          <w:rFonts w:ascii="Times New Roman" w:eastAsia="宋体" w:hAnsi="Times New Roman"/>
          <w:color w:val="000000"/>
          <w:sz w:val="20"/>
          <w:szCs w:val="20"/>
        </w:rPr>
        <w:t xml:space="preserve">We maintain disclosure controls and procedures that are designed to provide </w:t>
      </w:r>
      <w:r>
        <w:rPr>
          <w:rFonts w:ascii="Times New Roman" w:eastAsia="宋体" w:hAnsi="Times New Roman"/>
          <w:color w:val="000000"/>
          <w:sz w:val="20"/>
          <w:szCs w:val="20"/>
        </w:rPr>
        <w:t xml:space="preserve">reasonable assurance that information, which is required to be timely disclosed, is accumulated and communicated to management in a timely fashion. In designing and evaluating such controls and procedures, we recognize that any controls and procedures, no </w:t>
      </w:r>
      <w:r>
        <w:rPr>
          <w:rFonts w:ascii="Times New Roman" w:eastAsia="宋体" w:hAnsi="Times New Roman"/>
          <w:color w:val="000000"/>
          <w:sz w:val="20"/>
          <w:szCs w:val="20"/>
        </w:rPr>
        <w:t>matter how well designed and operated, can provide only reasonable assurance of achieving the desired control objectives. Our management is necessarily required to use judgment in evaluating controls and procedures. Also, we have investments in unconsolida</w:t>
      </w:r>
      <w:r>
        <w:rPr>
          <w:rFonts w:ascii="Times New Roman" w:eastAsia="宋体" w:hAnsi="Times New Roman"/>
          <w:color w:val="000000"/>
          <w:sz w:val="20"/>
          <w:szCs w:val="20"/>
        </w:rPr>
        <w:t>ted entities. Since we do not control or manage those entities, our controls and procedures with respect to those entities are substantially more limited than those we maintain with respect to our consolidated subsidiaries.</w:t>
      </w:r>
    </w:p>
    <w:p w14:paraId="4B9A4A0C" w14:textId="77777777" w:rsidR="002A3970" w:rsidRDefault="00C35E63">
      <w:pPr>
        <w:spacing w:before="100"/>
      </w:pPr>
      <w:r>
        <w:rPr>
          <w:rFonts w:ascii="Times New Roman" w:eastAsia="宋体" w:hAnsi="Times New Roman"/>
          <w:color w:val="000000"/>
          <w:sz w:val="20"/>
          <w:szCs w:val="20"/>
        </w:rPr>
        <w:t>In the ordinary course of busine</w:t>
      </w:r>
      <w:r>
        <w:rPr>
          <w:rFonts w:ascii="Times New Roman" w:eastAsia="宋体" w:hAnsi="Times New Roman"/>
          <w:color w:val="000000"/>
          <w:sz w:val="20"/>
          <w:szCs w:val="20"/>
        </w:rPr>
        <w:t xml:space="preserve">ss, we review our internal control over financial reporting and make changes to our systems and processes to improve such controls and increase efficiency, while ensuring that we maintain an effective internal control environment. Changes may include such </w:t>
      </w:r>
      <w:r>
        <w:rPr>
          <w:rFonts w:ascii="Times New Roman" w:eastAsia="宋体" w:hAnsi="Times New Roman"/>
          <w:color w:val="000000"/>
          <w:sz w:val="20"/>
          <w:szCs w:val="20"/>
        </w:rPr>
        <w:t>activities as implementing new, more efficient systems, updating existing systems, automating manual processes, standardizing controls globally, migrating certain processes to our shared services organizations and increasing monitoring controls. These chan</w:t>
      </w:r>
      <w:r>
        <w:rPr>
          <w:rFonts w:ascii="Times New Roman" w:eastAsia="宋体" w:hAnsi="Times New Roman"/>
          <w:color w:val="000000"/>
          <w:sz w:val="20"/>
          <w:szCs w:val="20"/>
        </w:rPr>
        <w:t>ges have not materially affected, and are not reasonably likely to materially affect, the Company's internal control over financial reporting and they allow us to continue to enhance our internal controls over financial reporting and ensure that they remai</w:t>
      </w:r>
      <w:r>
        <w:rPr>
          <w:rFonts w:ascii="Times New Roman" w:eastAsia="宋体" w:hAnsi="Times New Roman"/>
          <w:color w:val="000000"/>
          <w:sz w:val="20"/>
          <w:szCs w:val="20"/>
        </w:rPr>
        <w:t xml:space="preserve">n effective. </w:t>
      </w:r>
    </w:p>
    <w:p w14:paraId="4B9A4A0D" w14:textId="77777777" w:rsidR="002A3970" w:rsidRDefault="00C35E63">
      <w:pPr>
        <w:spacing w:before="100"/>
      </w:pPr>
      <w:r>
        <w:rPr>
          <w:rFonts w:ascii="Times New Roman" w:eastAsia="宋体" w:hAnsi="Times New Roman"/>
          <w:color w:val="000000"/>
          <w:sz w:val="20"/>
          <w:szCs w:val="20"/>
        </w:rPr>
        <w:t>An evaluation of the effectiveness of the design and operation of our disclosure controls and procedures as of the end of the period covered by this report was performed under the supervision and with the participation of management, includin</w:t>
      </w:r>
      <w:r>
        <w:rPr>
          <w:rFonts w:ascii="Times New Roman" w:eastAsia="宋体" w:hAnsi="Times New Roman"/>
          <w:color w:val="000000"/>
          <w:sz w:val="20"/>
          <w:szCs w:val="20"/>
        </w:rPr>
        <w:t>g our Chief Executive Officer and Chief Financial Officer. Based upon that evaluation, our Chief Executive Officer and Chief Financial Officer concluded that our disclosure controls and procedures are effective to provide reasonable assurance that informat</w:t>
      </w:r>
      <w:r>
        <w:rPr>
          <w:rFonts w:ascii="Times New Roman" w:eastAsia="宋体" w:hAnsi="Times New Roman"/>
          <w:color w:val="000000"/>
          <w:sz w:val="20"/>
          <w:szCs w:val="20"/>
        </w:rPr>
        <w:t xml:space="preserve">ion required to be disclosed by the Company in the reports that it files or submits under the Securities Exchange Act of 1934, as amended, is accumulated and communicated to management, including our Chief Executive Officer and Chief Financial Officer, as </w:t>
      </w:r>
      <w:r>
        <w:rPr>
          <w:rFonts w:ascii="Times New Roman" w:eastAsia="宋体" w:hAnsi="Times New Roman"/>
          <w:color w:val="000000"/>
          <w:sz w:val="20"/>
          <w:szCs w:val="20"/>
        </w:rPr>
        <w:t xml:space="preserve">appropriate, to allow timely decisions regarding required disclosure and are effective to provide reasonable assurance that such information is recorded, processed, summarized and reported within the time periods specified by the SEC's rules and forms. </w:t>
      </w:r>
    </w:p>
    <w:p w14:paraId="4B9A4A0E" w14:textId="77777777" w:rsidR="002A3970" w:rsidRDefault="00C35E63">
      <w:pPr>
        <w:spacing w:before="100"/>
      </w:pPr>
      <w:r>
        <w:rPr>
          <w:rFonts w:ascii="Times New Roman" w:eastAsia="宋体" w:hAnsi="Times New Roman"/>
          <w:color w:val="000000"/>
          <w:sz w:val="20"/>
          <w:szCs w:val="20"/>
        </w:rPr>
        <w:t>Th</w:t>
      </w:r>
      <w:r>
        <w:rPr>
          <w:rFonts w:ascii="Times New Roman" w:eastAsia="宋体" w:hAnsi="Times New Roman"/>
          <w:color w:val="000000"/>
          <w:sz w:val="20"/>
          <w:szCs w:val="20"/>
        </w:rPr>
        <w:t>ere has been no change in the Company's internal control over financial reporting during the most recently completed fiscal quarter that has materially affected, or is reasonably likely to materially affect, the Company's internal control over financial re</w:t>
      </w:r>
      <w:r>
        <w:rPr>
          <w:rFonts w:ascii="Times New Roman" w:eastAsia="宋体" w:hAnsi="Times New Roman"/>
          <w:color w:val="000000"/>
          <w:sz w:val="20"/>
          <w:szCs w:val="20"/>
        </w:rPr>
        <w:t>porting.</w:t>
      </w:r>
    </w:p>
    <w:p w14:paraId="4B9A4A0F" w14:textId="77777777" w:rsidR="002A3970" w:rsidRDefault="00C35E63">
      <w:pPr>
        <w:jc w:val="center"/>
      </w:pPr>
      <w:r>
        <w:rPr>
          <w:rFonts w:ascii="Times New Roman" w:eastAsia="宋体" w:hAnsi="Times New Roman"/>
          <w:color w:val="000000"/>
          <w:sz w:val="20"/>
          <w:szCs w:val="20"/>
        </w:rPr>
        <w:t>28</w:t>
      </w:r>
    </w:p>
    <w:p w14:paraId="4B9A4A10" w14:textId="77777777" w:rsidR="002A3970" w:rsidRDefault="00C35E63">
      <w:r>
        <w:pict w14:anchorId="4B9A4C31">
          <v:rect id="_x0000_i1052" style="width:415.3pt;height:1.5pt" o:hralign="center" o:hrstd="t" o:hr="t" fillcolor="#a0a0a0" stroked="f"/>
        </w:pict>
      </w:r>
    </w:p>
    <w:p w14:paraId="4B9A4A11" w14:textId="77777777" w:rsidR="002A3970" w:rsidRDefault="00C35E63">
      <w:hyperlink r:id="rId84" w:anchor="i0522a2f6333e456295d59e779af751cb_7" w:history="1">
        <w:r>
          <w:rPr>
            <w:rStyle w:val="a5"/>
            <w:rFonts w:ascii="Times New Roman" w:eastAsia="宋体" w:hAnsi="Times New Roman"/>
            <w:sz w:val="20"/>
            <w:szCs w:val="20"/>
          </w:rPr>
          <w:t>Table of Contents</w:t>
        </w:r>
      </w:hyperlink>
    </w:p>
    <w:p w14:paraId="4B9A4A12" w14:textId="77777777" w:rsidR="002A3970" w:rsidRDefault="00C35E63">
      <w:pPr>
        <w:spacing w:before="180"/>
      </w:pPr>
      <w:r>
        <w:rPr>
          <w:rFonts w:ascii="Times New Roman" w:eastAsia="宋体" w:hAnsi="Times New Roman"/>
          <w:b/>
          <w:bCs/>
          <w:color w:val="000000"/>
          <w:sz w:val="20"/>
          <w:szCs w:val="20"/>
        </w:rPr>
        <w:t>PART II. OTHER INFORMATION</w:t>
      </w:r>
    </w:p>
    <w:p w14:paraId="4B9A4A13" w14:textId="77777777" w:rsidR="002A3970" w:rsidRDefault="00C35E63">
      <w:pPr>
        <w:spacing w:before="100"/>
      </w:pPr>
      <w:r>
        <w:rPr>
          <w:rFonts w:ascii="Times New Roman" w:eastAsia="宋体" w:hAnsi="Times New Roman"/>
          <w:b/>
          <w:bCs/>
          <w:color w:val="000000"/>
          <w:sz w:val="20"/>
          <w:szCs w:val="20"/>
        </w:rPr>
        <w:t>Item 1. Legal Proceedings</w:t>
      </w:r>
    </w:p>
    <w:p w14:paraId="4B9A4A14" w14:textId="77777777" w:rsidR="002A3970" w:rsidRDefault="00C35E63">
      <w:pPr>
        <w:spacing w:before="100"/>
      </w:pPr>
      <w:r>
        <w:rPr>
          <w:rFonts w:ascii="Times New Roman" w:eastAsia="宋体" w:hAnsi="Times New Roman"/>
          <w:b/>
          <w:bCs/>
          <w:color w:val="000000"/>
          <w:sz w:val="20"/>
          <w:szCs w:val="20"/>
        </w:rPr>
        <w:t xml:space="preserve">I. </w:t>
      </w:r>
      <w:r>
        <w:rPr>
          <w:rFonts w:ascii="Times New Roman" w:eastAsia="宋体" w:hAnsi="Times New Roman"/>
          <w:b/>
          <w:bCs/>
          <w:color w:val="000000"/>
          <w:sz w:val="20"/>
          <w:szCs w:val="20"/>
        </w:rPr>
        <w:t>SUPPLEMENTAL INFORMATION:</w:t>
      </w:r>
      <w:r>
        <w:rPr>
          <w:rFonts w:ascii="Times New Roman" w:eastAsia="宋体" w:hAnsi="Times New Roman"/>
          <w:color w:val="000000"/>
          <w:sz w:val="20"/>
          <w:szCs w:val="20"/>
        </w:rPr>
        <w:t xml:space="preserve"> We discuss certain legal proceedings in Part I of this Quarterly Report on Form 10-Q under the caption "Item 1. Financial Statements," in </w:t>
      </w:r>
      <w:hyperlink r:id="rId85" w:anchor="i0522a2f6333e456295d59e779af751cb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our Condensed Consolidated Financial Statements, which is captioned "Contingencies," under the sub-caption "Legal Proceedings." We refer you to that discussion for important information</w:t>
      </w:r>
      <w:r>
        <w:rPr>
          <w:rFonts w:ascii="Times New Roman" w:eastAsia="宋体" w:hAnsi="Times New Roman"/>
          <w:color w:val="000000"/>
          <w:sz w:val="20"/>
          <w:szCs w:val="20"/>
        </w:rPr>
        <w:t xml:space="preserve"> concerning those legal proceedings, including the basis for such actions and, where known, the relief sought. We provide the following additional information concerning those legal proceedings, including the name of the lawsuit, the court in which the law</w:t>
      </w:r>
      <w:r>
        <w:rPr>
          <w:rFonts w:ascii="Times New Roman" w:eastAsia="宋体" w:hAnsi="Times New Roman"/>
          <w:color w:val="000000"/>
          <w:sz w:val="20"/>
          <w:szCs w:val="20"/>
        </w:rPr>
        <w:t>suit is pending, and the date on which the petition commencing the lawsuit was filed.</w:t>
      </w:r>
    </w:p>
    <w:p w14:paraId="4B9A4A15" w14:textId="77777777" w:rsidR="002A3970" w:rsidRDefault="00C35E63">
      <w:pPr>
        <w:spacing w:before="100"/>
      </w:pPr>
      <w:r>
        <w:rPr>
          <w:rFonts w:ascii="Times New Roman" w:eastAsia="宋体" w:hAnsi="Times New Roman"/>
          <w:b/>
          <w:bCs/>
          <w:color w:val="000000"/>
          <w:sz w:val="20"/>
          <w:szCs w:val="20"/>
        </w:rPr>
        <w:t xml:space="preserve">Prescription Opiate Litigation: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(the "MDL").</w:t>
      </w:r>
      <w:r>
        <w:rPr>
          <w:rFonts w:ascii="Times New Roman" w:eastAsia="宋体" w:hAnsi="Times New Roman"/>
          <w:color w:val="000000"/>
        </w:rPr>
        <w:t xml:space="preserve"> </w:t>
      </w:r>
      <w:r>
        <w:rPr>
          <w:rFonts w:ascii="Times New Roman" w:eastAsia="宋体" w:hAnsi="Times New Roman"/>
          <w:color w:val="000000"/>
          <w:sz w:val="20"/>
          <w:szCs w:val="20"/>
        </w:rPr>
        <w:t>The MDL is pending in the U.S. District Court for the Northern D</w:t>
      </w:r>
      <w:r>
        <w:rPr>
          <w:rFonts w:ascii="Times New Roman" w:eastAsia="宋体" w:hAnsi="Times New Roman"/>
          <w:color w:val="000000"/>
          <w:sz w:val="20"/>
          <w:szCs w:val="20"/>
        </w:rPr>
        <w:t>istrict of Ohio and includes over 2,150 cases as of November 14, 2022. The liability phase of a single, two-county trial in one of the MDL cases against a number of parties, including the Company, regarding opioid dispensing claims resulted in a jury verdi</w:t>
      </w:r>
      <w:r>
        <w:rPr>
          <w:rFonts w:ascii="Times New Roman" w:eastAsia="宋体" w:hAnsi="Times New Roman"/>
          <w:color w:val="000000"/>
          <w:sz w:val="20"/>
          <w:szCs w:val="20"/>
        </w:rPr>
        <w:t>ct on November 23, 2021, finding in favor of the plaintiffs as to the liability of all defendants, including the Company. The abatement phase of the single, two-county trial resulted in a judgment on August 17, 2022, that ordered all three defendants, incl</w:t>
      </w:r>
      <w:r>
        <w:rPr>
          <w:rFonts w:ascii="Times New Roman" w:eastAsia="宋体" w:hAnsi="Times New Roman"/>
          <w:color w:val="000000"/>
          <w:sz w:val="20"/>
          <w:szCs w:val="20"/>
        </w:rPr>
        <w:t>uding the Company, to pay an aggregate amount of approximately $651 million over fifteen years, on a joint and several liability basis, and granted the plaintiffs injunctive relief. The Company has filed an appeal with the Sixth Circuit Court of Appeals as</w:t>
      </w:r>
      <w:r>
        <w:rPr>
          <w:rFonts w:ascii="Times New Roman" w:eastAsia="宋体" w:hAnsi="Times New Roman"/>
          <w:color w:val="000000"/>
          <w:sz w:val="20"/>
          <w:szCs w:val="20"/>
        </w:rPr>
        <w:t xml:space="preserve"> to both liability and abatement. The monetary aspect of the judgment is stayed pending appeal, and the injunctive portion of the judgment has been stayed until December 15, 2022. The MDL has designated five additional single-county cases as bellwethers to</w:t>
      </w:r>
      <w:r>
        <w:rPr>
          <w:rFonts w:ascii="Times New Roman" w:eastAsia="宋体" w:hAnsi="Times New Roman"/>
          <w:color w:val="000000"/>
          <w:sz w:val="20"/>
          <w:szCs w:val="20"/>
        </w:rPr>
        <w:t xml:space="preserve"> proceed through discovery. In addition, there are over 275 other cases as of November 14, 2022, pending in state and federal courts throughout the country. The case citations and currently scheduled trial dates, where applicable, are listed on Exhibit 99.</w:t>
      </w:r>
      <w:r>
        <w:rPr>
          <w:rFonts w:ascii="Times New Roman" w:eastAsia="宋体" w:hAnsi="Times New Roman"/>
          <w:color w:val="000000"/>
          <w:sz w:val="20"/>
          <w:szCs w:val="20"/>
        </w:rPr>
        <w:t>1 to this Quarterly Report on Form 10-Q.</w:t>
      </w:r>
    </w:p>
    <w:p w14:paraId="4B9A4A16" w14:textId="77777777" w:rsidR="002A3970" w:rsidRDefault="00C35E63">
      <w:pPr>
        <w:spacing w:before="100"/>
      </w:pPr>
      <w:r>
        <w:rPr>
          <w:rFonts w:ascii="Times New Roman" w:eastAsia="宋体" w:hAnsi="Times New Roman"/>
          <w:b/>
          <w:bCs/>
          <w:color w:val="000000"/>
          <w:sz w:val="20"/>
          <w:szCs w:val="20"/>
        </w:rPr>
        <w:t>Opioid Settlement Framework:</w:t>
      </w:r>
      <w:r>
        <w:rPr>
          <w:rFonts w:ascii="Times New Roman" w:eastAsia="宋体" w:hAnsi="Times New Roman"/>
          <w:color w:val="000000"/>
        </w:rPr>
        <w:t xml:space="preserve"> </w:t>
      </w:r>
      <w:r>
        <w:rPr>
          <w:rFonts w:ascii="Times New Roman" w:eastAsia="宋体" w:hAnsi="Times New Roman"/>
          <w:color w:val="000000"/>
          <w:sz w:val="20"/>
          <w:szCs w:val="20"/>
        </w:rPr>
        <w:t>On November 15, 2022, the Company announced that it had agreed to a Settlement Framework to resolve substantially all opioids-related lawsuits filed against the Company by states, politi</w:t>
      </w:r>
      <w:r>
        <w:rPr>
          <w:rFonts w:ascii="Times New Roman" w:eastAsia="宋体" w:hAnsi="Times New Roman"/>
          <w:color w:val="000000"/>
          <w:sz w:val="20"/>
          <w:szCs w:val="20"/>
        </w:rPr>
        <w:t xml:space="preserve">cal subdivisions, and Native American tribes (other than the single, two-county trial on appeal to the Sixth Circuit Court of Appeals as described above), as described in more detail in </w:t>
      </w:r>
      <w:hyperlink r:id="rId86" w:anchor="i0522a2f6333e456295d59e779af751cb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the Condensed Consolidated Financial Statements.</w:t>
      </w:r>
    </w:p>
    <w:p w14:paraId="4B9A4A17" w14:textId="77777777" w:rsidR="002A3970" w:rsidRDefault="00C35E63">
      <w:pPr>
        <w:spacing w:before="100"/>
      </w:pPr>
      <w:r>
        <w:rPr>
          <w:rFonts w:ascii="Times New Roman" w:eastAsia="宋体" w:hAnsi="Times New Roman"/>
          <w:b/>
          <w:bCs/>
          <w:color w:val="000000"/>
          <w:sz w:val="20"/>
          <w:szCs w:val="20"/>
        </w:rPr>
        <w:t xml:space="preserve">DOJ Opioid Civil Litigation: </w:t>
      </w:r>
      <w:r>
        <w:rPr>
          <w:rFonts w:ascii="Times New Roman" w:eastAsia="宋体" w:hAnsi="Times New Roman"/>
          <w:color w:val="000000"/>
          <w:sz w:val="20"/>
          <w:szCs w:val="20"/>
        </w:rPr>
        <w:t>A civil complai</w:t>
      </w:r>
      <w:r>
        <w:rPr>
          <w:rFonts w:ascii="Times New Roman" w:eastAsia="宋体" w:hAnsi="Times New Roman"/>
          <w:color w:val="000000"/>
          <w:sz w:val="20"/>
          <w:szCs w:val="20"/>
        </w:rPr>
        <w:t>nt pending in the U.S. District Court for the District of Delaware has been filed by the U.S. Department of Justice (the "DOJ") against the Company, in which the DOJ alleges violations of the Controlled Substances Act (the "CSA") related to nationwide dist</w:t>
      </w:r>
      <w:r>
        <w:rPr>
          <w:rFonts w:ascii="Times New Roman" w:eastAsia="宋体" w:hAnsi="Times New Roman"/>
          <w:color w:val="000000"/>
          <w:sz w:val="20"/>
          <w:szCs w:val="20"/>
        </w:rPr>
        <w:t>ribution and dispensing of opioids.</w:t>
      </w:r>
      <w:r>
        <w:rPr>
          <w:rFonts w:ascii="Times New Roman" w:eastAsia="宋体" w:hAnsi="Times New Roman"/>
          <w:i/>
          <w:iCs/>
          <w:color w:val="000000"/>
          <w:sz w:val="20"/>
          <w:szCs w:val="20"/>
        </w:rPr>
        <w:t xml:space="preserve"> U.S. v. Walmart Inc., et al</w:t>
      </w:r>
      <w:r>
        <w:rPr>
          <w:rFonts w:ascii="Times New Roman" w:eastAsia="宋体" w:hAnsi="Times New Roman"/>
          <w:color w:val="000000"/>
          <w:sz w:val="20"/>
          <w:szCs w:val="20"/>
        </w:rPr>
        <w:t xml:space="preserve">., USDC, Dist. of DE, 12/22/20. The Company filed a motion to dismiss the DOJ complaint on February 22, 2021. After the parties had fully briefed the Company's motion to dismiss, the DOJ filed </w:t>
      </w:r>
      <w:r>
        <w:rPr>
          <w:rFonts w:ascii="Times New Roman" w:eastAsia="宋体" w:hAnsi="Times New Roman"/>
          <w:color w:val="000000"/>
          <w:sz w:val="20"/>
          <w:szCs w:val="20"/>
        </w:rPr>
        <w:t>an amended complaint on October 7, 2022. On November 7, 2022, the Company filed a motion to dismiss the amended complaint.</w:t>
      </w:r>
    </w:p>
    <w:p w14:paraId="4B9A4A18" w14:textId="77777777" w:rsidR="002A3970" w:rsidRDefault="00C35E63">
      <w:pPr>
        <w:spacing w:before="100"/>
      </w:pPr>
      <w:r>
        <w:rPr>
          <w:rFonts w:ascii="Times New Roman" w:eastAsia="宋体" w:hAnsi="Times New Roman"/>
          <w:b/>
          <w:bCs/>
          <w:color w:val="000000"/>
          <w:sz w:val="20"/>
          <w:szCs w:val="20"/>
        </w:rPr>
        <w:t xml:space="preserve">Opioids Related Securities Class Actions and Derivative Litigation: </w:t>
      </w:r>
      <w:r>
        <w:rPr>
          <w:rFonts w:ascii="Times New Roman" w:eastAsia="宋体" w:hAnsi="Times New Roman"/>
          <w:color w:val="000000"/>
          <w:sz w:val="20"/>
          <w:szCs w:val="20"/>
        </w:rPr>
        <w:t>Three derivative complaints and two securities class actions draw</w:t>
      </w:r>
      <w:r>
        <w:rPr>
          <w:rFonts w:ascii="Times New Roman" w:eastAsia="宋体" w:hAnsi="Times New Roman"/>
          <w:color w:val="000000"/>
          <w:sz w:val="20"/>
          <w:szCs w:val="20"/>
        </w:rPr>
        <w:t xml:space="preserve">ing heavily on the allegations of the DOJ complaint have been filed in Delaware naming the Company and various current and former directors and certain current and former officers as defendants. The plaintiffs in the derivative suits (in which the Company </w:t>
      </w:r>
      <w:r>
        <w:rPr>
          <w:rFonts w:ascii="Times New Roman" w:eastAsia="宋体" w:hAnsi="Times New Roman"/>
          <w:color w:val="000000"/>
          <w:sz w:val="20"/>
          <w:szCs w:val="20"/>
        </w:rPr>
        <w:t>is a nominal defendant) allege, among other things, that the defendants breached their fiduciary duties in connection with oversight of opioids dispensing and distribution and that the defendants violated Section 14(a) of the Securities Exchange Act of 193</w:t>
      </w:r>
      <w:r>
        <w:rPr>
          <w:rFonts w:ascii="Times New Roman" w:eastAsia="宋体" w:hAnsi="Times New Roman"/>
          <w:color w:val="000000"/>
          <w:sz w:val="20"/>
          <w:szCs w:val="20"/>
        </w:rPr>
        <w:t>4, as amended (the "Exchange Act"), and are liable for contribution under Section 10(b) of the Exchange Act in connection with the Company's disclosures about opioids. Two of the derivative suits have been filed in the U.S. District Court in Delaware and t</w:t>
      </w:r>
      <w:r>
        <w:rPr>
          <w:rFonts w:ascii="Times New Roman" w:eastAsia="宋体" w:hAnsi="Times New Roman"/>
          <w:color w:val="000000"/>
          <w:sz w:val="20"/>
          <w:szCs w:val="20"/>
        </w:rPr>
        <w:t>hose suits have been stayed pending further developments in other opioids litigation matters. The other derivative suit has been filed in the Chancery Court in Delaware. The securities class actions, alleging violations of Sections 10(b) and 20(a) of the E</w:t>
      </w:r>
      <w:r>
        <w:rPr>
          <w:rFonts w:ascii="Times New Roman" w:eastAsia="宋体" w:hAnsi="Times New Roman"/>
          <w:color w:val="000000"/>
          <w:sz w:val="20"/>
          <w:szCs w:val="20"/>
        </w:rPr>
        <w:t>xchange Act regarding the Company's disclosures with respect to opioids, were purportedly filed on behalf of a class of investors who acquired Walmart stock from March 30, 2016, through December 22, 2020. On May 11, 2021, the U.S. District Court in Delawar</w:t>
      </w:r>
      <w:r>
        <w:rPr>
          <w:rFonts w:ascii="Times New Roman" w:eastAsia="宋体" w:hAnsi="Times New Roman"/>
          <w:color w:val="000000"/>
          <w:sz w:val="20"/>
          <w:szCs w:val="20"/>
        </w:rPr>
        <w:t>e consolidated the class actions and appointed a lead plaintiff and lead counsel. The defendants moved to dismiss the consolidated securities class action on October 8, 2021. On October 14, 2022, plaintiffs filed an amended complaint, which revised the app</w:t>
      </w:r>
      <w:r>
        <w:rPr>
          <w:rFonts w:ascii="Times New Roman" w:eastAsia="宋体" w:hAnsi="Times New Roman"/>
          <w:color w:val="000000"/>
          <w:sz w:val="20"/>
          <w:szCs w:val="20"/>
        </w:rPr>
        <w:t>licable class of investors to those who acquired Walmart stock from March 31, 2017, through December 22, 2020. On November 16, 2022, the Company moved to dismiss the amended complaint. The defendants in the derivative suit pending in Delaware Court of Chan</w:t>
      </w:r>
      <w:r>
        <w:rPr>
          <w:rFonts w:ascii="Times New Roman" w:eastAsia="宋体" w:hAnsi="Times New Roman"/>
          <w:color w:val="000000"/>
          <w:sz w:val="20"/>
          <w:szCs w:val="20"/>
        </w:rPr>
        <w:t xml:space="preserve">cery moved to dismiss and/or to stay that case on December 21, 2021; and the plaintiffs responded by filing an amended complaint on February 22, 2022. On April 27, 2022, the defendants moved to dismiss and/or stay proceedings on the amended complaint. The </w:t>
      </w:r>
      <w:r>
        <w:rPr>
          <w:rFonts w:ascii="Times New Roman" w:eastAsia="宋体" w:hAnsi="Times New Roman"/>
          <w:color w:val="000000"/>
          <w:sz w:val="20"/>
          <w:szCs w:val="20"/>
        </w:rPr>
        <w:t>plaintiffs filed an opposition to the motion on June 1, 2022; the defendants filed their reply brief on June 24, 2022; and the court held a hearing on September 26, 2022. A ruling from the court on the motion to dismiss and/or stay remains pending.</w:t>
      </w:r>
    </w:p>
    <w:p w14:paraId="4B9A4A19" w14:textId="77777777" w:rsidR="002A3970" w:rsidRDefault="00C35E63">
      <w:pPr>
        <w:spacing w:before="100"/>
      </w:pPr>
      <w:r>
        <w:rPr>
          <w:rFonts w:ascii="Times New Roman" w:eastAsia="宋体" w:hAnsi="Times New Roman"/>
          <w:b/>
          <w:bCs/>
          <w:color w:val="000000"/>
          <w:sz w:val="20"/>
          <w:szCs w:val="20"/>
        </w:rPr>
        <w:t>Derivat</w:t>
      </w:r>
      <w:r>
        <w:rPr>
          <w:rFonts w:ascii="Times New Roman" w:eastAsia="宋体" w:hAnsi="Times New Roman"/>
          <w:b/>
          <w:bCs/>
          <w:color w:val="000000"/>
          <w:sz w:val="20"/>
          <w:szCs w:val="20"/>
        </w:rPr>
        <w:t xml:space="preserve">ive Lawsuits: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Nguyen v. McMillon et al.,</w:t>
      </w:r>
      <w:r>
        <w:rPr>
          <w:rFonts w:ascii="Times New Roman" w:eastAsia="宋体" w:hAnsi="Times New Roman"/>
          <w:color w:val="000000"/>
          <w:sz w:val="20"/>
          <w:szCs w:val="20"/>
        </w:rPr>
        <w:t xml:space="preserve"> USDC, Dist. of DE, 4/16/21: </w:t>
      </w:r>
      <w:r>
        <w:rPr>
          <w:rFonts w:ascii="Times New Roman" w:eastAsia="宋体" w:hAnsi="Times New Roman"/>
          <w:i/>
          <w:iCs/>
          <w:color w:val="000000"/>
          <w:sz w:val="20"/>
          <w:szCs w:val="20"/>
        </w:rPr>
        <w:t xml:space="preserve">Ontario Provincial Council of Carpenters' Pension Trust Fund et al. v. Walton et al., </w:t>
      </w:r>
      <w:r>
        <w:rPr>
          <w:rFonts w:ascii="Times New Roman" w:eastAsia="宋体" w:hAnsi="Times New Roman"/>
          <w:color w:val="000000"/>
          <w:sz w:val="20"/>
          <w:szCs w:val="20"/>
        </w:rPr>
        <w:t>DE Court of Chancery, 9/27/21.</w:t>
      </w:r>
    </w:p>
    <w:p w14:paraId="4B9A4A1A" w14:textId="77777777" w:rsidR="002A3970" w:rsidRDefault="00C35E63">
      <w:pPr>
        <w:spacing w:before="100"/>
      </w:pPr>
      <w:r>
        <w:rPr>
          <w:rFonts w:ascii="Times New Roman" w:eastAsia="宋体" w:hAnsi="Times New Roman"/>
          <w:b/>
          <w:bCs/>
          <w:color w:val="000000"/>
          <w:sz w:val="20"/>
          <w:szCs w:val="20"/>
        </w:rPr>
        <w:t>Securities Class Act</w:t>
      </w:r>
      <w:r>
        <w:rPr>
          <w:rFonts w:ascii="Times New Roman" w:eastAsia="宋体" w:hAnsi="Times New Roman"/>
          <w:b/>
          <w:bCs/>
          <w:color w:val="000000"/>
          <w:sz w:val="20"/>
          <w:szCs w:val="20"/>
        </w:rPr>
        <w:t>ions:</w:t>
      </w:r>
      <w:r>
        <w:rPr>
          <w:rFonts w:ascii="Times New Roman" w:eastAsia="宋体" w:hAnsi="Times New Roman"/>
          <w:i/>
          <w:iCs/>
          <w:color w:val="000000"/>
          <w:sz w:val="20"/>
          <w:szCs w:val="20"/>
        </w:rPr>
        <w:t xml:space="preserve"> Stanton v. Walmart Inc.</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et al.</w:t>
      </w:r>
      <w:r>
        <w:rPr>
          <w:rFonts w:ascii="Times New Roman" w:eastAsia="宋体" w:hAnsi="Times New Roman"/>
          <w:color w:val="000000"/>
          <w:sz w:val="20"/>
          <w:szCs w:val="20"/>
        </w:rPr>
        <w:t>, USDC, Dist. of DE, 1/20/21 and</w:t>
      </w:r>
      <w:r>
        <w:rPr>
          <w:rFonts w:ascii="Times New Roman" w:eastAsia="宋体" w:hAnsi="Times New Roman"/>
          <w:i/>
          <w:iCs/>
          <w:color w:val="000000"/>
          <w:sz w:val="20"/>
          <w:szCs w:val="20"/>
        </w:rPr>
        <w:t xml:space="preserve"> Martin v. Walmart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Dist. of DE, 3/5/21, consolidated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5/11/21.</w:t>
      </w:r>
    </w:p>
    <w:p w14:paraId="4B9A4A1B" w14:textId="77777777" w:rsidR="002A3970" w:rsidRDefault="00C35E63">
      <w:pPr>
        <w:jc w:val="center"/>
      </w:pPr>
      <w:r>
        <w:rPr>
          <w:rFonts w:ascii="Times New Roman" w:eastAsia="宋体" w:hAnsi="Times New Roman"/>
          <w:color w:val="000000"/>
          <w:sz w:val="20"/>
          <w:szCs w:val="20"/>
        </w:rPr>
        <w:t>29</w:t>
      </w:r>
    </w:p>
    <w:p w14:paraId="4B9A4A1C" w14:textId="77777777" w:rsidR="002A3970" w:rsidRDefault="00C35E63">
      <w:r>
        <w:pict w14:anchorId="4B9A4C32">
          <v:rect id="_x0000_i1053" style="width:415.3pt;height:1.5pt" o:hralign="center" o:hrstd="t" o:hr="t" fillcolor="#a0a0a0" stroked="f"/>
        </w:pict>
      </w:r>
    </w:p>
    <w:p w14:paraId="4B9A4A1D" w14:textId="77777777" w:rsidR="002A3970" w:rsidRDefault="00C35E63">
      <w:hyperlink r:id="rId87" w:anchor="i0522a2f6333e456295d59e779af751cb_7" w:history="1">
        <w:r>
          <w:rPr>
            <w:rStyle w:val="a5"/>
            <w:rFonts w:ascii="Times New Roman" w:eastAsia="宋体" w:hAnsi="Times New Roman"/>
            <w:sz w:val="20"/>
            <w:szCs w:val="20"/>
          </w:rPr>
          <w:t>Table of Contents</w:t>
        </w:r>
      </w:hyperlink>
    </w:p>
    <w:p w14:paraId="4B9A4A1E" w14:textId="77777777" w:rsidR="002A3970" w:rsidRDefault="00C35E63">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Ms S Brierley &amp; Others v. ASDA Stores Ltd (2406372/2008 &amp; Others – Manchester Employment Tribunal</w:t>
      </w:r>
      <w:r>
        <w:rPr>
          <w:rFonts w:ascii="Times New Roman" w:eastAsia="宋体" w:hAnsi="Times New Roman"/>
          <w:color w:val="000000"/>
          <w:sz w:val="20"/>
          <w:szCs w:val="20"/>
        </w:rPr>
        <w:t>); ASDA Stores Ltd v Brierley &amp; Ors (A2/2016/0973 – United Kingdom Court of Appeal); ASDA Stores Ltd v Ms S Brierley &amp; Others (UKEAT/0059/16/DM – United Kingdom Employment Appeal Tribunal); ASDA Stores Ltd v Ms S Brierley &amp; Others (UKEAT/0009/16/JOJ – Unit</w:t>
      </w:r>
      <w:r>
        <w:rPr>
          <w:rFonts w:ascii="Times New Roman" w:eastAsia="宋体" w:hAnsi="Times New Roman"/>
          <w:color w:val="000000"/>
          <w:sz w:val="20"/>
          <w:szCs w:val="20"/>
        </w:rPr>
        <w:t>ed Kingdom Employment Appeal Tribunal).</w:t>
      </w:r>
    </w:p>
    <w:p w14:paraId="4B9A4A1F" w14:textId="77777777" w:rsidR="002A3970" w:rsidRDefault="00C35E63">
      <w:pPr>
        <w:spacing w:before="100"/>
      </w:pPr>
      <w:r>
        <w:rPr>
          <w:rFonts w:ascii="Times New Roman" w:eastAsia="宋体" w:hAnsi="Times New Roman"/>
          <w:b/>
          <w:bCs/>
          <w:color w:val="000000"/>
          <w:sz w:val="20"/>
          <w:szCs w:val="20"/>
        </w:rPr>
        <w:t>Money Transfer Agent Services Litigation:</w:t>
      </w:r>
      <w:r>
        <w:rPr>
          <w:rFonts w:ascii="Times New Roman" w:eastAsia="宋体" w:hAnsi="Times New Roman"/>
          <w:color w:val="000000"/>
          <w:sz w:val="20"/>
          <w:szCs w:val="20"/>
        </w:rPr>
        <w:t xml:space="preserve"> Federal Trade Commission v. Walmart Inc. (CV-3372), USDC, N. Dist. Of Ill, 6/28/22.</w:t>
      </w:r>
    </w:p>
    <w:p w14:paraId="4B9A4A20" w14:textId="77777777" w:rsidR="002A3970" w:rsidRDefault="00C35E63">
      <w:pPr>
        <w:jc w:val="center"/>
      </w:pPr>
      <w:r>
        <w:rPr>
          <w:rFonts w:ascii="Times New Roman" w:eastAsia="宋体" w:hAnsi="Times New Roman"/>
          <w:color w:val="000000"/>
          <w:sz w:val="20"/>
          <w:szCs w:val="20"/>
        </w:rPr>
        <w:t>30</w:t>
      </w:r>
    </w:p>
    <w:p w14:paraId="4B9A4A21" w14:textId="77777777" w:rsidR="002A3970" w:rsidRDefault="00C35E63">
      <w:r>
        <w:pict w14:anchorId="4B9A4C33">
          <v:rect id="_x0000_i1054" style="width:415.3pt;height:1.5pt" o:hralign="center" o:hrstd="t" o:hr="t" fillcolor="#a0a0a0" stroked="f"/>
        </w:pict>
      </w:r>
    </w:p>
    <w:p w14:paraId="4B9A4A22" w14:textId="77777777" w:rsidR="002A3970" w:rsidRDefault="00C35E63">
      <w:hyperlink r:id="rId88" w:anchor="i0522a2f6333e456295d59e779af751cb_7" w:history="1">
        <w:r>
          <w:rPr>
            <w:rStyle w:val="a5"/>
            <w:rFonts w:ascii="Times New Roman" w:eastAsia="宋体" w:hAnsi="Times New Roman"/>
            <w:sz w:val="20"/>
            <w:szCs w:val="20"/>
          </w:rPr>
          <w:t>Table of Contents</w:t>
        </w:r>
      </w:hyperlink>
    </w:p>
    <w:p w14:paraId="4B9A4A23" w14:textId="77777777" w:rsidR="002A3970" w:rsidRDefault="00C35E63">
      <w:pPr>
        <w:spacing w:before="100"/>
      </w:pPr>
      <w:r>
        <w:rPr>
          <w:rFonts w:ascii="Times New Roman" w:eastAsia="宋体" w:hAnsi="Times New Roman"/>
          <w:b/>
          <w:bCs/>
          <w:color w:val="000000"/>
          <w:sz w:val="20"/>
          <w:szCs w:val="20"/>
        </w:rPr>
        <w:t xml:space="preserve">II. CERTAIN OTHER MATTERS </w:t>
      </w:r>
    </w:p>
    <w:p w14:paraId="4B9A4A24" w14:textId="77777777" w:rsidR="002A3970" w:rsidRDefault="00C35E63">
      <w:r>
        <w:rPr>
          <w:rFonts w:ascii="Times New Roman" w:eastAsia="宋体" w:hAnsi="Times New Roman"/>
          <w:b/>
          <w:bCs/>
          <w:color w:val="000000"/>
          <w:sz w:val="20"/>
          <w:szCs w:val="20"/>
        </w:rPr>
        <w:t>Foreign Direct Investment Matters:</w:t>
      </w:r>
      <w:r>
        <w:rPr>
          <w:rFonts w:ascii="Times New Roman" w:eastAsia="宋体" w:hAnsi="Times New Roman"/>
          <w:color w:val="000000"/>
          <w:sz w:val="20"/>
          <w:szCs w:val="20"/>
        </w:rPr>
        <w:t xml:space="preserve"> In July 2021, the Direct</w:t>
      </w:r>
      <w:r>
        <w:rPr>
          <w:rFonts w:ascii="Times New Roman" w:eastAsia="宋体" w:hAnsi="Times New Roman"/>
          <w:color w:val="000000"/>
          <w:sz w:val="20"/>
          <w:szCs w:val="20"/>
        </w:rPr>
        <w:t>orate of Enforcement in India issued a show cause notice to Flipkart Private Limited and one of its subsidiaries ("Flipkart"), and to unrelated companies and individuals, including certain current and former shareholders and directors of Flipkart. The noti</w:t>
      </w:r>
      <w:r>
        <w:rPr>
          <w:rFonts w:ascii="Times New Roman" w:eastAsia="宋体" w:hAnsi="Times New Roman"/>
          <w:color w:val="000000"/>
          <w:sz w:val="20"/>
          <w:szCs w:val="20"/>
        </w:rPr>
        <w:t>ce requests the recipients to show cause as to why further proceedings under India's Foreign Direct Investment rules and regulations (the "Rules") should not be initiated against them based on alleged violations during the period from 2009 to 2015, prior t</w:t>
      </w:r>
      <w:r>
        <w:rPr>
          <w:rFonts w:ascii="Times New Roman" w:eastAsia="宋体" w:hAnsi="Times New Roman"/>
          <w:color w:val="000000"/>
          <w:sz w:val="20"/>
          <w:szCs w:val="20"/>
        </w:rPr>
        <w:t xml:space="preserve">o the Company's acquisition of a majority stake in Flipkart in 2018. The notice is an initial stage of proceedings under the Rules which could, depending upon the conclusions at the end of the initial stage, lead to a hearing to consider the merits of the </w:t>
      </w:r>
      <w:r>
        <w:rPr>
          <w:rFonts w:ascii="Times New Roman" w:eastAsia="宋体" w:hAnsi="Times New Roman"/>
          <w:color w:val="000000"/>
          <w:sz w:val="20"/>
          <w:szCs w:val="20"/>
        </w:rPr>
        <w:t>allegations described in the notice. If a hearing is initiated and if it is determined that violations of the Rules occurred, the regulatory authority has the authority to impose monetary and/or non-monetary relief. Flipkart has begun the process of respon</w:t>
      </w:r>
      <w:r>
        <w:rPr>
          <w:rFonts w:ascii="Times New Roman" w:eastAsia="宋体" w:hAnsi="Times New Roman"/>
          <w:color w:val="000000"/>
          <w:sz w:val="20"/>
          <w:szCs w:val="20"/>
        </w:rPr>
        <w:t>ding to the notice and, if the matter progresses to a consideration of the merits of the allegations described in the notice is initiated, Flipkart intends to defend against the allegations vigorously. Due to the fact that this process is in an early stage</w:t>
      </w:r>
      <w:r>
        <w:rPr>
          <w:rFonts w:ascii="Times New Roman" w:eastAsia="宋体" w:hAnsi="Times New Roman"/>
          <w:color w:val="000000"/>
          <w:sz w:val="20"/>
          <w:szCs w:val="20"/>
        </w:rPr>
        <w:t xml:space="preserve">, the Company is unable to predict whether the notice will lead to a hearing on the merits or, if it does, the final outcome of the resulting proceedings. While the Company does not currently believe that this matter will have a material adverse effect on </w:t>
      </w:r>
      <w:r>
        <w:rPr>
          <w:rFonts w:ascii="Times New Roman" w:eastAsia="宋体" w:hAnsi="Times New Roman"/>
          <w:color w:val="000000"/>
          <w:sz w:val="20"/>
          <w:szCs w:val="20"/>
        </w:rPr>
        <w:t>its business, financial condition, results of operations or cash flows, the Company can provide no assurance as to the scope or outcome of any proceeding that might result from the notice, the amount of the proceeds the Company may receive in indemnificati</w:t>
      </w:r>
      <w:r>
        <w:rPr>
          <w:rFonts w:ascii="Times New Roman" w:eastAsia="宋体" w:hAnsi="Times New Roman"/>
          <w:color w:val="000000"/>
          <w:sz w:val="20"/>
          <w:szCs w:val="20"/>
        </w:rPr>
        <w:t>on from individuals and entities that sold shares to the Company under the 2018 agreement pursuant to which the Company acquired its majority stake in Flipkart, and can provide no assurance as to whether there will be a material adverse effect to its busin</w:t>
      </w:r>
      <w:r>
        <w:rPr>
          <w:rFonts w:ascii="Times New Roman" w:eastAsia="宋体" w:hAnsi="Times New Roman"/>
          <w:color w:val="000000"/>
          <w:sz w:val="20"/>
          <w:szCs w:val="20"/>
        </w:rPr>
        <w:t>ess or its consolidated financial statements</w:t>
      </w:r>
      <w:r>
        <w:rPr>
          <w:rFonts w:ascii="sans-serif" w:eastAsia="宋体" w:hAnsi="sans-serif" w:cs="sans-serif"/>
          <w:color w:val="000000"/>
          <w:sz w:val="20"/>
          <w:szCs w:val="20"/>
        </w:rPr>
        <w:t>.</w:t>
      </w:r>
    </w:p>
    <w:p w14:paraId="4B9A4A25" w14:textId="77777777" w:rsidR="002A3970" w:rsidRDefault="00C35E63">
      <w:pPr>
        <w:spacing w:before="18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Item 103 of SEC Regulation S-K requires disclosure of certain environmental matters when a governmental authority is a party to the proceedings and such proceedings involve potential</w:t>
      </w:r>
      <w:r>
        <w:rPr>
          <w:rFonts w:ascii="Times New Roman" w:eastAsia="宋体" w:hAnsi="Times New Roman"/>
          <w:color w:val="000000"/>
          <w:sz w:val="20"/>
          <w:szCs w:val="20"/>
        </w:rPr>
        <w:t xml:space="preserve"> monetary sanctions that the Company reasonably believes will exceed an applied threshold not to exceed $1 million. </w:t>
      </w:r>
    </w:p>
    <w:p w14:paraId="4B9A4A26" w14:textId="77777777" w:rsidR="002A3970" w:rsidRDefault="00C35E63">
      <w:pPr>
        <w:spacing w:before="180"/>
      </w:pPr>
      <w:r>
        <w:rPr>
          <w:rFonts w:ascii="Times New Roman" w:eastAsia="宋体" w:hAnsi="Times New Roman"/>
          <w:color w:val="000000"/>
          <w:sz w:val="20"/>
          <w:szCs w:val="20"/>
        </w:rPr>
        <w:t>In December 2021, the Office of the Attorney General of the State of California filed suit against the Company, bringing enforcement claims</w:t>
      </w:r>
      <w:r>
        <w:rPr>
          <w:rFonts w:ascii="Times New Roman" w:eastAsia="宋体" w:hAnsi="Times New Roman"/>
          <w:color w:val="000000"/>
          <w:sz w:val="20"/>
          <w:szCs w:val="20"/>
        </w:rPr>
        <w:t xml:space="preserve"> regarding Walmart's management of waste consumer products at its California facilities that are alleged to be hazardous. The suit was filed in Superior Court of Alameda County, California, Case No. 21CV004367, People v. Walmart Inc., and a trial date has </w:t>
      </w:r>
      <w:r>
        <w:rPr>
          <w:rFonts w:ascii="Times New Roman" w:eastAsia="宋体" w:hAnsi="Times New Roman"/>
          <w:color w:val="000000"/>
          <w:sz w:val="20"/>
          <w:szCs w:val="20"/>
        </w:rPr>
        <w:t>been scheduled for April 22, 2024. The Company believes the suit is without merit and is vigorously defending this litigation matter. While the Company cannot predict the ultimate outcome of this matter, the potential for penalties or settlement costs coul</w:t>
      </w:r>
      <w:r>
        <w:rPr>
          <w:rFonts w:ascii="Times New Roman" w:eastAsia="宋体" w:hAnsi="Times New Roman"/>
          <w:color w:val="000000"/>
          <w:sz w:val="20"/>
          <w:szCs w:val="20"/>
        </w:rPr>
        <w:t>d exceed $1 million. Although the Company does not believe that this matter will have a material adverse effect on its business, financial position, results of operations, or cash flows, the Company can provide no assurance as to the scope and outcome of t</w:t>
      </w:r>
      <w:r>
        <w:rPr>
          <w:rFonts w:ascii="Times New Roman" w:eastAsia="宋体" w:hAnsi="Times New Roman"/>
          <w:color w:val="000000"/>
          <w:sz w:val="20"/>
          <w:szCs w:val="20"/>
        </w:rPr>
        <w:t>hese matters and no assurance as to whether there will be a material adverse effect to its business or its consolidated financial statements.</w:t>
      </w:r>
    </w:p>
    <w:p w14:paraId="4B9A4A27" w14:textId="77777777" w:rsidR="002A3970" w:rsidRDefault="00C35E63">
      <w:pPr>
        <w:jc w:val="center"/>
      </w:pPr>
      <w:r>
        <w:rPr>
          <w:rFonts w:ascii="Times New Roman" w:eastAsia="宋体" w:hAnsi="Times New Roman"/>
          <w:color w:val="000000"/>
          <w:sz w:val="20"/>
          <w:szCs w:val="20"/>
        </w:rPr>
        <w:t>31</w:t>
      </w:r>
    </w:p>
    <w:p w14:paraId="4B9A4A28" w14:textId="77777777" w:rsidR="002A3970" w:rsidRDefault="00C35E63">
      <w:r>
        <w:pict w14:anchorId="4B9A4C34">
          <v:rect id="_x0000_i1055" style="width:415.3pt;height:1.5pt" o:hralign="center" o:hrstd="t" o:hr="t" fillcolor="#a0a0a0" stroked="f"/>
        </w:pict>
      </w:r>
    </w:p>
    <w:p w14:paraId="4B9A4A29" w14:textId="77777777" w:rsidR="002A3970" w:rsidRDefault="00C35E63">
      <w:hyperlink r:id="rId89" w:anchor="i0522a2f6333e456295d59e779af751cb_7" w:history="1">
        <w:r>
          <w:rPr>
            <w:rStyle w:val="a5"/>
            <w:rFonts w:ascii="Times New Roman" w:eastAsia="宋体" w:hAnsi="Times New Roman"/>
            <w:sz w:val="20"/>
            <w:szCs w:val="20"/>
          </w:rPr>
          <w:t>Table of Contents</w:t>
        </w:r>
      </w:hyperlink>
    </w:p>
    <w:p w14:paraId="4B9A4A2A" w14:textId="77777777" w:rsidR="002A3970" w:rsidRDefault="00C35E63">
      <w:pPr>
        <w:spacing w:before="180" w:after="180"/>
      </w:pPr>
      <w:r>
        <w:rPr>
          <w:rFonts w:ascii="Times New Roman" w:eastAsia="宋体" w:hAnsi="Times New Roman"/>
          <w:b/>
          <w:bCs/>
          <w:color w:val="000000"/>
          <w:sz w:val="20"/>
          <w:szCs w:val="20"/>
        </w:rPr>
        <w:t>Item 1A. Risk Factors</w:t>
      </w:r>
    </w:p>
    <w:p w14:paraId="4B9A4A2B" w14:textId="77777777" w:rsidR="002A3970" w:rsidRDefault="00C35E63">
      <w:r>
        <w:rPr>
          <w:rFonts w:ascii="Times New Roman" w:eastAsia="宋体" w:hAnsi="Times New Roman"/>
          <w:color w:val="000000"/>
          <w:sz w:val="20"/>
          <w:szCs w:val="20"/>
        </w:rPr>
        <w:t>In addition to the other information set forth in this report, you should carefully consider the risk factors disclosed in Part I, Item 1A, under the caption "Risk Factors,"</w:t>
      </w:r>
      <w:r>
        <w:rPr>
          <w:rFonts w:ascii="Times New Roman" w:eastAsia="宋体" w:hAnsi="Times New Roman"/>
          <w:color w:val="000000"/>
          <w:sz w:val="20"/>
          <w:szCs w:val="20"/>
        </w:rPr>
        <w:t xml:space="preserve"> of our Annual Report on Form 10-K for the fiscal year ended January 31, 2022, which risks could materially and adversely affect our business, results of operations, financial condition, and liquidity. No material change in the risk factors discussed in su</w:t>
      </w:r>
      <w:r>
        <w:rPr>
          <w:rFonts w:ascii="Times New Roman" w:eastAsia="宋体" w:hAnsi="Times New Roman"/>
          <w:color w:val="000000"/>
          <w:sz w:val="20"/>
          <w:szCs w:val="20"/>
        </w:rPr>
        <w:t>ch Form 10-K has occurred. Such risk factors do not identify all risks that we face because our business operations could also be affected by additional factors that are not presently known to us or that we currently consider to be immaterial to our operat</w:t>
      </w:r>
      <w:r>
        <w:rPr>
          <w:rFonts w:ascii="Times New Roman" w:eastAsia="宋体" w:hAnsi="Times New Roman"/>
          <w:color w:val="000000"/>
          <w:sz w:val="20"/>
          <w:szCs w:val="20"/>
        </w:rPr>
        <w:t>ions. Our business operations could also be affected by additional factors that apply to all companies operating in the U.S. and globally. </w:t>
      </w:r>
    </w:p>
    <w:p w14:paraId="4B9A4A2C" w14:textId="77777777" w:rsidR="002A3970" w:rsidRDefault="00C35E63">
      <w:pPr>
        <w:spacing w:before="240"/>
      </w:pPr>
      <w:r>
        <w:rPr>
          <w:rFonts w:ascii="Times New Roman" w:eastAsia="宋体" w:hAnsi="Times New Roman"/>
          <w:b/>
          <w:bCs/>
          <w:color w:val="000000"/>
          <w:sz w:val="20"/>
          <w:szCs w:val="20"/>
        </w:rPr>
        <w:t>Item 2. Unregistered Sales of Equity Securities and Use of Proceeds</w:t>
      </w:r>
    </w:p>
    <w:p w14:paraId="4B9A4A2D" w14:textId="77777777" w:rsidR="002A3970" w:rsidRDefault="00C35E63">
      <w:pPr>
        <w:spacing w:before="100"/>
      </w:pPr>
      <w:r>
        <w:rPr>
          <w:rFonts w:ascii="Times New Roman" w:eastAsia="宋体" w:hAnsi="Times New Roman"/>
          <w:color w:val="000000"/>
          <w:sz w:val="20"/>
          <w:szCs w:val="20"/>
        </w:rPr>
        <w:t xml:space="preserve">From time to time, the Company repurchases shares of its common stock under share repurchase programs authorized by the Company's Board of Directors. Any repurchased shares are constructively retired and returned to an unissued status. </w:t>
      </w:r>
      <w:r>
        <w:rPr>
          <w:rFonts w:ascii="Times New Roman" w:eastAsia="宋体" w:hAnsi="Times New Roman"/>
          <w:color w:val="000000"/>
          <w:sz w:val="20"/>
          <w:szCs w:val="20"/>
          <w:shd w:val="clear" w:color="auto" w:fill="FFFFFF"/>
        </w:rPr>
        <w:t>As of October 31, 20</w:t>
      </w:r>
      <w:r>
        <w:rPr>
          <w:rFonts w:ascii="Times New Roman" w:eastAsia="宋体" w:hAnsi="Times New Roman"/>
          <w:color w:val="000000"/>
          <w:sz w:val="20"/>
          <w:szCs w:val="20"/>
          <w:shd w:val="clear" w:color="auto" w:fill="FFFFFF"/>
        </w:rPr>
        <w:t>22, authorization for $1.9 billion of share repurchases remained under the existing share repurchase program.</w:t>
      </w:r>
      <w:r>
        <w:rPr>
          <w:rFonts w:ascii="Times New Roman" w:eastAsia="宋体" w:hAnsi="Times New Roman"/>
          <w:color w:val="000000"/>
          <w:sz w:val="20"/>
          <w:szCs w:val="20"/>
        </w:rPr>
        <w:t xml:space="preserve"> On November 14, 2022, the Company approved a new $20.0 billion share repurchase program, which has no expiration date or other restrictions limiting the period over which the Company can make repurchases. Beginning November 21, 2022, the new share repurch</w:t>
      </w:r>
      <w:r>
        <w:rPr>
          <w:rFonts w:ascii="Times New Roman" w:eastAsia="宋体" w:hAnsi="Times New Roman"/>
          <w:color w:val="000000"/>
          <w:sz w:val="20"/>
          <w:szCs w:val="20"/>
        </w:rPr>
        <w:t xml:space="preserve">ase program replaced </w:t>
      </w:r>
      <w:r>
        <w:rPr>
          <w:rFonts w:ascii="Times New Roman" w:eastAsia="宋体" w:hAnsi="Times New Roman"/>
          <w:color w:val="000000"/>
          <w:sz w:val="20"/>
          <w:szCs w:val="20"/>
          <w:shd w:val="clear" w:color="auto" w:fill="FFFFFF"/>
        </w:rPr>
        <w:t>the existing share repurchase program, which had remaining authorization of $1.4 billion for share repurchases.</w:t>
      </w:r>
      <w:r>
        <w:rPr>
          <w:rFonts w:ascii="Times New Roman" w:eastAsia="宋体" w:hAnsi="Times New Roman"/>
          <w:color w:val="000000"/>
          <w:sz w:val="20"/>
          <w:szCs w:val="20"/>
        </w:rPr>
        <w:t xml:space="preserve"> </w:t>
      </w:r>
    </w:p>
    <w:p w14:paraId="4B9A4A2E" w14:textId="77777777" w:rsidR="002A3970" w:rsidRDefault="00C35E63">
      <w:pPr>
        <w:spacing w:before="100"/>
      </w:pPr>
      <w:r>
        <w:rPr>
          <w:rFonts w:ascii="Times New Roman" w:eastAsia="宋体" w:hAnsi="Times New Roman"/>
          <w:color w:val="000000"/>
          <w:sz w:val="20"/>
          <w:szCs w:val="20"/>
        </w:rPr>
        <w:t>The Company regularly reviews its share repurchase activity and considers several factors in determining when to execute s</w:t>
      </w:r>
      <w:r>
        <w:rPr>
          <w:rFonts w:ascii="Times New Roman" w:eastAsia="宋体" w:hAnsi="Times New Roman"/>
          <w:color w:val="000000"/>
          <w:sz w:val="20"/>
          <w:szCs w:val="20"/>
        </w:rPr>
        <w:t>hare repurchases, including, among other things, current cash needs, capacity for leverage, cost of borrowings and the market price of its common stock. Share repurchase activity under our share repurchase program, on a trade date basis, for the three mont</w:t>
      </w:r>
      <w:r>
        <w:rPr>
          <w:rFonts w:ascii="Times New Roman" w:eastAsia="宋体" w:hAnsi="Times New Roman"/>
          <w:color w:val="000000"/>
          <w:sz w:val="20"/>
          <w:szCs w:val="20"/>
        </w:rPr>
        <w:t>hs ended October 31, 2022,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7"/>
        <w:gridCol w:w="36"/>
        <w:gridCol w:w="36"/>
        <w:gridCol w:w="36"/>
        <w:gridCol w:w="58"/>
        <w:gridCol w:w="975"/>
        <w:gridCol w:w="36"/>
        <w:gridCol w:w="36"/>
        <w:gridCol w:w="36"/>
        <w:gridCol w:w="36"/>
        <w:gridCol w:w="101"/>
        <w:gridCol w:w="789"/>
        <w:gridCol w:w="36"/>
        <w:gridCol w:w="36"/>
        <w:gridCol w:w="36"/>
        <w:gridCol w:w="36"/>
        <w:gridCol w:w="48"/>
        <w:gridCol w:w="1277"/>
        <w:gridCol w:w="36"/>
        <w:gridCol w:w="36"/>
        <w:gridCol w:w="36"/>
        <w:gridCol w:w="36"/>
        <w:gridCol w:w="101"/>
        <w:gridCol w:w="1278"/>
        <w:gridCol w:w="36"/>
      </w:tblGrid>
      <w:tr w:rsidR="002A3970" w14:paraId="4B9A4A4A" w14:textId="77777777">
        <w:tc>
          <w:tcPr>
            <w:tcW w:w="50" w:type="pct"/>
            <w:shd w:val="clear" w:color="auto" w:fill="auto"/>
            <w:vAlign w:val="bottom"/>
          </w:tcPr>
          <w:p w14:paraId="4B9A4A2F" w14:textId="77777777" w:rsidR="002A3970" w:rsidRDefault="002A3970">
            <w:pPr>
              <w:rPr>
                <w:rFonts w:ascii="宋体"/>
              </w:rPr>
            </w:pPr>
          </w:p>
        </w:tc>
        <w:tc>
          <w:tcPr>
            <w:tcW w:w="1831" w:type="pct"/>
            <w:shd w:val="clear" w:color="auto" w:fill="auto"/>
            <w:vAlign w:val="bottom"/>
          </w:tcPr>
          <w:p w14:paraId="4B9A4A30" w14:textId="77777777" w:rsidR="002A3970" w:rsidRDefault="002A3970">
            <w:pPr>
              <w:rPr>
                <w:rFonts w:ascii="宋体"/>
              </w:rPr>
            </w:pPr>
          </w:p>
        </w:tc>
        <w:tc>
          <w:tcPr>
            <w:tcW w:w="5" w:type="pct"/>
            <w:shd w:val="clear" w:color="auto" w:fill="auto"/>
            <w:vAlign w:val="bottom"/>
          </w:tcPr>
          <w:p w14:paraId="4B9A4A31" w14:textId="77777777" w:rsidR="002A3970" w:rsidRDefault="002A3970">
            <w:pPr>
              <w:rPr>
                <w:rFonts w:ascii="宋体"/>
              </w:rPr>
            </w:pPr>
          </w:p>
        </w:tc>
        <w:tc>
          <w:tcPr>
            <w:tcW w:w="5" w:type="pct"/>
            <w:shd w:val="clear" w:color="auto" w:fill="auto"/>
            <w:vAlign w:val="bottom"/>
          </w:tcPr>
          <w:p w14:paraId="4B9A4A32" w14:textId="77777777" w:rsidR="002A3970" w:rsidRDefault="002A3970">
            <w:pPr>
              <w:rPr>
                <w:rFonts w:ascii="宋体"/>
              </w:rPr>
            </w:pPr>
          </w:p>
        </w:tc>
        <w:tc>
          <w:tcPr>
            <w:tcW w:w="26" w:type="pct"/>
            <w:shd w:val="clear" w:color="auto" w:fill="auto"/>
            <w:vAlign w:val="bottom"/>
          </w:tcPr>
          <w:p w14:paraId="4B9A4A33" w14:textId="77777777" w:rsidR="002A3970" w:rsidRDefault="002A3970">
            <w:pPr>
              <w:rPr>
                <w:rFonts w:ascii="宋体"/>
              </w:rPr>
            </w:pPr>
          </w:p>
        </w:tc>
        <w:tc>
          <w:tcPr>
            <w:tcW w:w="5" w:type="pct"/>
            <w:shd w:val="clear" w:color="auto" w:fill="auto"/>
            <w:vAlign w:val="bottom"/>
          </w:tcPr>
          <w:p w14:paraId="4B9A4A34" w14:textId="77777777" w:rsidR="002A3970" w:rsidRDefault="002A3970">
            <w:pPr>
              <w:rPr>
                <w:rFonts w:ascii="宋体"/>
              </w:rPr>
            </w:pPr>
          </w:p>
        </w:tc>
        <w:tc>
          <w:tcPr>
            <w:tcW w:w="50" w:type="pct"/>
            <w:shd w:val="clear" w:color="auto" w:fill="auto"/>
            <w:vAlign w:val="bottom"/>
          </w:tcPr>
          <w:p w14:paraId="4B9A4A35" w14:textId="77777777" w:rsidR="002A3970" w:rsidRDefault="002A3970">
            <w:pPr>
              <w:rPr>
                <w:rFonts w:ascii="宋体"/>
              </w:rPr>
            </w:pPr>
          </w:p>
        </w:tc>
        <w:tc>
          <w:tcPr>
            <w:tcW w:w="627" w:type="pct"/>
            <w:shd w:val="clear" w:color="auto" w:fill="auto"/>
            <w:vAlign w:val="bottom"/>
          </w:tcPr>
          <w:p w14:paraId="4B9A4A36" w14:textId="77777777" w:rsidR="002A3970" w:rsidRDefault="002A3970">
            <w:pPr>
              <w:rPr>
                <w:rFonts w:ascii="宋体"/>
              </w:rPr>
            </w:pPr>
          </w:p>
        </w:tc>
        <w:tc>
          <w:tcPr>
            <w:tcW w:w="5" w:type="pct"/>
            <w:shd w:val="clear" w:color="auto" w:fill="auto"/>
            <w:vAlign w:val="bottom"/>
          </w:tcPr>
          <w:p w14:paraId="4B9A4A37" w14:textId="77777777" w:rsidR="002A3970" w:rsidRDefault="002A3970">
            <w:pPr>
              <w:rPr>
                <w:rFonts w:ascii="宋体"/>
              </w:rPr>
            </w:pPr>
          </w:p>
        </w:tc>
        <w:tc>
          <w:tcPr>
            <w:tcW w:w="5" w:type="pct"/>
            <w:shd w:val="clear" w:color="auto" w:fill="auto"/>
            <w:vAlign w:val="bottom"/>
          </w:tcPr>
          <w:p w14:paraId="4B9A4A38" w14:textId="77777777" w:rsidR="002A3970" w:rsidRDefault="002A3970">
            <w:pPr>
              <w:rPr>
                <w:rFonts w:ascii="宋体"/>
              </w:rPr>
            </w:pPr>
          </w:p>
        </w:tc>
        <w:tc>
          <w:tcPr>
            <w:tcW w:w="26" w:type="pct"/>
            <w:shd w:val="clear" w:color="auto" w:fill="auto"/>
            <w:vAlign w:val="bottom"/>
          </w:tcPr>
          <w:p w14:paraId="4B9A4A39" w14:textId="77777777" w:rsidR="002A3970" w:rsidRDefault="002A3970">
            <w:pPr>
              <w:rPr>
                <w:rFonts w:ascii="宋体"/>
              </w:rPr>
            </w:pPr>
          </w:p>
        </w:tc>
        <w:tc>
          <w:tcPr>
            <w:tcW w:w="5" w:type="pct"/>
            <w:shd w:val="clear" w:color="auto" w:fill="auto"/>
            <w:vAlign w:val="bottom"/>
          </w:tcPr>
          <w:p w14:paraId="4B9A4A3A" w14:textId="77777777" w:rsidR="002A3970" w:rsidRDefault="002A3970">
            <w:pPr>
              <w:rPr>
                <w:rFonts w:ascii="宋体"/>
              </w:rPr>
            </w:pPr>
          </w:p>
        </w:tc>
        <w:tc>
          <w:tcPr>
            <w:tcW w:w="50" w:type="pct"/>
            <w:shd w:val="clear" w:color="auto" w:fill="auto"/>
            <w:vAlign w:val="bottom"/>
          </w:tcPr>
          <w:p w14:paraId="4B9A4A3B" w14:textId="77777777" w:rsidR="002A3970" w:rsidRDefault="002A3970">
            <w:pPr>
              <w:rPr>
                <w:rFonts w:ascii="宋体"/>
              </w:rPr>
            </w:pPr>
          </w:p>
        </w:tc>
        <w:tc>
          <w:tcPr>
            <w:tcW w:w="510" w:type="pct"/>
            <w:shd w:val="clear" w:color="auto" w:fill="auto"/>
            <w:vAlign w:val="bottom"/>
          </w:tcPr>
          <w:p w14:paraId="4B9A4A3C" w14:textId="77777777" w:rsidR="002A3970" w:rsidRDefault="002A3970">
            <w:pPr>
              <w:rPr>
                <w:rFonts w:ascii="宋体"/>
              </w:rPr>
            </w:pPr>
          </w:p>
        </w:tc>
        <w:tc>
          <w:tcPr>
            <w:tcW w:w="5" w:type="pct"/>
            <w:shd w:val="clear" w:color="auto" w:fill="auto"/>
            <w:vAlign w:val="bottom"/>
          </w:tcPr>
          <w:p w14:paraId="4B9A4A3D" w14:textId="77777777" w:rsidR="002A3970" w:rsidRDefault="002A3970">
            <w:pPr>
              <w:rPr>
                <w:rFonts w:ascii="宋体"/>
              </w:rPr>
            </w:pPr>
          </w:p>
        </w:tc>
        <w:tc>
          <w:tcPr>
            <w:tcW w:w="5" w:type="pct"/>
            <w:shd w:val="clear" w:color="auto" w:fill="auto"/>
            <w:vAlign w:val="bottom"/>
          </w:tcPr>
          <w:p w14:paraId="4B9A4A3E" w14:textId="77777777" w:rsidR="002A3970" w:rsidRDefault="002A3970">
            <w:pPr>
              <w:rPr>
                <w:rFonts w:ascii="宋体"/>
              </w:rPr>
            </w:pPr>
          </w:p>
        </w:tc>
        <w:tc>
          <w:tcPr>
            <w:tcW w:w="26" w:type="pct"/>
            <w:shd w:val="clear" w:color="auto" w:fill="auto"/>
            <w:vAlign w:val="bottom"/>
          </w:tcPr>
          <w:p w14:paraId="4B9A4A3F" w14:textId="77777777" w:rsidR="002A3970" w:rsidRDefault="002A3970">
            <w:pPr>
              <w:rPr>
                <w:rFonts w:ascii="宋体"/>
              </w:rPr>
            </w:pPr>
          </w:p>
        </w:tc>
        <w:tc>
          <w:tcPr>
            <w:tcW w:w="5" w:type="pct"/>
            <w:shd w:val="clear" w:color="auto" w:fill="auto"/>
            <w:vAlign w:val="bottom"/>
          </w:tcPr>
          <w:p w14:paraId="4B9A4A40" w14:textId="77777777" w:rsidR="002A3970" w:rsidRDefault="002A3970">
            <w:pPr>
              <w:rPr>
                <w:rFonts w:ascii="宋体"/>
              </w:rPr>
            </w:pPr>
          </w:p>
        </w:tc>
        <w:tc>
          <w:tcPr>
            <w:tcW w:w="50" w:type="pct"/>
            <w:shd w:val="clear" w:color="auto" w:fill="auto"/>
            <w:vAlign w:val="bottom"/>
          </w:tcPr>
          <w:p w14:paraId="4B9A4A41" w14:textId="77777777" w:rsidR="002A3970" w:rsidRDefault="002A3970">
            <w:pPr>
              <w:rPr>
                <w:rFonts w:ascii="宋体"/>
              </w:rPr>
            </w:pPr>
          </w:p>
        </w:tc>
        <w:tc>
          <w:tcPr>
            <w:tcW w:w="803" w:type="pct"/>
            <w:shd w:val="clear" w:color="auto" w:fill="auto"/>
            <w:vAlign w:val="bottom"/>
          </w:tcPr>
          <w:p w14:paraId="4B9A4A42" w14:textId="77777777" w:rsidR="002A3970" w:rsidRDefault="002A3970">
            <w:pPr>
              <w:rPr>
                <w:rFonts w:ascii="宋体"/>
              </w:rPr>
            </w:pPr>
          </w:p>
        </w:tc>
        <w:tc>
          <w:tcPr>
            <w:tcW w:w="5" w:type="pct"/>
            <w:shd w:val="clear" w:color="auto" w:fill="auto"/>
            <w:vAlign w:val="bottom"/>
          </w:tcPr>
          <w:p w14:paraId="4B9A4A43" w14:textId="77777777" w:rsidR="002A3970" w:rsidRDefault="002A3970">
            <w:pPr>
              <w:rPr>
                <w:rFonts w:ascii="宋体"/>
              </w:rPr>
            </w:pPr>
          </w:p>
        </w:tc>
        <w:tc>
          <w:tcPr>
            <w:tcW w:w="5" w:type="pct"/>
            <w:shd w:val="clear" w:color="auto" w:fill="auto"/>
            <w:vAlign w:val="bottom"/>
          </w:tcPr>
          <w:p w14:paraId="4B9A4A44" w14:textId="77777777" w:rsidR="002A3970" w:rsidRDefault="002A3970">
            <w:pPr>
              <w:rPr>
                <w:rFonts w:ascii="宋体"/>
              </w:rPr>
            </w:pPr>
          </w:p>
        </w:tc>
        <w:tc>
          <w:tcPr>
            <w:tcW w:w="26" w:type="pct"/>
            <w:shd w:val="clear" w:color="auto" w:fill="auto"/>
            <w:vAlign w:val="bottom"/>
          </w:tcPr>
          <w:p w14:paraId="4B9A4A45" w14:textId="77777777" w:rsidR="002A3970" w:rsidRDefault="002A3970">
            <w:pPr>
              <w:rPr>
                <w:rFonts w:ascii="宋体"/>
              </w:rPr>
            </w:pPr>
          </w:p>
        </w:tc>
        <w:tc>
          <w:tcPr>
            <w:tcW w:w="5" w:type="pct"/>
            <w:shd w:val="clear" w:color="auto" w:fill="auto"/>
            <w:vAlign w:val="bottom"/>
          </w:tcPr>
          <w:p w14:paraId="4B9A4A46" w14:textId="77777777" w:rsidR="002A3970" w:rsidRDefault="002A3970">
            <w:pPr>
              <w:rPr>
                <w:rFonts w:ascii="宋体"/>
              </w:rPr>
            </w:pPr>
          </w:p>
        </w:tc>
        <w:tc>
          <w:tcPr>
            <w:tcW w:w="50" w:type="pct"/>
            <w:shd w:val="clear" w:color="auto" w:fill="auto"/>
            <w:vAlign w:val="bottom"/>
          </w:tcPr>
          <w:p w14:paraId="4B9A4A47" w14:textId="77777777" w:rsidR="002A3970" w:rsidRDefault="002A3970">
            <w:pPr>
              <w:rPr>
                <w:rFonts w:ascii="宋体"/>
              </w:rPr>
            </w:pPr>
          </w:p>
        </w:tc>
        <w:tc>
          <w:tcPr>
            <w:tcW w:w="804" w:type="pct"/>
            <w:shd w:val="clear" w:color="auto" w:fill="auto"/>
            <w:vAlign w:val="bottom"/>
          </w:tcPr>
          <w:p w14:paraId="4B9A4A48" w14:textId="77777777" w:rsidR="002A3970" w:rsidRDefault="002A3970">
            <w:pPr>
              <w:rPr>
                <w:rFonts w:ascii="宋体"/>
              </w:rPr>
            </w:pPr>
          </w:p>
        </w:tc>
        <w:tc>
          <w:tcPr>
            <w:tcW w:w="5" w:type="pct"/>
            <w:shd w:val="clear" w:color="auto" w:fill="auto"/>
            <w:vAlign w:val="bottom"/>
          </w:tcPr>
          <w:p w14:paraId="4B9A4A49" w14:textId="77777777" w:rsidR="002A3970" w:rsidRDefault="002A3970">
            <w:pPr>
              <w:rPr>
                <w:rFonts w:ascii="宋体"/>
              </w:rPr>
            </w:pPr>
          </w:p>
        </w:tc>
      </w:tr>
      <w:tr w:rsidR="002A3970" w14:paraId="4B9A4A59" w14:textId="77777777">
        <w:tc>
          <w:tcPr>
            <w:tcW w:w="0" w:type="auto"/>
            <w:gridSpan w:val="3"/>
            <w:shd w:val="clear" w:color="auto" w:fill="auto"/>
            <w:tcMar>
              <w:top w:w="40" w:type="dxa"/>
              <w:left w:w="20" w:type="dxa"/>
              <w:bottom w:w="40" w:type="dxa"/>
              <w:right w:w="20" w:type="dxa"/>
            </w:tcMar>
            <w:vAlign w:val="bottom"/>
          </w:tcPr>
          <w:p w14:paraId="4B9A4A4B" w14:textId="77777777" w:rsidR="002A3970" w:rsidRDefault="00C35E63">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vAlign w:val="bottom"/>
          </w:tcPr>
          <w:p w14:paraId="4B9A4A4C"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A4D" w14:textId="77777777" w:rsidR="002A3970" w:rsidRDefault="00C35E63">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4B9A4A4E"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A4F" w14:textId="77777777" w:rsidR="002A3970" w:rsidRDefault="00C35E63">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vAlign w:val="bottom"/>
          </w:tcPr>
          <w:p w14:paraId="4B9A4A5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A51" w14:textId="77777777" w:rsidR="002A3970" w:rsidRDefault="00C35E63">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4B9A4A52"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A53" w14:textId="77777777" w:rsidR="002A3970" w:rsidRDefault="00C35E63">
            <w:pPr>
              <w:jc w:val="center"/>
              <w:textAlignment w:val="bottom"/>
            </w:pPr>
            <w:r>
              <w:rPr>
                <w:rFonts w:ascii="Times New Roman" w:eastAsia="宋体" w:hAnsi="Times New Roman"/>
                <w:b/>
                <w:bCs/>
                <w:color w:val="000000"/>
                <w:sz w:val="16"/>
                <w:szCs w:val="16"/>
              </w:rPr>
              <w:t>Approximate Dollar </w:t>
            </w:r>
          </w:p>
          <w:p w14:paraId="4B9A4A54" w14:textId="77777777" w:rsidR="002A3970" w:rsidRDefault="00C35E63">
            <w:pPr>
              <w:jc w:val="center"/>
              <w:textAlignment w:val="bottom"/>
            </w:pPr>
            <w:r>
              <w:rPr>
                <w:rFonts w:ascii="Times New Roman" w:eastAsia="宋体" w:hAnsi="Times New Roman"/>
                <w:b/>
                <w:bCs/>
                <w:color w:val="000000"/>
                <w:sz w:val="16"/>
                <w:szCs w:val="16"/>
              </w:rPr>
              <w:t>Value of Shares that</w:t>
            </w:r>
          </w:p>
          <w:p w14:paraId="4B9A4A55" w14:textId="77777777" w:rsidR="002A3970" w:rsidRDefault="00C35E63">
            <w:pPr>
              <w:jc w:val="center"/>
              <w:textAlignment w:val="bottom"/>
            </w:pPr>
            <w:r>
              <w:rPr>
                <w:rFonts w:ascii="Times New Roman" w:eastAsia="宋体" w:hAnsi="Times New Roman"/>
                <w:b/>
                <w:bCs/>
                <w:color w:val="000000"/>
                <w:sz w:val="16"/>
                <w:szCs w:val="16"/>
              </w:rPr>
              <w:t>May</w:t>
            </w:r>
            <w:r>
              <w:rPr>
                <w:rFonts w:ascii="Times New Roman" w:eastAsia="宋体" w:hAnsi="Times New Roman"/>
                <w:b/>
                <w:bCs/>
                <w:color w:val="000000"/>
                <w:sz w:val="16"/>
                <w:szCs w:val="16"/>
              </w:rPr>
              <w:t> Yet Be</w:t>
            </w:r>
          </w:p>
          <w:p w14:paraId="4B9A4A56" w14:textId="77777777" w:rsidR="002A3970" w:rsidRDefault="00C35E63">
            <w:pPr>
              <w:jc w:val="center"/>
              <w:textAlignment w:val="bottom"/>
            </w:pPr>
            <w:r>
              <w:rPr>
                <w:rFonts w:ascii="Times New Roman" w:eastAsia="宋体" w:hAnsi="Times New Roman"/>
                <w:b/>
                <w:bCs/>
                <w:color w:val="000000"/>
                <w:sz w:val="16"/>
                <w:szCs w:val="16"/>
              </w:rPr>
              <w:t>Purchased Under the</w:t>
            </w:r>
          </w:p>
          <w:p w14:paraId="4B9A4A57" w14:textId="77777777" w:rsidR="002A3970" w:rsidRDefault="00C35E63">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4B9A4A58" w14:textId="77777777" w:rsidR="002A3970" w:rsidRDefault="00C35E63">
            <w:pPr>
              <w:jc w:val="center"/>
              <w:textAlignment w:val="bottom"/>
            </w:pPr>
            <w:r>
              <w:rPr>
                <w:rFonts w:ascii="Times New Roman" w:eastAsia="宋体" w:hAnsi="Times New Roman"/>
                <w:b/>
                <w:bCs/>
                <w:color w:val="000000"/>
                <w:sz w:val="16"/>
                <w:szCs w:val="16"/>
              </w:rPr>
              <w:t>(billions)</w:t>
            </w:r>
          </w:p>
        </w:tc>
      </w:tr>
      <w:tr w:rsidR="002A3970" w14:paraId="4B9A4A69"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B9A4A5A" w14:textId="77777777" w:rsidR="002A3970" w:rsidRDefault="00C35E63">
            <w:pPr>
              <w:textAlignment w:val="center"/>
            </w:pPr>
            <w:r>
              <w:rPr>
                <w:rFonts w:ascii="Times New Roman" w:eastAsia="宋体" w:hAnsi="Times New Roman"/>
                <w:color w:val="000000"/>
                <w:sz w:val="16"/>
                <w:szCs w:val="16"/>
              </w:rPr>
              <w:t>August 1 - 31, 2022</w:t>
            </w:r>
          </w:p>
        </w:tc>
        <w:tc>
          <w:tcPr>
            <w:tcW w:w="0" w:type="auto"/>
            <w:gridSpan w:val="3"/>
            <w:shd w:val="clear" w:color="auto" w:fill="CCEEFF"/>
            <w:tcMar>
              <w:top w:w="0" w:type="dxa"/>
              <w:left w:w="20" w:type="dxa"/>
              <w:bottom w:w="0" w:type="dxa"/>
              <w:right w:w="20" w:type="dxa"/>
            </w:tcMar>
            <w:vAlign w:val="bottom"/>
          </w:tcPr>
          <w:p w14:paraId="4B9A4A5B"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A5C" w14:textId="77777777" w:rsidR="002A3970" w:rsidRDefault="00C35E63">
            <w:pPr>
              <w:jc w:val="right"/>
              <w:textAlignment w:val="center"/>
            </w:pPr>
            <w:r>
              <w:rPr>
                <w:rFonts w:ascii="Times New Roman" w:eastAsia="宋体" w:hAnsi="Times New Roman"/>
                <w:color w:val="000000"/>
                <w:sz w:val="16"/>
                <w:szCs w:val="16"/>
              </w:rPr>
              <w:t>8,235,960 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A5D"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A5E"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A5F"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A60" w14:textId="77777777" w:rsidR="002A3970" w:rsidRDefault="00C35E63">
            <w:pPr>
              <w:jc w:val="right"/>
              <w:textAlignment w:val="center"/>
            </w:pPr>
            <w:r>
              <w:rPr>
                <w:rFonts w:ascii="Times New Roman" w:eastAsia="宋体" w:hAnsi="Times New Roman"/>
                <w:color w:val="000000"/>
                <w:sz w:val="16"/>
                <w:szCs w:val="16"/>
              </w:rPr>
              <w:t>132.37 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A6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A62" w14:textId="77777777" w:rsidR="002A3970" w:rsidRDefault="002A397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B9A4A63" w14:textId="77777777" w:rsidR="002A3970" w:rsidRDefault="00C35E63">
            <w:pPr>
              <w:jc w:val="right"/>
              <w:textAlignment w:val="center"/>
            </w:pPr>
            <w:r>
              <w:rPr>
                <w:rFonts w:ascii="Times New Roman" w:eastAsia="宋体" w:hAnsi="Times New Roman"/>
                <w:color w:val="000000"/>
                <w:sz w:val="16"/>
                <w:szCs w:val="16"/>
              </w:rPr>
              <w:t>8,235,960 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A64"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A65" w14:textId="77777777" w:rsidR="002A3970" w:rsidRDefault="002A397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B9A4A66" w14:textId="77777777" w:rsidR="002A3970" w:rsidRDefault="00C35E63">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B9A4A67" w14:textId="77777777" w:rsidR="002A3970" w:rsidRDefault="00C35E63">
            <w:pPr>
              <w:jc w:val="right"/>
              <w:textAlignment w:val="center"/>
            </w:pPr>
            <w:r>
              <w:rPr>
                <w:rFonts w:ascii="Times New Roman" w:eastAsia="宋体" w:hAnsi="Times New Roman"/>
                <w:color w:val="000000"/>
                <w:sz w:val="16"/>
                <w:szCs w:val="16"/>
              </w:rPr>
              <w:t>3.8 </w:t>
            </w:r>
          </w:p>
        </w:tc>
        <w:tc>
          <w:tcPr>
            <w:tcW w:w="0" w:type="auto"/>
            <w:tcBorders>
              <w:top w:val="single" w:sz="8" w:space="0" w:color="000000"/>
            </w:tcBorders>
            <w:shd w:val="clear" w:color="auto" w:fill="CCEEFF"/>
            <w:tcMar>
              <w:top w:w="40" w:type="dxa"/>
              <w:left w:w="0" w:type="dxa"/>
              <w:bottom w:w="40" w:type="dxa"/>
              <w:right w:w="20" w:type="dxa"/>
            </w:tcMar>
            <w:vAlign w:val="center"/>
          </w:tcPr>
          <w:p w14:paraId="4B9A4A68" w14:textId="77777777" w:rsidR="002A3970" w:rsidRDefault="002A3970">
            <w:pPr>
              <w:jc w:val="right"/>
              <w:rPr>
                <w:rFonts w:ascii="宋体"/>
              </w:rPr>
            </w:pPr>
          </w:p>
        </w:tc>
      </w:tr>
      <w:tr w:rsidR="002A3970" w14:paraId="4B9A4A77" w14:textId="77777777">
        <w:tc>
          <w:tcPr>
            <w:tcW w:w="0" w:type="auto"/>
            <w:gridSpan w:val="3"/>
            <w:shd w:val="clear" w:color="auto" w:fill="FFFFFF"/>
            <w:tcMar>
              <w:top w:w="40" w:type="dxa"/>
              <w:left w:w="20" w:type="dxa"/>
              <w:bottom w:w="40" w:type="dxa"/>
              <w:right w:w="20" w:type="dxa"/>
            </w:tcMar>
            <w:vAlign w:val="center"/>
          </w:tcPr>
          <w:p w14:paraId="4B9A4A6A" w14:textId="77777777" w:rsidR="002A3970" w:rsidRDefault="00C35E63">
            <w:pPr>
              <w:textAlignment w:val="center"/>
            </w:pPr>
            <w:r>
              <w:rPr>
                <w:rFonts w:ascii="Times New Roman" w:eastAsia="宋体" w:hAnsi="Times New Roman"/>
                <w:color w:val="000000"/>
                <w:sz w:val="16"/>
                <w:szCs w:val="16"/>
              </w:rPr>
              <w:t>September 1 - 30, 2022</w:t>
            </w:r>
          </w:p>
        </w:tc>
        <w:tc>
          <w:tcPr>
            <w:tcW w:w="0" w:type="auto"/>
            <w:gridSpan w:val="3"/>
            <w:shd w:val="clear" w:color="auto" w:fill="FFFFFF"/>
            <w:tcMar>
              <w:top w:w="0" w:type="dxa"/>
              <w:left w:w="20" w:type="dxa"/>
              <w:bottom w:w="0" w:type="dxa"/>
              <w:right w:w="20" w:type="dxa"/>
            </w:tcMar>
            <w:vAlign w:val="bottom"/>
          </w:tcPr>
          <w:p w14:paraId="4B9A4A6B"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A6C" w14:textId="77777777" w:rsidR="002A3970" w:rsidRDefault="00C35E63">
            <w:pPr>
              <w:jc w:val="right"/>
              <w:textAlignment w:val="center"/>
            </w:pPr>
            <w:r>
              <w:rPr>
                <w:rFonts w:ascii="Times New Roman" w:eastAsia="宋体" w:hAnsi="Times New Roman"/>
                <w:color w:val="000000"/>
                <w:sz w:val="16"/>
                <w:szCs w:val="16"/>
              </w:rPr>
              <w:t>6,976,006 </w:t>
            </w:r>
          </w:p>
        </w:tc>
        <w:tc>
          <w:tcPr>
            <w:tcW w:w="0" w:type="auto"/>
            <w:shd w:val="clear" w:color="auto" w:fill="FFFFFF"/>
            <w:tcMar>
              <w:top w:w="40" w:type="dxa"/>
              <w:left w:w="0" w:type="dxa"/>
              <w:bottom w:w="40" w:type="dxa"/>
              <w:right w:w="20" w:type="dxa"/>
            </w:tcMar>
            <w:vAlign w:val="center"/>
          </w:tcPr>
          <w:p w14:paraId="4B9A4A6D"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A6E"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A6F" w14:textId="77777777" w:rsidR="002A3970" w:rsidRDefault="00C35E63">
            <w:pPr>
              <w:jc w:val="right"/>
              <w:textAlignment w:val="center"/>
            </w:pPr>
            <w:r>
              <w:rPr>
                <w:rFonts w:ascii="Times New Roman" w:eastAsia="宋体" w:hAnsi="Times New Roman"/>
                <w:color w:val="000000"/>
                <w:sz w:val="16"/>
                <w:szCs w:val="16"/>
              </w:rPr>
              <w:t>133.66 </w:t>
            </w:r>
          </w:p>
        </w:tc>
        <w:tc>
          <w:tcPr>
            <w:tcW w:w="0" w:type="auto"/>
            <w:shd w:val="clear" w:color="auto" w:fill="FFFFFF"/>
            <w:tcMar>
              <w:top w:w="40" w:type="dxa"/>
              <w:left w:w="0" w:type="dxa"/>
              <w:bottom w:w="40" w:type="dxa"/>
              <w:right w:w="20" w:type="dxa"/>
            </w:tcMar>
            <w:vAlign w:val="center"/>
          </w:tcPr>
          <w:p w14:paraId="4B9A4A70"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A71"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A72" w14:textId="77777777" w:rsidR="002A3970" w:rsidRDefault="00C35E63">
            <w:pPr>
              <w:jc w:val="right"/>
              <w:textAlignment w:val="center"/>
            </w:pPr>
            <w:r>
              <w:rPr>
                <w:rFonts w:ascii="Times New Roman" w:eastAsia="宋体" w:hAnsi="Times New Roman"/>
                <w:color w:val="000000"/>
                <w:sz w:val="16"/>
                <w:szCs w:val="16"/>
              </w:rPr>
              <w:t>6,976,006 </w:t>
            </w:r>
          </w:p>
        </w:tc>
        <w:tc>
          <w:tcPr>
            <w:tcW w:w="0" w:type="auto"/>
            <w:shd w:val="clear" w:color="auto" w:fill="FFFFFF"/>
            <w:tcMar>
              <w:top w:w="40" w:type="dxa"/>
              <w:left w:w="0" w:type="dxa"/>
              <w:bottom w:w="40" w:type="dxa"/>
              <w:right w:w="20" w:type="dxa"/>
            </w:tcMar>
            <w:vAlign w:val="center"/>
          </w:tcPr>
          <w:p w14:paraId="4B9A4A73"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A74" w14:textId="77777777" w:rsidR="002A3970" w:rsidRDefault="002A3970">
            <w:pPr>
              <w:rPr>
                <w:rFonts w:ascii="宋体"/>
              </w:rPr>
            </w:pPr>
          </w:p>
        </w:tc>
        <w:tc>
          <w:tcPr>
            <w:tcW w:w="0" w:type="auto"/>
            <w:gridSpan w:val="2"/>
            <w:shd w:val="clear" w:color="auto" w:fill="FFFFFF"/>
            <w:tcMar>
              <w:top w:w="40" w:type="dxa"/>
              <w:left w:w="20" w:type="dxa"/>
              <w:bottom w:w="40" w:type="dxa"/>
              <w:right w:w="0" w:type="dxa"/>
            </w:tcMar>
            <w:vAlign w:val="center"/>
          </w:tcPr>
          <w:p w14:paraId="4B9A4A75" w14:textId="77777777" w:rsidR="002A3970" w:rsidRDefault="00C35E63">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B9A4A76" w14:textId="77777777" w:rsidR="002A3970" w:rsidRDefault="002A3970">
            <w:pPr>
              <w:jc w:val="right"/>
              <w:rPr>
                <w:rFonts w:ascii="宋体"/>
              </w:rPr>
            </w:pPr>
          </w:p>
        </w:tc>
      </w:tr>
      <w:tr w:rsidR="002A3970" w14:paraId="4B9A4A85" w14:textId="77777777">
        <w:tc>
          <w:tcPr>
            <w:tcW w:w="0" w:type="auto"/>
            <w:gridSpan w:val="3"/>
            <w:shd w:val="clear" w:color="auto" w:fill="CCEEFF"/>
            <w:tcMar>
              <w:top w:w="40" w:type="dxa"/>
              <w:left w:w="20" w:type="dxa"/>
              <w:bottom w:w="40" w:type="dxa"/>
              <w:right w:w="20" w:type="dxa"/>
            </w:tcMar>
            <w:vAlign w:val="center"/>
          </w:tcPr>
          <w:p w14:paraId="4B9A4A78" w14:textId="77777777" w:rsidR="002A3970" w:rsidRDefault="00C35E63">
            <w:pPr>
              <w:textAlignment w:val="center"/>
            </w:pPr>
            <w:r>
              <w:rPr>
                <w:rFonts w:ascii="Times New Roman" w:eastAsia="宋体" w:hAnsi="Times New Roman"/>
                <w:color w:val="000000"/>
                <w:sz w:val="16"/>
                <w:szCs w:val="16"/>
              </w:rPr>
              <w:t>October 1 - 31, 2022</w:t>
            </w:r>
          </w:p>
        </w:tc>
        <w:tc>
          <w:tcPr>
            <w:tcW w:w="0" w:type="auto"/>
            <w:gridSpan w:val="3"/>
            <w:shd w:val="clear" w:color="auto" w:fill="CCEEFF"/>
            <w:tcMar>
              <w:top w:w="0" w:type="dxa"/>
              <w:left w:w="20" w:type="dxa"/>
              <w:bottom w:w="0" w:type="dxa"/>
              <w:right w:w="20" w:type="dxa"/>
            </w:tcMar>
            <w:vAlign w:val="bottom"/>
          </w:tcPr>
          <w:p w14:paraId="4B9A4A79"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A7A" w14:textId="77777777" w:rsidR="002A3970" w:rsidRDefault="00C35E63">
            <w:pPr>
              <w:jc w:val="right"/>
              <w:textAlignment w:val="center"/>
            </w:pPr>
            <w:r>
              <w:rPr>
                <w:rFonts w:ascii="Times New Roman" w:eastAsia="宋体" w:hAnsi="Times New Roman"/>
                <w:color w:val="000000"/>
                <w:sz w:val="16"/>
                <w:szCs w:val="16"/>
              </w:rPr>
              <w:t>6,758,939 </w:t>
            </w:r>
          </w:p>
        </w:tc>
        <w:tc>
          <w:tcPr>
            <w:tcW w:w="0" w:type="auto"/>
            <w:shd w:val="clear" w:color="auto" w:fill="CCEEFF"/>
            <w:tcMar>
              <w:top w:w="40" w:type="dxa"/>
              <w:left w:w="0" w:type="dxa"/>
              <w:bottom w:w="40" w:type="dxa"/>
              <w:right w:w="20" w:type="dxa"/>
            </w:tcMar>
            <w:vAlign w:val="center"/>
          </w:tcPr>
          <w:p w14:paraId="4B9A4A7B"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A7C"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A7D" w14:textId="77777777" w:rsidR="002A3970" w:rsidRDefault="00C35E63">
            <w:pPr>
              <w:jc w:val="right"/>
              <w:textAlignment w:val="center"/>
            </w:pPr>
            <w:r>
              <w:rPr>
                <w:rFonts w:ascii="Times New Roman" w:eastAsia="宋体" w:hAnsi="Times New Roman"/>
                <w:color w:val="000000"/>
                <w:sz w:val="16"/>
                <w:szCs w:val="16"/>
              </w:rPr>
              <w:t>134.43 </w:t>
            </w:r>
          </w:p>
        </w:tc>
        <w:tc>
          <w:tcPr>
            <w:tcW w:w="0" w:type="auto"/>
            <w:shd w:val="clear" w:color="auto" w:fill="CCEEFF"/>
            <w:tcMar>
              <w:top w:w="40" w:type="dxa"/>
              <w:left w:w="0" w:type="dxa"/>
              <w:bottom w:w="40" w:type="dxa"/>
              <w:right w:w="20" w:type="dxa"/>
            </w:tcMar>
            <w:vAlign w:val="center"/>
          </w:tcPr>
          <w:p w14:paraId="4B9A4A7E"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A7F"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A80" w14:textId="77777777" w:rsidR="002A3970" w:rsidRDefault="00C35E63">
            <w:pPr>
              <w:jc w:val="right"/>
              <w:textAlignment w:val="center"/>
            </w:pPr>
            <w:r>
              <w:rPr>
                <w:rFonts w:ascii="Times New Roman" w:eastAsia="宋体" w:hAnsi="Times New Roman"/>
                <w:color w:val="000000"/>
                <w:sz w:val="16"/>
                <w:szCs w:val="16"/>
              </w:rPr>
              <w:t>6,758,939 </w:t>
            </w:r>
          </w:p>
        </w:tc>
        <w:tc>
          <w:tcPr>
            <w:tcW w:w="0" w:type="auto"/>
            <w:shd w:val="clear" w:color="auto" w:fill="CCEEFF"/>
            <w:tcMar>
              <w:top w:w="40" w:type="dxa"/>
              <w:left w:w="0" w:type="dxa"/>
              <w:bottom w:w="40" w:type="dxa"/>
              <w:right w:w="20" w:type="dxa"/>
            </w:tcMar>
            <w:vAlign w:val="center"/>
          </w:tcPr>
          <w:p w14:paraId="4B9A4A81" w14:textId="77777777" w:rsidR="002A3970" w:rsidRDefault="002A3970">
            <w:pPr>
              <w:jc w:val="right"/>
              <w:rPr>
                <w:rFonts w:ascii="宋体"/>
              </w:rPr>
            </w:pPr>
          </w:p>
        </w:tc>
        <w:tc>
          <w:tcPr>
            <w:tcW w:w="0" w:type="auto"/>
            <w:gridSpan w:val="3"/>
            <w:shd w:val="clear" w:color="auto" w:fill="CCEEFF"/>
            <w:tcMar>
              <w:top w:w="0" w:type="dxa"/>
              <w:left w:w="20" w:type="dxa"/>
              <w:bottom w:w="0" w:type="dxa"/>
              <w:right w:w="20" w:type="dxa"/>
            </w:tcMar>
            <w:vAlign w:val="bottom"/>
          </w:tcPr>
          <w:p w14:paraId="4B9A4A82" w14:textId="77777777" w:rsidR="002A3970" w:rsidRDefault="002A3970">
            <w:pPr>
              <w:rPr>
                <w:rFonts w:ascii="宋体"/>
              </w:rPr>
            </w:pPr>
          </w:p>
        </w:tc>
        <w:tc>
          <w:tcPr>
            <w:tcW w:w="0" w:type="auto"/>
            <w:gridSpan w:val="2"/>
            <w:shd w:val="clear" w:color="auto" w:fill="CCEEFF"/>
            <w:tcMar>
              <w:top w:w="40" w:type="dxa"/>
              <w:left w:w="20" w:type="dxa"/>
              <w:bottom w:w="40" w:type="dxa"/>
              <w:right w:w="0" w:type="dxa"/>
            </w:tcMar>
            <w:vAlign w:val="center"/>
          </w:tcPr>
          <w:p w14:paraId="4B9A4A83" w14:textId="77777777" w:rsidR="002A3970" w:rsidRDefault="00C35E63">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4B9A4A84" w14:textId="77777777" w:rsidR="002A3970" w:rsidRDefault="002A3970">
            <w:pPr>
              <w:jc w:val="right"/>
              <w:rPr>
                <w:rFonts w:ascii="宋体"/>
              </w:rPr>
            </w:pPr>
          </w:p>
        </w:tc>
      </w:tr>
      <w:tr w:rsidR="002A3970" w14:paraId="4B9A4A91" w14:textId="77777777">
        <w:tc>
          <w:tcPr>
            <w:tcW w:w="0" w:type="auto"/>
            <w:gridSpan w:val="3"/>
            <w:shd w:val="clear" w:color="auto" w:fill="FFFFFF"/>
            <w:tcMar>
              <w:top w:w="40" w:type="dxa"/>
              <w:left w:w="20" w:type="dxa"/>
              <w:bottom w:w="40" w:type="dxa"/>
              <w:right w:w="20" w:type="dxa"/>
            </w:tcMar>
            <w:vAlign w:val="center"/>
          </w:tcPr>
          <w:p w14:paraId="4B9A4A86" w14:textId="77777777" w:rsidR="002A3970" w:rsidRDefault="00C35E63">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4B9A4A87" w14:textId="77777777" w:rsidR="002A3970" w:rsidRDefault="002A397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A88" w14:textId="77777777" w:rsidR="002A3970" w:rsidRDefault="00C35E63">
            <w:pPr>
              <w:jc w:val="right"/>
              <w:textAlignment w:val="center"/>
            </w:pPr>
            <w:r>
              <w:rPr>
                <w:rFonts w:ascii="Times New Roman" w:eastAsia="宋体" w:hAnsi="Times New Roman"/>
                <w:color w:val="000000"/>
                <w:sz w:val="16"/>
                <w:szCs w:val="16"/>
              </w:rPr>
              <w:t>21,970,905 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A89"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A8A"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A8B"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A8C" w14:textId="77777777" w:rsidR="002A3970" w:rsidRDefault="002A397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B9A4A8D" w14:textId="77777777" w:rsidR="002A3970" w:rsidRDefault="00C35E63">
            <w:pPr>
              <w:jc w:val="right"/>
              <w:textAlignment w:val="center"/>
            </w:pPr>
            <w:r>
              <w:rPr>
                <w:rFonts w:ascii="Times New Roman" w:eastAsia="宋体" w:hAnsi="Times New Roman"/>
                <w:color w:val="000000"/>
                <w:sz w:val="16"/>
                <w:szCs w:val="16"/>
              </w:rPr>
              <w:t>21,970,905 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B9A4A8E" w14:textId="77777777" w:rsidR="002A3970" w:rsidRDefault="002A3970">
            <w:pPr>
              <w:jc w:val="right"/>
              <w:rPr>
                <w:rFonts w:ascii="宋体"/>
              </w:rPr>
            </w:pPr>
          </w:p>
        </w:tc>
        <w:tc>
          <w:tcPr>
            <w:tcW w:w="0" w:type="auto"/>
            <w:gridSpan w:val="3"/>
            <w:shd w:val="clear" w:color="auto" w:fill="FFFFFF"/>
            <w:tcMar>
              <w:top w:w="0" w:type="dxa"/>
              <w:left w:w="20" w:type="dxa"/>
              <w:bottom w:w="0" w:type="dxa"/>
              <w:right w:w="20" w:type="dxa"/>
            </w:tcMar>
            <w:vAlign w:val="bottom"/>
          </w:tcPr>
          <w:p w14:paraId="4B9A4A8F" w14:textId="77777777" w:rsidR="002A3970" w:rsidRDefault="002A3970">
            <w:pPr>
              <w:rPr>
                <w:rFonts w:ascii="宋体"/>
              </w:rPr>
            </w:pPr>
          </w:p>
        </w:tc>
        <w:tc>
          <w:tcPr>
            <w:tcW w:w="0" w:type="auto"/>
            <w:gridSpan w:val="3"/>
            <w:shd w:val="clear" w:color="auto" w:fill="FFFFFF"/>
            <w:tcMar>
              <w:top w:w="0" w:type="dxa"/>
              <w:left w:w="20" w:type="dxa"/>
              <w:bottom w:w="0" w:type="dxa"/>
              <w:right w:w="20" w:type="dxa"/>
            </w:tcMar>
            <w:vAlign w:val="bottom"/>
          </w:tcPr>
          <w:p w14:paraId="4B9A4A90" w14:textId="77777777" w:rsidR="002A3970" w:rsidRDefault="002A3970">
            <w:pPr>
              <w:rPr>
                <w:rFonts w:ascii="宋体"/>
              </w:rPr>
            </w:pPr>
          </w:p>
        </w:tc>
      </w:tr>
    </w:tbl>
    <w:p w14:paraId="4B9A4A92" w14:textId="77777777" w:rsidR="002A3970" w:rsidRDefault="00C35E63">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approximate dollar value of shares that could have been purchased under the plan in effect at the end of the month.</w:t>
      </w:r>
    </w:p>
    <w:p w14:paraId="4B9A4A93" w14:textId="77777777" w:rsidR="002A3970" w:rsidRDefault="00C35E63">
      <w:pPr>
        <w:spacing w:before="240"/>
      </w:pPr>
      <w:r>
        <w:rPr>
          <w:rFonts w:ascii="Times New Roman" w:eastAsia="宋体" w:hAnsi="Times New Roman"/>
          <w:b/>
          <w:bCs/>
          <w:color w:val="000000"/>
          <w:sz w:val="20"/>
          <w:szCs w:val="20"/>
        </w:rPr>
        <w:t>Item 5. Other Information</w:t>
      </w:r>
    </w:p>
    <w:p w14:paraId="4B9A4A94" w14:textId="77777777" w:rsidR="002A3970" w:rsidRDefault="00C35E63">
      <w:pPr>
        <w:spacing w:before="180"/>
      </w:pPr>
      <w:r>
        <w:rPr>
          <w:rFonts w:ascii="Times New Roman" w:eastAsia="宋体" w:hAnsi="Times New Roman"/>
          <w:b/>
          <w:bCs/>
          <w:i/>
          <w:iCs/>
          <w:color w:val="000000"/>
          <w:sz w:val="20"/>
          <w:szCs w:val="20"/>
        </w:rPr>
        <w:t>Cautionary Statement Regarding Forward-Looking Statements</w:t>
      </w:r>
    </w:p>
    <w:p w14:paraId="4B9A4A95" w14:textId="77777777" w:rsidR="002A3970" w:rsidRDefault="00C35E63">
      <w:pPr>
        <w:spacing w:before="100"/>
      </w:pPr>
      <w:r>
        <w:rPr>
          <w:rFonts w:ascii="Times New Roman" w:eastAsia="宋体" w:hAnsi="Times New Roman"/>
          <w:color w:val="000000"/>
          <w:sz w:val="20"/>
          <w:szCs w:val="20"/>
        </w:rPr>
        <w:t>This Quarterly Report on Form 10-Q cont</w:t>
      </w:r>
      <w:r>
        <w:rPr>
          <w:rFonts w:ascii="Times New Roman" w:eastAsia="宋体" w:hAnsi="Times New Roman"/>
          <w:color w:val="000000"/>
          <w:sz w:val="20"/>
          <w:szCs w:val="20"/>
        </w:rPr>
        <w:t xml:space="preserve">ains statements that Walmart believes are "forward-looking statements" within the meaning of the Private Securities Litigation Reform Act of 1995. Those forward-looking statements are intended to enjoy the protection of the safe harbor for forward-looking </w:t>
      </w:r>
      <w:r>
        <w:rPr>
          <w:rFonts w:ascii="Times New Roman" w:eastAsia="宋体" w:hAnsi="Times New Roman"/>
          <w:color w:val="000000"/>
          <w:sz w:val="20"/>
          <w:szCs w:val="20"/>
        </w:rPr>
        <w:t>statements provided by that Act as well as protections afforded by other federal securities laws.</w:t>
      </w:r>
    </w:p>
    <w:p w14:paraId="4B9A4A96" w14:textId="77777777" w:rsidR="002A3970" w:rsidRDefault="00C35E63">
      <w:pPr>
        <w:spacing w:before="180"/>
      </w:pPr>
      <w:r>
        <w:rPr>
          <w:rFonts w:ascii="Times New Roman" w:eastAsia="宋体" w:hAnsi="Times New Roman"/>
          <w:b/>
          <w:bCs/>
          <w:i/>
          <w:iCs/>
          <w:color w:val="000000"/>
          <w:sz w:val="20"/>
          <w:szCs w:val="20"/>
        </w:rPr>
        <w:t>Forward-looking Statements</w:t>
      </w:r>
    </w:p>
    <w:p w14:paraId="4B9A4A97" w14:textId="77777777" w:rsidR="002A3970" w:rsidRDefault="00C35E63">
      <w:pPr>
        <w:spacing w:before="100"/>
      </w:pPr>
      <w:r>
        <w:rPr>
          <w:rFonts w:ascii="Times New Roman" w:eastAsia="宋体" w:hAnsi="Times New Roman"/>
          <w:color w:val="000000"/>
          <w:sz w:val="20"/>
          <w:szCs w:val="20"/>
        </w:rPr>
        <w:t xml:space="preserve">The forward-looking statements in this report include, among other things: </w:t>
      </w:r>
    </w:p>
    <w:p w14:paraId="4B9A4A98" w14:textId="77777777" w:rsidR="002A3970" w:rsidRDefault="00C35E63">
      <w:pPr>
        <w:spacing w:before="100"/>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statements in </w:t>
      </w:r>
      <w:hyperlink r:id="rId90" w:anchor="i0522a2f6333e456295d59e779af751cb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th</w:t>
      </w:r>
      <w:r>
        <w:rPr>
          <w:rFonts w:ascii="Times New Roman" w:eastAsia="宋体" w:hAnsi="Times New Roman"/>
          <w:color w:val="000000"/>
          <w:sz w:val="20"/>
          <w:szCs w:val="20"/>
        </w:rPr>
        <w:t>ose Condensed Consolidated Financial Statements regarding the possible outcome of, and future effect on Walmart's financial condition and results of operations of, certain litigation and other proceedings to which Walmart is a party, the possible outcome o</w:t>
      </w:r>
      <w:r>
        <w:rPr>
          <w:rFonts w:ascii="Times New Roman" w:eastAsia="宋体" w:hAnsi="Times New Roman"/>
          <w:color w:val="000000"/>
          <w:sz w:val="20"/>
          <w:szCs w:val="20"/>
        </w:rPr>
        <w:t>f, and future effect on Walmart's business of, certain other matters to which Walmart is subject, including the Company's Opioids Litigation, the Settlement Framework, Walmart's ongoing indemnification obligation for the Asda Equal Value Claims, as well as</w:t>
      </w:r>
      <w:r>
        <w:rPr>
          <w:rFonts w:ascii="Times New Roman" w:eastAsia="宋体" w:hAnsi="Times New Roman"/>
          <w:color w:val="000000"/>
          <w:sz w:val="20"/>
          <w:szCs w:val="20"/>
        </w:rPr>
        <w:t xml:space="preserve"> the Company's Money Transfer Agent Services Matters and the liabilities, losses, expenses and costs that Walmart may incur in connection with such matters;</w:t>
      </w:r>
    </w:p>
    <w:p w14:paraId="4B9A4A99" w14:textId="77777777" w:rsidR="002A3970" w:rsidRDefault="00C35E63">
      <w:pPr>
        <w:spacing w:before="100"/>
        <w:ind w:hanging="360"/>
      </w:pPr>
      <w:r>
        <w:rPr>
          <w:rFonts w:ascii="Times New Roman" w:eastAsia="宋体" w:hAnsi="Times New Roman"/>
          <w:color w:val="000000"/>
          <w:sz w:val="20"/>
          <w:szCs w:val="20"/>
        </w:rPr>
        <w:t>•in Part I, Item 2 "</w:t>
      </w:r>
      <w:hyperlink r:id="rId91" w:anchor="i0522a2f6333e456295d59e779af751cb_61"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color w:val="000000"/>
          <w:sz w:val="20"/>
          <w:szCs w:val="20"/>
        </w:rPr>
        <w:t>": statements regarding future changes to our business and our expectations about the potential i</w:t>
      </w:r>
      <w:r>
        <w:rPr>
          <w:rFonts w:ascii="Times New Roman" w:eastAsia="宋体" w:hAnsi="Times New Roman"/>
          <w:color w:val="000000"/>
          <w:sz w:val="20"/>
          <w:szCs w:val="20"/>
        </w:rPr>
        <w:t>mpacts on our business, financial position, results of operations or cash flows as a result of the COVID-19 pandemic; statements under the caption "</w:t>
      </w:r>
      <w:hyperlink r:id="rId92" w:anchor="i0522a2f6333e456295d59e779af751cb_64"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relating to the possible impact of inflationary pressures and volatility in currency exchange rates on the results, including net sales and operating income, of Walmart and the Walmart International se</w:t>
      </w:r>
      <w:r>
        <w:rPr>
          <w:rFonts w:ascii="Times New Roman" w:eastAsia="宋体" w:hAnsi="Times New Roman"/>
          <w:color w:val="000000"/>
          <w:sz w:val="20"/>
          <w:szCs w:val="20"/>
        </w:rPr>
        <w:t>gment; statements under the caption "</w:t>
      </w:r>
      <w:hyperlink r:id="rId93" w:anchor="i0522a2f6333e456295d59e779af751cb_70" w:history="1">
        <w:r>
          <w:rPr>
            <w:rStyle w:val="a5"/>
            <w:rFonts w:ascii="Times New Roman" w:eastAsia="宋体" w:hAnsi="Times New Roman"/>
            <w:sz w:val="20"/>
            <w:szCs w:val="20"/>
          </w:rPr>
          <w:t>Company Performance Metrics - Strong, Efficient Growth</w:t>
        </w:r>
      </w:hyperlink>
      <w:r>
        <w:rPr>
          <w:rFonts w:ascii="Times New Roman" w:eastAsia="宋体" w:hAnsi="Times New Roman"/>
          <w:color w:val="000000"/>
          <w:sz w:val="20"/>
          <w:szCs w:val="20"/>
        </w:rPr>
        <w:t xml:space="preserve">" regarding </w:t>
      </w:r>
      <w:r>
        <w:rPr>
          <w:rFonts w:ascii="Times New Roman" w:eastAsia="宋体" w:hAnsi="Times New Roman"/>
          <w:color w:val="000000"/>
          <w:sz w:val="20"/>
          <w:szCs w:val="20"/>
        </w:rPr>
        <w:t>the focus of our investments and the impact of such investments; statements under the caption "</w:t>
      </w:r>
      <w:hyperlink r:id="rId94" w:anchor="i0522a2f6333e456295d59e779af751cb_76" w:history="1">
        <w:r>
          <w:rPr>
            <w:rStyle w:val="a5"/>
            <w:rFonts w:ascii="Times New Roman" w:eastAsia="宋体" w:hAnsi="Times New Roman"/>
            <w:sz w:val="20"/>
            <w:szCs w:val="20"/>
          </w:rPr>
          <w:t>Company Per</w:t>
        </w:r>
        <w:r>
          <w:rPr>
            <w:rStyle w:val="a5"/>
            <w:rFonts w:ascii="Times New Roman" w:eastAsia="宋体" w:hAnsi="Times New Roman"/>
            <w:sz w:val="20"/>
            <w:szCs w:val="20"/>
          </w:rPr>
          <w:t>formance Metrics – Strategic Capital Allocation</w:t>
        </w:r>
      </w:hyperlink>
      <w:r>
        <w:rPr>
          <w:rFonts w:ascii="Times New Roman" w:eastAsia="宋体" w:hAnsi="Times New Roman"/>
          <w:color w:val="000000"/>
          <w:sz w:val="20"/>
          <w:szCs w:val="20"/>
        </w:rPr>
        <w:t>" 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 xml:space="preserve">caption </w:t>
      </w:r>
    </w:p>
    <w:p w14:paraId="4B9A4A9A" w14:textId="77777777" w:rsidR="002A3970" w:rsidRDefault="00C35E63">
      <w:pPr>
        <w:jc w:val="center"/>
      </w:pPr>
      <w:r>
        <w:rPr>
          <w:rFonts w:ascii="Times New Roman" w:eastAsia="宋体" w:hAnsi="Times New Roman"/>
          <w:color w:val="000000"/>
          <w:sz w:val="20"/>
          <w:szCs w:val="20"/>
        </w:rPr>
        <w:t>32</w:t>
      </w:r>
    </w:p>
    <w:p w14:paraId="4B9A4A9B" w14:textId="77777777" w:rsidR="002A3970" w:rsidRDefault="00C35E63">
      <w:r>
        <w:pict w14:anchorId="4B9A4C35">
          <v:rect id="_x0000_i1056" style="width:415.3pt;height:1.5pt" o:hralign="center" o:hrstd="t" o:hr="t" fillcolor="#a0a0a0" stroked="f"/>
        </w:pict>
      </w:r>
    </w:p>
    <w:p w14:paraId="4B9A4A9C" w14:textId="77777777" w:rsidR="002A3970" w:rsidRDefault="00C35E63">
      <w:hyperlink r:id="rId95" w:anchor="i0522a2f6333e456295d59e779af751cb_7" w:history="1">
        <w:r>
          <w:rPr>
            <w:rStyle w:val="a5"/>
            <w:rFonts w:ascii="Times New Roman" w:eastAsia="宋体" w:hAnsi="Times New Roman"/>
            <w:sz w:val="20"/>
            <w:szCs w:val="20"/>
          </w:rPr>
          <w:t>Table of Contents</w:t>
        </w:r>
      </w:hyperlink>
    </w:p>
    <w:p w14:paraId="4B9A4A9D" w14:textId="77777777" w:rsidR="002A3970" w:rsidRDefault="00C35E63">
      <w:pPr>
        <w:spacing w:before="100"/>
      </w:pPr>
      <w:r>
        <w:rPr>
          <w:rFonts w:ascii="Times New Roman" w:eastAsia="宋体" w:hAnsi="Times New Roman"/>
          <w:color w:val="000000"/>
          <w:sz w:val="20"/>
          <w:szCs w:val="20"/>
        </w:rPr>
        <w:t>"</w:t>
      </w:r>
      <w:hyperlink r:id="rId96" w:anchor="i0522a2f6333e456295d59e779af751cb_79" w:history="1">
        <w:r>
          <w:rPr>
            <w:rStyle w:val="a5"/>
            <w:rFonts w:ascii="Times New Roman" w:eastAsia="宋体" w:hAnsi="Times New Roman"/>
            <w:sz w:val="20"/>
            <w:szCs w:val="20"/>
          </w:rPr>
          <w:t>Company Performance Metrics - Returns</w:t>
        </w:r>
      </w:hyperlink>
      <w:r>
        <w:rPr>
          <w:rFonts w:ascii="Times New Roman" w:eastAsia="宋体" w:hAnsi="Times New Roman"/>
          <w:color w:val="000000"/>
          <w:sz w:val="20"/>
          <w:szCs w:val="20"/>
        </w:rPr>
        <w:t xml:space="preserve">" regarding our belief that returns on capital will improve as we </w:t>
      </w:r>
      <w:r>
        <w:rPr>
          <w:rFonts w:ascii="Times New Roman" w:eastAsia="宋体" w:hAnsi="Times New Roman"/>
          <w:color w:val="000000"/>
          <w:sz w:val="20"/>
          <w:szCs w:val="20"/>
        </w:rPr>
        <w:t>execute on our financial framework; statements under the caption "</w:t>
      </w:r>
      <w:hyperlink r:id="rId97" w:anchor="i0522a2f6333e456295d59e779af751cb_85" w:history="1">
        <w:r>
          <w:rPr>
            <w:rStyle w:val="a5"/>
            <w:rFonts w:ascii="Times New Roman" w:eastAsia="宋体" w:hAnsi="Times New Roman"/>
            <w:sz w:val="20"/>
            <w:szCs w:val="20"/>
          </w:rPr>
          <w:t>Results of Operations - Consolidated Res</w:t>
        </w:r>
        <w:r>
          <w:rPr>
            <w:rStyle w:val="a5"/>
            <w:rFonts w:ascii="Times New Roman" w:eastAsia="宋体" w:hAnsi="Times New Roman"/>
            <w:sz w:val="20"/>
            <w:szCs w:val="20"/>
          </w:rPr>
          <w:t>ults of Operations</w:t>
        </w:r>
      </w:hyperlink>
      <w:r>
        <w:rPr>
          <w:rFonts w:ascii="Times New Roman" w:eastAsia="宋体" w:hAnsi="Times New Roman"/>
          <w:color w:val="000000"/>
          <w:sz w:val="20"/>
          <w:szCs w:val="20"/>
        </w:rPr>
        <w:t>" regarding the possibility of fluctuations in Walmart's effective income tax rate from quarter to quarter and the factors that may cause those fluctuations; a statement under the caption "</w:t>
      </w:r>
      <w:hyperlink r:id="rId98" w:anchor="i0522a2f6333e456295d59e779af751cb_94" w:history="1">
        <w:r>
          <w:rPr>
            <w:rStyle w:val="a5"/>
            <w:rFonts w:ascii="Times New Roman" w:eastAsia="宋体" w:hAnsi="Times New Roman"/>
            <w:sz w:val="20"/>
            <w:szCs w:val="20"/>
          </w:rPr>
          <w:t>Results of Operations - Sam's Club Segment</w:t>
        </w:r>
      </w:hyperlink>
      <w:r>
        <w:rPr>
          <w:rFonts w:ascii="Times New Roman" w:eastAsia="宋体" w:hAnsi="Times New Roman"/>
          <w:color w:val="000000"/>
          <w:sz w:val="20"/>
          <w:szCs w:val="20"/>
        </w:rPr>
        <w:t>" relating to the possible continuing impact of volatility in fuel prices on the future operating results o</w:t>
      </w:r>
      <w:r>
        <w:rPr>
          <w:rFonts w:ascii="Times New Roman" w:eastAsia="宋体" w:hAnsi="Times New Roman"/>
          <w:color w:val="000000"/>
          <w:sz w:val="20"/>
          <w:szCs w:val="20"/>
        </w:rPr>
        <w:t>f the Sam's Club segment; a statement under the caption "</w:t>
      </w:r>
      <w:hyperlink r:id="rId99" w:anchor="i0522a2f6333e456295d59e779af751cb_97" w:history="1">
        <w:r>
          <w:rPr>
            <w:rStyle w:val="a5"/>
            <w:rFonts w:ascii="Times New Roman" w:eastAsia="宋体" w:hAnsi="Times New Roman"/>
            <w:sz w:val="20"/>
            <w:szCs w:val="20"/>
          </w:rPr>
          <w:t>Liquidity and Capital Resources - Liquidity</w:t>
        </w:r>
      </w:hyperlink>
      <w:r>
        <w:rPr>
          <w:rFonts w:ascii="Times New Roman" w:eastAsia="宋体" w:hAnsi="Times New Roman"/>
          <w:color w:val="000000"/>
          <w:sz w:val="20"/>
          <w:szCs w:val="20"/>
        </w:rPr>
        <w:t>" t</w:t>
      </w:r>
      <w:r>
        <w:rPr>
          <w:rFonts w:ascii="Times New Roman" w:eastAsia="宋体" w:hAnsi="Times New Roman"/>
          <w:color w:val="000000"/>
          <w:sz w:val="20"/>
          <w:szCs w:val="20"/>
        </w:rPr>
        <w:t>hat Walmart's sources of liquidity will be adequate to fund its operations, finance its global investment and expansion activities, pay dividends and fund share repurchases; a statement under the caption "</w:t>
      </w:r>
      <w:hyperlink r:id="rId100" w:anchor="i0522a2f6333e456295d59e779af751cb_97" w:history="1">
        <w:r>
          <w:rPr>
            <w:rStyle w:val="a5"/>
            <w:rFonts w:ascii="Times New Roman" w:eastAsia="宋体" w:hAnsi="Times New Roman"/>
            <w:sz w:val="20"/>
            <w:szCs w:val="20"/>
          </w:rPr>
          <w:t>Liquidity and Capital Resources - Liquidity - Net Cash Used in Financing Activities - Dividends</w:t>
        </w:r>
      </w:hyperlink>
      <w:r>
        <w:rPr>
          <w:rFonts w:ascii="Times New Roman" w:eastAsia="宋体" w:hAnsi="Times New Roman"/>
          <w:color w:val="000000"/>
          <w:sz w:val="20"/>
          <w:szCs w:val="20"/>
        </w:rPr>
        <w:t xml:space="preserve">" regarding the payment of annual dividends in fiscal 2022 </w:t>
      </w:r>
      <w:r>
        <w:rPr>
          <w:rFonts w:ascii="Times New Roman" w:eastAsia="宋体" w:hAnsi="Times New Roman"/>
          <w:color w:val="000000"/>
          <w:sz w:val="20"/>
          <w:szCs w:val="20"/>
        </w:rPr>
        <w:t>and fiscal 2023; a statement under the caption "</w:t>
      </w:r>
      <w:hyperlink r:id="rId101" w:anchor="i0522a2f6333e456295d59e779af751cb_97" w:history="1">
        <w:r>
          <w:rPr>
            <w:rStyle w:val="a5"/>
            <w:rFonts w:ascii="Times New Roman" w:eastAsia="宋体" w:hAnsi="Times New Roman"/>
            <w:sz w:val="20"/>
            <w:szCs w:val="20"/>
          </w:rPr>
          <w:t>Liquidity and Capital Resources - Liquidity - Net Cash Use</w:t>
        </w:r>
        <w:r>
          <w:rPr>
            <w:rStyle w:val="a5"/>
            <w:rFonts w:ascii="Times New Roman" w:eastAsia="宋体" w:hAnsi="Times New Roman"/>
            <w:sz w:val="20"/>
            <w:szCs w:val="20"/>
          </w:rPr>
          <w:t>d in Financing Activities - Company Share Repurchase Program</w:t>
        </w:r>
      </w:hyperlink>
      <w:r>
        <w:rPr>
          <w:rFonts w:ascii="Times New Roman" w:eastAsia="宋体" w:hAnsi="Times New Roman"/>
          <w:color w:val="000000"/>
          <w:sz w:val="20"/>
          <w:szCs w:val="20"/>
        </w:rPr>
        <w:t>" regarding funding of our share repurchase program; statements under the caption "</w:t>
      </w:r>
      <w:hyperlink r:id="rId102" w:anchor="i0522a2f6333e456295d59e779af751cb_97" w:history="1">
        <w:r>
          <w:rPr>
            <w:rStyle w:val="a5"/>
            <w:rFonts w:ascii="Times New Roman" w:eastAsia="宋体" w:hAnsi="Times New Roman"/>
            <w:sz w:val="20"/>
            <w:szCs w:val="20"/>
          </w:rPr>
          <w:t>Liquidity and Capital Resources - Capital Resources</w:t>
        </w:r>
      </w:hyperlink>
      <w:r>
        <w:rPr>
          <w:rFonts w:ascii="Times New Roman" w:eastAsia="宋体" w:hAnsi="Times New Roman"/>
          <w:color w:val="000000"/>
          <w:sz w:val="20"/>
          <w:szCs w:val="20"/>
        </w:rPr>
        <w:t>" regarding management's expectations regarding the Company's cash flows from operations, current cash position and access to capital markets continuing to be suf</w:t>
      </w:r>
      <w:r>
        <w:rPr>
          <w:rFonts w:ascii="Times New Roman" w:eastAsia="宋体" w:hAnsi="Times New Roman"/>
          <w:color w:val="000000"/>
          <w:sz w:val="20"/>
          <w:szCs w:val="20"/>
        </w:rPr>
        <w:t>ficient to meet its anticipated operating cash needs, the Company's commercial paper and long-term debt ratings continuing to enable it to refinance its debts at favorable rates, factors that could affect its credit ratings, and the effect that lower credi</w:t>
      </w:r>
      <w:r>
        <w:rPr>
          <w:rFonts w:ascii="Times New Roman" w:eastAsia="宋体" w:hAnsi="Times New Roman"/>
          <w:color w:val="000000"/>
          <w:sz w:val="20"/>
          <w:szCs w:val="20"/>
        </w:rPr>
        <w:t>t ratings would have on its access to capital and credit markets and borrowing costs; and statements under the caption "</w:t>
      </w:r>
      <w:hyperlink r:id="rId103" w:anchor="i0522a2f6333e456295d59e779af751cb_100"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regarding the contingent liabilities of the Company that may or may not result in the incurrence of a material liability by the Company;</w:t>
      </w:r>
    </w:p>
    <w:p w14:paraId="4B9A4A9E" w14:textId="77777777" w:rsidR="002A3970" w:rsidRDefault="00C35E63">
      <w:pPr>
        <w:spacing w:before="100"/>
        <w:ind w:hanging="360"/>
      </w:pPr>
      <w:r>
        <w:rPr>
          <w:rFonts w:ascii="Times New Roman" w:eastAsia="宋体" w:hAnsi="Times New Roman"/>
          <w:color w:val="000000"/>
          <w:sz w:val="20"/>
          <w:szCs w:val="20"/>
        </w:rPr>
        <w:t>•in Part I, Item 4 "</w:t>
      </w:r>
      <w:hyperlink r:id="rId104" w:anchor="i0522a2f6333e456295d59e779af751cb_106"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statements regarding the effect of changes to systems and processes on our internal control over financial reporting; and</w:t>
      </w:r>
    </w:p>
    <w:p w14:paraId="4B9A4A9F" w14:textId="77777777" w:rsidR="002A3970" w:rsidRDefault="00C35E63">
      <w:pPr>
        <w:spacing w:before="100"/>
        <w:ind w:hanging="360"/>
      </w:pPr>
      <w:r>
        <w:rPr>
          <w:rFonts w:ascii="Times New Roman" w:eastAsia="宋体" w:hAnsi="Times New Roman"/>
          <w:color w:val="000000"/>
          <w:sz w:val="20"/>
          <w:szCs w:val="20"/>
        </w:rPr>
        <w:t xml:space="preserve">•in Part II, Item 1 </w:t>
      </w:r>
      <w:r>
        <w:rPr>
          <w:rFonts w:ascii="Times New Roman" w:eastAsia="宋体" w:hAnsi="Times New Roman"/>
          <w:color w:val="000000"/>
          <w:sz w:val="20"/>
          <w:szCs w:val="20"/>
        </w:rPr>
        <w:t>"</w:t>
      </w:r>
      <w:hyperlink r:id="rId105" w:anchor="i0522a2f6333e456295d59e779af751cb_112"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statements regarding the effect that possible losses or the range of possible los</w:t>
      </w:r>
      <w:r>
        <w:rPr>
          <w:rFonts w:ascii="Times New Roman" w:eastAsia="宋体" w:hAnsi="Times New Roman"/>
          <w:color w:val="000000"/>
          <w:sz w:val="20"/>
          <w:szCs w:val="20"/>
        </w:rPr>
        <w:t>ses that might be incurred in connection with the legal proceedings and other matters discussed therein may have on our financial condition or results of operations.</w:t>
      </w:r>
    </w:p>
    <w:p w14:paraId="4B9A4AA0" w14:textId="77777777" w:rsidR="002A3970" w:rsidRDefault="002A3970">
      <w:pPr>
        <w:spacing w:before="100"/>
      </w:pPr>
    </w:p>
    <w:p w14:paraId="4B9A4AA1" w14:textId="77777777" w:rsidR="002A3970" w:rsidRDefault="00C35E63">
      <w:pPr>
        <w:jc w:val="center"/>
      </w:pPr>
      <w:r>
        <w:rPr>
          <w:rFonts w:ascii="Times New Roman" w:eastAsia="宋体" w:hAnsi="Times New Roman"/>
          <w:color w:val="000000"/>
          <w:sz w:val="20"/>
          <w:szCs w:val="20"/>
        </w:rPr>
        <w:t>33</w:t>
      </w:r>
    </w:p>
    <w:p w14:paraId="4B9A4AA2" w14:textId="77777777" w:rsidR="002A3970" w:rsidRDefault="00C35E63">
      <w:r>
        <w:pict w14:anchorId="4B9A4C36">
          <v:rect id="_x0000_i1057" style="width:415.3pt;height:1.5pt" o:hralign="center" o:hrstd="t" o:hr="t" fillcolor="#a0a0a0" stroked="f"/>
        </w:pict>
      </w:r>
    </w:p>
    <w:p w14:paraId="4B9A4AA3" w14:textId="77777777" w:rsidR="002A3970" w:rsidRDefault="00C35E63">
      <w:hyperlink r:id="rId106" w:anchor="i0522a2f6333e456295d59e779af751cb_7" w:history="1">
        <w:r>
          <w:rPr>
            <w:rStyle w:val="a5"/>
            <w:rFonts w:ascii="Times New Roman" w:eastAsia="宋体" w:hAnsi="Times New Roman"/>
            <w:sz w:val="20"/>
            <w:szCs w:val="20"/>
          </w:rPr>
          <w:t>Table of Contents</w:t>
        </w:r>
      </w:hyperlink>
    </w:p>
    <w:p w14:paraId="4B9A4AA4" w14:textId="77777777" w:rsidR="002A3970" w:rsidRDefault="00C35E63">
      <w:pPr>
        <w:spacing w:before="180"/>
      </w:pPr>
      <w:r>
        <w:rPr>
          <w:rFonts w:ascii="Times New Roman" w:eastAsia="宋体" w:hAnsi="Times New Roman"/>
          <w:b/>
          <w:bCs/>
          <w:i/>
          <w:iCs/>
          <w:color w:val="000000"/>
          <w:sz w:val="20"/>
          <w:szCs w:val="20"/>
        </w:rPr>
        <w:t>Risks, Factors and Uncertainties Regarding Our Business</w:t>
      </w:r>
    </w:p>
    <w:p w14:paraId="4B9A4AA5" w14:textId="77777777" w:rsidR="002A3970" w:rsidRDefault="00C35E63">
      <w:pPr>
        <w:spacing w:before="100"/>
      </w:pPr>
      <w:r>
        <w:rPr>
          <w:rFonts w:ascii="Times New Roman" w:eastAsia="宋体" w:hAnsi="Times New Roman"/>
          <w:color w:val="000000"/>
          <w:sz w:val="20"/>
          <w:szCs w:val="20"/>
        </w:rPr>
        <w:t>These forward-looking statemen</w:t>
      </w:r>
      <w:r>
        <w:rPr>
          <w:rFonts w:ascii="Times New Roman" w:eastAsia="宋体" w:hAnsi="Times New Roman"/>
          <w:color w:val="000000"/>
          <w:sz w:val="20"/>
          <w:szCs w:val="20"/>
        </w:rPr>
        <w:t>ts are subject to risks, uncertainties and other factors, domestically and internationally, including:</w:t>
      </w:r>
    </w:p>
    <w:p w14:paraId="4B9A4AA6" w14:textId="77777777" w:rsidR="002A3970" w:rsidRDefault="00C35E63">
      <w:pPr>
        <w:spacing w:before="100" w:after="120"/>
        <w:ind w:firstLine="360"/>
        <w:jc w:val="both"/>
      </w:pPr>
      <w:r>
        <w:rPr>
          <w:rFonts w:ascii="Times New Roman" w:eastAsia="宋体" w:hAnsi="Times New Roman"/>
          <w:b/>
          <w:bCs/>
          <w:color w:val="000000"/>
          <w:sz w:val="20"/>
          <w:szCs w:val="20"/>
        </w:rPr>
        <w:t>Economic Factors</w:t>
      </w:r>
    </w:p>
    <w:p w14:paraId="4B9A4AA7" w14:textId="77777777" w:rsidR="002A3970" w:rsidRDefault="00C35E63">
      <w:pPr>
        <w:ind w:hanging="360"/>
      </w:pPr>
      <w:r>
        <w:rPr>
          <w:rFonts w:ascii="Times New Roman" w:eastAsia="宋体" w:hAnsi="Times New Roman"/>
          <w:color w:val="000000"/>
          <w:sz w:val="20"/>
          <w:szCs w:val="20"/>
        </w:rPr>
        <w:t>•economic, geo-political, capital markets and business conditions, trends and events around the world and in the markets in which Walmar</w:t>
      </w:r>
      <w:r>
        <w:rPr>
          <w:rFonts w:ascii="Times New Roman" w:eastAsia="宋体" w:hAnsi="Times New Roman"/>
          <w:color w:val="000000"/>
          <w:sz w:val="20"/>
          <w:szCs w:val="20"/>
        </w:rPr>
        <w:t>t operates;</w:t>
      </w:r>
    </w:p>
    <w:p w14:paraId="4B9A4AA8" w14:textId="77777777" w:rsidR="002A3970" w:rsidRDefault="00C35E63">
      <w:pPr>
        <w:ind w:hanging="360"/>
      </w:pPr>
      <w:r>
        <w:rPr>
          <w:rFonts w:ascii="Times New Roman" w:eastAsia="宋体" w:hAnsi="Times New Roman"/>
          <w:color w:val="000000"/>
          <w:sz w:val="20"/>
          <w:szCs w:val="20"/>
        </w:rPr>
        <w:t>•currency exchange rate fluctuations;</w:t>
      </w:r>
    </w:p>
    <w:p w14:paraId="4B9A4AA9" w14:textId="77777777" w:rsidR="002A3970" w:rsidRDefault="00C35E63">
      <w:pPr>
        <w:ind w:hanging="360"/>
      </w:pPr>
      <w:r>
        <w:rPr>
          <w:rFonts w:ascii="Times New Roman" w:eastAsia="宋体" w:hAnsi="Times New Roman"/>
          <w:color w:val="000000"/>
          <w:sz w:val="20"/>
          <w:szCs w:val="20"/>
        </w:rPr>
        <w:t>•changes in market rates of interest;</w:t>
      </w:r>
    </w:p>
    <w:p w14:paraId="4B9A4AAA" w14:textId="77777777" w:rsidR="002A3970" w:rsidRDefault="00C35E63">
      <w:pPr>
        <w:ind w:hanging="360"/>
      </w:pPr>
      <w:r>
        <w:rPr>
          <w:rFonts w:ascii="Times New Roman" w:eastAsia="宋体" w:hAnsi="Times New Roman"/>
          <w:color w:val="000000"/>
          <w:sz w:val="20"/>
          <w:szCs w:val="20"/>
        </w:rPr>
        <w:t>•inflation or deflation, generally and in certain product categories;</w:t>
      </w:r>
    </w:p>
    <w:p w14:paraId="4B9A4AAB" w14:textId="77777777" w:rsidR="002A3970" w:rsidRDefault="00C35E63">
      <w:pPr>
        <w:ind w:hanging="360"/>
      </w:pPr>
      <w:r>
        <w:rPr>
          <w:rFonts w:ascii="Times New Roman" w:eastAsia="宋体" w:hAnsi="Times New Roman"/>
          <w:color w:val="000000"/>
          <w:sz w:val="20"/>
          <w:szCs w:val="20"/>
        </w:rPr>
        <w:t>•transportation, energy and utility costs;</w:t>
      </w:r>
    </w:p>
    <w:p w14:paraId="4B9A4AAC" w14:textId="77777777" w:rsidR="002A3970" w:rsidRDefault="00C35E63">
      <w:pPr>
        <w:ind w:hanging="360"/>
      </w:pPr>
      <w:r>
        <w:rPr>
          <w:rFonts w:ascii="Times New Roman" w:eastAsia="宋体" w:hAnsi="Times New Roman"/>
          <w:color w:val="000000"/>
          <w:sz w:val="20"/>
          <w:szCs w:val="20"/>
        </w:rPr>
        <w:t>•commodity prices, including the prices of oil and natu</w:t>
      </w:r>
      <w:r>
        <w:rPr>
          <w:rFonts w:ascii="Times New Roman" w:eastAsia="宋体" w:hAnsi="Times New Roman"/>
          <w:color w:val="000000"/>
          <w:sz w:val="20"/>
          <w:szCs w:val="20"/>
        </w:rPr>
        <w:t>ral gas;</w:t>
      </w:r>
    </w:p>
    <w:p w14:paraId="4B9A4AAD" w14:textId="77777777" w:rsidR="002A3970" w:rsidRDefault="00C35E63">
      <w:pPr>
        <w:ind w:hanging="360"/>
      </w:pPr>
      <w:r>
        <w:rPr>
          <w:rFonts w:ascii="Times New Roman" w:eastAsia="宋体" w:hAnsi="Times New Roman"/>
          <w:color w:val="000000"/>
          <w:sz w:val="20"/>
          <w:szCs w:val="20"/>
        </w:rPr>
        <w:t>•changes in market levels of wages;</w:t>
      </w:r>
    </w:p>
    <w:p w14:paraId="4B9A4AAE" w14:textId="77777777" w:rsidR="002A3970" w:rsidRDefault="00C35E63">
      <w:pPr>
        <w:ind w:hanging="360"/>
      </w:pPr>
      <w:r>
        <w:rPr>
          <w:rFonts w:ascii="Times New Roman" w:eastAsia="宋体" w:hAnsi="Times New Roman"/>
          <w:color w:val="000000"/>
          <w:sz w:val="20"/>
          <w:szCs w:val="20"/>
        </w:rPr>
        <w:t>•changes in the size of various markets, including eCommerce markets;</w:t>
      </w:r>
    </w:p>
    <w:p w14:paraId="4B9A4AAF" w14:textId="77777777" w:rsidR="002A3970" w:rsidRDefault="00C35E63">
      <w:pPr>
        <w:ind w:hanging="360"/>
      </w:pPr>
      <w:r>
        <w:rPr>
          <w:rFonts w:ascii="Times New Roman" w:eastAsia="宋体" w:hAnsi="Times New Roman"/>
          <w:color w:val="000000"/>
          <w:sz w:val="20"/>
          <w:szCs w:val="20"/>
        </w:rPr>
        <w:t>•unemployment levels;</w:t>
      </w:r>
    </w:p>
    <w:p w14:paraId="4B9A4AB0" w14:textId="77777777" w:rsidR="002A3970" w:rsidRDefault="00C35E63">
      <w:pPr>
        <w:ind w:hanging="360"/>
        <w:jc w:val="both"/>
      </w:pPr>
      <w:r>
        <w:rPr>
          <w:rFonts w:ascii="Times New Roman" w:eastAsia="宋体" w:hAnsi="Times New Roman"/>
          <w:color w:val="000000"/>
          <w:sz w:val="20"/>
          <w:szCs w:val="20"/>
        </w:rPr>
        <w:t>•consumer confidence, disposable income, credit availability, spending levels, shopping patterns, debt levels, and dema</w:t>
      </w:r>
      <w:r>
        <w:rPr>
          <w:rFonts w:ascii="Times New Roman" w:eastAsia="宋体" w:hAnsi="Times New Roman"/>
          <w:color w:val="000000"/>
          <w:sz w:val="20"/>
          <w:szCs w:val="20"/>
        </w:rPr>
        <w:t>nd for certain merchandise;</w:t>
      </w:r>
    </w:p>
    <w:p w14:paraId="4B9A4AB1" w14:textId="77777777" w:rsidR="002A3970" w:rsidRDefault="00C35E63">
      <w:pPr>
        <w:ind w:hanging="360"/>
        <w:jc w:val="both"/>
      </w:pPr>
      <w:r>
        <w:rPr>
          <w:rFonts w:ascii="Times New Roman" w:eastAsia="宋体" w:hAnsi="Times New Roman"/>
          <w:color w:val="000000"/>
          <w:sz w:val="20"/>
          <w:szCs w:val="20"/>
        </w:rPr>
        <w:t>•trends in consumer shopping habits around the world and in the markets in which Walmart operates;</w:t>
      </w:r>
    </w:p>
    <w:p w14:paraId="4B9A4AB2" w14:textId="77777777" w:rsidR="002A3970" w:rsidRDefault="00C35E63">
      <w:pPr>
        <w:ind w:hanging="360"/>
        <w:jc w:val="both"/>
      </w:pPr>
      <w:r>
        <w:rPr>
          <w:rFonts w:ascii="Times New Roman" w:eastAsia="宋体" w:hAnsi="Times New Roman"/>
          <w:color w:val="000000"/>
          <w:sz w:val="20"/>
          <w:szCs w:val="20"/>
        </w:rPr>
        <w:t>•consumer enrollment in health and drug insurance programs and such programs' reimbursement rates and drug formularies; and</w:t>
      </w:r>
    </w:p>
    <w:p w14:paraId="4B9A4AB3" w14:textId="77777777" w:rsidR="002A3970" w:rsidRDefault="00C35E63">
      <w:pPr>
        <w:ind w:hanging="360"/>
        <w:jc w:val="both"/>
      </w:pPr>
      <w:r>
        <w:rPr>
          <w:rFonts w:ascii="Times New Roman" w:eastAsia="宋体" w:hAnsi="Times New Roman"/>
          <w:color w:val="000000"/>
          <w:sz w:val="20"/>
          <w:szCs w:val="20"/>
        </w:rPr>
        <w:t>•initiatives of competitors, competitors' entry into and expansion in Walmart's markets or lines of business, and competitive pressures.</w:t>
      </w:r>
    </w:p>
    <w:p w14:paraId="4B9A4AB4" w14:textId="77777777" w:rsidR="002A3970" w:rsidRDefault="00C35E63">
      <w:pPr>
        <w:spacing w:before="100" w:after="120"/>
        <w:ind w:firstLine="360"/>
        <w:jc w:val="both"/>
      </w:pPr>
      <w:r>
        <w:rPr>
          <w:rFonts w:ascii="Times New Roman" w:eastAsia="宋体" w:hAnsi="Times New Roman"/>
          <w:b/>
          <w:bCs/>
          <w:color w:val="000000"/>
          <w:sz w:val="20"/>
          <w:szCs w:val="20"/>
        </w:rPr>
        <w:t>Operating Factors</w:t>
      </w:r>
    </w:p>
    <w:p w14:paraId="4B9A4AB5" w14:textId="77777777" w:rsidR="002A3970" w:rsidRDefault="00C35E63">
      <w:pPr>
        <w:ind w:hanging="360"/>
      </w:pPr>
      <w:r>
        <w:rPr>
          <w:rFonts w:ascii="Times New Roman" w:eastAsia="宋体" w:hAnsi="Times New Roman"/>
          <w:color w:val="000000"/>
          <w:sz w:val="20"/>
          <w:szCs w:val="20"/>
        </w:rPr>
        <w:t>•the amount of Walmart's net sales and operating expenses denominated in U.S. dollar and various fore</w:t>
      </w:r>
      <w:r>
        <w:rPr>
          <w:rFonts w:ascii="Times New Roman" w:eastAsia="宋体" w:hAnsi="Times New Roman"/>
          <w:color w:val="000000"/>
          <w:sz w:val="20"/>
          <w:szCs w:val="20"/>
        </w:rPr>
        <w:t>ign currencies;</w:t>
      </w:r>
    </w:p>
    <w:p w14:paraId="4B9A4AB6" w14:textId="77777777" w:rsidR="002A3970" w:rsidRDefault="00C35E63">
      <w:pPr>
        <w:ind w:hanging="360"/>
      </w:pPr>
      <w:r>
        <w:rPr>
          <w:rFonts w:ascii="Times New Roman" w:eastAsia="宋体" w:hAnsi="Times New Roman"/>
          <w:color w:val="000000"/>
          <w:sz w:val="20"/>
          <w:szCs w:val="20"/>
        </w:rPr>
        <w:t>•the financial performance of Walmart and each of its segments, including the amount of Walmart's cash flow during various periods;</w:t>
      </w:r>
    </w:p>
    <w:p w14:paraId="4B9A4AB7" w14:textId="77777777" w:rsidR="002A3970" w:rsidRDefault="00C35E63">
      <w:pPr>
        <w:ind w:hanging="360"/>
      </w:pPr>
      <w:r>
        <w:rPr>
          <w:rFonts w:ascii="Times New Roman" w:eastAsia="宋体" w:hAnsi="Times New Roman"/>
          <w:color w:val="000000"/>
          <w:sz w:val="20"/>
          <w:szCs w:val="20"/>
        </w:rPr>
        <w:t>•customer transaction and average ticket in Walmart's stores and clubs and on its eCommerce platforms;</w:t>
      </w:r>
    </w:p>
    <w:p w14:paraId="4B9A4AB8" w14:textId="77777777" w:rsidR="002A3970" w:rsidRDefault="00C35E63">
      <w:pPr>
        <w:ind w:hanging="360"/>
      </w:pPr>
      <w:r>
        <w:rPr>
          <w:rFonts w:ascii="Times New Roman" w:eastAsia="宋体" w:hAnsi="Times New Roman"/>
          <w:color w:val="000000"/>
          <w:sz w:val="20"/>
          <w:szCs w:val="20"/>
        </w:rPr>
        <w:t>•the mix of merchandise Walmart sells and its customers purchase;</w:t>
      </w:r>
    </w:p>
    <w:p w14:paraId="4B9A4AB9" w14:textId="77777777" w:rsidR="002A3970" w:rsidRDefault="00C35E63">
      <w:pPr>
        <w:ind w:hanging="360"/>
      </w:pPr>
      <w:r>
        <w:rPr>
          <w:rFonts w:ascii="Times New Roman" w:eastAsia="宋体" w:hAnsi="Times New Roman"/>
          <w:color w:val="000000"/>
          <w:sz w:val="20"/>
          <w:szCs w:val="20"/>
        </w:rPr>
        <w:t>•the availability of goods from suppliers and the cost of goods acquired from suppliers;</w:t>
      </w:r>
    </w:p>
    <w:p w14:paraId="4B9A4ABA" w14:textId="77777777" w:rsidR="002A3970" w:rsidRDefault="00C35E63">
      <w:pPr>
        <w:ind w:hanging="360"/>
      </w:pPr>
      <w:r>
        <w:rPr>
          <w:rFonts w:ascii="Times New Roman" w:eastAsia="宋体" w:hAnsi="Times New Roman"/>
          <w:color w:val="000000"/>
          <w:sz w:val="20"/>
          <w:szCs w:val="20"/>
        </w:rPr>
        <w:t>•the effectiveness of the implementation and operation of Walmart's strategies, plans, programs and i</w:t>
      </w:r>
      <w:r>
        <w:rPr>
          <w:rFonts w:ascii="Times New Roman" w:eastAsia="宋体" w:hAnsi="Times New Roman"/>
          <w:color w:val="000000"/>
          <w:sz w:val="20"/>
          <w:szCs w:val="20"/>
        </w:rPr>
        <w:t>nitiatives;</w:t>
      </w:r>
    </w:p>
    <w:p w14:paraId="4B9A4ABB" w14:textId="77777777" w:rsidR="002A3970" w:rsidRDefault="00C35E63">
      <w:pPr>
        <w:ind w:hanging="360"/>
      </w:pPr>
      <w:r>
        <w:rPr>
          <w:rFonts w:ascii="Times New Roman" w:eastAsia="宋体" w:hAnsi="Times New Roman"/>
          <w:color w:val="000000"/>
          <w:sz w:val="20"/>
          <w:szCs w:val="20"/>
        </w:rPr>
        <w:t>•COVID-19 related challenges, including reduced customer transactions and tickets, reduced store hours, shifts in demand from discretionary products, supply chain disruption and production, labor shortages and increases in labor costs, and diss</w:t>
      </w:r>
      <w:r>
        <w:rPr>
          <w:rFonts w:ascii="Times New Roman" w:eastAsia="宋体" w:hAnsi="Times New Roman"/>
          <w:color w:val="000000"/>
          <w:sz w:val="20"/>
          <w:szCs w:val="20"/>
        </w:rPr>
        <w:t>emination of global vaccines, as well as potential impacts of any related vaccine mandates on our workforce;</w:t>
      </w:r>
    </w:p>
    <w:p w14:paraId="4B9A4ABC" w14:textId="77777777" w:rsidR="002A3970" w:rsidRDefault="00C35E63">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4B9A4ABD" w14:textId="77777777" w:rsidR="002A3970" w:rsidRDefault="00C35E63">
      <w:pPr>
        <w:ind w:hanging="360"/>
      </w:pPr>
      <w:r>
        <w:rPr>
          <w:rFonts w:ascii="Times New Roman" w:eastAsia="宋体" w:hAnsi="Times New Roman"/>
          <w:color w:val="000000"/>
          <w:sz w:val="20"/>
          <w:szCs w:val="20"/>
        </w:rPr>
        <w:t>•Walmart's ability to successfully integrate acqu</w:t>
      </w:r>
      <w:r>
        <w:rPr>
          <w:rFonts w:ascii="Times New Roman" w:eastAsia="宋体" w:hAnsi="Times New Roman"/>
          <w:color w:val="000000"/>
          <w:sz w:val="20"/>
          <w:szCs w:val="20"/>
        </w:rPr>
        <w:t>ired businesses;</w:t>
      </w:r>
    </w:p>
    <w:p w14:paraId="4B9A4ABE" w14:textId="77777777" w:rsidR="002A3970" w:rsidRDefault="00C35E63">
      <w:pPr>
        <w:ind w:hanging="360"/>
      </w:pPr>
      <w:r>
        <w:rPr>
          <w:rFonts w:ascii="Times New Roman" w:eastAsia="宋体" w:hAnsi="Times New Roman"/>
          <w:color w:val="000000"/>
          <w:sz w:val="20"/>
          <w:szCs w:val="20"/>
        </w:rPr>
        <w:t>•unexpected changes in Walmart's objectives and plans;</w:t>
      </w:r>
    </w:p>
    <w:p w14:paraId="4B9A4ABF" w14:textId="77777777" w:rsidR="002A3970" w:rsidRDefault="00C35E63">
      <w:pPr>
        <w:ind w:hanging="360"/>
      </w:pPr>
      <w:r>
        <w:rPr>
          <w:rFonts w:ascii="Times New Roman" w:eastAsia="宋体" w:hAnsi="Times New Roman"/>
          <w:color w:val="000000"/>
          <w:sz w:val="20"/>
          <w:szCs w:val="20"/>
        </w:rPr>
        <w:t>•the amount of shrinkage Walmart experiences;</w:t>
      </w:r>
    </w:p>
    <w:p w14:paraId="4B9A4AC0" w14:textId="77777777" w:rsidR="002A3970" w:rsidRDefault="00C35E63">
      <w:pPr>
        <w:ind w:hanging="360"/>
      </w:pPr>
      <w:r>
        <w:rPr>
          <w:rFonts w:ascii="Times New Roman" w:eastAsia="宋体" w:hAnsi="Times New Roman"/>
          <w:color w:val="000000"/>
          <w:sz w:val="20"/>
          <w:szCs w:val="20"/>
        </w:rPr>
        <w:t>•consumer acceptance of and response to Walmart's stores and clubs, eCommerce platforms, programs, merchandise offerings and delivery meth</w:t>
      </w:r>
      <w:r>
        <w:rPr>
          <w:rFonts w:ascii="Times New Roman" w:eastAsia="宋体" w:hAnsi="Times New Roman"/>
          <w:color w:val="000000"/>
          <w:sz w:val="20"/>
          <w:szCs w:val="20"/>
        </w:rPr>
        <w:t>ods;</w:t>
      </w:r>
    </w:p>
    <w:p w14:paraId="4B9A4AC1" w14:textId="77777777" w:rsidR="002A3970" w:rsidRDefault="00C35E63">
      <w:pPr>
        <w:ind w:hanging="360"/>
      </w:pPr>
      <w:r>
        <w:rPr>
          <w:rFonts w:ascii="Times New Roman" w:eastAsia="宋体" w:hAnsi="Times New Roman"/>
          <w:color w:val="000000"/>
          <w:sz w:val="20"/>
          <w:szCs w:val="20"/>
        </w:rPr>
        <w:t>•Walmart's gross profit margins, including pharmacy margins and margins of other product categories;</w:t>
      </w:r>
    </w:p>
    <w:p w14:paraId="4B9A4AC2" w14:textId="77777777" w:rsidR="002A3970" w:rsidRDefault="00C35E63">
      <w:pPr>
        <w:ind w:hanging="360"/>
      </w:pPr>
      <w:r>
        <w:rPr>
          <w:rFonts w:ascii="Times New Roman" w:eastAsia="宋体" w:hAnsi="Times New Roman"/>
          <w:color w:val="000000"/>
          <w:sz w:val="20"/>
          <w:szCs w:val="20"/>
        </w:rPr>
        <w:t>•the selling prices of gasoline and diesel fuel;</w:t>
      </w:r>
    </w:p>
    <w:p w14:paraId="4B9A4AC3" w14:textId="77777777" w:rsidR="002A3970" w:rsidRDefault="00C35E63">
      <w:pPr>
        <w:ind w:hanging="360"/>
      </w:pPr>
      <w:r>
        <w:rPr>
          <w:rFonts w:ascii="Times New Roman" w:eastAsia="宋体" w:hAnsi="Times New Roman"/>
          <w:color w:val="000000"/>
          <w:sz w:val="20"/>
          <w:szCs w:val="20"/>
        </w:rPr>
        <w:t>•disruption of seasonal buying patterns in Walmart's markets;</w:t>
      </w:r>
    </w:p>
    <w:p w14:paraId="4B9A4AC4" w14:textId="77777777" w:rsidR="002A3970" w:rsidRDefault="00C35E63">
      <w:pPr>
        <w:ind w:hanging="360"/>
      </w:pPr>
      <w:r>
        <w:rPr>
          <w:rFonts w:ascii="Times New Roman" w:eastAsia="宋体" w:hAnsi="Times New Roman"/>
          <w:color w:val="000000"/>
          <w:sz w:val="20"/>
          <w:szCs w:val="20"/>
        </w:rPr>
        <w:t xml:space="preserve">•disruptions in Walmart's supply chain </w:t>
      </w:r>
      <w:r>
        <w:rPr>
          <w:rFonts w:ascii="Times New Roman" w:eastAsia="宋体" w:hAnsi="Times New Roman"/>
          <w:color w:val="000000"/>
          <w:sz w:val="20"/>
          <w:szCs w:val="20"/>
        </w:rPr>
        <w:t>and inventory management;</w:t>
      </w:r>
    </w:p>
    <w:p w14:paraId="4B9A4AC5" w14:textId="77777777" w:rsidR="002A3970" w:rsidRDefault="00C35E63">
      <w:pPr>
        <w:ind w:hanging="360"/>
      </w:pPr>
      <w:r>
        <w:rPr>
          <w:rFonts w:ascii="Times New Roman" w:eastAsia="宋体" w:hAnsi="Times New Roman"/>
          <w:color w:val="000000"/>
          <w:sz w:val="20"/>
          <w:szCs w:val="20"/>
        </w:rPr>
        <w:t>•cybersecurity events affecting Walmart and related costs and impact of any disruption in business;</w:t>
      </w:r>
    </w:p>
    <w:p w14:paraId="4B9A4AC6" w14:textId="77777777" w:rsidR="002A3970" w:rsidRDefault="00C35E63">
      <w:pPr>
        <w:ind w:hanging="360"/>
      </w:pPr>
      <w:r>
        <w:rPr>
          <w:rFonts w:ascii="Times New Roman" w:eastAsia="宋体" w:hAnsi="Times New Roman"/>
          <w:color w:val="000000"/>
          <w:sz w:val="20"/>
          <w:szCs w:val="20"/>
        </w:rPr>
        <w:t>•Walmart's labor costs, including healthcare and other benefit costs;</w:t>
      </w:r>
    </w:p>
    <w:p w14:paraId="4B9A4AC7" w14:textId="77777777" w:rsidR="002A3970" w:rsidRDefault="00C35E63">
      <w:pPr>
        <w:ind w:hanging="360"/>
      </w:pPr>
      <w:r>
        <w:rPr>
          <w:rFonts w:ascii="Times New Roman" w:eastAsia="宋体" w:hAnsi="Times New Roman"/>
          <w:color w:val="000000"/>
          <w:sz w:val="20"/>
          <w:szCs w:val="20"/>
        </w:rPr>
        <w:t>•Walmart's casualty and accident-related costs and insurance</w:t>
      </w:r>
      <w:r>
        <w:rPr>
          <w:rFonts w:ascii="Times New Roman" w:eastAsia="宋体" w:hAnsi="Times New Roman"/>
          <w:color w:val="000000"/>
          <w:sz w:val="20"/>
          <w:szCs w:val="20"/>
        </w:rPr>
        <w:t xml:space="preserve"> costs;</w:t>
      </w:r>
    </w:p>
    <w:p w14:paraId="4B9A4AC8" w14:textId="77777777" w:rsidR="002A3970" w:rsidRDefault="00C35E63">
      <w:pPr>
        <w:ind w:hanging="360"/>
      </w:pPr>
      <w:r>
        <w:rPr>
          <w:rFonts w:ascii="Times New Roman" w:eastAsia="宋体" w:hAnsi="Times New Roman"/>
          <w:color w:val="000000"/>
          <w:sz w:val="20"/>
          <w:szCs w:val="20"/>
        </w:rPr>
        <w:t>•the size of and turnover in Walmart's workforce and the number of associates at various pay levels within that workforce;</w:t>
      </w:r>
    </w:p>
    <w:p w14:paraId="4B9A4AC9" w14:textId="77777777" w:rsidR="002A3970" w:rsidRDefault="00C35E63">
      <w:pPr>
        <w:ind w:hanging="360"/>
      </w:pPr>
      <w:r>
        <w:rPr>
          <w:rFonts w:ascii="Times New Roman" w:eastAsia="宋体" w:hAnsi="Times New Roman"/>
          <w:color w:val="000000"/>
          <w:sz w:val="20"/>
          <w:szCs w:val="20"/>
        </w:rPr>
        <w:t>•the availability of necessary personnel to staff Walmart's stores, clubs and other facilities;</w:t>
      </w:r>
    </w:p>
    <w:p w14:paraId="4B9A4ACA" w14:textId="77777777" w:rsidR="002A3970" w:rsidRDefault="00C35E63">
      <w:pPr>
        <w:ind w:hanging="360"/>
      </w:pPr>
      <w:r>
        <w:rPr>
          <w:rFonts w:ascii="Times New Roman" w:eastAsia="宋体" w:hAnsi="Times New Roman"/>
          <w:color w:val="000000"/>
          <w:sz w:val="20"/>
          <w:szCs w:val="20"/>
        </w:rPr>
        <w:t>•delays in the opening of new</w:t>
      </w:r>
      <w:r>
        <w:rPr>
          <w:rFonts w:ascii="Times New Roman" w:eastAsia="宋体" w:hAnsi="Times New Roman"/>
          <w:color w:val="000000"/>
          <w:sz w:val="20"/>
          <w:szCs w:val="20"/>
        </w:rPr>
        <w:t>, expanded, relocated or remodeled units;</w:t>
      </w:r>
    </w:p>
    <w:p w14:paraId="4B9A4ACB" w14:textId="77777777" w:rsidR="002A3970" w:rsidRDefault="00C35E63">
      <w:pPr>
        <w:ind w:hanging="360"/>
      </w:pPr>
      <w:r>
        <w:rPr>
          <w:rFonts w:ascii="Times New Roman" w:eastAsia="宋体" w:hAnsi="Times New Roman"/>
          <w:color w:val="000000"/>
          <w:sz w:val="20"/>
          <w:szCs w:val="20"/>
        </w:rPr>
        <w:t xml:space="preserve">•developments in, and the outcome of, legal and regulatory proceedings and investigations to which Walmart is a party or is subject, and the liabilities, obligations and expenses, if any, that Walmart may incur in </w:t>
      </w:r>
      <w:r>
        <w:rPr>
          <w:rFonts w:ascii="Times New Roman" w:eastAsia="宋体" w:hAnsi="Times New Roman"/>
          <w:color w:val="000000"/>
          <w:sz w:val="20"/>
          <w:szCs w:val="20"/>
        </w:rPr>
        <w:t>connection therewith;</w:t>
      </w:r>
    </w:p>
    <w:p w14:paraId="4B9A4ACC" w14:textId="77777777" w:rsidR="002A3970" w:rsidRDefault="00C35E63">
      <w:pPr>
        <w:ind w:hanging="360"/>
      </w:pPr>
      <w:r>
        <w:rPr>
          <w:rFonts w:ascii="Times New Roman" w:eastAsia="宋体" w:hAnsi="Times New Roman"/>
          <w:color w:val="000000"/>
          <w:sz w:val="20"/>
          <w:szCs w:val="20"/>
        </w:rPr>
        <w:t>•changes in the credit ratings assigned to the Company's commercial paper and debt securities by credit rating agencies;</w:t>
      </w:r>
    </w:p>
    <w:p w14:paraId="4B9A4ACD" w14:textId="77777777" w:rsidR="002A3970" w:rsidRDefault="00C35E63">
      <w:pPr>
        <w:ind w:hanging="360"/>
      </w:pPr>
      <w:r>
        <w:rPr>
          <w:rFonts w:ascii="Times New Roman" w:eastAsia="宋体" w:hAnsi="Times New Roman"/>
          <w:color w:val="000000"/>
          <w:sz w:val="20"/>
          <w:szCs w:val="20"/>
        </w:rPr>
        <w:t>•Walmart's effective tax rate; and</w:t>
      </w:r>
    </w:p>
    <w:p w14:paraId="4B9A4ACE" w14:textId="77777777" w:rsidR="002A3970" w:rsidRDefault="00C35E63">
      <w:pPr>
        <w:ind w:hanging="360"/>
      </w:pPr>
      <w:r>
        <w:rPr>
          <w:rFonts w:ascii="Times New Roman" w:eastAsia="宋体" w:hAnsi="Times New Roman"/>
          <w:color w:val="000000"/>
          <w:sz w:val="20"/>
          <w:szCs w:val="20"/>
        </w:rPr>
        <w:t>•unanticipated changes in accounting judgments and estimates.</w:t>
      </w:r>
    </w:p>
    <w:p w14:paraId="4B9A4ACF" w14:textId="77777777" w:rsidR="002A3970" w:rsidRDefault="00C35E63">
      <w:pPr>
        <w:jc w:val="center"/>
      </w:pPr>
      <w:r>
        <w:rPr>
          <w:rFonts w:ascii="Times New Roman" w:eastAsia="宋体" w:hAnsi="Times New Roman"/>
          <w:color w:val="000000"/>
          <w:sz w:val="20"/>
          <w:szCs w:val="20"/>
        </w:rPr>
        <w:t>34</w:t>
      </w:r>
    </w:p>
    <w:p w14:paraId="4B9A4AD0" w14:textId="77777777" w:rsidR="002A3970" w:rsidRDefault="00C35E63">
      <w:r>
        <w:pict w14:anchorId="4B9A4C37">
          <v:rect id="_x0000_i1058" style="width:415.3pt;height:1.5pt" o:hralign="center" o:hrstd="t" o:hr="t" fillcolor="#a0a0a0" stroked="f"/>
        </w:pict>
      </w:r>
    </w:p>
    <w:p w14:paraId="4B9A4AD1" w14:textId="77777777" w:rsidR="002A3970" w:rsidRDefault="00C35E63">
      <w:hyperlink r:id="rId107" w:anchor="i0522a2f6333e456295d59e779af751cb_7" w:history="1">
        <w:r>
          <w:rPr>
            <w:rStyle w:val="a5"/>
            <w:rFonts w:ascii="Times New Roman" w:eastAsia="宋体" w:hAnsi="Times New Roman"/>
            <w:sz w:val="20"/>
            <w:szCs w:val="20"/>
          </w:rPr>
          <w:t>Table of Contents</w:t>
        </w:r>
      </w:hyperlink>
    </w:p>
    <w:p w14:paraId="4B9A4AD2" w14:textId="77777777" w:rsidR="002A3970" w:rsidRDefault="00C35E63">
      <w:pPr>
        <w:spacing w:before="100" w:after="120"/>
        <w:ind w:firstLine="360"/>
      </w:pPr>
      <w:r>
        <w:rPr>
          <w:rFonts w:ascii="Times New Roman" w:eastAsia="宋体" w:hAnsi="Times New Roman"/>
          <w:b/>
          <w:bCs/>
          <w:color w:val="000000"/>
          <w:sz w:val="20"/>
          <w:szCs w:val="20"/>
        </w:rPr>
        <w:t>Regulatory and Other Factors</w:t>
      </w:r>
    </w:p>
    <w:p w14:paraId="4B9A4AD3" w14:textId="77777777" w:rsidR="002A3970" w:rsidRDefault="00C35E63">
      <w:pPr>
        <w:ind w:hanging="360"/>
      </w:pPr>
      <w:r>
        <w:rPr>
          <w:rFonts w:ascii="Times New Roman" w:eastAsia="宋体" w:hAnsi="Times New Roman"/>
          <w:color w:val="000000"/>
          <w:sz w:val="20"/>
          <w:szCs w:val="20"/>
        </w:rPr>
        <w:t xml:space="preserve">•changes in existing, tax, labor and other laws and </w:t>
      </w:r>
      <w:r>
        <w:rPr>
          <w:rFonts w:ascii="Times New Roman" w:eastAsia="宋体" w:hAnsi="Times New Roman"/>
          <w:color w:val="000000"/>
          <w:sz w:val="20"/>
          <w:szCs w:val="20"/>
        </w:rPr>
        <w:t>changes in tax rates, including the enactment of laws and the adoption and interpretation of administrative rules and regulations;</w:t>
      </w:r>
    </w:p>
    <w:p w14:paraId="4B9A4AD4" w14:textId="77777777" w:rsidR="002A3970" w:rsidRDefault="00C35E63">
      <w:pPr>
        <w:ind w:hanging="360"/>
      </w:pPr>
      <w:r>
        <w:rPr>
          <w:rFonts w:ascii="Times New Roman" w:eastAsia="宋体" w:hAnsi="Times New Roman"/>
          <w:color w:val="000000"/>
          <w:sz w:val="20"/>
          <w:szCs w:val="20"/>
        </w:rPr>
        <w:t xml:space="preserve">•the imposition of new taxes on imports, new tariffs and changes in existing tariff rates; </w:t>
      </w:r>
    </w:p>
    <w:p w14:paraId="4B9A4AD5" w14:textId="77777777" w:rsidR="002A3970" w:rsidRDefault="00C35E63">
      <w:pPr>
        <w:ind w:hanging="360"/>
      </w:pPr>
      <w:r>
        <w:rPr>
          <w:rFonts w:ascii="Times New Roman" w:eastAsia="宋体" w:hAnsi="Times New Roman"/>
          <w:color w:val="000000"/>
          <w:sz w:val="20"/>
          <w:szCs w:val="20"/>
        </w:rPr>
        <w:t>•the imposition of new trade rest</w:t>
      </w:r>
      <w:r>
        <w:rPr>
          <w:rFonts w:ascii="Times New Roman" w:eastAsia="宋体" w:hAnsi="Times New Roman"/>
          <w:color w:val="000000"/>
          <w:sz w:val="20"/>
          <w:szCs w:val="20"/>
        </w:rPr>
        <w:t>rictions and changes in existing trade restrictions;</w:t>
      </w:r>
    </w:p>
    <w:p w14:paraId="4B9A4AD6" w14:textId="77777777" w:rsidR="002A3970" w:rsidRDefault="00C35E63">
      <w:pPr>
        <w:ind w:hanging="360"/>
      </w:pPr>
      <w:r>
        <w:rPr>
          <w:rFonts w:ascii="Times New Roman" w:eastAsia="宋体" w:hAnsi="Times New Roman"/>
          <w:color w:val="000000"/>
          <w:sz w:val="20"/>
          <w:szCs w:val="20"/>
        </w:rPr>
        <w:t>•adoption or creation of new, and modification of existing, governmental policies, programs, initiatives and actions in the markets in which Walmart operates and elsewhere and actions with respect to suc</w:t>
      </w:r>
      <w:r>
        <w:rPr>
          <w:rFonts w:ascii="Times New Roman" w:eastAsia="宋体" w:hAnsi="Times New Roman"/>
          <w:color w:val="000000"/>
          <w:sz w:val="20"/>
          <w:szCs w:val="20"/>
        </w:rPr>
        <w:t>h policies, programs and initiatives;</w:t>
      </w:r>
    </w:p>
    <w:p w14:paraId="4B9A4AD7" w14:textId="77777777" w:rsidR="002A3970" w:rsidRDefault="00C35E63">
      <w:pPr>
        <w:ind w:hanging="360"/>
      </w:pPr>
      <w:r>
        <w:rPr>
          <w:rFonts w:ascii="Times New Roman" w:eastAsia="宋体" w:hAnsi="Times New Roman"/>
          <w:color w:val="000000"/>
          <w:sz w:val="20"/>
          <w:szCs w:val="20"/>
        </w:rPr>
        <w:t>•changes in government-funded benefit programs and the extent and effectiveness of any further COVID-19 related stimulus packages;</w:t>
      </w:r>
    </w:p>
    <w:p w14:paraId="4B9A4AD8" w14:textId="77777777" w:rsidR="002A3970" w:rsidRDefault="00C35E63">
      <w:pPr>
        <w:ind w:hanging="360"/>
      </w:pPr>
      <w:r>
        <w:rPr>
          <w:rFonts w:ascii="Times New Roman" w:eastAsia="宋体" w:hAnsi="Times New Roman"/>
          <w:color w:val="000000"/>
          <w:sz w:val="20"/>
          <w:szCs w:val="20"/>
        </w:rPr>
        <w:t>•changes in currency control laws;</w:t>
      </w:r>
    </w:p>
    <w:p w14:paraId="4B9A4AD9" w14:textId="77777777" w:rsidR="002A3970" w:rsidRDefault="00C35E63">
      <w:pPr>
        <w:ind w:hanging="360"/>
      </w:pPr>
      <w:r>
        <w:rPr>
          <w:rFonts w:ascii="Times New Roman" w:eastAsia="宋体" w:hAnsi="Times New Roman"/>
          <w:color w:val="000000"/>
          <w:sz w:val="20"/>
          <w:szCs w:val="20"/>
        </w:rPr>
        <w:t>•changes in the level of public assistance payments;</w:t>
      </w:r>
    </w:p>
    <w:p w14:paraId="4B9A4ADA" w14:textId="77777777" w:rsidR="002A3970" w:rsidRDefault="00C35E63">
      <w:pPr>
        <w:ind w:hanging="360"/>
      </w:pPr>
      <w:r>
        <w:rPr>
          <w:rFonts w:ascii="Times New Roman" w:eastAsia="宋体" w:hAnsi="Times New Roman"/>
          <w:color w:val="000000"/>
          <w:sz w:val="20"/>
          <w:szCs w:val="20"/>
        </w:rPr>
        <w:t>•one or more prolonged federal government shutdowns;</w:t>
      </w:r>
    </w:p>
    <w:p w14:paraId="4B9A4ADB" w14:textId="77777777" w:rsidR="002A3970" w:rsidRDefault="00C35E63">
      <w:pPr>
        <w:ind w:hanging="360"/>
      </w:pPr>
      <w:r>
        <w:rPr>
          <w:rFonts w:ascii="Times New Roman" w:eastAsia="宋体" w:hAnsi="Times New Roman"/>
          <w:color w:val="000000"/>
          <w:sz w:val="20"/>
          <w:szCs w:val="20"/>
        </w:rPr>
        <w:t>•the timing of federal income tax refunds;</w:t>
      </w:r>
    </w:p>
    <w:p w14:paraId="4B9A4ADC" w14:textId="77777777" w:rsidR="002A3970" w:rsidRDefault="00C35E63">
      <w:pPr>
        <w:ind w:hanging="360"/>
      </w:pPr>
      <w:r>
        <w:rPr>
          <w:rFonts w:ascii="Times New Roman" w:eastAsia="宋体" w:hAnsi="Times New Roman"/>
          <w:color w:val="000000"/>
          <w:sz w:val="20"/>
          <w:szCs w:val="20"/>
        </w:rPr>
        <w:t>•natural disasters, changes in climate, catastrophic events and global health epidemics or pandemics, including COVID-19; and</w:t>
      </w:r>
    </w:p>
    <w:p w14:paraId="4B9A4ADD" w14:textId="77777777" w:rsidR="002A3970" w:rsidRDefault="00C35E63">
      <w:pPr>
        <w:ind w:hanging="360"/>
      </w:pPr>
      <w:r>
        <w:rPr>
          <w:rFonts w:ascii="Times New Roman" w:eastAsia="宋体" w:hAnsi="Times New Roman"/>
          <w:color w:val="000000"/>
          <w:sz w:val="20"/>
          <w:szCs w:val="20"/>
        </w:rPr>
        <w:t>•changes in generally accepted ac</w:t>
      </w:r>
      <w:r>
        <w:rPr>
          <w:rFonts w:ascii="Times New Roman" w:eastAsia="宋体" w:hAnsi="Times New Roman"/>
          <w:color w:val="000000"/>
          <w:sz w:val="20"/>
          <w:szCs w:val="20"/>
        </w:rPr>
        <w:t>counting principles in the United States.</w:t>
      </w:r>
    </w:p>
    <w:p w14:paraId="4B9A4ADE" w14:textId="77777777" w:rsidR="002A3970" w:rsidRDefault="00C35E63">
      <w:pPr>
        <w:spacing w:before="180"/>
      </w:pPr>
      <w:r>
        <w:rPr>
          <w:rFonts w:ascii="Times New Roman" w:eastAsia="宋体" w:hAnsi="Times New Roman"/>
          <w:b/>
          <w:bCs/>
          <w:i/>
          <w:iCs/>
          <w:color w:val="000000"/>
          <w:sz w:val="20"/>
          <w:szCs w:val="20"/>
        </w:rPr>
        <w:t>Other Risk Factors; No Duty to Update</w:t>
      </w:r>
    </w:p>
    <w:p w14:paraId="4B9A4ADF" w14:textId="77777777" w:rsidR="002A3970" w:rsidRDefault="00C35E63">
      <w:pPr>
        <w:spacing w:before="100"/>
      </w:pPr>
      <w:r>
        <w:rPr>
          <w:rFonts w:ascii="Times New Roman" w:eastAsia="宋体" w:hAnsi="Times New Roman"/>
          <w:color w:val="000000"/>
          <w:sz w:val="20"/>
          <w:szCs w:val="20"/>
        </w:rPr>
        <w:t>This Quarterly Report on Form 10-Q should be read in conjunction with Walmart's Annual Report on Form 10-K for the fiscal year ended January 31, 2022 and all of Walmart's subse</w:t>
      </w:r>
      <w:r>
        <w:rPr>
          <w:rFonts w:ascii="Times New Roman" w:eastAsia="宋体" w:hAnsi="Times New Roman"/>
          <w:color w:val="000000"/>
          <w:sz w:val="20"/>
          <w:szCs w:val="20"/>
        </w:rPr>
        <w:t>quent other filings with the Securities and Exchange Commission. Walmart urges investors to consider all of the risks, uncertainties and other factors disclosed in these filings carefully in evaluating the forward-looking statements contained in this Quart</w:t>
      </w:r>
      <w:r>
        <w:rPr>
          <w:rFonts w:ascii="Times New Roman" w:eastAsia="宋体" w:hAnsi="Times New Roman"/>
          <w:color w:val="000000"/>
          <w:sz w:val="20"/>
          <w:szCs w:val="20"/>
        </w:rPr>
        <w:t>erly Report on Form 10-Q. The Company cannot assure you that the results or developments anticipated by the Company and reflected or implied by any forward-looking statement contained in this Quarterly Report on Form 10-Q will be realized or, even if subst</w:t>
      </w:r>
      <w:r>
        <w:rPr>
          <w:rFonts w:ascii="Times New Roman" w:eastAsia="宋体" w:hAnsi="Times New Roman"/>
          <w:color w:val="000000"/>
          <w:sz w:val="20"/>
          <w:szCs w:val="20"/>
        </w:rPr>
        <w:t>antially realized, that those results or developments will result in the forecasted or expected consequences for the Company or affect the Company, its operations or its financial performance as the Company has forecasted or expected. As a result of the ma</w:t>
      </w:r>
      <w:r>
        <w:rPr>
          <w:rFonts w:ascii="Times New Roman" w:eastAsia="宋体" w:hAnsi="Times New Roman"/>
          <w:color w:val="000000"/>
          <w:sz w:val="20"/>
          <w:szCs w:val="20"/>
        </w:rPr>
        <w:t>tters discussed above and other matters, including changes in facts, assumptions not being realized or other factors, the actual results relating to the subject matter of any forward-looking statement in this Quarterly Report on Form 10-Q may differ materi</w:t>
      </w:r>
      <w:r>
        <w:rPr>
          <w:rFonts w:ascii="Times New Roman" w:eastAsia="宋体" w:hAnsi="Times New Roman"/>
          <w:color w:val="000000"/>
          <w:sz w:val="20"/>
          <w:szCs w:val="20"/>
        </w:rPr>
        <w:t>ally from the anticipated results expressed or implied in that forward-looking statement. The forward-looking statements included in this Quarterly Report on Form 10-Q are made only as of the date of this report, and Walmart undertakes no obligation to upd</w:t>
      </w:r>
      <w:r>
        <w:rPr>
          <w:rFonts w:ascii="Times New Roman" w:eastAsia="宋体" w:hAnsi="Times New Roman"/>
          <w:color w:val="000000"/>
          <w:sz w:val="20"/>
          <w:szCs w:val="20"/>
        </w:rPr>
        <w:t>ate any such statements to reflect subsequent events or circumstances.</w:t>
      </w:r>
    </w:p>
    <w:p w14:paraId="4B9A4AE0" w14:textId="77777777" w:rsidR="002A3970" w:rsidRDefault="00C35E63">
      <w:pPr>
        <w:jc w:val="center"/>
      </w:pPr>
      <w:r>
        <w:rPr>
          <w:rFonts w:ascii="Times New Roman" w:eastAsia="宋体" w:hAnsi="Times New Roman"/>
          <w:color w:val="000000"/>
          <w:sz w:val="20"/>
          <w:szCs w:val="20"/>
        </w:rPr>
        <w:t>35</w:t>
      </w:r>
    </w:p>
    <w:p w14:paraId="4B9A4AE1" w14:textId="77777777" w:rsidR="002A3970" w:rsidRDefault="00C35E63">
      <w:r>
        <w:pict w14:anchorId="4B9A4C38">
          <v:rect id="_x0000_i1059" style="width:415.3pt;height:1.5pt" o:hralign="center" o:hrstd="t" o:hr="t" fillcolor="#a0a0a0" stroked="f"/>
        </w:pict>
      </w:r>
    </w:p>
    <w:p w14:paraId="4B9A4AE2" w14:textId="77777777" w:rsidR="002A3970" w:rsidRDefault="00C35E63">
      <w:hyperlink r:id="rId108" w:anchor="i0522a2f6333e456295d59e779af751cb_7" w:history="1">
        <w:r>
          <w:rPr>
            <w:rStyle w:val="a5"/>
            <w:rFonts w:ascii="Times New Roman" w:eastAsia="宋体" w:hAnsi="Times New Roman"/>
            <w:sz w:val="20"/>
            <w:szCs w:val="20"/>
          </w:rPr>
          <w:t>Table of Contents</w:t>
        </w:r>
      </w:hyperlink>
    </w:p>
    <w:p w14:paraId="4B9A4AE3" w14:textId="77777777" w:rsidR="002A3970" w:rsidRDefault="00C35E63">
      <w:pPr>
        <w:spacing w:before="180"/>
      </w:pPr>
      <w:r>
        <w:rPr>
          <w:rFonts w:ascii="Times New Roman" w:eastAsia="宋体" w:hAnsi="Times New Roman"/>
          <w:b/>
          <w:bCs/>
          <w:color w:val="000000"/>
          <w:sz w:val="20"/>
          <w:szCs w:val="20"/>
        </w:rPr>
        <w:t>Item 6. Ex</w:t>
      </w:r>
      <w:r>
        <w:rPr>
          <w:rFonts w:ascii="Times New Roman" w:eastAsia="宋体" w:hAnsi="Times New Roman"/>
          <w:b/>
          <w:bCs/>
          <w:color w:val="000000"/>
          <w:sz w:val="20"/>
          <w:szCs w:val="20"/>
        </w:rPr>
        <w:t>hibits</w:t>
      </w:r>
    </w:p>
    <w:p w14:paraId="4B9A4AE4" w14:textId="77777777" w:rsidR="002A3970" w:rsidRDefault="00C35E63">
      <w:pPr>
        <w:spacing w:before="120"/>
      </w:pPr>
      <w:r>
        <w:rPr>
          <w:rFonts w:ascii="Times New Roman" w:eastAsia="宋体" w:hAnsi="Times New Roman"/>
          <w:color w:val="000000"/>
          <w:sz w:val="20"/>
          <w:szCs w:val="20"/>
        </w:rPr>
        <w:t>The following documents are filed as an exhibit to this Quarterly Report on Form 10-Q:</w:t>
      </w:r>
    </w:p>
    <w:tbl>
      <w:tblPr>
        <w:tblW w:w="5000" w:type="pct"/>
        <w:tblCellMar>
          <w:top w:w="15" w:type="dxa"/>
          <w:left w:w="15" w:type="dxa"/>
          <w:bottom w:w="15" w:type="dxa"/>
          <w:right w:w="15" w:type="dxa"/>
        </w:tblCellMar>
        <w:tblLook w:val="04A0" w:firstRow="1" w:lastRow="0" w:firstColumn="1" w:lastColumn="0" w:noHBand="0" w:noVBand="1"/>
      </w:tblPr>
      <w:tblGrid>
        <w:gridCol w:w="93"/>
        <w:gridCol w:w="1343"/>
        <w:gridCol w:w="36"/>
        <w:gridCol w:w="36"/>
        <w:gridCol w:w="36"/>
        <w:gridCol w:w="36"/>
        <w:gridCol w:w="37"/>
        <w:gridCol w:w="6683"/>
        <w:gridCol w:w="36"/>
      </w:tblGrid>
      <w:tr w:rsidR="002A3970" w14:paraId="4B9A4AEE" w14:textId="77777777">
        <w:tc>
          <w:tcPr>
            <w:tcW w:w="50" w:type="pct"/>
            <w:shd w:val="clear" w:color="auto" w:fill="auto"/>
            <w:vAlign w:val="bottom"/>
          </w:tcPr>
          <w:p w14:paraId="4B9A4AE5" w14:textId="77777777" w:rsidR="002A3970" w:rsidRDefault="002A3970">
            <w:pPr>
              <w:rPr>
                <w:rFonts w:ascii="宋体"/>
              </w:rPr>
            </w:pPr>
          </w:p>
        </w:tc>
        <w:tc>
          <w:tcPr>
            <w:tcW w:w="727" w:type="pct"/>
            <w:shd w:val="clear" w:color="auto" w:fill="auto"/>
            <w:vAlign w:val="bottom"/>
          </w:tcPr>
          <w:p w14:paraId="4B9A4AE6" w14:textId="77777777" w:rsidR="002A3970" w:rsidRDefault="002A3970">
            <w:pPr>
              <w:rPr>
                <w:rFonts w:ascii="宋体"/>
              </w:rPr>
            </w:pPr>
          </w:p>
        </w:tc>
        <w:tc>
          <w:tcPr>
            <w:tcW w:w="5" w:type="pct"/>
            <w:shd w:val="clear" w:color="auto" w:fill="auto"/>
            <w:vAlign w:val="bottom"/>
          </w:tcPr>
          <w:p w14:paraId="4B9A4AE7" w14:textId="77777777" w:rsidR="002A3970" w:rsidRDefault="002A3970">
            <w:pPr>
              <w:rPr>
                <w:rFonts w:ascii="宋体"/>
              </w:rPr>
            </w:pPr>
          </w:p>
        </w:tc>
        <w:tc>
          <w:tcPr>
            <w:tcW w:w="5" w:type="pct"/>
            <w:shd w:val="clear" w:color="auto" w:fill="auto"/>
            <w:vAlign w:val="bottom"/>
          </w:tcPr>
          <w:p w14:paraId="4B9A4AE8" w14:textId="77777777" w:rsidR="002A3970" w:rsidRDefault="002A3970">
            <w:pPr>
              <w:rPr>
                <w:rFonts w:ascii="宋体"/>
              </w:rPr>
            </w:pPr>
          </w:p>
        </w:tc>
        <w:tc>
          <w:tcPr>
            <w:tcW w:w="26" w:type="pct"/>
            <w:shd w:val="clear" w:color="auto" w:fill="auto"/>
            <w:vAlign w:val="bottom"/>
          </w:tcPr>
          <w:p w14:paraId="4B9A4AE9" w14:textId="77777777" w:rsidR="002A3970" w:rsidRDefault="002A3970">
            <w:pPr>
              <w:rPr>
                <w:rFonts w:ascii="宋体"/>
              </w:rPr>
            </w:pPr>
          </w:p>
        </w:tc>
        <w:tc>
          <w:tcPr>
            <w:tcW w:w="5" w:type="pct"/>
            <w:shd w:val="clear" w:color="auto" w:fill="auto"/>
            <w:vAlign w:val="bottom"/>
          </w:tcPr>
          <w:p w14:paraId="4B9A4AEA" w14:textId="77777777" w:rsidR="002A3970" w:rsidRDefault="002A3970">
            <w:pPr>
              <w:rPr>
                <w:rFonts w:ascii="宋体"/>
              </w:rPr>
            </w:pPr>
          </w:p>
        </w:tc>
        <w:tc>
          <w:tcPr>
            <w:tcW w:w="50" w:type="pct"/>
            <w:shd w:val="clear" w:color="auto" w:fill="auto"/>
            <w:vAlign w:val="bottom"/>
          </w:tcPr>
          <w:p w14:paraId="4B9A4AEB" w14:textId="77777777" w:rsidR="002A3970" w:rsidRDefault="002A3970">
            <w:pPr>
              <w:rPr>
                <w:rFonts w:ascii="宋体"/>
              </w:rPr>
            </w:pPr>
          </w:p>
        </w:tc>
        <w:tc>
          <w:tcPr>
            <w:tcW w:w="4126" w:type="pct"/>
            <w:shd w:val="clear" w:color="auto" w:fill="auto"/>
            <w:vAlign w:val="bottom"/>
          </w:tcPr>
          <w:p w14:paraId="4B9A4AEC" w14:textId="77777777" w:rsidR="002A3970" w:rsidRDefault="002A3970">
            <w:pPr>
              <w:rPr>
                <w:rFonts w:ascii="宋体"/>
              </w:rPr>
            </w:pPr>
          </w:p>
        </w:tc>
        <w:tc>
          <w:tcPr>
            <w:tcW w:w="5" w:type="pct"/>
            <w:shd w:val="clear" w:color="auto" w:fill="auto"/>
            <w:vAlign w:val="bottom"/>
          </w:tcPr>
          <w:p w14:paraId="4B9A4AED" w14:textId="77777777" w:rsidR="002A3970" w:rsidRDefault="002A3970">
            <w:pPr>
              <w:rPr>
                <w:rFonts w:ascii="宋体"/>
              </w:rPr>
            </w:pPr>
          </w:p>
        </w:tc>
      </w:tr>
      <w:tr w:rsidR="002A3970" w14:paraId="4B9A4AF2" w14:textId="77777777">
        <w:tc>
          <w:tcPr>
            <w:tcW w:w="0" w:type="auto"/>
            <w:gridSpan w:val="3"/>
            <w:shd w:val="clear" w:color="auto" w:fill="auto"/>
            <w:tcMar>
              <w:top w:w="40" w:type="dxa"/>
              <w:left w:w="20" w:type="dxa"/>
              <w:bottom w:w="40" w:type="dxa"/>
              <w:right w:w="20" w:type="dxa"/>
            </w:tcMar>
          </w:tcPr>
          <w:p w14:paraId="4B9A4AEF" w14:textId="77777777" w:rsidR="002A3970" w:rsidRDefault="00C35E63">
            <w:pPr>
              <w:textAlignment w:val="top"/>
            </w:pPr>
            <w:r>
              <w:rPr>
                <w:rFonts w:ascii="Times New Roman" w:eastAsia="宋体" w:hAnsi="Times New Roman"/>
                <w:color w:val="000000"/>
                <w:sz w:val="19"/>
                <w:szCs w:val="19"/>
              </w:rPr>
              <w:t>Exhibit 3.1</w:t>
            </w:r>
          </w:p>
        </w:tc>
        <w:tc>
          <w:tcPr>
            <w:tcW w:w="0" w:type="auto"/>
            <w:gridSpan w:val="3"/>
            <w:shd w:val="clear" w:color="auto" w:fill="auto"/>
            <w:tcMar>
              <w:top w:w="0" w:type="dxa"/>
              <w:left w:w="20" w:type="dxa"/>
              <w:bottom w:w="0" w:type="dxa"/>
              <w:right w:w="20" w:type="dxa"/>
            </w:tcMar>
            <w:vAlign w:val="bottom"/>
          </w:tcPr>
          <w:p w14:paraId="4B9A4AF0"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AF1" w14:textId="77777777" w:rsidR="002A3970" w:rsidRDefault="00C35E63">
            <w:pPr>
              <w:textAlignment w:val="top"/>
            </w:pPr>
            <w:hyperlink r:id="rId109" w:history="1">
              <w:r>
                <w:rPr>
                  <w:rStyle w:val="a5"/>
                  <w:rFonts w:ascii="Times New Roman" w:eastAsia="宋体" w:hAnsi="Times New Roman"/>
                  <w:sz w:val="19"/>
                  <w:szCs w:val="19"/>
                </w:rPr>
                <w:t xml:space="preserve">Restated Certificate of Incorporation of the Company dated February 1, 2018 is incorporated herein by reference to Exhibit 3.1 to the Current Report on Form </w:t>
              </w:r>
              <w:r>
                <w:rPr>
                  <w:rStyle w:val="a5"/>
                  <w:rFonts w:ascii="Times New Roman" w:eastAsia="宋体" w:hAnsi="Times New Roman"/>
                  <w:sz w:val="19"/>
                  <w:szCs w:val="19"/>
                </w:rPr>
                <w:t>8-K that the Company filed on February 1, 2018</w:t>
              </w:r>
            </w:hyperlink>
          </w:p>
        </w:tc>
      </w:tr>
      <w:tr w:rsidR="002A3970" w14:paraId="4B9A4AF6" w14:textId="77777777">
        <w:trPr>
          <w:trHeight w:val="60"/>
        </w:trPr>
        <w:tc>
          <w:tcPr>
            <w:tcW w:w="0" w:type="auto"/>
            <w:gridSpan w:val="3"/>
            <w:shd w:val="clear" w:color="auto" w:fill="auto"/>
            <w:tcMar>
              <w:top w:w="0" w:type="dxa"/>
              <w:left w:w="20" w:type="dxa"/>
              <w:bottom w:w="0" w:type="dxa"/>
              <w:right w:w="20" w:type="dxa"/>
            </w:tcMar>
            <w:vAlign w:val="bottom"/>
          </w:tcPr>
          <w:p w14:paraId="4B9A4AF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AF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AF5" w14:textId="77777777" w:rsidR="002A3970" w:rsidRDefault="002A3970">
            <w:pPr>
              <w:rPr>
                <w:rFonts w:ascii="宋体"/>
              </w:rPr>
            </w:pPr>
          </w:p>
        </w:tc>
      </w:tr>
      <w:tr w:rsidR="002A3970" w14:paraId="4B9A4AFA" w14:textId="77777777">
        <w:tc>
          <w:tcPr>
            <w:tcW w:w="0" w:type="auto"/>
            <w:gridSpan w:val="3"/>
            <w:shd w:val="clear" w:color="auto" w:fill="auto"/>
            <w:tcMar>
              <w:top w:w="40" w:type="dxa"/>
              <w:left w:w="20" w:type="dxa"/>
              <w:bottom w:w="40" w:type="dxa"/>
              <w:right w:w="20" w:type="dxa"/>
            </w:tcMar>
          </w:tcPr>
          <w:p w14:paraId="4B9A4AF7" w14:textId="77777777" w:rsidR="002A3970" w:rsidRDefault="00C35E63">
            <w:pPr>
              <w:textAlignment w:val="top"/>
            </w:pPr>
            <w:r>
              <w:rPr>
                <w:rFonts w:ascii="Times New Roman" w:eastAsia="宋体" w:hAnsi="Times New Roman"/>
                <w:color w:val="000000"/>
                <w:sz w:val="19"/>
                <w:szCs w:val="19"/>
              </w:rPr>
              <w:t>Exhibit 3.2</w:t>
            </w:r>
          </w:p>
        </w:tc>
        <w:tc>
          <w:tcPr>
            <w:tcW w:w="0" w:type="auto"/>
            <w:gridSpan w:val="3"/>
            <w:shd w:val="clear" w:color="auto" w:fill="auto"/>
            <w:tcMar>
              <w:top w:w="0" w:type="dxa"/>
              <w:left w:w="20" w:type="dxa"/>
              <w:bottom w:w="0" w:type="dxa"/>
              <w:right w:w="20" w:type="dxa"/>
            </w:tcMar>
            <w:vAlign w:val="bottom"/>
          </w:tcPr>
          <w:p w14:paraId="4B9A4AF8"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AF9" w14:textId="77777777" w:rsidR="002A3970" w:rsidRDefault="00C35E63">
            <w:pPr>
              <w:textAlignment w:val="bottom"/>
            </w:pPr>
            <w:hyperlink r:id="rId110" w:history="1">
              <w:r>
                <w:rPr>
                  <w:rStyle w:val="a5"/>
                  <w:rFonts w:ascii="Times New Roman" w:eastAsia="宋体" w:hAnsi="Times New Roman"/>
                  <w:sz w:val="19"/>
                  <w:szCs w:val="19"/>
                </w:rPr>
                <w:t>Amended and Restated Bylaws of the Company dated November 10, 2022 are incorporated herein by reference to Exhibit 3.1 to the Current Report on Fo</w:t>
              </w:r>
              <w:r>
                <w:rPr>
                  <w:rStyle w:val="a5"/>
                  <w:rFonts w:ascii="Times New Roman" w:eastAsia="宋体" w:hAnsi="Times New Roman"/>
                  <w:sz w:val="19"/>
                  <w:szCs w:val="19"/>
                </w:rPr>
                <w:t>rm 8-K that the Company filed on November 16, 2022</w:t>
              </w:r>
            </w:hyperlink>
          </w:p>
        </w:tc>
      </w:tr>
      <w:tr w:rsidR="002A3970" w14:paraId="4B9A4AFE" w14:textId="77777777">
        <w:trPr>
          <w:hidden/>
        </w:trPr>
        <w:tc>
          <w:tcPr>
            <w:tcW w:w="0" w:type="auto"/>
            <w:gridSpan w:val="3"/>
            <w:shd w:val="clear" w:color="auto" w:fill="auto"/>
            <w:vAlign w:val="bottom"/>
          </w:tcPr>
          <w:p w14:paraId="4B9A4AFB" w14:textId="77777777" w:rsidR="002A3970" w:rsidRDefault="002A3970">
            <w:pPr>
              <w:rPr>
                <w:rFonts w:ascii="宋体"/>
                <w:vanish/>
              </w:rPr>
            </w:pPr>
          </w:p>
        </w:tc>
        <w:tc>
          <w:tcPr>
            <w:tcW w:w="0" w:type="auto"/>
            <w:gridSpan w:val="3"/>
            <w:shd w:val="clear" w:color="auto" w:fill="auto"/>
            <w:vAlign w:val="bottom"/>
          </w:tcPr>
          <w:p w14:paraId="4B9A4AFC" w14:textId="77777777" w:rsidR="002A3970" w:rsidRDefault="002A3970">
            <w:pPr>
              <w:rPr>
                <w:rFonts w:ascii="宋体"/>
                <w:vanish/>
              </w:rPr>
            </w:pPr>
          </w:p>
        </w:tc>
        <w:tc>
          <w:tcPr>
            <w:tcW w:w="0" w:type="auto"/>
            <w:gridSpan w:val="3"/>
            <w:shd w:val="clear" w:color="auto" w:fill="auto"/>
            <w:vAlign w:val="bottom"/>
          </w:tcPr>
          <w:p w14:paraId="4B9A4AFD" w14:textId="77777777" w:rsidR="002A3970" w:rsidRDefault="002A3970">
            <w:pPr>
              <w:rPr>
                <w:rFonts w:ascii="宋体"/>
                <w:vanish/>
              </w:rPr>
            </w:pPr>
          </w:p>
        </w:tc>
      </w:tr>
      <w:tr w:rsidR="002A3970" w14:paraId="4B9A4B02" w14:textId="77777777">
        <w:trPr>
          <w:hidden/>
        </w:trPr>
        <w:tc>
          <w:tcPr>
            <w:tcW w:w="0" w:type="auto"/>
            <w:gridSpan w:val="3"/>
            <w:shd w:val="clear" w:color="auto" w:fill="auto"/>
            <w:vAlign w:val="bottom"/>
          </w:tcPr>
          <w:p w14:paraId="4B9A4AFF" w14:textId="77777777" w:rsidR="002A3970" w:rsidRDefault="002A3970">
            <w:pPr>
              <w:rPr>
                <w:rFonts w:ascii="宋体"/>
                <w:vanish/>
              </w:rPr>
            </w:pPr>
          </w:p>
        </w:tc>
        <w:tc>
          <w:tcPr>
            <w:tcW w:w="0" w:type="auto"/>
            <w:gridSpan w:val="3"/>
            <w:shd w:val="clear" w:color="auto" w:fill="auto"/>
            <w:vAlign w:val="bottom"/>
          </w:tcPr>
          <w:p w14:paraId="4B9A4B00" w14:textId="77777777" w:rsidR="002A3970" w:rsidRDefault="002A3970">
            <w:pPr>
              <w:rPr>
                <w:rFonts w:ascii="宋体"/>
                <w:vanish/>
              </w:rPr>
            </w:pPr>
          </w:p>
        </w:tc>
        <w:tc>
          <w:tcPr>
            <w:tcW w:w="0" w:type="auto"/>
            <w:gridSpan w:val="3"/>
            <w:shd w:val="clear" w:color="auto" w:fill="auto"/>
            <w:vAlign w:val="bottom"/>
          </w:tcPr>
          <w:p w14:paraId="4B9A4B01" w14:textId="77777777" w:rsidR="002A3970" w:rsidRDefault="002A3970">
            <w:pPr>
              <w:rPr>
                <w:rFonts w:ascii="宋体"/>
                <w:vanish/>
              </w:rPr>
            </w:pPr>
          </w:p>
        </w:tc>
      </w:tr>
      <w:tr w:rsidR="002A3970" w14:paraId="4B9A4B06" w14:textId="77777777">
        <w:trPr>
          <w:trHeight w:val="60"/>
        </w:trPr>
        <w:tc>
          <w:tcPr>
            <w:tcW w:w="0" w:type="auto"/>
            <w:gridSpan w:val="3"/>
            <w:shd w:val="clear" w:color="auto" w:fill="auto"/>
            <w:tcMar>
              <w:top w:w="0" w:type="dxa"/>
              <w:left w:w="20" w:type="dxa"/>
              <w:bottom w:w="0" w:type="dxa"/>
              <w:right w:w="20" w:type="dxa"/>
            </w:tcMar>
            <w:vAlign w:val="bottom"/>
          </w:tcPr>
          <w:p w14:paraId="4B9A4B0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04"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05" w14:textId="77777777" w:rsidR="002A3970" w:rsidRDefault="002A3970">
            <w:pPr>
              <w:rPr>
                <w:rFonts w:ascii="宋体"/>
              </w:rPr>
            </w:pPr>
          </w:p>
        </w:tc>
      </w:tr>
      <w:tr w:rsidR="002A3970" w14:paraId="4B9A4B0A" w14:textId="77777777">
        <w:tc>
          <w:tcPr>
            <w:tcW w:w="0" w:type="auto"/>
            <w:gridSpan w:val="3"/>
            <w:shd w:val="clear" w:color="auto" w:fill="auto"/>
            <w:tcMar>
              <w:top w:w="40" w:type="dxa"/>
              <w:left w:w="20" w:type="dxa"/>
              <w:bottom w:w="40" w:type="dxa"/>
              <w:right w:w="20" w:type="dxa"/>
            </w:tcMar>
          </w:tcPr>
          <w:p w14:paraId="4B9A4B07" w14:textId="77777777" w:rsidR="002A3970" w:rsidRDefault="00C35E63">
            <w:pPr>
              <w:textAlignment w:val="top"/>
            </w:pPr>
            <w:r>
              <w:rPr>
                <w:rFonts w:ascii="Times New Roman" w:eastAsia="宋体" w:hAnsi="Times New Roman"/>
                <w:color w:val="000000"/>
                <w:sz w:val="19"/>
                <w:szCs w:val="19"/>
              </w:rPr>
              <w:t>Exhibit 31.1*</w:t>
            </w:r>
          </w:p>
        </w:tc>
        <w:tc>
          <w:tcPr>
            <w:tcW w:w="0" w:type="auto"/>
            <w:gridSpan w:val="3"/>
            <w:shd w:val="clear" w:color="auto" w:fill="auto"/>
            <w:tcMar>
              <w:top w:w="0" w:type="dxa"/>
              <w:left w:w="20" w:type="dxa"/>
              <w:bottom w:w="0" w:type="dxa"/>
              <w:right w:w="20" w:type="dxa"/>
            </w:tcMar>
            <w:vAlign w:val="bottom"/>
          </w:tcPr>
          <w:p w14:paraId="4B9A4B08"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09" w14:textId="77777777" w:rsidR="002A3970" w:rsidRDefault="00C35E63">
            <w:pPr>
              <w:textAlignment w:val="top"/>
            </w:pPr>
            <w:hyperlink r:id="rId111" w:history="1">
              <w:r>
                <w:rPr>
                  <w:rStyle w:val="a5"/>
                  <w:rFonts w:ascii="Times New Roman" w:eastAsia="宋体" w:hAnsi="Times New Roman"/>
                  <w:sz w:val="19"/>
                  <w:szCs w:val="19"/>
                </w:rPr>
                <w:t>Chief Executive Officer Section 302 Certification</w:t>
              </w:r>
            </w:hyperlink>
          </w:p>
        </w:tc>
      </w:tr>
      <w:tr w:rsidR="002A3970" w14:paraId="4B9A4B0D" w14:textId="77777777">
        <w:trPr>
          <w:trHeight w:val="60"/>
        </w:trPr>
        <w:tc>
          <w:tcPr>
            <w:tcW w:w="0" w:type="auto"/>
            <w:gridSpan w:val="3"/>
            <w:shd w:val="clear" w:color="auto" w:fill="auto"/>
            <w:tcMar>
              <w:top w:w="0" w:type="dxa"/>
              <w:left w:w="20" w:type="dxa"/>
              <w:bottom w:w="0" w:type="dxa"/>
              <w:right w:w="20" w:type="dxa"/>
            </w:tcMar>
            <w:vAlign w:val="bottom"/>
          </w:tcPr>
          <w:p w14:paraId="4B9A4B0B"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0C" w14:textId="77777777" w:rsidR="002A3970" w:rsidRDefault="002A3970">
            <w:pPr>
              <w:rPr>
                <w:rFonts w:ascii="宋体"/>
              </w:rPr>
            </w:pPr>
          </w:p>
        </w:tc>
      </w:tr>
      <w:tr w:rsidR="002A3970" w14:paraId="4B9A4B11" w14:textId="77777777">
        <w:tc>
          <w:tcPr>
            <w:tcW w:w="0" w:type="auto"/>
            <w:gridSpan w:val="3"/>
            <w:shd w:val="clear" w:color="auto" w:fill="auto"/>
            <w:tcMar>
              <w:top w:w="40" w:type="dxa"/>
              <w:left w:w="20" w:type="dxa"/>
              <w:bottom w:w="40" w:type="dxa"/>
              <w:right w:w="20" w:type="dxa"/>
            </w:tcMar>
          </w:tcPr>
          <w:p w14:paraId="4B9A4B0E" w14:textId="77777777" w:rsidR="002A3970" w:rsidRDefault="00C35E63">
            <w:pPr>
              <w:textAlignment w:val="top"/>
            </w:pPr>
            <w:r>
              <w:rPr>
                <w:rFonts w:ascii="Times New Roman" w:eastAsia="宋体" w:hAnsi="Times New Roman"/>
                <w:color w:val="000000"/>
                <w:sz w:val="19"/>
                <w:szCs w:val="19"/>
              </w:rPr>
              <w:t>Exhibit 31.2*</w:t>
            </w:r>
          </w:p>
        </w:tc>
        <w:tc>
          <w:tcPr>
            <w:tcW w:w="0" w:type="auto"/>
            <w:gridSpan w:val="3"/>
            <w:shd w:val="clear" w:color="auto" w:fill="auto"/>
            <w:tcMar>
              <w:top w:w="0" w:type="dxa"/>
              <w:left w:w="20" w:type="dxa"/>
              <w:bottom w:w="0" w:type="dxa"/>
              <w:right w:w="20" w:type="dxa"/>
            </w:tcMar>
            <w:vAlign w:val="bottom"/>
          </w:tcPr>
          <w:p w14:paraId="4B9A4B0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10" w14:textId="77777777" w:rsidR="002A3970" w:rsidRDefault="00C35E63">
            <w:pPr>
              <w:textAlignment w:val="top"/>
            </w:pPr>
            <w:hyperlink r:id="rId112" w:history="1">
              <w:r>
                <w:rPr>
                  <w:rStyle w:val="a5"/>
                  <w:rFonts w:ascii="Times New Roman" w:eastAsia="宋体" w:hAnsi="Times New Roman"/>
                  <w:sz w:val="19"/>
                  <w:szCs w:val="19"/>
                </w:rPr>
                <w:t>Chief Financial Officer Section 302 Certification</w:t>
              </w:r>
            </w:hyperlink>
          </w:p>
        </w:tc>
      </w:tr>
      <w:tr w:rsidR="002A3970" w14:paraId="4B9A4B14" w14:textId="77777777">
        <w:trPr>
          <w:trHeight w:val="60"/>
        </w:trPr>
        <w:tc>
          <w:tcPr>
            <w:tcW w:w="0" w:type="auto"/>
            <w:gridSpan w:val="3"/>
            <w:shd w:val="clear" w:color="auto" w:fill="auto"/>
            <w:tcMar>
              <w:top w:w="0" w:type="dxa"/>
              <w:left w:w="20" w:type="dxa"/>
              <w:bottom w:w="0" w:type="dxa"/>
              <w:right w:w="20" w:type="dxa"/>
            </w:tcMar>
            <w:vAlign w:val="bottom"/>
          </w:tcPr>
          <w:p w14:paraId="4B9A4B12"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13" w14:textId="77777777" w:rsidR="002A3970" w:rsidRDefault="002A3970">
            <w:pPr>
              <w:rPr>
                <w:rFonts w:ascii="宋体"/>
              </w:rPr>
            </w:pPr>
          </w:p>
        </w:tc>
      </w:tr>
      <w:tr w:rsidR="002A3970" w14:paraId="4B9A4B18" w14:textId="77777777">
        <w:tc>
          <w:tcPr>
            <w:tcW w:w="0" w:type="auto"/>
            <w:gridSpan w:val="3"/>
            <w:shd w:val="clear" w:color="auto" w:fill="auto"/>
            <w:tcMar>
              <w:top w:w="40" w:type="dxa"/>
              <w:left w:w="20" w:type="dxa"/>
              <w:bottom w:w="40" w:type="dxa"/>
              <w:right w:w="20" w:type="dxa"/>
            </w:tcMar>
          </w:tcPr>
          <w:p w14:paraId="4B9A4B15" w14:textId="77777777" w:rsidR="002A3970" w:rsidRDefault="00C35E63">
            <w:pPr>
              <w:textAlignment w:val="top"/>
            </w:pPr>
            <w:r>
              <w:rPr>
                <w:rFonts w:ascii="Times New Roman" w:eastAsia="宋体" w:hAnsi="Times New Roman"/>
                <w:color w:val="000000"/>
                <w:sz w:val="19"/>
                <w:szCs w:val="19"/>
              </w:rPr>
              <w:t>Exhibit 32.1**</w:t>
            </w:r>
          </w:p>
        </w:tc>
        <w:tc>
          <w:tcPr>
            <w:tcW w:w="0" w:type="auto"/>
            <w:gridSpan w:val="3"/>
            <w:shd w:val="clear" w:color="auto" w:fill="auto"/>
            <w:tcMar>
              <w:top w:w="0" w:type="dxa"/>
              <w:left w:w="20" w:type="dxa"/>
              <w:bottom w:w="0" w:type="dxa"/>
              <w:right w:w="20" w:type="dxa"/>
            </w:tcMar>
            <w:vAlign w:val="bottom"/>
          </w:tcPr>
          <w:p w14:paraId="4B9A4B1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17" w14:textId="77777777" w:rsidR="002A3970" w:rsidRDefault="00C35E63">
            <w:pPr>
              <w:textAlignment w:val="top"/>
            </w:pPr>
            <w:hyperlink r:id="rId113" w:history="1">
              <w:r>
                <w:rPr>
                  <w:rStyle w:val="a5"/>
                  <w:rFonts w:ascii="Times New Roman" w:eastAsia="宋体" w:hAnsi="Times New Roman"/>
                  <w:sz w:val="19"/>
                  <w:szCs w:val="19"/>
                </w:rPr>
                <w:t>Chief Executive Officer Section 906 Certification</w:t>
              </w:r>
            </w:hyperlink>
          </w:p>
        </w:tc>
      </w:tr>
      <w:tr w:rsidR="002A3970" w14:paraId="4B9A4B1B" w14:textId="77777777">
        <w:trPr>
          <w:trHeight w:val="60"/>
        </w:trPr>
        <w:tc>
          <w:tcPr>
            <w:tcW w:w="0" w:type="auto"/>
            <w:gridSpan w:val="3"/>
            <w:shd w:val="clear" w:color="auto" w:fill="auto"/>
            <w:tcMar>
              <w:top w:w="0" w:type="dxa"/>
              <w:left w:w="20" w:type="dxa"/>
              <w:bottom w:w="0" w:type="dxa"/>
              <w:right w:w="20" w:type="dxa"/>
            </w:tcMar>
            <w:vAlign w:val="bottom"/>
          </w:tcPr>
          <w:p w14:paraId="4B9A4B19"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1A" w14:textId="77777777" w:rsidR="002A3970" w:rsidRDefault="002A3970">
            <w:pPr>
              <w:rPr>
                <w:rFonts w:ascii="宋体"/>
              </w:rPr>
            </w:pPr>
          </w:p>
        </w:tc>
      </w:tr>
      <w:tr w:rsidR="002A3970" w14:paraId="4B9A4B1F" w14:textId="77777777">
        <w:tc>
          <w:tcPr>
            <w:tcW w:w="0" w:type="auto"/>
            <w:gridSpan w:val="3"/>
            <w:shd w:val="clear" w:color="auto" w:fill="auto"/>
            <w:tcMar>
              <w:top w:w="40" w:type="dxa"/>
              <w:left w:w="20" w:type="dxa"/>
              <w:bottom w:w="40" w:type="dxa"/>
              <w:right w:w="20" w:type="dxa"/>
            </w:tcMar>
          </w:tcPr>
          <w:p w14:paraId="4B9A4B1C" w14:textId="77777777" w:rsidR="002A3970" w:rsidRDefault="00C35E63">
            <w:pPr>
              <w:textAlignment w:val="top"/>
            </w:pPr>
            <w:r>
              <w:rPr>
                <w:rFonts w:ascii="Times New Roman" w:eastAsia="宋体" w:hAnsi="Times New Roman"/>
                <w:color w:val="000000"/>
                <w:sz w:val="19"/>
                <w:szCs w:val="19"/>
              </w:rPr>
              <w:t>Exhibit 32.2**</w:t>
            </w:r>
          </w:p>
        </w:tc>
        <w:tc>
          <w:tcPr>
            <w:tcW w:w="0" w:type="auto"/>
            <w:gridSpan w:val="3"/>
            <w:shd w:val="clear" w:color="auto" w:fill="auto"/>
            <w:tcMar>
              <w:top w:w="0" w:type="dxa"/>
              <w:left w:w="20" w:type="dxa"/>
              <w:bottom w:w="0" w:type="dxa"/>
              <w:right w:w="20" w:type="dxa"/>
            </w:tcMar>
            <w:vAlign w:val="bottom"/>
          </w:tcPr>
          <w:p w14:paraId="4B9A4B1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1E" w14:textId="77777777" w:rsidR="002A3970" w:rsidRDefault="00C35E63">
            <w:pPr>
              <w:textAlignment w:val="top"/>
            </w:pPr>
            <w:hyperlink r:id="rId114" w:history="1">
              <w:r>
                <w:rPr>
                  <w:rStyle w:val="a5"/>
                  <w:rFonts w:ascii="Times New Roman" w:eastAsia="宋体" w:hAnsi="Times New Roman"/>
                  <w:sz w:val="19"/>
                  <w:szCs w:val="19"/>
                </w:rPr>
                <w:t>Chief Financial Officer Section 906 Certification</w:t>
              </w:r>
            </w:hyperlink>
          </w:p>
        </w:tc>
      </w:tr>
      <w:tr w:rsidR="002A3970" w14:paraId="4B9A4B25" w14:textId="77777777">
        <w:trPr>
          <w:hidden/>
        </w:trPr>
        <w:tc>
          <w:tcPr>
            <w:tcW w:w="0" w:type="auto"/>
            <w:gridSpan w:val="3"/>
            <w:shd w:val="clear" w:color="auto" w:fill="auto"/>
            <w:vAlign w:val="bottom"/>
          </w:tcPr>
          <w:p w14:paraId="4B9A4B20" w14:textId="77777777" w:rsidR="002A3970" w:rsidRDefault="002A3970">
            <w:pPr>
              <w:rPr>
                <w:rFonts w:ascii="宋体"/>
                <w:vanish/>
              </w:rPr>
            </w:pPr>
          </w:p>
        </w:tc>
        <w:tc>
          <w:tcPr>
            <w:tcW w:w="0" w:type="auto"/>
            <w:gridSpan w:val="3"/>
            <w:shd w:val="clear" w:color="auto" w:fill="auto"/>
            <w:vAlign w:val="bottom"/>
          </w:tcPr>
          <w:p w14:paraId="4B9A4B21" w14:textId="77777777" w:rsidR="002A3970" w:rsidRDefault="002A3970">
            <w:pPr>
              <w:rPr>
                <w:rFonts w:ascii="宋体"/>
                <w:vanish/>
              </w:rPr>
            </w:pPr>
          </w:p>
        </w:tc>
        <w:tc>
          <w:tcPr>
            <w:tcW w:w="0" w:type="auto"/>
            <w:shd w:val="clear" w:color="auto" w:fill="auto"/>
            <w:vAlign w:val="bottom"/>
          </w:tcPr>
          <w:p w14:paraId="4B9A4B22" w14:textId="77777777" w:rsidR="002A3970" w:rsidRDefault="002A3970">
            <w:pPr>
              <w:rPr>
                <w:rFonts w:ascii="宋体"/>
              </w:rPr>
            </w:pPr>
          </w:p>
        </w:tc>
        <w:tc>
          <w:tcPr>
            <w:tcW w:w="0" w:type="auto"/>
            <w:shd w:val="clear" w:color="auto" w:fill="auto"/>
            <w:vAlign w:val="bottom"/>
          </w:tcPr>
          <w:p w14:paraId="4B9A4B23" w14:textId="77777777" w:rsidR="002A3970" w:rsidRDefault="002A3970">
            <w:pPr>
              <w:rPr>
                <w:rFonts w:ascii="宋体"/>
              </w:rPr>
            </w:pPr>
          </w:p>
        </w:tc>
        <w:tc>
          <w:tcPr>
            <w:tcW w:w="0" w:type="auto"/>
            <w:shd w:val="clear" w:color="auto" w:fill="auto"/>
            <w:vAlign w:val="bottom"/>
          </w:tcPr>
          <w:p w14:paraId="4B9A4B24" w14:textId="77777777" w:rsidR="002A3970" w:rsidRDefault="002A3970">
            <w:pPr>
              <w:rPr>
                <w:rFonts w:ascii="宋体"/>
              </w:rPr>
            </w:pPr>
          </w:p>
        </w:tc>
      </w:tr>
      <w:tr w:rsidR="002A3970" w14:paraId="4B9A4B29" w14:textId="77777777">
        <w:trPr>
          <w:hidden/>
        </w:trPr>
        <w:tc>
          <w:tcPr>
            <w:tcW w:w="0" w:type="auto"/>
            <w:gridSpan w:val="3"/>
            <w:shd w:val="clear" w:color="auto" w:fill="auto"/>
            <w:vAlign w:val="bottom"/>
          </w:tcPr>
          <w:p w14:paraId="4B9A4B26" w14:textId="77777777" w:rsidR="002A3970" w:rsidRDefault="002A3970">
            <w:pPr>
              <w:rPr>
                <w:rFonts w:ascii="宋体"/>
                <w:vanish/>
              </w:rPr>
            </w:pPr>
          </w:p>
        </w:tc>
        <w:tc>
          <w:tcPr>
            <w:tcW w:w="0" w:type="auto"/>
            <w:gridSpan w:val="3"/>
            <w:shd w:val="clear" w:color="auto" w:fill="auto"/>
            <w:vAlign w:val="bottom"/>
          </w:tcPr>
          <w:p w14:paraId="4B9A4B27" w14:textId="77777777" w:rsidR="002A3970" w:rsidRDefault="002A3970">
            <w:pPr>
              <w:rPr>
                <w:rFonts w:ascii="宋体"/>
                <w:vanish/>
              </w:rPr>
            </w:pPr>
          </w:p>
        </w:tc>
        <w:tc>
          <w:tcPr>
            <w:tcW w:w="0" w:type="auto"/>
            <w:gridSpan w:val="3"/>
            <w:shd w:val="clear" w:color="auto" w:fill="auto"/>
            <w:vAlign w:val="bottom"/>
          </w:tcPr>
          <w:p w14:paraId="4B9A4B28" w14:textId="77777777" w:rsidR="002A3970" w:rsidRDefault="002A3970">
            <w:pPr>
              <w:rPr>
                <w:rFonts w:ascii="宋体"/>
                <w:vanish/>
              </w:rPr>
            </w:pPr>
          </w:p>
        </w:tc>
      </w:tr>
      <w:tr w:rsidR="002A3970" w14:paraId="4B9A4B2D" w14:textId="77777777">
        <w:trPr>
          <w:trHeight w:val="60"/>
        </w:trPr>
        <w:tc>
          <w:tcPr>
            <w:tcW w:w="0" w:type="auto"/>
            <w:gridSpan w:val="3"/>
            <w:shd w:val="clear" w:color="auto" w:fill="auto"/>
            <w:tcMar>
              <w:top w:w="0" w:type="dxa"/>
              <w:left w:w="20" w:type="dxa"/>
              <w:bottom w:w="0" w:type="dxa"/>
              <w:right w:w="20" w:type="dxa"/>
            </w:tcMar>
            <w:vAlign w:val="bottom"/>
          </w:tcPr>
          <w:p w14:paraId="4B9A4B2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2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2C" w14:textId="77777777" w:rsidR="002A3970" w:rsidRDefault="002A3970">
            <w:pPr>
              <w:rPr>
                <w:rFonts w:ascii="宋体"/>
              </w:rPr>
            </w:pPr>
          </w:p>
        </w:tc>
      </w:tr>
      <w:tr w:rsidR="002A3970" w14:paraId="4B9A4B31" w14:textId="77777777">
        <w:tc>
          <w:tcPr>
            <w:tcW w:w="0" w:type="auto"/>
            <w:gridSpan w:val="3"/>
            <w:shd w:val="clear" w:color="auto" w:fill="auto"/>
            <w:tcMar>
              <w:top w:w="40" w:type="dxa"/>
              <w:left w:w="20" w:type="dxa"/>
              <w:bottom w:w="40" w:type="dxa"/>
              <w:right w:w="20" w:type="dxa"/>
            </w:tcMar>
            <w:vAlign w:val="bottom"/>
          </w:tcPr>
          <w:p w14:paraId="4B9A4B2E" w14:textId="77777777" w:rsidR="002A3970" w:rsidRDefault="00C35E63">
            <w:pPr>
              <w:textAlignment w:val="bottom"/>
            </w:pPr>
            <w:r>
              <w:rPr>
                <w:rFonts w:ascii="Times New Roman" w:eastAsia="宋体" w:hAnsi="Times New Roman"/>
                <w:color w:val="000000"/>
                <w:sz w:val="19"/>
                <w:szCs w:val="19"/>
              </w:rPr>
              <w:t>Exhibit 99.1*</w:t>
            </w:r>
          </w:p>
        </w:tc>
        <w:tc>
          <w:tcPr>
            <w:tcW w:w="0" w:type="auto"/>
            <w:gridSpan w:val="3"/>
            <w:shd w:val="clear" w:color="auto" w:fill="auto"/>
            <w:tcMar>
              <w:top w:w="0" w:type="dxa"/>
              <w:left w:w="20" w:type="dxa"/>
              <w:bottom w:w="0" w:type="dxa"/>
              <w:right w:w="20" w:type="dxa"/>
            </w:tcMar>
            <w:vAlign w:val="bottom"/>
          </w:tcPr>
          <w:p w14:paraId="4B9A4B2F"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B30" w14:textId="77777777" w:rsidR="002A3970" w:rsidRDefault="00C35E63">
            <w:pPr>
              <w:textAlignment w:val="bottom"/>
            </w:pPr>
            <w:hyperlink r:id="rId115" w:history="1">
              <w:r>
                <w:rPr>
                  <w:rStyle w:val="a5"/>
                  <w:rFonts w:ascii="Times New Roman" w:eastAsia="宋体" w:hAnsi="Times New Roman"/>
                  <w:sz w:val="19"/>
                  <w:szCs w:val="19"/>
                </w:rPr>
                <w:t>State Court Opioids Litigation Case Citations and Currently Scheduled Trial Dates</w:t>
              </w:r>
            </w:hyperlink>
          </w:p>
        </w:tc>
      </w:tr>
      <w:tr w:rsidR="002A3970" w14:paraId="4B9A4B34" w14:textId="77777777">
        <w:trPr>
          <w:trHeight w:val="60"/>
        </w:trPr>
        <w:tc>
          <w:tcPr>
            <w:tcW w:w="0" w:type="auto"/>
            <w:gridSpan w:val="3"/>
            <w:shd w:val="clear" w:color="auto" w:fill="auto"/>
            <w:tcMar>
              <w:top w:w="0" w:type="dxa"/>
              <w:left w:w="20" w:type="dxa"/>
              <w:bottom w:w="0" w:type="dxa"/>
              <w:right w:w="20" w:type="dxa"/>
            </w:tcMar>
            <w:vAlign w:val="bottom"/>
          </w:tcPr>
          <w:p w14:paraId="4B9A4B32"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33" w14:textId="77777777" w:rsidR="002A3970" w:rsidRDefault="002A3970">
            <w:pPr>
              <w:rPr>
                <w:rFonts w:ascii="宋体"/>
              </w:rPr>
            </w:pPr>
          </w:p>
        </w:tc>
      </w:tr>
      <w:tr w:rsidR="002A3970" w14:paraId="4B9A4B38" w14:textId="77777777">
        <w:trPr>
          <w:hidden/>
        </w:trPr>
        <w:tc>
          <w:tcPr>
            <w:tcW w:w="0" w:type="auto"/>
            <w:gridSpan w:val="3"/>
            <w:shd w:val="clear" w:color="auto" w:fill="auto"/>
            <w:vAlign w:val="bottom"/>
          </w:tcPr>
          <w:p w14:paraId="4B9A4B35" w14:textId="77777777" w:rsidR="002A3970" w:rsidRDefault="002A3970">
            <w:pPr>
              <w:rPr>
                <w:rFonts w:ascii="宋体"/>
                <w:vanish/>
              </w:rPr>
            </w:pPr>
          </w:p>
        </w:tc>
        <w:tc>
          <w:tcPr>
            <w:tcW w:w="0" w:type="auto"/>
            <w:gridSpan w:val="3"/>
            <w:shd w:val="clear" w:color="auto" w:fill="auto"/>
            <w:vAlign w:val="bottom"/>
          </w:tcPr>
          <w:p w14:paraId="4B9A4B36" w14:textId="77777777" w:rsidR="002A3970" w:rsidRDefault="002A3970">
            <w:pPr>
              <w:rPr>
                <w:rFonts w:ascii="宋体"/>
                <w:vanish/>
              </w:rPr>
            </w:pPr>
          </w:p>
        </w:tc>
        <w:tc>
          <w:tcPr>
            <w:tcW w:w="0" w:type="auto"/>
            <w:gridSpan w:val="3"/>
            <w:shd w:val="clear" w:color="auto" w:fill="auto"/>
            <w:vAlign w:val="bottom"/>
          </w:tcPr>
          <w:p w14:paraId="4B9A4B37" w14:textId="77777777" w:rsidR="002A3970" w:rsidRDefault="002A3970">
            <w:pPr>
              <w:rPr>
                <w:rFonts w:ascii="宋体"/>
                <w:vanish/>
              </w:rPr>
            </w:pPr>
          </w:p>
        </w:tc>
      </w:tr>
      <w:tr w:rsidR="002A3970" w14:paraId="4B9A4B3C" w14:textId="77777777">
        <w:trPr>
          <w:hidden/>
        </w:trPr>
        <w:tc>
          <w:tcPr>
            <w:tcW w:w="0" w:type="auto"/>
            <w:gridSpan w:val="3"/>
            <w:shd w:val="clear" w:color="auto" w:fill="auto"/>
            <w:vAlign w:val="bottom"/>
          </w:tcPr>
          <w:p w14:paraId="4B9A4B39" w14:textId="77777777" w:rsidR="002A3970" w:rsidRDefault="002A3970">
            <w:pPr>
              <w:rPr>
                <w:rFonts w:ascii="宋体"/>
                <w:vanish/>
              </w:rPr>
            </w:pPr>
          </w:p>
        </w:tc>
        <w:tc>
          <w:tcPr>
            <w:tcW w:w="0" w:type="auto"/>
            <w:gridSpan w:val="3"/>
            <w:shd w:val="clear" w:color="auto" w:fill="auto"/>
            <w:vAlign w:val="bottom"/>
          </w:tcPr>
          <w:p w14:paraId="4B9A4B3A" w14:textId="77777777" w:rsidR="002A3970" w:rsidRDefault="002A3970">
            <w:pPr>
              <w:rPr>
                <w:rFonts w:ascii="宋体"/>
                <w:vanish/>
              </w:rPr>
            </w:pPr>
          </w:p>
        </w:tc>
        <w:tc>
          <w:tcPr>
            <w:tcW w:w="0" w:type="auto"/>
            <w:gridSpan w:val="3"/>
            <w:shd w:val="clear" w:color="auto" w:fill="auto"/>
            <w:vAlign w:val="bottom"/>
          </w:tcPr>
          <w:p w14:paraId="4B9A4B3B" w14:textId="77777777" w:rsidR="002A3970" w:rsidRDefault="002A3970">
            <w:pPr>
              <w:rPr>
                <w:rFonts w:ascii="宋体"/>
                <w:vanish/>
              </w:rPr>
            </w:pPr>
          </w:p>
        </w:tc>
      </w:tr>
      <w:tr w:rsidR="002A3970" w14:paraId="4B9A4B40" w14:textId="77777777">
        <w:trPr>
          <w:hidden/>
        </w:trPr>
        <w:tc>
          <w:tcPr>
            <w:tcW w:w="0" w:type="auto"/>
            <w:gridSpan w:val="3"/>
            <w:shd w:val="clear" w:color="auto" w:fill="auto"/>
            <w:vAlign w:val="bottom"/>
          </w:tcPr>
          <w:p w14:paraId="4B9A4B3D" w14:textId="77777777" w:rsidR="002A3970" w:rsidRDefault="002A3970">
            <w:pPr>
              <w:rPr>
                <w:rFonts w:ascii="宋体"/>
                <w:vanish/>
              </w:rPr>
            </w:pPr>
          </w:p>
        </w:tc>
        <w:tc>
          <w:tcPr>
            <w:tcW w:w="0" w:type="auto"/>
            <w:gridSpan w:val="3"/>
            <w:shd w:val="clear" w:color="auto" w:fill="auto"/>
            <w:vAlign w:val="bottom"/>
          </w:tcPr>
          <w:p w14:paraId="4B9A4B3E" w14:textId="77777777" w:rsidR="002A3970" w:rsidRDefault="002A3970">
            <w:pPr>
              <w:rPr>
                <w:rFonts w:ascii="宋体"/>
                <w:vanish/>
              </w:rPr>
            </w:pPr>
          </w:p>
        </w:tc>
        <w:tc>
          <w:tcPr>
            <w:tcW w:w="0" w:type="auto"/>
            <w:gridSpan w:val="3"/>
            <w:shd w:val="clear" w:color="auto" w:fill="auto"/>
            <w:vAlign w:val="bottom"/>
          </w:tcPr>
          <w:p w14:paraId="4B9A4B3F" w14:textId="77777777" w:rsidR="002A3970" w:rsidRDefault="002A3970">
            <w:pPr>
              <w:rPr>
                <w:rFonts w:ascii="宋体"/>
                <w:vanish/>
              </w:rPr>
            </w:pPr>
          </w:p>
        </w:tc>
      </w:tr>
      <w:tr w:rsidR="002A3970" w14:paraId="4B9A4B44" w14:textId="77777777">
        <w:trPr>
          <w:hidden/>
        </w:trPr>
        <w:tc>
          <w:tcPr>
            <w:tcW w:w="0" w:type="auto"/>
            <w:gridSpan w:val="3"/>
            <w:shd w:val="clear" w:color="auto" w:fill="auto"/>
            <w:vAlign w:val="bottom"/>
          </w:tcPr>
          <w:p w14:paraId="4B9A4B41" w14:textId="77777777" w:rsidR="002A3970" w:rsidRDefault="002A3970">
            <w:pPr>
              <w:rPr>
                <w:rFonts w:ascii="宋体"/>
                <w:vanish/>
              </w:rPr>
            </w:pPr>
          </w:p>
        </w:tc>
        <w:tc>
          <w:tcPr>
            <w:tcW w:w="0" w:type="auto"/>
            <w:gridSpan w:val="3"/>
            <w:shd w:val="clear" w:color="auto" w:fill="auto"/>
            <w:vAlign w:val="bottom"/>
          </w:tcPr>
          <w:p w14:paraId="4B9A4B42" w14:textId="77777777" w:rsidR="002A3970" w:rsidRDefault="002A3970">
            <w:pPr>
              <w:rPr>
                <w:rFonts w:ascii="宋体"/>
                <w:vanish/>
              </w:rPr>
            </w:pPr>
          </w:p>
        </w:tc>
        <w:tc>
          <w:tcPr>
            <w:tcW w:w="0" w:type="auto"/>
            <w:gridSpan w:val="3"/>
            <w:shd w:val="clear" w:color="auto" w:fill="auto"/>
            <w:vAlign w:val="bottom"/>
          </w:tcPr>
          <w:p w14:paraId="4B9A4B43" w14:textId="77777777" w:rsidR="002A3970" w:rsidRDefault="002A3970">
            <w:pPr>
              <w:rPr>
                <w:rFonts w:ascii="宋体"/>
                <w:vanish/>
              </w:rPr>
            </w:pPr>
          </w:p>
        </w:tc>
      </w:tr>
      <w:tr w:rsidR="002A3970" w14:paraId="4B9A4B48" w14:textId="77777777">
        <w:trPr>
          <w:hidden/>
        </w:trPr>
        <w:tc>
          <w:tcPr>
            <w:tcW w:w="0" w:type="auto"/>
            <w:gridSpan w:val="3"/>
            <w:shd w:val="clear" w:color="auto" w:fill="auto"/>
            <w:vAlign w:val="bottom"/>
          </w:tcPr>
          <w:p w14:paraId="4B9A4B45" w14:textId="77777777" w:rsidR="002A3970" w:rsidRDefault="002A3970">
            <w:pPr>
              <w:rPr>
                <w:rFonts w:ascii="宋体"/>
                <w:vanish/>
              </w:rPr>
            </w:pPr>
          </w:p>
        </w:tc>
        <w:tc>
          <w:tcPr>
            <w:tcW w:w="0" w:type="auto"/>
            <w:gridSpan w:val="3"/>
            <w:shd w:val="clear" w:color="auto" w:fill="auto"/>
            <w:vAlign w:val="bottom"/>
          </w:tcPr>
          <w:p w14:paraId="4B9A4B46" w14:textId="77777777" w:rsidR="002A3970" w:rsidRDefault="002A3970">
            <w:pPr>
              <w:rPr>
                <w:rFonts w:ascii="宋体"/>
                <w:vanish/>
              </w:rPr>
            </w:pPr>
          </w:p>
        </w:tc>
        <w:tc>
          <w:tcPr>
            <w:tcW w:w="0" w:type="auto"/>
            <w:gridSpan w:val="3"/>
            <w:shd w:val="clear" w:color="auto" w:fill="auto"/>
            <w:vAlign w:val="bottom"/>
          </w:tcPr>
          <w:p w14:paraId="4B9A4B47" w14:textId="77777777" w:rsidR="002A3970" w:rsidRDefault="002A3970">
            <w:pPr>
              <w:rPr>
                <w:rFonts w:ascii="宋体"/>
                <w:vanish/>
              </w:rPr>
            </w:pPr>
          </w:p>
        </w:tc>
      </w:tr>
      <w:tr w:rsidR="002A3970" w14:paraId="4B9A4B4C" w14:textId="77777777">
        <w:trPr>
          <w:hidden/>
        </w:trPr>
        <w:tc>
          <w:tcPr>
            <w:tcW w:w="0" w:type="auto"/>
            <w:gridSpan w:val="3"/>
            <w:shd w:val="clear" w:color="auto" w:fill="auto"/>
            <w:vAlign w:val="bottom"/>
          </w:tcPr>
          <w:p w14:paraId="4B9A4B49" w14:textId="77777777" w:rsidR="002A3970" w:rsidRDefault="002A3970">
            <w:pPr>
              <w:rPr>
                <w:rFonts w:ascii="宋体"/>
                <w:vanish/>
              </w:rPr>
            </w:pPr>
          </w:p>
        </w:tc>
        <w:tc>
          <w:tcPr>
            <w:tcW w:w="0" w:type="auto"/>
            <w:gridSpan w:val="3"/>
            <w:shd w:val="clear" w:color="auto" w:fill="auto"/>
            <w:vAlign w:val="bottom"/>
          </w:tcPr>
          <w:p w14:paraId="4B9A4B4A" w14:textId="77777777" w:rsidR="002A3970" w:rsidRDefault="002A3970">
            <w:pPr>
              <w:rPr>
                <w:rFonts w:ascii="宋体"/>
                <w:vanish/>
              </w:rPr>
            </w:pPr>
          </w:p>
        </w:tc>
        <w:tc>
          <w:tcPr>
            <w:tcW w:w="0" w:type="auto"/>
            <w:gridSpan w:val="3"/>
            <w:shd w:val="clear" w:color="auto" w:fill="auto"/>
            <w:vAlign w:val="bottom"/>
          </w:tcPr>
          <w:p w14:paraId="4B9A4B4B" w14:textId="77777777" w:rsidR="002A3970" w:rsidRDefault="002A3970">
            <w:pPr>
              <w:rPr>
                <w:rFonts w:ascii="宋体"/>
                <w:vanish/>
              </w:rPr>
            </w:pPr>
          </w:p>
        </w:tc>
      </w:tr>
      <w:tr w:rsidR="002A3970" w14:paraId="4B9A4B50" w14:textId="77777777">
        <w:trPr>
          <w:hidden/>
        </w:trPr>
        <w:tc>
          <w:tcPr>
            <w:tcW w:w="0" w:type="auto"/>
            <w:gridSpan w:val="3"/>
            <w:shd w:val="clear" w:color="auto" w:fill="auto"/>
            <w:vAlign w:val="bottom"/>
          </w:tcPr>
          <w:p w14:paraId="4B9A4B4D" w14:textId="77777777" w:rsidR="002A3970" w:rsidRDefault="002A3970">
            <w:pPr>
              <w:rPr>
                <w:rFonts w:ascii="宋体"/>
                <w:vanish/>
              </w:rPr>
            </w:pPr>
          </w:p>
        </w:tc>
        <w:tc>
          <w:tcPr>
            <w:tcW w:w="0" w:type="auto"/>
            <w:gridSpan w:val="3"/>
            <w:shd w:val="clear" w:color="auto" w:fill="auto"/>
            <w:vAlign w:val="bottom"/>
          </w:tcPr>
          <w:p w14:paraId="4B9A4B4E" w14:textId="77777777" w:rsidR="002A3970" w:rsidRDefault="002A3970">
            <w:pPr>
              <w:rPr>
                <w:rFonts w:ascii="宋体"/>
                <w:vanish/>
              </w:rPr>
            </w:pPr>
          </w:p>
        </w:tc>
        <w:tc>
          <w:tcPr>
            <w:tcW w:w="0" w:type="auto"/>
            <w:gridSpan w:val="3"/>
            <w:shd w:val="clear" w:color="auto" w:fill="auto"/>
            <w:vAlign w:val="bottom"/>
          </w:tcPr>
          <w:p w14:paraId="4B9A4B4F" w14:textId="77777777" w:rsidR="002A3970" w:rsidRDefault="002A3970">
            <w:pPr>
              <w:rPr>
                <w:rFonts w:ascii="宋体"/>
                <w:vanish/>
              </w:rPr>
            </w:pPr>
          </w:p>
        </w:tc>
      </w:tr>
      <w:tr w:rsidR="002A3970" w14:paraId="4B9A4B54" w14:textId="77777777">
        <w:trPr>
          <w:hidden/>
        </w:trPr>
        <w:tc>
          <w:tcPr>
            <w:tcW w:w="0" w:type="auto"/>
            <w:gridSpan w:val="3"/>
            <w:shd w:val="clear" w:color="auto" w:fill="auto"/>
            <w:vAlign w:val="bottom"/>
          </w:tcPr>
          <w:p w14:paraId="4B9A4B51" w14:textId="77777777" w:rsidR="002A3970" w:rsidRDefault="002A3970">
            <w:pPr>
              <w:rPr>
                <w:rFonts w:ascii="宋体"/>
                <w:vanish/>
              </w:rPr>
            </w:pPr>
          </w:p>
        </w:tc>
        <w:tc>
          <w:tcPr>
            <w:tcW w:w="0" w:type="auto"/>
            <w:gridSpan w:val="3"/>
            <w:shd w:val="clear" w:color="auto" w:fill="auto"/>
            <w:vAlign w:val="bottom"/>
          </w:tcPr>
          <w:p w14:paraId="4B9A4B52" w14:textId="77777777" w:rsidR="002A3970" w:rsidRDefault="002A3970">
            <w:pPr>
              <w:rPr>
                <w:rFonts w:ascii="宋体"/>
                <w:vanish/>
              </w:rPr>
            </w:pPr>
          </w:p>
        </w:tc>
        <w:tc>
          <w:tcPr>
            <w:tcW w:w="0" w:type="auto"/>
            <w:gridSpan w:val="3"/>
            <w:shd w:val="clear" w:color="auto" w:fill="auto"/>
            <w:vAlign w:val="bottom"/>
          </w:tcPr>
          <w:p w14:paraId="4B9A4B53" w14:textId="77777777" w:rsidR="002A3970" w:rsidRDefault="002A3970">
            <w:pPr>
              <w:rPr>
                <w:rFonts w:ascii="宋体"/>
                <w:vanish/>
              </w:rPr>
            </w:pPr>
          </w:p>
        </w:tc>
      </w:tr>
      <w:tr w:rsidR="002A3970" w14:paraId="4B9A4B58" w14:textId="77777777">
        <w:tc>
          <w:tcPr>
            <w:tcW w:w="0" w:type="auto"/>
            <w:gridSpan w:val="3"/>
            <w:shd w:val="clear" w:color="auto" w:fill="auto"/>
            <w:tcMar>
              <w:top w:w="40" w:type="dxa"/>
              <w:left w:w="20" w:type="dxa"/>
              <w:bottom w:w="40" w:type="dxa"/>
              <w:right w:w="20" w:type="dxa"/>
            </w:tcMar>
          </w:tcPr>
          <w:p w14:paraId="4B9A4B55" w14:textId="77777777" w:rsidR="002A3970" w:rsidRDefault="00C35E63">
            <w:pPr>
              <w:textAlignment w:val="top"/>
            </w:pPr>
            <w:r>
              <w:rPr>
                <w:rFonts w:ascii="Times New Roman" w:eastAsia="宋体" w:hAnsi="Times New Roman"/>
                <w:color w:val="000000"/>
                <w:sz w:val="19"/>
                <w:szCs w:val="19"/>
              </w:rPr>
              <w:t>Exhibit 101.INS*</w:t>
            </w:r>
          </w:p>
        </w:tc>
        <w:tc>
          <w:tcPr>
            <w:tcW w:w="0" w:type="auto"/>
            <w:gridSpan w:val="3"/>
            <w:shd w:val="clear" w:color="auto" w:fill="auto"/>
            <w:tcMar>
              <w:top w:w="0" w:type="dxa"/>
              <w:left w:w="20" w:type="dxa"/>
              <w:bottom w:w="0" w:type="dxa"/>
              <w:right w:w="20" w:type="dxa"/>
            </w:tcMar>
            <w:vAlign w:val="bottom"/>
          </w:tcPr>
          <w:p w14:paraId="4B9A4B56"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57" w14:textId="77777777" w:rsidR="002A3970" w:rsidRDefault="00C35E63">
            <w:pPr>
              <w:textAlignment w:val="top"/>
            </w:pPr>
            <w:r>
              <w:rPr>
                <w:rFonts w:ascii="Times New Roman" w:eastAsia="宋体" w:hAnsi="Times New Roman"/>
                <w:color w:val="000000"/>
                <w:sz w:val="19"/>
                <w:szCs w:val="19"/>
              </w:rPr>
              <w:t>Inline XBRL Instance Document</w:t>
            </w:r>
          </w:p>
        </w:tc>
      </w:tr>
      <w:tr w:rsidR="002A3970" w14:paraId="4B9A4B5B" w14:textId="77777777">
        <w:trPr>
          <w:trHeight w:val="60"/>
        </w:trPr>
        <w:tc>
          <w:tcPr>
            <w:tcW w:w="0" w:type="auto"/>
            <w:gridSpan w:val="3"/>
            <w:shd w:val="clear" w:color="auto" w:fill="auto"/>
            <w:tcMar>
              <w:top w:w="0" w:type="dxa"/>
              <w:left w:w="20" w:type="dxa"/>
              <w:bottom w:w="0" w:type="dxa"/>
              <w:right w:w="20" w:type="dxa"/>
            </w:tcMar>
            <w:vAlign w:val="bottom"/>
          </w:tcPr>
          <w:p w14:paraId="4B9A4B59"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5A" w14:textId="77777777" w:rsidR="002A3970" w:rsidRDefault="002A3970">
            <w:pPr>
              <w:rPr>
                <w:rFonts w:ascii="宋体"/>
              </w:rPr>
            </w:pPr>
          </w:p>
        </w:tc>
      </w:tr>
      <w:tr w:rsidR="002A3970" w14:paraId="4B9A4B5F" w14:textId="77777777">
        <w:tc>
          <w:tcPr>
            <w:tcW w:w="0" w:type="auto"/>
            <w:gridSpan w:val="3"/>
            <w:shd w:val="clear" w:color="auto" w:fill="auto"/>
            <w:tcMar>
              <w:top w:w="40" w:type="dxa"/>
              <w:left w:w="20" w:type="dxa"/>
              <w:bottom w:w="40" w:type="dxa"/>
              <w:right w:w="20" w:type="dxa"/>
            </w:tcMar>
          </w:tcPr>
          <w:p w14:paraId="4B9A4B5C" w14:textId="77777777" w:rsidR="002A3970" w:rsidRDefault="00C35E63">
            <w:pPr>
              <w:textAlignment w:val="top"/>
            </w:pPr>
            <w:r>
              <w:rPr>
                <w:rFonts w:ascii="Times New Roman" w:eastAsia="宋体" w:hAnsi="Times New Roman"/>
                <w:color w:val="000000"/>
                <w:sz w:val="19"/>
                <w:szCs w:val="19"/>
              </w:rPr>
              <w:t>Exhibit 101.SCH*</w:t>
            </w:r>
          </w:p>
        </w:tc>
        <w:tc>
          <w:tcPr>
            <w:tcW w:w="0" w:type="auto"/>
            <w:gridSpan w:val="3"/>
            <w:shd w:val="clear" w:color="auto" w:fill="auto"/>
            <w:tcMar>
              <w:top w:w="0" w:type="dxa"/>
              <w:left w:w="20" w:type="dxa"/>
              <w:bottom w:w="0" w:type="dxa"/>
              <w:right w:w="20" w:type="dxa"/>
            </w:tcMar>
            <w:vAlign w:val="bottom"/>
          </w:tcPr>
          <w:p w14:paraId="4B9A4B5D"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5E" w14:textId="77777777" w:rsidR="002A3970" w:rsidRDefault="00C35E63">
            <w:pPr>
              <w:textAlignment w:val="top"/>
            </w:pPr>
            <w:r>
              <w:rPr>
                <w:rFonts w:ascii="Times New Roman" w:eastAsia="宋体" w:hAnsi="Times New Roman"/>
                <w:color w:val="000000"/>
                <w:sz w:val="19"/>
                <w:szCs w:val="19"/>
              </w:rPr>
              <w:t>Inline XBRL Taxonomy Extension Schema Document</w:t>
            </w:r>
          </w:p>
        </w:tc>
      </w:tr>
      <w:tr w:rsidR="002A3970" w14:paraId="4B9A4B62" w14:textId="77777777">
        <w:trPr>
          <w:trHeight w:val="60"/>
        </w:trPr>
        <w:tc>
          <w:tcPr>
            <w:tcW w:w="0" w:type="auto"/>
            <w:gridSpan w:val="3"/>
            <w:shd w:val="clear" w:color="auto" w:fill="auto"/>
            <w:tcMar>
              <w:top w:w="0" w:type="dxa"/>
              <w:left w:w="20" w:type="dxa"/>
              <w:bottom w:w="0" w:type="dxa"/>
              <w:right w:w="20" w:type="dxa"/>
            </w:tcMar>
            <w:vAlign w:val="bottom"/>
          </w:tcPr>
          <w:p w14:paraId="4B9A4B60"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61" w14:textId="77777777" w:rsidR="002A3970" w:rsidRDefault="002A3970">
            <w:pPr>
              <w:rPr>
                <w:rFonts w:ascii="宋体"/>
              </w:rPr>
            </w:pPr>
          </w:p>
        </w:tc>
      </w:tr>
      <w:tr w:rsidR="002A3970" w14:paraId="4B9A4B66" w14:textId="77777777">
        <w:tc>
          <w:tcPr>
            <w:tcW w:w="0" w:type="auto"/>
            <w:gridSpan w:val="3"/>
            <w:shd w:val="clear" w:color="auto" w:fill="auto"/>
            <w:tcMar>
              <w:top w:w="40" w:type="dxa"/>
              <w:left w:w="20" w:type="dxa"/>
              <w:bottom w:w="40" w:type="dxa"/>
              <w:right w:w="20" w:type="dxa"/>
            </w:tcMar>
          </w:tcPr>
          <w:p w14:paraId="4B9A4B63" w14:textId="77777777" w:rsidR="002A3970" w:rsidRDefault="00C35E63">
            <w:pPr>
              <w:textAlignment w:val="top"/>
            </w:pPr>
            <w:r>
              <w:rPr>
                <w:rFonts w:ascii="Times New Roman" w:eastAsia="宋体" w:hAnsi="Times New Roman"/>
                <w:color w:val="000000"/>
                <w:sz w:val="19"/>
                <w:szCs w:val="19"/>
              </w:rPr>
              <w:t>Exhibit 101.CAL*</w:t>
            </w:r>
          </w:p>
        </w:tc>
        <w:tc>
          <w:tcPr>
            <w:tcW w:w="0" w:type="auto"/>
            <w:gridSpan w:val="3"/>
            <w:shd w:val="clear" w:color="auto" w:fill="auto"/>
            <w:tcMar>
              <w:top w:w="0" w:type="dxa"/>
              <w:left w:w="20" w:type="dxa"/>
              <w:bottom w:w="0" w:type="dxa"/>
              <w:right w:w="20" w:type="dxa"/>
            </w:tcMar>
            <w:vAlign w:val="bottom"/>
          </w:tcPr>
          <w:p w14:paraId="4B9A4B64"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65" w14:textId="77777777" w:rsidR="002A3970" w:rsidRDefault="00C35E63">
            <w:pPr>
              <w:textAlignment w:val="top"/>
            </w:pPr>
            <w:r>
              <w:rPr>
                <w:rFonts w:ascii="Times New Roman" w:eastAsia="宋体" w:hAnsi="Times New Roman"/>
                <w:color w:val="000000"/>
                <w:sz w:val="19"/>
                <w:szCs w:val="19"/>
              </w:rPr>
              <w:t>Inline XBRL Taxonomy Extension Calculation Linkbase Document</w:t>
            </w:r>
          </w:p>
        </w:tc>
      </w:tr>
      <w:tr w:rsidR="002A3970" w14:paraId="4B9A4B69" w14:textId="77777777">
        <w:trPr>
          <w:trHeight w:val="60"/>
        </w:trPr>
        <w:tc>
          <w:tcPr>
            <w:tcW w:w="0" w:type="auto"/>
            <w:gridSpan w:val="3"/>
            <w:shd w:val="clear" w:color="auto" w:fill="auto"/>
            <w:tcMar>
              <w:top w:w="0" w:type="dxa"/>
              <w:left w:w="20" w:type="dxa"/>
              <w:bottom w:w="0" w:type="dxa"/>
              <w:right w:w="20" w:type="dxa"/>
            </w:tcMar>
            <w:vAlign w:val="bottom"/>
          </w:tcPr>
          <w:p w14:paraId="4B9A4B67"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68" w14:textId="77777777" w:rsidR="002A3970" w:rsidRDefault="002A3970">
            <w:pPr>
              <w:rPr>
                <w:rFonts w:ascii="宋体"/>
              </w:rPr>
            </w:pPr>
          </w:p>
        </w:tc>
      </w:tr>
      <w:tr w:rsidR="002A3970" w14:paraId="4B9A4B6D" w14:textId="77777777">
        <w:tc>
          <w:tcPr>
            <w:tcW w:w="0" w:type="auto"/>
            <w:gridSpan w:val="3"/>
            <w:shd w:val="clear" w:color="auto" w:fill="auto"/>
            <w:tcMar>
              <w:top w:w="40" w:type="dxa"/>
              <w:left w:w="20" w:type="dxa"/>
              <w:bottom w:w="40" w:type="dxa"/>
              <w:right w:w="20" w:type="dxa"/>
            </w:tcMar>
          </w:tcPr>
          <w:p w14:paraId="4B9A4B6A" w14:textId="77777777" w:rsidR="002A3970" w:rsidRDefault="00C35E63">
            <w:pPr>
              <w:textAlignment w:val="top"/>
            </w:pPr>
            <w:r>
              <w:rPr>
                <w:rFonts w:ascii="Times New Roman" w:eastAsia="宋体" w:hAnsi="Times New Roman"/>
                <w:color w:val="000000"/>
                <w:sz w:val="19"/>
                <w:szCs w:val="19"/>
              </w:rPr>
              <w:t>Exhibit 101.DEF*</w:t>
            </w:r>
          </w:p>
        </w:tc>
        <w:tc>
          <w:tcPr>
            <w:tcW w:w="0" w:type="auto"/>
            <w:gridSpan w:val="3"/>
            <w:shd w:val="clear" w:color="auto" w:fill="auto"/>
            <w:tcMar>
              <w:top w:w="0" w:type="dxa"/>
              <w:left w:w="20" w:type="dxa"/>
              <w:bottom w:w="0" w:type="dxa"/>
              <w:right w:w="20" w:type="dxa"/>
            </w:tcMar>
            <w:vAlign w:val="bottom"/>
          </w:tcPr>
          <w:p w14:paraId="4B9A4B6B"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6C" w14:textId="77777777" w:rsidR="002A3970" w:rsidRDefault="00C35E63">
            <w:pPr>
              <w:textAlignment w:val="top"/>
            </w:pPr>
            <w:r>
              <w:rPr>
                <w:rFonts w:ascii="Times New Roman" w:eastAsia="宋体" w:hAnsi="Times New Roman"/>
                <w:color w:val="000000"/>
                <w:sz w:val="19"/>
                <w:szCs w:val="19"/>
              </w:rPr>
              <w:t xml:space="preserve">Inline XBRL Taxonomy </w:t>
            </w:r>
            <w:r>
              <w:rPr>
                <w:rFonts w:ascii="Times New Roman" w:eastAsia="宋体" w:hAnsi="Times New Roman"/>
                <w:color w:val="000000"/>
                <w:sz w:val="19"/>
                <w:szCs w:val="19"/>
              </w:rPr>
              <w:t>Extension Definition Linkbase Document</w:t>
            </w:r>
          </w:p>
        </w:tc>
      </w:tr>
      <w:tr w:rsidR="002A3970" w14:paraId="4B9A4B70" w14:textId="77777777">
        <w:trPr>
          <w:trHeight w:val="60"/>
        </w:trPr>
        <w:tc>
          <w:tcPr>
            <w:tcW w:w="0" w:type="auto"/>
            <w:gridSpan w:val="3"/>
            <w:shd w:val="clear" w:color="auto" w:fill="auto"/>
            <w:tcMar>
              <w:top w:w="0" w:type="dxa"/>
              <w:left w:w="20" w:type="dxa"/>
              <w:bottom w:w="0" w:type="dxa"/>
              <w:right w:w="20" w:type="dxa"/>
            </w:tcMar>
            <w:vAlign w:val="bottom"/>
          </w:tcPr>
          <w:p w14:paraId="4B9A4B6E"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6F" w14:textId="77777777" w:rsidR="002A3970" w:rsidRDefault="002A3970">
            <w:pPr>
              <w:rPr>
                <w:rFonts w:ascii="宋体"/>
              </w:rPr>
            </w:pPr>
          </w:p>
        </w:tc>
      </w:tr>
      <w:tr w:rsidR="002A3970" w14:paraId="4B9A4B74" w14:textId="77777777">
        <w:tc>
          <w:tcPr>
            <w:tcW w:w="0" w:type="auto"/>
            <w:gridSpan w:val="3"/>
            <w:shd w:val="clear" w:color="auto" w:fill="auto"/>
            <w:tcMar>
              <w:top w:w="40" w:type="dxa"/>
              <w:left w:w="20" w:type="dxa"/>
              <w:bottom w:w="40" w:type="dxa"/>
              <w:right w:w="20" w:type="dxa"/>
            </w:tcMar>
          </w:tcPr>
          <w:p w14:paraId="4B9A4B71" w14:textId="77777777" w:rsidR="002A3970" w:rsidRDefault="00C35E63">
            <w:pPr>
              <w:textAlignment w:val="top"/>
            </w:pPr>
            <w:r>
              <w:rPr>
                <w:rFonts w:ascii="Times New Roman" w:eastAsia="宋体" w:hAnsi="Times New Roman"/>
                <w:color w:val="000000"/>
                <w:sz w:val="19"/>
                <w:szCs w:val="19"/>
              </w:rPr>
              <w:t>Exhibit 101.LAB*</w:t>
            </w:r>
          </w:p>
        </w:tc>
        <w:tc>
          <w:tcPr>
            <w:tcW w:w="0" w:type="auto"/>
            <w:gridSpan w:val="3"/>
            <w:shd w:val="clear" w:color="auto" w:fill="auto"/>
            <w:tcMar>
              <w:top w:w="0" w:type="dxa"/>
              <w:left w:w="20" w:type="dxa"/>
              <w:bottom w:w="0" w:type="dxa"/>
              <w:right w:w="20" w:type="dxa"/>
            </w:tcMar>
            <w:vAlign w:val="bottom"/>
          </w:tcPr>
          <w:p w14:paraId="4B9A4B72"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73" w14:textId="77777777" w:rsidR="002A3970" w:rsidRDefault="00C35E63">
            <w:pPr>
              <w:textAlignment w:val="top"/>
            </w:pPr>
            <w:r>
              <w:rPr>
                <w:rFonts w:ascii="Times New Roman" w:eastAsia="宋体" w:hAnsi="Times New Roman"/>
                <w:color w:val="000000"/>
                <w:sz w:val="19"/>
                <w:szCs w:val="19"/>
              </w:rPr>
              <w:t>Inline XBRL Taxonomy Extension Label Linkbase Document</w:t>
            </w:r>
          </w:p>
        </w:tc>
      </w:tr>
      <w:tr w:rsidR="002A3970" w14:paraId="4B9A4B77" w14:textId="77777777">
        <w:trPr>
          <w:trHeight w:val="60"/>
        </w:trPr>
        <w:tc>
          <w:tcPr>
            <w:tcW w:w="0" w:type="auto"/>
            <w:gridSpan w:val="3"/>
            <w:shd w:val="clear" w:color="auto" w:fill="auto"/>
            <w:tcMar>
              <w:top w:w="0" w:type="dxa"/>
              <w:left w:w="20" w:type="dxa"/>
              <w:bottom w:w="0" w:type="dxa"/>
              <w:right w:w="20" w:type="dxa"/>
            </w:tcMar>
            <w:vAlign w:val="bottom"/>
          </w:tcPr>
          <w:p w14:paraId="4B9A4B75" w14:textId="77777777" w:rsidR="002A3970" w:rsidRDefault="002A3970">
            <w:pPr>
              <w:rPr>
                <w:rFonts w:ascii="宋体"/>
              </w:rPr>
            </w:pPr>
          </w:p>
        </w:tc>
        <w:tc>
          <w:tcPr>
            <w:tcW w:w="0" w:type="auto"/>
            <w:gridSpan w:val="6"/>
            <w:shd w:val="clear" w:color="auto" w:fill="auto"/>
            <w:tcMar>
              <w:top w:w="0" w:type="dxa"/>
              <w:left w:w="20" w:type="dxa"/>
              <w:bottom w:w="0" w:type="dxa"/>
              <w:right w:w="20" w:type="dxa"/>
            </w:tcMar>
            <w:vAlign w:val="bottom"/>
          </w:tcPr>
          <w:p w14:paraId="4B9A4B76" w14:textId="77777777" w:rsidR="002A3970" w:rsidRDefault="002A3970">
            <w:pPr>
              <w:rPr>
                <w:rFonts w:ascii="宋体"/>
              </w:rPr>
            </w:pPr>
          </w:p>
        </w:tc>
      </w:tr>
      <w:tr w:rsidR="002A3970" w14:paraId="4B9A4B7B" w14:textId="77777777">
        <w:tc>
          <w:tcPr>
            <w:tcW w:w="0" w:type="auto"/>
            <w:gridSpan w:val="3"/>
            <w:shd w:val="clear" w:color="auto" w:fill="auto"/>
            <w:tcMar>
              <w:top w:w="40" w:type="dxa"/>
              <w:left w:w="20" w:type="dxa"/>
              <w:bottom w:w="40" w:type="dxa"/>
              <w:right w:w="20" w:type="dxa"/>
            </w:tcMar>
          </w:tcPr>
          <w:p w14:paraId="4B9A4B78" w14:textId="77777777" w:rsidR="002A3970" w:rsidRDefault="00C35E63">
            <w:pPr>
              <w:textAlignment w:val="top"/>
            </w:pPr>
            <w:r>
              <w:rPr>
                <w:rFonts w:ascii="Times New Roman" w:eastAsia="宋体" w:hAnsi="Times New Roman"/>
                <w:color w:val="000000"/>
                <w:sz w:val="19"/>
                <w:szCs w:val="19"/>
              </w:rPr>
              <w:t>Exhibit 101.PRE*</w:t>
            </w:r>
          </w:p>
        </w:tc>
        <w:tc>
          <w:tcPr>
            <w:tcW w:w="0" w:type="auto"/>
            <w:gridSpan w:val="3"/>
            <w:shd w:val="clear" w:color="auto" w:fill="auto"/>
            <w:tcMar>
              <w:top w:w="0" w:type="dxa"/>
              <w:left w:w="20" w:type="dxa"/>
              <w:bottom w:w="0" w:type="dxa"/>
              <w:right w:w="20" w:type="dxa"/>
            </w:tcMar>
            <w:vAlign w:val="bottom"/>
          </w:tcPr>
          <w:p w14:paraId="4B9A4B7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tcPr>
          <w:p w14:paraId="4B9A4B7A" w14:textId="77777777" w:rsidR="002A3970" w:rsidRDefault="00C35E63">
            <w:pPr>
              <w:textAlignment w:val="top"/>
            </w:pPr>
            <w:r>
              <w:rPr>
                <w:rFonts w:ascii="Times New Roman" w:eastAsia="宋体" w:hAnsi="Times New Roman"/>
                <w:color w:val="000000"/>
                <w:sz w:val="19"/>
                <w:szCs w:val="19"/>
              </w:rPr>
              <w:t>Inline XBRL Taxonomy Extension Presentation Linkbase Document</w:t>
            </w:r>
          </w:p>
        </w:tc>
      </w:tr>
      <w:tr w:rsidR="002A3970" w14:paraId="4B9A4B7F" w14:textId="77777777">
        <w:trPr>
          <w:trHeight w:val="60"/>
        </w:trPr>
        <w:tc>
          <w:tcPr>
            <w:tcW w:w="0" w:type="auto"/>
            <w:gridSpan w:val="3"/>
            <w:shd w:val="clear" w:color="auto" w:fill="auto"/>
            <w:tcMar>
              <w:top w:w="0" w:type="dxa"/>
              <w:left w:w="20" w:type="dxa"/>
              <w:bottom w:w="0" w:type="dxa"/>
              <w:right w:w="20" w:type="dxa"/>
            </w:tcMar>
            <w:vAlign w:val="bottom"/>
          </w:tcPr>
          <w:p w14:paraId="4B9A4B7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7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7E" w14:textId="77777777" w:rsidR="002A3970" w:rsidRDefault="002A3970">
            <w:pPr>
              <w:rPr>
                <w:rFonts w:ascii="宋体"/>
              </w:rPr>
            </w:pPr>
          </w:p>
        </w:tc>
      </w:tr>
      <w:tr w:rsidR="002A3970" w14:paraId="4B9A4B83" w14:textId="77777777">
        <w:tc>
          <w:tcPr>
            <w:tcW w:w="0" w:type="auto"/>
            <w:gridSpan w:val="3"/>
            <w:shd w:val="clear" w:color="auto" w:fill="auto"/>
            <w:tcMar>
              <w:top w:w="40" w:type="dxa"/>
              <w:left w:w="20" w:type="dxa"/>
              <w:bottom w:w="40" w:type="dxa"/>
              <w:right w:w="20" w:type="dxa"/>
            </w:tcMar>
            <w:vAlign w:val="center"/>
          </w:tcPr>
          <w:p w14:paraId="4B9A4B80" w14:textId="77777777" w:rsidR="002A3970" w:rsidRDefault="00C35E63">
            <w:pPr>
              <w:textAlignment w:val="center"/>
            </w:pPr>
            <w:r>
              <w:rPr>
                <w:rFonts w:ascii="Times New Roman" w:eastAsia="宋体" w:hAnsi="Times New Roman"/>
                <w:color w:val="000000"/>
                <w:sz w:val="19"/>
                <w:szCs w:val="19"/>
              </w:rPr>
              <w:t>Exhibit 104</w:t>
            </w:r>
          </w:p>
        </w:tc>
        <w:tc>
          <w:tcPr>
            <w:tcW w:w="0" w:type="auto"/>
            <w:gridSpan w:val="3"/>
            <w:shd w:val="clear" w:color="auto" w:fill="auto"/>
            <w:tcMar>
              <w:top w:w="0" w:type="dxa"/>
              <w:left w:w="20" w:type="dxa"/>
              <w:bottom w:w="0" w:type="dxa"/>
              <w:right w:w="20" w:type="dxa"/>
            </w:tcMar>
            <w:vAlign w:val="bottom"/>
          </w:tcPr>
          <w:p w14:paraId="4B9A4B81"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B82" w14:textId="77777777" w:rsidR="002A3970" w:rsidRDefault="00C35E63">
            <w:pPr>
              <w:textAlignment w:val="bottom"/>
            </w:pPr>
            <w:r>
              <w:rPr>
                <w:rFonts w:ascii="Times New Roman" w:eastAsia="宋体" w:hAnsi="Times New Roman"/>
                <w:color w:val="000000"/>
                <w:sz w:val="19"/>
                <w:szCs w:val="19"/>
              </w:rPr>
              <w:t xml:space="preserve">The cover page from the </w:t>
            </w:r>
            <w:r>
              <w:rPr>
                <w:rFonts w:ascii="Times New Roman" w:eastAsia="宋体" w:hAnsi="Times New Roman"/>
                <w:color w:val="000000"/>
                <w:sz w:val="19"/>
                <w:szCs w:val="19"/>
              </w:rPr>
              <w:t>Company's Quarterly Report on Form 10-Q for the quarter ended October 31, 2022, formatted in Inline XBRL (included in Exhibit 101)</w:t>
            </w:r>
          </w:p>
        </w:tc>
      </w:tr>
    </w:tbl>
    <w:p w14:paraId="4B9A4B84" w14:textId="77777777" w:rsidR="002A3970" w:rsidRDefault="002A3970"/>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2A3970" w14:paraId="4B9A4B8B" w14:textId="77777777">
        <w:tc>
          <w:tcPr>
            <w:tcW w:w="50" w:type="pct"/>
            <w:shd w:val="clear" w:color="auto" w:fill="auto"/>
            <w:vAlign w:val="bottom"/>
          </w:tcPr>
          <w:p w14:paraId="4B9A4B85" w14:textId="77777777" w:rsidR="002A3970" w:rsidRDefault="002A3970">
            <w:pPr>
              <w:rPr>
                <w:rFonts w:ascii="宋体"/>
              </w:rPr>
            </w:pPr>
          </w:p>
        </w:tc>
        <w:tc>
          <w:tcPr>
            <w:tcW w:w="311" w:type="pct"/>
            <w:shd w:val="clear" w:color="auto" w:fill="auto"/>
            <w:vAlign w:val="bottom"/>
          </w:tcPr>
          <w:p w14:paraId="4B9A4B86" w14:textId="77777777" w:rsidR="002A3970" w:rsidRDefault="002A3970">
            <w:pPr>
              <w:rPr>
                <w:rFonts w:ascii="宋体"/>
              </w:rPr>
            </w:pPr>
          </w:p>
        </w:tc>
        <w:tc>
          <w:tcPr>
            <w:tcW w:w="5" w:type="pct"/>
            <w:shd w:val="clear" w:color="auto" w:fill="auto"/>
            <w:vAlign w:val="bottom"/>
          </w:tcPr>
          <w:p w14:paraId="4B9A4B87" w14:textId="77777777" w:rsidR="002A3970" w:rsidRDefault="002A3970">
            <w:pPr>
              <w:rPr>
                <w:rFonts w:ascii="宋体"/>
              </w:rPr>
            </w:pPr>
          </w:p>
        </w:tc>
        <w:tc>
          <w:tcPr>
            <w:tcW w:w="50" w:type="pct"/>
            <w:shd w:val="clear" w:color="auto" w:fill="auto"/>
            <w:vAlign w:val="bottom"/>
          </w:tcPr>
          <w:p w14:paraId="4B9A4B88" w14:textId="77777777" w:rsidR="002A3970" w:rsidRDefault="002A3970">
            <w:pPr>
              <w:rPr>
                <w:rFonts w:ascii="宋体"/>
              </w:rPr>
            </w:pPr>
          </w:p>
        </w:tc>
        <w:tc>
          <w:tcPr>
            <w:tcW w:w="4578" w:type="pct"/>
            <w:shd w:val="clear" w:color="auto" w:fill="auto"/>
            <w:vAlign w:val="bottom"/>
          </w:tcPr>
          <w:p w14:paraId="4B9A4B89" w14:textId="77777777" w:rsidR="002A3970" w:rsidRDefault="002A3970">
            <w:pPr>
              <w:rPr>
                <w:rFonts w:ascii="宋体"/>
              </w:rPr>
            </w:pPr>
          </w:p>
        </w:tc>
        <w:tc>
          <w:tcPr>
            <w:tcW w:w="5" w:type="pct"/>
            <w:shd w:val="clear" w:color="auto" w:fill="auto"/>
            <w:vAlign w:val="bottom"/>
          </w:tcPr>
          <w:p w14:paraId="4B9A4B8A" w14:textId="77777777" w:rsidR="002A3970" w:rsidRDefault="002A3970">
            <w:pPr>
              <w:rPr>
                <w:rFonts w:ascii="宋体"/>
              </w:rPr>
            </w:pPr>
          </w:p>
        </w:tc>
      </w:tr>
      <w:tr w:rsidR="002A3970" w14:paraId="4B9A4B8E" w14:textId="77777777">
        <w:tc>
          <w:tcPr>
            <w:tcW w:w="0" w:type="auto"/>
            <w:gridSpan w:val="3"/>
            <w:shd w:val="clear" w:color="auto" w:fill="auto"/>
            <w:tcMar>
              <w:top w:w="40" w:type="dxa"/>
              <w:left w:w="20" w:type="dxa"/>
              <w:bottom w:w="40" w:type="dxa"/>
              <w:right w:w="20" w:type="dxa"/>
            </w:tcMar>
          </w:tcPr>
          <w:p w14:paraId="4B9A4B8C" w14:textId="77777777" w:rsidR="002A3970" w:rsidRDefault="00C35E63">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4B9A4B8D" w14:textId="77777777" w:rsidR="002A3970" w:rsidRDefault="00C35E63">
            <w:pPr>
              <w:textAlignment w:val="top"/>
            </w:pPr>
            <w:r>
              <w:rPr>
                <w:rFonts w:ascii="Times New Roman" w:eastAsia="宋体" w:hAnsi="Times New Roman"/>
                <w:color w:val="000000"/>
                <w:sz w:val="20"/>
                <w:szCs w:val="20"/>
              </w:rPr>
              <w:t>Filed herewith as an Exhibit.</w:t>
            </w:r>
          </w:p>
        </w:tc>
      </w:tr>
      <w:tr w:rsidR="002A3970" w14:paraId="4B9A4B91" w14:textId="77777777">
        <w:tc>
          <w:tcPr>
            <w:tcW w:w="0" w:type="auto"/>
            <w:gridSpan w:val="3"/>
            <w:shd w:val="clear" w:color="auto" w:fill="auto"/>
            <w:tcMar>
              <w:top w:w="40" w:type="dxa"/>
              <w:left w:w="20" w:type="dxa"/>
              <w:bottom w:w="40" w:type="dxa"/>
              <w:right w:w="20" w:type="dxa"/>
            </w:tcMar>
          </w:tcPr>
          <w:p w14:paraId="4B9A4B8F" w14:textId="77777777" w:rsidR="002A3970" w:rsidRDefault="00C35E63">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4B9A4B90" w14:textId="77777777" w:rsidR="002A3970" w:rsidRDefault="00C35E63">
            <w:pPr>
              <w:textAlignment w:val="top"/>
            </w:pPr>
            <w:r>
              <w:rPr>
                <w:rFonts w:ascii="Times New Roman" w:eastAsia="宋体" w:hAnsi="Times New Roman"/>
                <w:color w:val="000000"/>
                <w:sz w:val="20"/>
                <w:szCs w:val="20"/>
              </w:rPr>
              <w:t>Furnished herewith as an Exhibit.</w:t>
            </w:r>
          </w:p>
        </w:tc>
      </w:tr>
    </w:tbl>
    <w:p w14:paraId="4B9A4B92" w14:textId="77777777" w:rsidR="002A3970" w:rsidRDefault="002A3970"/>
    <w:p w14:paraId="4B9A4B93" w14:textId="77777777" w:rsidR="002A3970" w:rsidRDefault="00C35E63">
      <w:pPr>
        <w:jc w:val="center"/>
      </w:pPr>
      <w:r>
        <w:rPr>
          <w:rFonts w:ascii="Times New Roman" w:eastAsia="宋体" w:hAnsi="Times New Roman"/>
          <w:color w:val="000000"/>
          <w:sz w:val="20"/>
          <w:szCs w:val="20"/>
        </w:rPr>
        <w:t>36</w:t>
      </w:r>
    </w:p>
    <w:p w14:paraId="4B9A4B94" w14:textId="77777777" w:rsidR="002A3970" w:rsidRDefault="00C35E63">
      <w:r>
        <w:pict w14:anchorId="4B9A4C39">
          <v:rect id="_x0000_i1060" style="width:415.3pt;height:1.5pt" o:hralign="center" o:hrstd="t" o:hr="t" fillcolor="#a0a0a0" stroked="f"/>
        </w:pict>
      </w:r>
    </w:p>
    <w:p w14:paraId="4B9A4B95" w14:textId="77777777" w:rsidR="002A3970" w:rsidRDefault="00C35E63">
      <w:hyperlink r:id="rId116" w:anchor="i0522a2f6333e456295d59e779af751cb_7" w:history="1">
        <w:r>
          <w:rPr>
            <w:rStyle w:val="a5"/>
            <w:rFonts w:ascii="Times New Roman" w:eastAsia="宋体" w:hAnsi="Times New Roman"/>
            <w:sz w:val="20"/>
            <w:szCs w:val="20"/>
          </w:rPr>
          <w:t>Table of Contents</w:t>
        </w:r>
      </w:hyperlink>
    </w:p>
    <w:p w14:paraId="4B9A4B96" w14:textId="77777777" w:rsidR="002A3970" w:rsidRDefault="00C35E63">
      <w:pPr>
        <w:spacing w:before="100"/>
        <w:jc w:val="center"/>
      </w:pPr>
      <w:r>
        <w:rPr>
          <w:rFonts w:ascii="Times New Roman" w:eastAsia="宋体" w:hAnsi="Times New Roman"/>
          <w:b/>
          <w:bCs/>
          <w:color w:val="000000"/>
          <w:sz w:val="20"/>
          <w:szCs w:val="20"/>
        </w:rPr>
        <w:t>SIGNATURES</w:t>
      </w:r>
    </w:p>
    <w:p w14:paraId="4B9A4B97" w14:textId="77777777" w:rsidR="002A3970" w:rsidRDefault="00C35E63">
      <w:pPr>
        <w:spacing w:before="180"/>
      </w:pPr>
      <w:r>
        <w:rPr>
          <w:rFonts w:ascii="Times New Roman" w:eastAsia="宋体" w:hAnsi="Times New Roman"/>
          <w:color w:val="000000"/>
          <w:sz w:val="20"/>
          <w:szCs w:val="20"/>
        </w:rPr>
        <w:t xml:space="preserve">Pursuant to the requirements of the Securities Exchange Act of 1934, the </w:t>
      </w:r>
      <w:r>
        <w:rPr>
          <w:rFonts w:ascii="Times New Roman" w:eastAsia="宋体" w:hAnsi="Times New Roman"/>
          <w:color w:val="000000"/>
          <w:sz w:val="20"/>
          <w:szCs w:val="20"/>
        </w:rPr>
        <w:t>registrant has duly caused this report to be signed on its behalf by the undersigned thereunto duly authorized.</w:t>
      </w:r>
    </w:p>
    <w:p w14:paraId="4B9A4B98" w14:textId="77777777" w:rsidR="002A3970" w:rsidRDefault="00C35E63">
      <w:pPr>
        <w:jc w:val="center"/>
      </w:pPr>
      <w:r>
        <w:rPr>
          <w:rFonts w:ascii="Times New Roman" w:eastAsia="宋体" w:hAnsi="Times New Roman"/>
          <w:color w:val="000000"/>
          <w:sz w:val="18"/>
          <w:szCs w:val="18"/>
        </w:rPr>
        <w:t> </w:t>
      </w:r>
    </w:p>
    <w:p w14:paraId="4B9A4B99" w14:textId="77777777" w:rsidR="002A3970" w:rsidRDefault="00C35E63">
      <w:pPr>
        <w:jc w:val="center"/>
      </w:pPr>
      <w:r>
        <w:rPr>
          <w:rFonts w:ascii="Times New Roman" w:eastAsia="宋体" w:hAnsi="Times New Roman"/>
          <w:b/>
          <w:bCs/>
          <w:color w:val="000000"/>
          <w:sz w:val="20"/>
          <w:szCs w:val="20"/>
        </w:rPr>
        <w:t>WALMART INC.</w:t>
      </w:r>
    </w:p>
    <w:tbl>
      <w:tblPr>
        <w:tblW w:w="4912" w:type="pct"/>
        <w:jc w:val="center"/>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2A3970" w14:paraId="4B9A4BA6" w14:textId="77777777">
        <w:trPr>
          <w:jc w:val="center"/>
        </w:trPr>
        <w:tc>
          <w:tcPr>
            <w:tcW w:w="50" w:type="pct"/>
            <w:shd w:val="clear" w:color="auto" w:fill="auto"/>
            <w:vAlign w:val="bottom"/>
          </w:tcPr>
          <w:p w14:paraId="4B9A4B9A" w14:textId="77777777" w:rsidR="002A3970" w:rsidRDefault="002A3970">
            <w:pPr>
              <w:rPr>
                <w:rFonts w:ascii="宋体"/>
              </w:rPr>
            </w:pPr>
          </w:p>
        </w:tc>
        <w:tc>
          <w:tcPr>
            <w:tcW w:w="1195" w:type="pct"/>
            <w:shd w:val="clear" w:color="auto" w:fill="auto"/>
            <w:vAlign w:val="bottom"/>
          </w:tcPr>
          <w:p w14:paraId="4B9A4B9B" w14:textId="77777777" w:rsidR="002A3970" w:rsidRDefault="002A3970">
            <w:pPr>
              <w:rPr>
                <w:rFonts w:ascii="宋体"/>
              </w:rPr>
            </w:pPr>
          </w:p>
        </w:tc>
        <w:tc>
          <w:tcPr>
            <w:tcW w:w="5" w:type="pct"/>
            <w:shd w:val="clear" w:color="auto" w:fill="auto"/>
            <w:vAlign w:val="bottom"/>
          </w:tcPr>
          <w:p w14:paraId="4B9A4B9C" w14:textId="77777777" w:rsidR="002A3970" w:rsidRDefault="002A3970">
            <w:pPr>
              <w:rPr>
                <w:rFonts w:ascii="宋体"/>
              </w:rPr>
            </w:pPr>
          </w:p>
        </w:tc>
        <w:tc>
          <w:tcPr>
            <w:tcW w:w="50" w:type="pct"/>
            <w:shd w:val="clear" w:color="auto" w:fill="auto"/>
            <w:vAlign w:val="bottom"/>
          </w:tcPr>
          <w:p w14:paraId="4B9A4B9D" w14:textId="77777777" w:rsidR="002A3970" w:rsidRDefault="002A3970">
            <w:pPr>
              <w:rPr>
                <w:rFonts w:ascii="宋体"/>
              </w:rPr>
            </w:pPr>
          </w:p>
        </w:tc>
        <w:tc>
          <w:tcPr>
            <w:tcW w:w="302" w:type="pct"/>
            <w:shd w:val="clear" w:color="auto" w:fill="auto"/>
            <w:vAlign w:val="bottom"/>
          </w:tcPr>
          <w:p w14:paraId="4B9A4B9E" w14:textId="77777777" w:rsidR="002A3970" w:rsidRDefault="002A3970">
            <w:pPr>
              <w:rPr>
                <w:rFonts w:ascii="宋体"/>
              </w:rPr>
            </w:pPr>
          </w:p>
        </w:tc>
        <w:tc>
          <w:tcPr>
            <w:tcW w:w="5" w:type="pct"/>
            <w:shd w:val="clear" w:color="auto" w:fill="auto"/>
            <w:vAlign w:val="bottom"/>
          </w:tcPr>
          <w:p w14:paraId="4B9A4B9F" w14:textId="77777777" w:rsidR="002A3970" w:rsidRDefault="002A3970">
            <w:pPr>
              <w:rPr>
                <w:rFonts w:ascii="宋体"/>
              </w:rPr>
            </w:pPr>
          </w:p>
        </w:tc>
        <w:tc>
          <w:tcPr>
            <w:tcW w:w="5" w:type="pct"/>
            <w:shd w:val="clear" w:color="auto" w:fill="auto"/>
            <w:vAlign w:val="bottom"/>
          </w:tcPr>
          <w:p w14:paraId="4B9A4BA0" w14:textId="77777777" w:rsidR="002A3970" w:rsidRDefault="002A3970">
            <w:pPr>
              <w:rPr>
                <w:rFonts w:ascii="宋体"/>
              </w:rPr>
            </w:pPr>
          </w:p>
        </w:tc>
        <w:tc>
          <w:tcPr>
            <w:tcW w:w="27" w:type="pct"/>
            <w:shd w:val="clear" w:color="auto" w:fill="auto"/>
            <w:vAlign w:val="bottom"/>
          </w:tcPr>
          <w:p w14:paraId="4B9A4BA1" w14:textId="77777777" w:rsidR="002A3970" w:rsidRDefault="002A3970">
            <w:pPr>
              <w:rPr>
                <w:rFonts w:ascii="宋体"/>
              </w:rPr>
            </w:pPr>
          </w:p>
        </w:tc>
        <w:tc>
          <w:tcPr>
            <w:tcW w:w="5" w:type="pct"/>
            <w:shd w:val="clear" w:color="auto" w:fill="auto"/>
            <w:vAlign w:val="bottom"/>
          </w:tcPr>
          <w:p w14:paraId="4B9A4BA2" w14:textId="77777777" w:rsidR="002A3970" w:rsidRDefault="002A3970">
            <w:pPr>
              <w:rPr>
                <w:rFonts w:ascii="宋体"/>
              </w:rPr>
            </w:pPr>
          </w:p>
        </w:tc>
        <w:tc>
          <w:tcPr>
            <w:tcW w:w="50" w:type="pct"/>
            <w:shd w:val="clear" w:color="auto" w:fill="auto"/>
            <w:vAlign w:val="bottom"/>
          </w:tcPr>
          <w:p w14:paraId="4B9A4BA3" w14:textId="77777777" w:rsidR="002A3970" w:rsidRDefault="002A3970">
            <w:pPr>
              <w:rPr>
                <w:rFonts w:ascii="宋体"/>
              </w:rPr>
            </w:pPr>
          </w:p>
        </w:tc>
        <w:tc>
          <w:tcPr>
            <w:tcW w:w="3300" w:type="pct"/>
            <w:shd w:val="clear" w:color="auto" w:fill="auto"/>
            <w:vAlign w:val="bottom"/>
          </w:tcPr>
          <w:p w14:paraId="4B9A4BA4" w14:textId="77777777" w:rsidR="002A3970" w:rsidRDefault="002A3970">
            <w:pPr>
              <w:rPr>
                <w:rFonts w:ascii="宋体"/>
              </w:rPr>
            </w:pPr>
          </w:p>
        </w:tc>
        <w:tc>
          <w:tcPr>
            <w:tcW w:w="5" w:type="pct"/>
            <w:shd w:val="clear" w:color="auto" w:fill="auto"/>
            <w:vAlign w:val="bottom"/>
          </w:tcPr>
          <w:p w14:paraId="4B9A4BA5" w14:textId="77777777" w:rsidR="002A3970" w:rsidRDefault="002A3970">
            <w:pPr>
              <w:rPr>
                <w:rFonts w:ascii="宋体"/>
              </w:rPr>
            </w:pPr>
          </w:p>
        </w:tc>
      </w:tr>
      <w:tr w:rsidR="002A3970" w14:paraId="4B9A4BAB" w14:textId="77777777">
        <w:trPr>
          <w:jc w:val="center"/>
        </w:trPr>
        <w:tc>
          <w:tcPr>
            <w:tcW w:w="0" w:type="auto"/>
            <w:gridSpan w:val="3"/>
            <w:shd w:val="clear" w:color="auto" w:fill="auto"/>
            <w:tcMar>
              <w:top w:w="40" w:type="dxa"/>
              <w:left w:w="20" w:type="dxa"/>
              <w:bottom w:w="40" w:type="dxa"/>
              <w:right w:w="20" w:type="dxa"/>
            </w:tcMar>
            <w:vAlign w:val="bottom"/>
          </w:tcPr>
          <w:p w14:paraId="4B9A4BA7" w14:textId="77777777" w:rsidR="002A3970" w:rsidRDefault="00C35E63">
            <w:pPr>
              <w:textAlignment w:val="bottom"/>
            </w:pPr>
            <w:r>
              <w:rPr>
                <w:rFonts w:ascii="Times New Roman" w:eastAsia="宋体" w:hAnsi="Times New Roman"/>
                <w:color w:val="000000"/>
                <w:sz w:val="18"/>
                <w:szCs w:val="18"/>
              </w:rPr>
              <w:t>Date: December 1, 2022</w:t>
            </w:r>
          </w:p>
        </w:tc>
        <w:tc>
          <w:tcPr>
            <w:tcW w:w="0" w:type="auto"/>
            <w:gridSpan w:val="3"/>
            <w:shd w:val="clear" w:color="auto" w:fill="auto"/>
            <w:tcMar>
              <w:top w:w="40" w:type="dxa"/>
              <w:left w:w="20" w:type="dxa"/>
              <w:bottom w:w="40" w:type="dxa"/>
              <w:right w:w="20" w:type="dxa"/>
            </w:tcMar>
            <w:vAlign w:val="bottom"/>
          </w:tcPr>
          <w:p w14:paraId="4B9A4BA8" w14:textId="77777777" w:rsidR="002A3970" w:rsidRDefault="00C35E63">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4B9A4BA9"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BAA" w14:textId="77777777" w:rsidR="002A3970" w:rsidRDefault="00C35E63">
            <w:pPr>
              <w:jc w:val="center"/>
              <w:textAlignment w:val="bottom"/>
            </w:pPr>
            <w:r>
              <w:rPr>
                <w:rFonts w:ascii="Times New Roman" w:eastAsia="宋体" w:hAnsi="Times New Roman"/>
                <w:color w:val="000000"/>
                <w:sz w:val="18"/>
                <w:szCs w:val="18"/>
              </w:rPr>
              <w:t>/s/ C. Douglas McMillon</w:t>
            </w:r>
          </w:p>
        </w:tc>
      </w:tr>
      <w:tr w:rsidR="002A3970" w14:paraId="4B9A4BB0" w14:textId="77777777">
        <w:trPr>
          <w:jc w:val="center"/>
        </w:trPr>
        <w:tc>
          <w:tcPr>
            <w:tcW w:w="0" w:type="auto"/>
            <w:gridSpan w:val="3"/>
            <w:shd w:val="clear" w:color="auto" w:fill="auto"/>
            <w:tcMar>
              <w:top w:w="0" w:type="dxa"/>
              <w:left w:w="20" w:type="dxa"/>
              <w:bottom w:w="0" w:type="dxa"/>
              <w:right w:w="20" w:type="dxa"/>
            </w:tcMar>
            <w:vAlign w:val="bottom"/>
          </w:tcPr>
          <w:p w14:paraId="4B9A4BA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AD"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AE"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BAF" w14:textId="77777777" w:rsidR="002A3970" w:rsidRDefault="00C35E63">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 xml:space="preserve">President and Chief Executive </w:t>
            </w:r>
            <w:r>
              <w:rPr>
                <w:rFonts w:ascii="Times New Roman" w:eastAsia="宋体" w:hAnsi="Times New Roman"/>
                <w:b/>
                <w:bCs/>
                <w:color w:val="000000"/>
                <w:sz w:val="16"/>
                <w:szCs w:val="16"/>
              </w:rPr>
              <w:t>Officer</w:t>
            </w:r>
            <w:r>
              <w:rPr>
                <w:rFonts w:ascii="Times New Roman" w:eastAsia="宋体" w:hAnsi="Times New Roman"/>
                <w:b/>
                <w:bCs/>
                <w:color w:val="000000"/>
                <w:sz w:val="16"/>
                <w:szCs w:val="16"/>
              </w:rPr>
              <w:br/>
              <w:t>(Principal Executive Officer)</w:t>
            </w:r>
          </w:p>
        </w:tc>
      </w:tr>
      <w:tr w:rsidR="002A3970" w14:paraId="4B9A4BB5" w14:textId="77777777">
        <w:trPr>
          <w:trHeight w:val="640"/>
          <w:jc w:val="center"/>
        </w:trPr>
        <w:tc>
          <w:tcPr>
            <w:tcW w:w="0" w:type="auto"/>
            <w:gridSpan w:val="3"/>
            <w:shd w:val="clear" w:color="auto" w:fill="auto"/>
            <w:tcMar>
              <w:top w:w="0" w:type="dxa"/>
              <w:left w:w="20" w:type="dxa"/>
              <w:bottom w:w="0" w:type="dxa"/>
              <w:right w:w="20" w:type="dxa"/>
            </w:tcMar>
            <w:vAlign w:val="bottom"/>
          </w:tcPr>
          <w:p w14:paraId="4B9A4BB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B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B3"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B4" w14:textId="77777777" w:rsidR="002A3970" w:rsidRDefault="002A3970">
            <w:pPr>
              <w:rPr>
                <w:rFonts w:ascii="宋体"/>
              </w:rPr>
            </w:pPr>
          </w:p>
        </w:tc>
      </w:tr>
      <w:tr w:rsidR="002A3970" w14:paraId="4B9A4BBA" w14:textId="77777777">
        <w:trPr>
          <w:jc w:val="center"/>
        </w:trPr>
        <w:tc>
          <w:tcPr>
            <w:tcW w:w="0" w:type="auto"/>
            <w:gridSpan w:val="3"/>
            <w:shd w:val="clear" w:color="auto" w:fill="auto"/>
            <w:tcMar>
              <w:top w:w="40" w:type="dxa"/>
              <w:left w:w="20" w:type="dxa"/>
              <w:bottom w:w="40" w:type="dxa"/>
              <w:right w:w="20" w:type="dxa"/>
            </w:tcMar>
            <w:vAlign w:val="bottom"/>
          </w:tcPr>
          <w:p w14:paraId="4B9A4BB6" w14:textId="77777777" w:rsidR="002A3970" w:rsidRDefault="00C35E63">
            <w:pPr>
              <w:textAlignment w:val="bottom"/>
            </w:pPr>
            <w:r>
              <w:rPr>
                <w:rFonts w:ascii="Times New Roman" w:eastAsia="宋体" w:hAnsi="Times New Roman"/>
                <w:color w:val="000000"/>
                <w:sz w:val="18"/>
                <w:szCs w:val="18"/>
              </w:rPr>
              <w:t>Date: December 1, 2022</w:t>
            </w:r>
          </w:p>
        </w:tc>
        <w:tc>
          <w:tcPr>
            <w:tcW w:w="0" w:type="auto"/>
            <w:gridSpan w:val="3"/>
            <w:shd w:val="clear" w:color="auto" w:fill="auto"/>
            <w:tcMar>
              <w:top w:w="40" w:type="dxa"/>
              <w:left w:w="20" w:type="dxa"/>
              <w:bottom w:w="40" w:type="dxa"/>
              <w:right w:w="20" w:type="dxa"/>
            </w:tcMar>
            <w:vAlign w:val="bottom"/>
          </w:tcPr>
          <w:p w14:paraId="4B9A4BB7" w14:textId="77777777" w:rsidR="002A3970" w:rsidRDefault="00C35E63">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4B9A4BB8"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BB9" w14:textId="77777777" w:rsidR="002A3970" w:rsidRDefault="00C35E63">
            <w:pPr>
              <w:jc w:val="center"/>
              <w:textAlignment w:val="bottom"/>
            </w:pPr>
            <w:r>
              <w:rPr>
                <w:rFonts w:ascii="Times New Roman" w:eastAsia="宋体" w:hAnsi="Times New Roman"/>
                <w:color w:val="000000"/>
                <w:sz w:val="18"/>
                <w:szCs w:val="18"/>
              </w:rPr>
              <w:t>/s/ John David Rainey</w:t>
            </w:r>
          </w:p>
        </w:tc>
      </w:tr>
      <w:tr w:rsidR="002A3970" w14:paraId="4B9A4BBF" w14:textId="77777777">
        <w:trPr>
          <w:jc w:val="center"/>
        </w:trPr>
        <w:tc>
          <w:tcPr>
            <w:tcW w:w="0" w:type="auto"/>
            <w:gridSpan w:val="3"/>
            <w:shd w:val="clear" w:color="auto" w:fill="auto"/>
            <w:tcMar>
              <w:top w:w="0" w:type="dxa"/>
              <w:left w:w="20" w:type="dxa"/>
              <w:bottom w:w="0" w:type="dxa"/>
              <w:right w:w="20" w:type="dxa"/>
            </w:tcMar>
            <w:vAlign w:val="bottom"/>
          </w:tcPr>
          <w:p w14:paraId="4B9A4BB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BC"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BD"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BBE" w14:textId="77777777" w:rsidR="002A3970" w:rsidRDefault="00C35E63">
            <w:pPr>
              <w:jc w:val="center"/>
              <w:textAlignment w:val="bottom"/>
            </w:pPr>
            <w:r>
              <w:rPr>
                <w:rFonts w:ascii="Times New Roman" w:eastAsia="宋体" w:hAnsi="Times New Roman"/>
                <w:b/>
                <w:bCs/>
                <w:color w:val="000000"/>
                <w:sz w:val="16"/>
                <w:szCs w:val="16"/>
              </w:rPr>
              <w:t>John David Rainey</w:t>
            </w:r>
            <w:r>
              <w:rPr>
                <w:rFonts w:ascii="Times New Roman" w:eastAsia="宋体" w:hAnsi="Times New Roman"/>
                <w:b/>
                <w:bCs/>
                <w:color w:val="000000"/>
                <w:sz w:val="16"/>
                <w:szCs w:val="16"/>
              </w:rPr>
              <w:br/>
              <w:t>Executive Vice President and Chief Financial Officer</w:t>
            </w:r>
            <w:r>
              <w:rPr>
                <w:rFonts w:ascii="Times New Roman" w:eastAsia="宋体" w:hAnsi="Times New Roman"/>
                <w:b/>
                <w:bCs/>
                <w:color w:val="000000"/>
                <w:sz w:val="16"/>
                <w:szCs w:val="16"/>
              </w:rPr>
              <w:br/>
              <w:t>(Principal Financial Officer)</w:t>
            </w:r>
          </w:p>
        </w:tc>
      </w:tr>
      <w:tr w:rsidR="002A3970" w14:paraId="4B9A4BC4" w14:textId="77777777">
        <w:trPr>
          <w:trHeight w:val="640"/>
          <w:jc w:val="center"/>
        </w:trPr>
        <w:tc>
          <w:tcPr>
            <w:tcW w:w="0" w:type="auto"/>
            <w:gridSpan w:val="3"/>
            <w:shd w:val="clear" w:color="auto" w:fill="auto"/>
            <w:tcMar>
              <w:top w:w="0" w:type="dxa"/>
              <w:left w:w="20" w:type="dxa"/>
              <w:bottom w:w="0" w:type="dxa"/>
              <w:right w:w="20" w:type="dxa"/>
            </w:tcMar>
            <w:vAlign w:val="bottom"/>
          </w:tcPr>
          <w:p w14:paraId="4B9A4BC0"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C1"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C2"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C3" w14:textId="77777777" w:rsidR="002A3970" w:rsidRDefault="002A3970">
            <w:pPr>
              <w:rPr>
                <w:rFonts w:ascii="宋体"/>
              </w:rPr>
            </w:pPr>
          </w:p>
        </w:tc>
      </w:tr>
      <w:tr w:rsidR="002A3970" w14:paraId="4B9A4BC9" w14:textId="77777777">
        <w:trPr>
          <w:jc w:val="center"/>
        </w:trPr>
        <w:tc>
          <w:tcPr>
            <w:tcW w:w="0" w:type="auto"/>
            <w:gridSpan w:val="3"/>
            <w:shd w:val="clear" w:color="auto" w:fill="auto"/>
            <w:tcMar>
              <w:top w:w="40" w:type="dxa"/>
              <w:left w:w="20" w:type="dxa"/>
              <w:bottom w:w="40" w:type="dxa"/>
              <w:right w:w="20" w:type="dxa"/>
            </w:tcMar>
            <w:vAlign w:val="bottom"/>
          </w:tcPr>
          <w:p w14:paraId="4B9A4BC5" w14:textId="77777777" w:rsidR="002A3970" w:rsidRDefault="00C35E63">
            <w:pPr>
              <w:textAlignment w:val="bottom"/>
            </w:pPr>
            <w:r>
              <w:rPr>
                <w:rFonts w:ascii="Times New Roman" w:eastAsia="宋体" w:hAnsi="Times New Roman"/>
                <w:color w:val="000000"/>
                <w:sz w:val="18"/>
                <w:szCs w:val="18"/>
              </w:rPr>
              <w:t>Date: December 1, 2022</w:t>
            </w:r>
          </w:p>
        </w:tc>
        <w:tc>
          <w:tcPr>
            <w:tcW w:w="0" w:type="auto"/>
            <w:gridSpan w:val="3"/>
            <w:shd w:val="clear" w:color="auto" w:fill="auto"/>
            <w:tcMar>
              <w:top w:w="40" w:type="dxa"/>
              <w:left w:w="20" w:type="dxa"/>
              <w:bottom w:w="40" w:type="dxa"/>
              <w:right w:w="20" w:type="dxa"/>
            </w:tcMar>
            <w:vAlign w:val="bottom"/>
          </w:tcPr>
          <w:p w14:paraId="4B9A4BC6" w14:textId="77777777" w:rsidR="002A3970" w:rsidRDefault="00C35E63">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4B9A4BC7" w14:textId="77777777" w:rsidR="002A3970" w:rsidRDefault="002A3970">
            <w:pPr>
              <w:rPr>
                <w:rFonts w:ascii="宋体"/>
              </w:rPr>
            </w:pPr>
          </w:p>
        </w:tc>
        <w:tc>
          <w:tcPr>
            <w:tcW w:w="0" w:type="auto"/>
            <w:gridSpan w:val="3"/>
            <w:shd w:val="clear" w:color="auto" w:fill="auto"/>
            <w:tcMar>
              <w:top w:w="40" w:type="dxa"/>
              <w:left w:w="20" w:type="dxa"/>
              <w:bottom w:w="40" w:type="dxa"/>
              <w:right w:w="20" w:type="dxa"/>
            </w:tcMar>
            <w:vAlign w:val="bottom"/>
          </w:tcPr>
          <w:p w14:paraId="4B9A4BC8" w14:textId="77777777" w:rsidR="002A3970" w:rsidRDefault="00C35E63">
            <w:pPr>
              <w:jc w:val="center"/>
              <w:textAlignment w:val="bottom"/>
            </w:pPr>
            <w:r>
              <w:rPr>
                <w:rFonts w:ascii="Times New Roman" w:eastAsia="宋体" w:hAnsi="Times New Roman"/>
                <w:color w:val="000000"/>
                <w:sz w:val="18"/>
                <w:szCs w:val="18"/>
              </w:rPr>
              <w:t xml:space="preserve">/s/ David M. </w:t>
            </w:r>
            <w:r>
              <w:rPr>
                <w:rFonts w:ascii="Times New Roman" w:eastAsia="宋体" w:hAnsi="Times New Roman"/>
                <w:color w:val="000000"/>
                <w:sz w:val="18"/>
                <w:szCs w:val="18"/>
              </w:rPr>
              <w:t>Chojnowski</w:t>
            </w:r>
          </w:p>
        </w:tc>
      </w:tr>
      <w:tr w:rsidR="002A3970" w14:paraId="4B9A4BCE" w14:textId="77777777">
        <w:trPr>
          <w:jc w:val="center"/>
        </w:trPr>
        <w:tc>
          <w:tcPr>
            <w:tcW w:w="0" w:type="auto"/>
            <w:gridSpan w:val="3"/>
            <w:shd w:val="clear" w:color="auto" w:fill="auto"/>
            <w:tcMar>
              <w:top w:w="0" w:type="dxa"/>
              <w:left w:w="20" w:type="dxa"/>
              <w:bottom w:w="0" w:type="dxa"/>
              <w:right w:w="20" w:type="dxa"/>
            </w:tcMar>
            <w:vAlign w:val="bottom"/>
          </w:tcPr>
          <w:p w14:paraId="4B9A4BCA"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CB" w14:textId="77777777" w:rsidR="002A3970" w:rsidRDefault="002A3970">
            <w:pPr>
              <w:rPr>
                <w:rFonts w:ascii="宋体"/>
              </w:rPr>
            </w:pPr>
          </w:p>
        </w:tc>
        <w:tc>
          <w:tcPr>
            <w:tcW w:w="0" w:type="auto"/>
            <w:gridSpan w:val="3"/>
            <w:shd w:val="clear" w:color="auto" w:fill="auto"/>
            <w:tcMar>
              <w:top w:w="0" w:type="dxa"/>
              <w:left w:w="20" w:type="dxa"/>
              <w:bottom w:w="0" w:type="dxa"/>
              <w:right w:w="20" w:type="dxa"/>
            </w:tcMar>
            <w:vAlign w:val="bottom"/>
          </w:tcPr>
          <w:p w14:paraId="4B9A4BCC" w14:textId="77777777" w:rsidR="002A3970" w:rsidRDefault="002A397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B9A4BCD" w14:textId="77777777" w:rsidR="002A3970" w:rsidRDefault="00C35E63">
            <w:pPr>
              <w:jc w:val="center"/>
              <w:textAlignment w:val="bottom"/>
            </w:pPr>
            <w:r>
              <w:rPr>
                <w:rFonts w:ascii="Times New Roman" w:eastAsia="宋体" w:hAnsi="Times New Roman"/>
                <w:b/>
                <w:bCs/>
                <w:color w:val="000000"/>
                <w:sz w:val="16"/>
                <w:szCs w:val="16"/>
              </w:rPr>
              <w:t>David M. 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4B9A4BCF" w14:textId="77777777" w:rsidR="002A3970" w:rsidRDefault="002A3970"/>
    <w:p w14:paraId="4B9A4BD0" w14:textId="77777777" w:rsidR="002A3970" w:rsidRDefault="00C35E63">
      <w:pPr>
        <w:jc w:val="center"/>
      </w:pPr>
      <w:r>
        <w:rPr>
          <w:rFonts w:ascii="Times New Roman" w:eastAsia="宋体" w:hAnsi="Times New Roman"/>
          <w:color w:val="000000"/>
          <w:sz w:val="20"/>
          <w:szCs w:val="20"/>
        </w:rPr>
        <w:t>37</w:t>
      </w:r>
    </w:p>
    <w:p w14:paraId="4B9A4BD1" w14:textId="77777777" w:rsidR="002A3970" w:rsidRDefault="00C35E6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B9A4C3A" wp14:editId="4B9A4C3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D3" w14:textId="77777777">
        <w:trPr>
          <w:tblCellSpacing w:w="15" w:type="dxa"/>
        </w:trPr>
        <w:tc>
          <w:tcPr>
            <w:tcW w:w="0" w:type="auto"/>
            <w:shd w:val="clear" w:color="auto" w:fill="auto"/>
            <w:vAlign w:val="center"/>
          </w:tcPr>
          <w:p w14:paraId="4B9A4BD2" w14:textId="77777777" w:rsidR="002A3970" w:rsidRDefault="002A3970">
            <w:pPr>
              <w:rPr>
                <w:rFonts w:ascii="宋体"/>
              </w:rPr>
            </w:pPr>
          </w:p>
        </w:tc>
      </w:tr>
    </w:tbl>
    <w:p w14:paraId="4B9A4BD4"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D6" w14:textId="77777777">
        <w:trPr>
          <w:tblCellSpacing w:w="15" w:type="dxa"/>
        </w:trPr>
        <w:tc>
          <w:tcPr>
            <w:tcW w:w="0" w:type="auto"/>
            <w:shd w:val="clear" w:color="auto" w:fill="auto"/>
            <w:vAlign w:val="center"/>
          </w:tcPr>
          <w:p w14:paraId="4B9A4BD5" w14:textId="77777777" w:rsidR="002A3970" w:rsidRDefault="002A3970">
            <w:pPr>
              <w:rPr>
                <w:rFonts w:ascii="宋体"/>
              </w:rPr>
            </w:pPr>
          </w:p>
        </w:tc>
      </w:tr>
    </w:tbl>
    <w:p w14:paraId="4B9A4BD7"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D9" w14:textId="77777777">
        <w:trPr>
          <w:tblCellSpacing w:w="15" w:type="dxa"/>
        </w:trPr>
        <w:tc>
          <w:tcPr>
            <w:tcW w:w="0" w:type="auto"/>
            <w:shd w:val="clear" w:color="auto" w:fill="auto"/>
            <w:vAlign w:val="center"/>
          </w:tcPr>
          <w:p w14:paraId="4B9A4BD8" w14:textId="77777777" w:rsidR="002A3970" w:rsidRDefault="002A3970">
            <w:pPr>
              <w:rPr>
                <w:rFonts w:ascii="宋体"/>
              </w:rPr>
            </w:pPr>
          </w:p>
        </w:tc>
      </w:tr>
    </w:tbl>
    <w:p w14:paraId="4B9A4BDA"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DC" w14:textId="77777777">
        <w:trPr>
          <w:tblCellSpacing w:w="15" w:type="dxa"/>
        </w:trPr>
        <w:tc>
          <w:tcPr>
            <w:tcW w:w="0" w:type="auto"/>
            <w:shd w:val="clear" w:color="auto" w:fill="auto"/>
            <w:vAlign w:val="center"/>
          </w:tcPr>
          <w:p w14:paraId="4B9A4BDB" w14:textId="77777777" w:rsidR="002A3970" w:rsidRDefault="002A3970">
            <w:pPr>
              <w:rPr>
                <w:rFonts w:ascii="宋体"/>
              </w:rPr>
            </w:pPr>
          </w:p>
        </w:tc>
      </w:tr>
    </w:tbl>
    <w:p w14:paraId="4B9A4BDD" w14:textId="77777777" w:rsidR="002A3970" w:rsidRDefault="00C35E63">
      <w:r>
        <w:rPr>
          <w:rFonts w:ascii="宋体" w:eastAsia="宋体" w:hAnsi="宋体" w:cs="宋体"/>
        </w:rPr>
        <w:t xml:space="preserve">Previous Next </w:t>
      </w:r>
    </w:p>
    <w:p w14:paraId="4B9A4BDE" w14:textId="77777777" w:rsidR="002A3970" w:rsidRDefault="00C35E63">
      <w:pPr>
        <w:pStyle w:val="a3"/>
      </w:pPr>
      <w:r>
        <w:t>Settings</w:t>
      </w:r>
    </w:p>
    <w:p w14:paraId="4B9A4BDF" w14:textId="77777777" w:rsidR="002A3970" w:rsidRDefault="00C35E63">
      <w:pPr>
        <w:pStyle w:val="Style4"/>
      </w:pPr>
      <w:r>
        <w:t>窗体顶端</w:t>
      </w:r>
    </w:p>
    <w:p w14:paraId="4B9A4BE0" w14:textId="77777777" w:rsidR="002A3970" w:rsidRDefault="00C35E6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B9A4C3C" wp14:editId="4B9A4C3D">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B9A4BE1" w14:textId="77777777" w:rsidR="002A3970" w:rsidRDefault="00C35E6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B9A4C3E" wp14:editId="4B9A4C3F">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B9A4BE2" w14:textId="77777777" w:rsidR="002A3970" w:rsidRDefault="00C35E63">
      <w:r>
        <w:pict w14:anchorId="4B9A4C40">
          <v:rect id="_x0000_i1061" style="width:415.3pt;height:1.5pt" o:hralign="center" o:hrstd="t" o:hr="t" fillcolor="#a0a0a0" stroked="f"/>
        </w:pict>
      </w:r>
    </w:p>
    <w:p w14:paraId="4B9A4BE3" w14:textId="77777777" w:rsidR="002A3970" w:rsidRDefault="00C35E63">
      <w:r>
        <w:rPr>
          <w:rFonts w:ascii="宋体" w:eastAsia="宋体" w:hAnsi="宋体" w:cs="宋体"/>
        </w:rPr>
        <w:t xml:space="preserve">Tagged Data </w:t>
      </w:r>
    </w:p>
    <w:p w14:paraId="4B9A4BE4" w14:textId="77777777" w:rsidR="002A3970" w:rsidRDefault="00C35E63">
      <w:r>
        <w:rPr>
          <w:rFonts w:ascii="monospace" w:eastAsia="monospace" w:hAnsi="monospace" w:cs="monospace"/>
          <w:noProof/>
        </w:rPr>
        <mc:AlternateContent>
          <mc:Choice Requires="wps">
            <w:drawing>
              <wp:inline distT="0" distB="0" distL="114300" distR="114300" wp14:anchorId="4B9A4C41" wp14:editId="4B9A4C42">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4B9A4BE5" w14:textId="77777777" w:rsidR="002A3970" w:rsidRDefault="00C35E63">
      <w:r>
        <w:rPr>
          <w:rFonts w:ascii="宋体" w:eastAsia="宋体" w:hAnsi="宋体" w:cs="宋体"/>
        </w:rPr>
        <w:t>Save</w:t>
      </w:r>
    </w:p>
    <w:p w14:paraId="4B9A4BE6" w14:textId="77777777" w:rsidR="002A3970" w:rsidRDefault="00C35E63">
      <w:r>
        <w:rPr>
          <w:rFonts w:ascii="宋体" w:eastAsia="宋体" w:hAnsi="宋体" w:cs="宋体"/>
        </w:rPr>
        <w:t>Reset</w:t>
      </w:r>
    </w:p>
    <w:p w14:paraId="4B9A4BE7" w14:textId="77777777" w:rsidR="002A3970" w:rsidRDefault="00C35E63">
      <w:r>
        <w:pict w14:anchorId="4B9A4C43">
          <v:rect id="_x0000_i1062" style="width:415.3pt;height:1.5pt" o:hralign="center" o:hrstd="t" o:hr="t" fillcolor="#a0a0a0" stroked="f"/>
        </w:pict>
      </w:r>
    </w:p>
    <w:p w14:paraId="4B9A4BE8" w14:textId="77777777" w:rsidR="002A3970" w:rsidRDefault="00C35E63">
      <w:r>
        <w:rPr>
          <w:rFonts w:ascii="宋体" w:eastAsia="宋体" w:hAnsi="宋体" w:cs="宋体"/>
        </w:rPr>
        <w:t xml:space="preserve">Search Results </w:t>
      </w:r>
    </w:p>
    <w:p w14:paraId="4B9A4BE9" w14:textId="77777777" w:rsidR="002A3970" w:rsidRDefault="00C35E63">
      <w:r>
        <w:rPr>
          <w:rFonts w:ascii="monospace" w:eastAsia="monospace" w:hAnsi="monospace" w:cs="monospace"/>
          <w:noProof/>
        </w:rPr>
        <mc:AlternateContent>
          <mc:Choice Requires="wps">
            <w:drawing>
              <wp:inline distT="0" distB="0" distL="114300" distR="114300" wp14:anchorId="4B9A4C44" wp14:editId="4B9A4C45">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B9A4BEA" w14:textId="77777777" w:rsidR="002A3970" w:rsidRDefault="00C35E63">
      <w:r>
        <w:rPr>
          <w:rFonts w:ascii="宋体" w:eastAsia="宋体" w:hAnsi="宋体" w:cs="宋体"/>
        </w:rPr>
        <w:t>Save</w:t>
      </w:r>
    </w:p>
    <w:p w14:paraId="4B9A4BEB" w14:textId="77777777" w:rsidR="002A3970" w:rsidRDefault="00C35E63">
      <w:r>
        <w:rPr>
          <w:rFonts w:ascii="宋体" w:eastAsia="宋体" w:hAnsi="宋体" w:cs="宋体"/>
        </w:rPr>
        <w:t>Reset</w:t>
      </w:r>
    </w:p>
    <w:p w14:paraId="4B9A4BEC" w14:textId="77777777" w:rsidR="002A3970" w:rsidRDefault="00C35E63">
      <w:r>
        <w:pict w14:anchorId="4B9A4C46">
          <v:rect id="_x0000_i1063" style="width:415.3pt;height:1.5pt" o:hralign="center" o:hrstd="t" o:hr="t" fillcolor="#a0a0a0" stroked="f"/>
        </w:pict>
      </w:r>
    </w:p>
    <w:p w14:paraId="4B9A4BED" w14:textId="77777777" w:rsidR="002A3970" w:rsidRDefault="00C35E63">
      <w:r>
        <w:rPr>
          <w:rFonts w:ascii="宋体" w:eastAsia="宋体" w:hAnsi="宋体" w:cs="宋体"/>
        </w:rPr>
        <w:t xml:space="preserve">Selected Fact </w:t>
      </w:r>
    </w:p>
    <w:p w14:paraId="4B9A4BEE" w14:textId="77777777" w:rsidR="002A3970" w:rsidRDefault="00C35E63">
      <w:r>
        <w:rPr>
          <w:rFonts w:ascii="monospace" w:eastAsia="monospace" w:hAnsi="monospace" w:cs="monospace"/>
          <w:noProof/>
        </w:rPr>
        <mc:AlternateContent>
          <mc:Choice Requires="wps">
            <w:drawing>
              <wp:inline distT="0" distB="0" distL="114300" distR="114300" wp14:anchorId="4B9A4C47" wp14:editId="4B9A4C48">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B9A4BEF" w14:textId="77777777" w:rsidR="002A3970" w:rsidRDefault="00C35E63">
      <w:r>
        <w:rPr>
          <w:rFonts w:ascii="宋体" w:eastAsia="宋体" w:hAnsi="宋体" w:cs="宋体"/>
        </w:rPr>
        <w:t>Save</w:t>
      </w:r>
    </w:p>
    <w:p w14:paraId="4B9A4BF0" w14:textId="77777777" w:rsidR="002A3970" w:rsidRDefault="00C35E63">
      <w:r>
        <w:rPr>
          <w:rFonts w:ascii="宋体" w:eastAsia="宋体" w:hAnsi="宋体" w:cs="宋体"/>
        </w:rPr>
        <w:t>Reset</w:t>
      </w:r>
    </w:p>
    <w:p w14:paraId="4B9A4BF1" w14:textId="77777777" w:rsidR="002A3970" w:rsidRDefault="00C35E63">
      <w:r>
        <w:pict w14:anchorId="4B9A4C49">
          <v:rect id="_x0000_i1064" style="width:415.3pt;height:1.5pt" o:hralign="center" o:hrstd="t" o:hr="t" fillcolor="#a0a0a0" stroked="f"/>
        </w:pict>
      </w:r>
    </w:p>
    <w:p w14:paraId="4B9A4BF2" w14:textId="77777777" w:rsidR="002A3970" w:rsidRDefault="00C35E63">
      <w:r>
        <w:rPr>
          <w:rFonts w:ascii="宋体" w:eastAsia="宋体" w:hAnsi="宋体" w:cs="宋体"/>
        </w:rPr>
        <w:t xml:space="preserve">Tag Shading (hover) </w:t>
      </w:r>
    </w:p>
    <w:p w14:paraId="4B9A4BF3" w14:textId="77777777" w:rsidR="002A3970" w:rsidRDefault="00C35E63">
      <w:r>
        <w:rPr>
          <w:rFonts w:ascii="monospace" w:eastAsia="monospace" w:hAnsi="monospace" w:cs="monospace"/>
          <w:noProof/>
        </w:rPr>
        <mc:AlternateContent>
          <mc:Choice Requires="wps">
            <w:drawing>
              <wp:inline distT="0" distB="0" distL="114300" distR="114300" wp14:anchorId="4B9A4C4A" wp14:editId="4B9A4C4B">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B9A4BF4" w14:textId="77777777" w:rsidR="002A3970" w:rsidRDefault="00C35E63">
      <w:r>
        <w:rPr>
          <w:rFonts w:ascii="宋体" w:eastAsia="宋体" w:hAnsi="宋体" w:cs="宋体"/>
        </w:rPr>
        <w:t>Save</w:t>
      </w:r>
    </w:p>
    <w:p w14:paraId="4B9A4BF5" w14:textId="77777777" w:rsidR="002A3970" w:rsidRDefault="00C35E63">
      <w:r>
        <w:rPr>
          <w:rFonts w:ascii="宋体" w:eastAsia="宋体" w:hAnsi="宋体" w:cs="宋体"/>
        </w:rPr>
        <w:t>Reset</w:t>
      </w:r>
    </w:p>
    <w:p w14:paraId="4B9A4BF6" w14:textId="77777777" w:rsidR="002A3970" w:rsidRDefault="00C35E63">
      <w:pPr>
        <w:pStyle w:val="Style5"/>
      </w:pPr>
      <w:r>
        <w:t>窗体底端</w:t>
      </w:r>
    </w:p>
    <w:p w14:paraId="4B9A4BF7" w14:textId="77777777" w:rsidR="002A3970" w:rsidRDefault="00C35E6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B9A4C4C" wp14:editId="4B9A4C4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F9" w14:textId="77777777">
        <w:trPr>
          <w:tblCellSpacing w:w="15" w:type="dxa"/>
        </w:trPr>
        <w:tc>
          <w:tcPr>
            <w:tcW w:w="0" w:type="auto"/>
            <w:shd w:val="clear" w:color="auto" w:fill="auto"/>
            <w:vAlign w:val="center"/>
          </w:tcPr>
          <w:p w14:paraId="4B9A4BF8" w14:textId="77777777" w:rsidR="002A3970" w:rsidRDefault="002A3970">
            <w:pPr>
              <w:rPr>
                <w:rFonts w:ascii="宋体"/>
              </w:rPr>
            </w:pPr>
          </w:p>
        </w:tc>
      </w:tr>
    </w:tbl>
    <w:p w14:paraId="4B9A4BFA"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FC" w14:textId="77777777">
        <w:trPr>
          <w:tblCellSpacing w:w="15" w:type="dxa"/>
        </w:trPr>
        <w:tc>
          <w:tcPr>
            <w:tcW w:w="0" w:type="auto"/>
            <w:shd w:val="clear" w:color="auto" w:fill="auto"/>
            <w:vAlign w:val="center"/>
          </w:tcPr>
          <w:p w14:paraId="4B9A4BFB" w14:textId="77777777" w:rsidR="002A3970" w:rsidRDefault="002A3970">
            <w:pPr>
              <w:rPr>
                <w:rFonts w:ascii="宋体"/>
              </w:rPr>
            </w:pPr>
          </w:p>
        </w:tc>
      </w:tr>
    </w:tbl>
    <w:p w14:paraId="4B9A4BFD"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BFF" w14:textId="77777777">
        <w:trPr>
          <w:tblCellSpacing w:w="15" w:type="dxa"/>
        </w:trPr>
        <w:tc>
          <w:tcPr>
            <w:tcW w:w="0" w:type="auto"/>
            <w:shd w:val="clear" w:color="auto" w:fill="auto"/>
            <w:vAlign w:val="center"/>
          </w:tcPr>
          <w:p w14:paraId="4B9A4BFE" w14:textId="77777777" w:rsidR="002A3970" w:rsidRDefault="002A3970">
            <w:pPr>
              <w:rPr>
                <w:rFonts w:ascii="宋体"/>
              </w:rPr>
            </w:pPr>
          </w:p>
        </w:tc>
      </w:tr>
    </w:tbl>
    <w:p w14:paraId="4B9A4C00"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C02" w14:textId="77777777">
        <w:trPr>
          <w:tblCellSpacing w:w="15" w:type="dxa"/>
        </w:trPr>
        <w:tc>
          <w:tcPr>
            <w:tcW w:w="0" w:type="auto"/>
            <w:shd w:val="clear" w:color="auto" w:fill="auto"/>
            <w:vAlign w:val="center"/>
          </w:tcPr>
          <w:p w14:paraId="4B9A4C01" w14:textId="77777777" w:rsidR="002A3970" w:rsidRDefault="002A3970">
            <w:pPr>
              <w:rPr>
                <w:rFonts w:ascii="宋体"/>
              </w:rPr>
            </w:pPr>
          </w:p>
        </w:tc>
      </w:tr>
    </w:tbl>
    <w:p w14:paraId="4B9A4C03" w14:textId="77777777" w:rsidR="002A3970" w:rsidRDefault="00C35E63">
      <w:r>
        <w:rPr>
          <w:rFonts w:ascii="宋体" w:eastAsia="宋体" w:hAnsi="宋体" w:cs="宋体"/>
        </w:rPr>
        <w:t xml:space="preserve">Previous Next </w:t>
      </w:r>
    </w:p>
    <w:p w14:paraId="4B9A4C04" w14:textId="77777777" w:rsidR="002A3970" w:rsidRDefault="00C35E63">
      <w:pPr>
        <w:pStyle w:val="a3"/>
      </w:pPr>
      <w:r>
        <w:t xml:space="preserve">Nested Facts / </w:t>
      </w:r>
    </w:p>
    <w:p w14:paraId="4B9A4C05" w14:textId="77777777" w:rsidR="002A3970" w:rsidRDefault="00C35E63">
      <w:r>
        <w:rPr>
          <w:rFonts w:ascii="宋体" w:eastAsia="宋体" w:hAnsi="宋体" w:cs="宋体"/>
        </w:rPr>
        <w:t xml:space="preserve">Previous Next </w:t>
      </w:r>
    </w:p>
    <w:p w14:paraId="4B9A4C06" w14:textId="77777777" w:rsidR="002A3970" w:rsidRDefault="00C35E6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B9A4C4E" wp14:editId="4B9A4C4F">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C08" w14:textId="77777777">
        <w:trPr>
          <w:tblCellSpacing w:w="15" w:type="dxa"/>
        </w:trPr>
        <w:tc>
          <w:tcPr>
            <w:tcW w:w="0" w:type="auto"/>
            <w:shd w:val="clear" w:color="auto" w:fill="auto"/>
            <w:vAlign w:val="center"/>
          </w:tcPr>
          <w:p w14:paraId="4B9A4C07" w14:textId="77777777" w:rsidR="002A3970" w:rsidRDefault="002A3970">
            <w:pPr>
              <w:rPr>
                <w:rFonts w:ascii="宋体"/>
              </w:rPr>
            </w:pPr>
          </w:p>
        </w:tc>
      </w:tr>
    </w:tbl>
    <w:p w14:paraId="4B9A4C09"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C0B" w14:textId="77777777">
        <w:trPr>
          <w:tblCellSpacing w:w="15" w:type="dxa"/>
        </w:trPr>
        <w:tc>
          <w:tcPr>
            <w:tcW w:w="0" w:type="auto"/>
            <w:shd w:val="clear" w:color="auto" w:fill="auto"/>
            <w:vAlign w:val="center"/>
          </w:tcPr>
          <w:p w14:paraId="4B9A4C0A" w14:textId="77777777" w:rsidR="002A3970" w:rsidRDefault="002A3970">
            <w:pPr>
              <w:rPr>
                <w:rFonts w:ascii="宋体"/>
              </w:rPr>
            </w:pPr>
          </w:p>
        </w:tc>
      </w:tr>
    </w:tbl>
    <w:p w14:paraId="4B9A4C0C"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C0E" w14:textId="77777777">
        <w:trPr>
          <w:tblCellSpacing w:w="15" w:type="dxa"/>
        </w:trPr>
        <w:tc>
          <w:tcPr>
            <w:tcW w:w="0" w:type="auto"/>
            <w:shd w:val="clear" w:color="auto" w:fill="auto"/>
            <w:vAlign w:val="center"/>
          </w:tcPr>
          <w:p w14:paraId="4B9A4C0D" w14:textId="77777777" w:rsidR="002A3970" w:rsidRDefault="002A3970">
            <w:pPr>
              <w:rPr>
                <w:rFonts w:ascii="宋体"/>
              </w:rPr>
            </w:pPr>
          </w:p>
        </w:tc>
      </w:tr>
    </w:tbl>
    <w:p w14:paraId="4B9A4C0F" w14:textId="77777777" w:rsidR="002A3970" w:rsidRDefault="002A39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970" w14:paraId="4B9A4C11" w14:textId="77777777">
        <w:trPr>
          <w:tblCellSpacing w:w="15" w:type="dxa"/>
        </w:trPr>
        <w:tc>
          <w:tcPr>
            <w:tcW w:w="0" w:type="auto"/>
            <w:shd w:val="clear" w:color="auto" w:fill="auto"/>
            <w:vAlign w:val="center"/>
          </w:tcPr>
          <w:p w14:paraId="4B9A4C10" w14:textId="77777777" w:rsidR="002A3970" w:rsidRDefault="002A3970">
            <w:pPr>
              <w:rPr>
                <w:rFonts w:ascii="宋体"/>
              </w:rPr>
            </w:pPr>
          </w:p>
        </w:tc>
      </w:tr>
    </w:tbl>
    <w:p w14:paraId="4B9A4C12" w14:textId="77777777" w:rsidR="002A3970" w:rsidRDefault="00C35E63">
      <w:r>
        <w:rPr>
          <w:rFonts w:ascii="宋体" w:eastAsia="宋体" w:hAnsi="宋体" w:cs="宋体"/>
        </w:rPr>
        <w:t xml:space="preserve">Previous Next </w:t>
      </w:r>
    </w:p>
    <w:p w14:paraId="4B9A4C13" w14:textId="77777777" w:rsidR="002A3970" w:rsidRDefault="002A3970"/>
    <w:sectPr w:rsidR="002A397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2990" w14:textId="77777777" w:rsidR="00C35E63" w:rsidRDefault="00C35E63" w:rsidP="00C35E63">
      <w:r>
        <w:separator/>
      </w:r>
    </w:p>
  </w:endnote>
  <w:endnote w:type="continuationSeparator" w:id="0">
    <w:p w14:paraId="2329E461" w14:textId="77777777" w:rsidR="00C35E63" w:rsidRDefault="00C35E63" w:rsidP="00C35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苹方-简"/>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5146" w14:textId="77777777" w:rsidR="00C35E63" w:rsidRDefault="00C35E63" w:rsidP="00C35E63">
      <w:r>
        <w:separator/>
      </w:r>
    </w:p>
  </w:footnote>
  <w:footnote w:type="continuationSeparator" w:id="0">
    <w:p w14:paraId="03695E16" w14:textId="77777777" w:rsidR="00C35E63" w:rsidRDefault="00C35E63" w:rsidP="00C35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ABEC441"/>
    <w:rsid w:val="FABEC441"/>
    <w:rsid w:val="002A3970"/>
    <w:rsid w:val="00C3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A2932"/>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35E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35E63"/>
    <w:rPr>
      <w:rFonts w:asciiTheme="minorEastAsia" w:hAnsiTheme="minorEastAsia" w:cs="Times New Roman"/>
      <w:sz w:val="18"/>
      <w:szCs w:val="18"/>
    </w:rPr>
  </w:style>
  <w:style w:type="paragraph" w:styleId="a8">
    <w:name w:val="footer"/>
    <w:basedOn w:val="a"/>
    <w:link w:val="a9"/>
    <w:rsid w:val="00C35E63"/>
    <w:pPr>
      <w:tabs>
        <w:tab w:val="center" w:pos="4153"/>
        <w:tab w:val="right" w:pos="8306"/>
      </w:tabs>
      <w:snapToGrid w:val="0"/>
    </w:pPr>
    <w:rPr>
      <w:sz w:val="18"/>
      <w:szCs w:val="18"/>
    </w:rPr>
  </w:style>
  <w:style w:type="character" w:customStyle="1" w:styleId="a9">
    <w:name w:val="页脚 字符"/>
    <w:basedOn w:val="a0"/>
    <w:link w:val="a8"/>
    <w:rsid w:val="00C35E6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104169/000010416922000083/wmt-20221031.htm" TargetMode="External"/><Relationship Id="rId117" Type="http://schemas.openxmlformats.org/officeDocument/2006/relationships/fontTable" Target="fontTable.xml"/><Relationship Id="rId21" Type="http://schemas.openxmlformats.org/officeDocument/2006/relationships/hyperlink" Target="https://www.sec.gov/ix?doc=/Archives/edgar/data/0000104169/000010416922000083/wmt-20221031.htm" TargetMode="External"/><Relationship Id="rId42" Type="http://schemas.openxmlformats.org/officeDocument/2006/relationships/hyperlink" Target="https://www.sec.gov/ix?doc=/Archives/edgar/data/0000104169/000010416922000083/wmt-20221031.htm" TargetMode="External"/><Relationship Id="rId47" Type="http://schemas.openxmlformats.org/officeDocument/2006/relationships/hyperlink" Target="https://www.sec.gov/ix?doc=/Archives/edgar/data/0000104169/000010416922000083/wmt-20221031.htm" TargetMode="External"/><Relationship Id="rId63" Type="http://schemas.openxmlformats.org/officeDocument/2006/relationships/hyperlink" Target="https://www.sec.gov/ix?doc=/Archives/edgar/data/0000104169/000010416922000083/wmt-20221031.htm" TargetMode="External"/><Relationship Id="rId68" Type="http://schemas.openxmlformats.org/officeDocument/2006/relationships/hyperlink" Target="https://www.sec.gov/ix?doc=/Archives/edgar/data/0000104169/000010416922000083/wmt-20221031.htm" TargetMode="External"/><Relationship Id="rId84" Type="http://schemas.openxmlformats.org/officeDocument/2006/relationships/hyperlink" Target="https://www.sec.gov/ix?doc=/Archives/edgar/data/0000104169/000010416922000083/wmt-20221031.htm" TargetMode="External"/><Relationship Id="rId89" Type="http://schemas.openxmlformats.org/officeDocument/2006/relationships/hyperlink" Target="https://www.sec.gov/ix?doc=/Archives/edgar/data/0000104169/000010416922000083/wmt-20221031.htm" TargetMode="External"/><Relationship Id="rId112" Type="http://schemas.openxmlformats.org/officeDocument/2006/relationships/hyperlink" Target="https://www.sec.gov/Archives/edgar/data/0000104169/000010416922000083/wmtexhibit312fy23q3.htm" TargetMode="External"/><Relationship Id="rId16" Type="http://schemas.openxmlformats.org/officeDocument/2006/relationships/hyperlink" Target="https://www.sec.gov/ix?doc=/Archives/edgar/data/0000104169/000010416922000083/wmt-20221031.htm" TargetMode="External"/><Relationship Id="rId107" Type="http://schemas.openxmlformats.org/officeDocument/2006/relationships/hyperlink" Target="https://www.sec.gov/ix?doc=/Archives/edgar/data/0000104169/000010416922000083/wmt-20221031.htm" TargetMode="External"/><Relationship Id="rId11" Type="http://schemas.openxmlformats.org/officeDocument/2006/relationships/hyperlink" Target="https://www.sec.gov/ix?doc=/Archives/edgar/data/0000104169/000010416922000083/wmt-20221031.htm" TargetMode="External"/><Relationship Id="rId32" Type="http://schemas.openxmlformats.org/officeDocument/2006/relationships/hyperlink" Target="https://www.sec.gov/ix?doc=/Archives/edgar/data/0000104169/000010416922000083/wmt-20221031.htm" TargetMode="External"/><Relationship Id="rId37" Type="http://schemas.openxmlformats.org/officeDocument/2006/relationships/hyperlink" Target="https://www.sec.gov/ix?doc=/Archives/edgar/data/0000104169/000010416922000083/wmt-20221031.htm" TargetMode="External"/><Relationship Id="rId53" Type="http://schemas.openxmlformats.org/officeDocument/2006/relationships/hyperlink" Target="https://www.sec.gov/ix?doc=/Archives/edgar/data/0000104169/000010416922000083/wmt-20221031.htm" TargetMode="External"/><Relationship Id="rId58" Type="http://schemas.openxmlformats.org/officeDocument/2006/relationships/hyperlink" Target="https://www.sec.gov/ix?doc=/Archives/edgar/data/0000104169/000010416922000083/wmt-20221031.htm" TargetMode="External"/><Relationship Id="rId74" Type="http://schemas.openxmlformats.org/officeDocument/2006/relationships/hyperlink" Target="https://www.sec.gov/ix?doc=/Archives/edgar/data/0000104169/000010416922000083/wmt-20221031.htm" TargetMode="External"/><Relationship Id="rId79" Type="http://schemas.openxmlformats.org/officeDocument/2006/relationships/hyperlink" Target="https://www.sec.gov/ix?doc=/Archives/edgar/data/0000104169/000010416922000083/wmt-20221031.htm" TargetMode="External"/><Relationship Id="rId102" Type="http://schemas.openxmlformats.org/officeDocument/2006/relationships/hyperlink" Target="https://www.sec.gov/ix?doc=/Archives/edgar/data/0000104169/000010416922000083/wmt-20221031.htm" TargetMode="External"/><Relationship Id="rId5" Type="http://schemas.openxmlformats.org/officeDocument/2006/relationships/endnotes" Target="endnotes.xml"/><Relationship Id="rId90" Type="http://schemas.openxmlformats.org/officeDocument/2006/relationships/hyperlink" Target="https://www.sec.gov/ix?doc=/Archives/edgar/data/0000104169/000010416922000083/wmt-20221031.htm" TargetMode="External"/><Relationship Id="rId95" Type="http://schemas.openxmlformats.org/officeDocument/2006/relationships/hyperlink" Target="https://www.sec.gov/ix?doc=/Archives/edgar/data/0000104169/000010416922000083/wmt-20221031.htm" TargetMode="External"/><Relationship Id="rId22" Type="http://schemas.openxmlformats.org/officeDocument/2006/relationships/hyperlink" Target="https://www.sec.gov/ix?doc=/Archives/edgar/data/0000104169/000010416922000083/wmt-20221031.htm" TargetMode="External"/><Relationship Id="rId27" Type="http://schemas.openxmlformats.org/officeDocument/2006/relationships/hyperlink" Target="https://www.sec.gov/ix?doc=/Archives/edgar/data/0000104169/000010416922000083/wmt-20221031.htm" TargetMode="External"/><Relationship Id="rId43" Type="http://schemas.openxmlformats.org/officeDocument/2006/relationships/hyperlink" Target="https://www.sec.gov/ix?doc=/Archives/edgar/data/0000104169/000010416922000083/wmt-20221031.htm" TargetMode="External"/><Relationship Id="rId48" Type="http://schemas.openxmlformats.org/officeDocument/2006/relationships/hyperlink" Target="https://www.sec.gov/ix?doc=/Archives/edgar/data/0000104169/000010416922000083/wmt-20221031.htm" TargetMode="External"/><Relationship Id="rId64" Type="http://schemas.openxmlformats.org/officeDocument/2006/relationships/hyperlink" Target="https://www.sec.gov/ix?doc=/Archives/edgar/data/0000104169/000010416922000083/wmt-20221031.htm" TargetMode="External"/><Relationship Id="rId69" Type="http://schemas.openxmlformats.org/officeDocument/2006/relationships/hyperlink" Target="https://www.sec.gov/ix?doc=/Archives/edgar/data/0000104169/000010416922000083/wmt-20221031.htm" TargetMode="External"/><Relationship Id="rId113" Type="http://schemas.openxmlformats.org/officeDocument/2006/relationships/hyperlink" Target="https://www.sec.gov/Archives/edgar/data/0000104169/000010416922000083/wmtexhibit321fy23q3.htm" TargetMode="External"/><Relationship Id="rId118" Type="http://schemas.openxmlformats.org/officeDocument/2006/relationships/theme" Target="theme/theme1.xml"/><Relationship Id="rId80" Type="http://schemas.openxmlformats.org/officeDocument/2006/relationships/hyperlink" Target="https://www.sec.gov/ix?doc=/Archives/edgar/data/0000104169/000010416922000083/wmt-20221031.htm" TargetMode="External"/><Relationship Id="rId85" Type="http://schemas.openxmlformats.org/officeDocument/2006/relationships/hyperlink" Target="https://www.sec.gov/ix?doc=/Archives/edgar/data/0000104169/000010416922000083/wmt-20221031.htm" TargetMode="External"/><Relationship Id="rId12" Type="http://schemas.openxmlformats.org/officeDocument/2006/relationships/hyperlink" Target="https://www.sec.gov/ix?doc=/Archives/edgar/data/0000104169/000010416922000083/wmt-20221031.htm" TargetMode="External"/><Relationship Id="rId17" Type="http://schemas.openxmlformats.org/officeDocument/2006/relationships/hyperlink" Target="https://www.sec.gov/ix?doc=/Archives/edgar/data/0000104169/000010416922000083/wmt-20221031.htm" TargetMode="External"/><Relationship Id="rId33" Type="http://schemas.openxmlformats.org/officeDocument/2006/relationships/hyperlink" Target="https://www.sec.gov/ix?doc=/Archives/edgar/data/0000104169/000010416922000083/wmt-20221031.htm" TargetMode="External"/><Relationship Id="rId38" Type="http://schemas.openxmlformats.org/officeDocument/2006/relationships/hyperlink" Target="https://www.sec.gov/ix?doc=/Archives/edgar/data/0000104169/000010416922000083/wmt-20221031.htm" TargetMode="External"/><Relationship Id="rId59" Type="http://schemas.openxmlformats.org/officeDocument/2006/relationships/hyperlink" Target="https://www.sec.gov/ix?doc=/Archives/edgar/data/0000104169/000010416922000083/wmt-20221031.htm" TargetMode="External"/><Relationship Id="rId103" Type="http://schemas.openxmlformats.org/officeDocument/2006/relationships/hyperlink" Target="https://www.sec.gov/ix?doc=/Archives/edgar/data/0000104169/000010416922000083/wmt-20221031.htm" TargetMode="External"/><Relationship Id="rId108" Type="http://schemas.openxmlformats.org/officeDocument/2006/relationships/hyperlink" Target="https://www.sec.gov/ix?doc=/Archives/edgar/data/0000104169/000010416922000083/wmt-20221031.htm" TargetMode="External"/><Relationship Id="rId54" Type="http://schemas.openxmlformats.org/officeDocument/2006/relationships/hyperlink" Target="https://www.sec.gov/ix?doc=/Archives/edgar/data/0000104169/000010416922000083/wmt-20221031.htm" TargetMode="External"/><Relationship Id="rId70" Type="http://schemas.openxmlformats.org/officeDocument/2006/relationships/hyperlink" Target="https://www.sec.gov/ix?doc=/Archives/edgar/data/0000104169/000010416922000083/wmt-20221031.htm" TargetMode="External"/><Relationship Id="rId75" Type="http://schemas.openxmlformats.org/officeDocument/2006/relationships/hyperlink" Target="https://www.sec.gov/ix?doc=/Archives/edgar/data/0000104169/000010416922000083/wmt-20221031.htm" TargetMode="External"/><Relationship Id="rId91" Type="http://schemas.openxmlformats.org/officeDocument/2006/relationships/hyperlink" Target="https://www.sec.gov/ix?doc=/Archives/edgar/data/0000104169/000010416922000083/wmt-20221031.htm" TargetMode="External"/><Relationship Id="rId96" Type="http://schemas.openxmlformats.org/officeDocument/2006/relationships/hyperlink" Target="https://www.sec.gov/ix?doc=/Archives/edgar/data/0000104169/000010416922000083/wmt-20221031.htm" TargetMode="External"/><Relationship Id="rId1" Type="http://schemas.openxmlformats.org/officeDocument/2006/relationships/styles" Target="styles.xml"/><Relationship Id="rId23" Type="http://schemas.openxmlformats.org/officeDocument/2006/relationships/hyperlink" Target="https://www.sec.gov/ix?doc=/Archives/edgar/data/0000104169/000010416922000083/wmt-20221031.htm" TargetMode="External"/><Relationship Id="rId28" Type="http://schemas.openxmlformats.org/officeDocument/2006/relationships/hyperlink" Target="https://www.sec.gov/ix?doc=/Archives/edgar/data/0000104169/000010416922000083/wmt-20221031.htm" TargetMode="External"/><Relationship Id="rId49" Type="http://schemas.openxmlformats.org/officeDocument/2006/relationships/hyperlink" Target="https://www.sec.gov/ix?doc=/Archives/edgar/data/0000104169/000010416922000083/wmt-20221031.htm" TargetMode="External"/><Relationship Id="rId114" Type="http://schemas.openxmlformats.org/officeDocument/2006/relationships/hyperlink" Target="https://www.sec.gov/Archives/edgar/data/0000104169/000010416922000083/wmtexhibit322fy23q3.htm" TargetMode="External"/><Relationship Id="rId10" Type="http://schemas.openxmlformats.org/officeDocument/2006/relationships/hyperlink" Target="https://www.sec.gov/ix?doc=/Archives/edgar/data/0000104169/000010416922000083/wmt-20221031.htm" TargetMode="External"/><Relationship Id="rId31" Type="http://schemas.openxmlformats.org/officeDocument/2006/relationships/hyperlink" Target="https://www.sec.gov/ix?doc=/Archives/edgar/data/0000104169/000010416922000083/wmt-20221031.htm" TargetMode="External"/><Relationship Id="rId44" Type="http://schemas.openxmlformats.org/officeDocument/2006/relationships/hyperlink" Target="https://www.sec.gov/ix?doc=/Archives/edgar/data/0000104169/000010416922000083/wmt-20221031.htm" TargetMode="External"/><Relationship Id="rId52" Type="http://schemas.openxmlformats.org/officeDocument/2006/relationships/hyperlink" Target="https://www.sec.gov/ix?doc=/Archives/edgar/data/0000104169/000010416922000083/wmt-20221031.htm" TargetMode="External"/><Relationship Id="rId60" Type="http://schemas.openxmlformats.org/officeDocument/2006/relationships/hyperlink" Target="https://www.sec.gov/ix?doc=/Archives/edgar/data/0000104169/000010416922000083/wmt-20221031.htm" TargetMode="External"/><Relationship Id="rId65" Type="http://schemas.openxmlformats.org/officeDocument/2006/relationships/hyperlink" Target="https://www.sec.gov/ix?doc=/Archives/edgar/data/0000104169/000010416922000083/wmt-20221031.htm" TargetMode="External"/><Relationship Id="rId73" Type="http://schemas.openxmlformats.org/officeDocument/2006/relationships/hyperlink" Target="https://www.sec.gov/ix?doc=/Archives/edgar/data/0000104169/000010416922000083/wmt-20221031.htm" TargetMode="External"/><Relationship Id="rId78" Type="http://schemas.openxmlformats.org/officeDocument/2006/relationships/hyperlink" Target="https://www.sec.gov/ix?doc=/Archives/edgar/data/0000104169/000010416922000083/wmt-20221031.htm" TargetMode="External"/><Relationship Id="rId81" Type="http://schemas.openxmlformats.org/officeDocument/2006/relationships/hyperlink" Target="https://www.sec.gov/ix?doc=/Archives/edgar/data/0000104169/000010416922000083/wmt-20221031.htm" TargetMode="External"/><Relationship Id="rId86" Type="http://schemas.openxmlformats.org/officeDocument/2006/relationships/hyperlink" Target="https://www.sec.gov/ix?doc=/Archives/edgar/data/0000104169/000010416922000083/wmt-20221031.htm" TargetMode="External"/><Relationship Id="rId94" Type="http://schemas.openxmlformats.org/officeDocument/2006/relationships/hyperlink" Target="https://www.sec.gov/ix?doc=/Archives/edgar/data/0000104169/000010416922000083/wmt-20221031.htm" TargetMode="External"/><Relationship Id="rId99" Type="http://schemas.openxmlformats.org/officeDocument/2006/relationships/hyperlink" Target="https://www.sec.gov/ix?doc=/Archives/edgar/data/0000104169/000010416922000083/wmt-20221031.htm" TargetMode="External"/><Relationship Id="rId101" Type="http://schemas.openxmlformats.org/officeDocument/2006/relationships/hyperlink" Target="https://www.sec.gov/ix?doc=/Archives/edgar/data/0000104169/000010416922000083/wmt-20221031.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2000083/wmt-20221031.htm" TargetMode="External"/><Relationship Id="rId13" Type="http://schemas.openxmlformats.org/officeDocument/2006/relationships/hyperlink" Target="https://www.sec.gov/ix?doc=/Archives/edgar/data/0000104169/000010416922000083/wmt-20221031.htm" TargetMode="External"/><Relationship Id="rId18" Type="http://schemas.openxmlformats.org/officeDocument/2006/relationships/hyperlink" Target="https://www.sec.gov/ix?doc=/Archives/edgar/data/0000104169/000010416922000083/wmt-20221031.htm" TargetMode="External"/><Relationship Id="rId39" Type="http://schemas.openxmlformats.org/officeDocument/2006/relationships/hyperlink" Target="https://www.sec.gov/ix?doc=/Archives/edgar/data/0000104169/000010416922000083/wmt-20221031.htm" TargetMode="External"/><Relationship Id="rId109" Type="http://schemas.openxmlformats.org/officeDocument/2006/relationships/hyperlink" Target="http://www.sec.gov/Archives/edgar/data/104169/000010416918000013/exhibit31-212018.htm" TargetMode="External"/><Relationship Id="rId34" Type="http://schemas.openxmlformats.org/officeDocument/2006/relationships/hyperlink" Target="https://www.sec.gov/ix?doc=/Archives/edgar/data/0000104169/000010416922000083/wmt-20221031.htm" TargetMode="External"/><Relationship Id="rId50" Type="http://schemas.openxmlformats.org/officeDocument/2006/relationships/hyperlink" Target="https://www.sec.gov/ix?doc=/Archives/edgar/data/0000104169/000010416922000083/wmt-20221031.htm" TargetMode="External"/><Relationship Id="rId55" Type="http://schemas.openxmlformats.org/officeDocument/2006/relationships/hyperlink" Target="https://www.sec.gov/ix?doc=/Archives/edgar/data/0000104169/000010416922000083/wmt-20221031.htm" TargetMode="External"/><Relationship Id="rId76" Type="http://schemas.openxmlformats.org/officeDocument/2006/relationships/hyperlink" Target="https://www.sec.gov/ix?doc=/Archives/edgar/data/0000104169/000010416922000083/wmt-20221031.htm" TargetMode="External"/><Relationship Id="rId97" Type="http://schemas.openxmlformats.org/officeDocument/2006/relationships/hyperlink" Target="https://www.sec.gov/ix?doc=/Archives/edgar/data/0000104169/000010416922000083/wmt-20221031.htm" TargetMode="External"/><Relationship Id="rId104" Type="http://schemas.openxmlformats.org/officeDocument/2006/relationships/hyperlink" Target="https://www.sec.gov/ix?doc=/Archives/edgar/data/0000104169/000010416922000083/wmt-20221031.htm" TargetMode="External"/><Relationship Id="rId7" Type="http://schemas.openxmlformats.org/officeDocument/2006/relationships/hyperlink" Target="https://www.sec.gov/ix?doc=/Archives/edgar/data/0000104169/000010416922000083/wmt-20221031.htm" TargetMode="External"/><Relationship Id="rId71" Type="http://schemas.openxmlformats.org/officeDocument/2006/relationships/hyperlink" Target="https://www.sec.gov/ix?doc=/Archives/edgar/data/0000104169/000010416922000083/wmt-20221031.htm" TargetMode="External"/><Relationship Id="rId92" Type="http://schemas.openxmlformats.org/officeDocument/2006/relationships/hyperlink" Target="https://www.sec.gov/ix?doc=/Archives/edgar/data/0000104169/000010416922000083/wmt-20221031.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2000083/wmt-20221031.htm" TargetMode="External"/><Relationship Id="rId24" Type="http://schemas.openxmlformats.org/officeDocument/2006/relationships/hyperlink" Target="https://www.sec.gov/ix?doc=/Archives/edgar/data/0000104169/000010416922000083/wmt-20221031.htm" TargetMode="External"/><Relationship Id="rId40" Type="http://schemas.openxmlformats.org/officeDocument/2006/relationships/hyperlink" Target="https://www.sec.gov/ix?doc=/Archives/edgar/data/0000104169/000010416922000083/wmt-20221031.htm" TargetMode="External"/><Relationship Id="rId45" Type="http://schemas.openxmlformats.org/officeDocument/2006/relationships/hyperlink" Target="https://www.sec.gov/ix?doc=/Archives/edgar/data/0000104169/000010416922000083/wmt-20221031.htm" TargetMode="External"/><Relationship Id="rId66" Type="http://schemas.openxmlformats.org/officeDocument/2006/relationships/hyperlink" Target="https://www.sec.gov/ix?doc=/Archives/edgar/data/0000104169/000010416922000083/wmt-20221031.htm" TargetMode="External"/><Relationship Id="rId87" Type="http://schemas.openxmlformats.org/officeDocument/2006/relationships/hyperlink" Target="https://www.sec.gov/ix?doc=/Archives/edgar/data/0000104169/000010416922000083/wmt-20221031.htm" TargetMode="External"/><Relationship Id="rId110" Type="http://schemas.openxmlformats.org/officeDocument/2006/relationships/hyperlink" Target="https://www.sec.gov/Archives/edgar/data/104169/000010416922000080/exhibit31-amendedandrestat.htm" TargetMode="External"/><Relationship Id="rId115" Type="http://schemas.openxmlformats.org/officeDocument/2006/relationships/hyperlink" Target="https://www.sec.gov/Archives/edgar/data/0000104169/000010416922000083/wmtexhibit991fy23q3.htm" TargetMode="External"/><Relationship Id="rId61" Type="http://schemas.openxmlformats.org/officeDocument/2006/relationships/hyperlink" Target="https://www.sec.gov/ix?doc=/Archives/edgar/data/0000104169/000010416922000083/wmt-20221031.htm" TargetMode="External"/><Relationship Id="rId82" Type="http://schemas.openxmlformats.org/officeDocument/2006/relationships/hyperlink" Target="https://www.sec.gov/ix?doc=/Archives/edgar/data/104169/000010416922000012/wmt-20220131.htm" TargetMode="External"/><Relationship Id="rId19" Type="http://schemas.openxmlformats.org/officeDocument/2006/relationships/hyperlink" Target="https://www.sec.gov/ix?doc=/Archives/edgar/data/0000104169/000010416922000083/wmt-20221031.htm" TargetMode="External"/><Relationship Id="rId14" Type="http://schemas.openxmlformats.org/officeDocument/2006/relationships/hyperlink" Target="https://www.sec.gov/ix?doc=/Archives/edgar/data/0000104169/000010416922000083/wmt-20221031.htm" TargetMode="External"/><Relationship Id="rId30" Type="http://schemas.openxmlformats.org/officeDocument/2006/relationships/hyperlink" Target="https://www.sec.gov/ix?doc=/Archives/edgar/data/0000104169/000010416922000083/wmt-20221031.htm" TargetMode="External"/><Relationship Id="rId35" Type="http://schemas.openxmlformats.org/officeDocument/2006/relationships/hyperlink" Target="https://www.sec.gov/ix?doc=/Archives/edgar/data/0000104169/000010416922000083/wmt-20221031.htm" TargetMode="External"/><Relationship Id="rId56" Type="http://schemas.openxmlformats.org/officeDocument/2006/relationships/hyperlink" Target="https://www.sec.gov/ix?doc=/Archives/edgar/data/0000104169/000010416922000083/wmt-20221031.htm" TargetMode="External"/><Relationship Id="rId77" Type="http://schemas.openxmlformats.org/officeDocument/2006/relationships/hyperlink" Target="https://www.sec.gov/ix?doc=/Archives/edgar/data/0000104169/000010416922000083/wmt-20221031.htm" TargetMode="External"/><Relationship Id="rId100" Type="http://schemas.openxmlformats.org/officeDocument/2006/relationships/hyperlink" Target="https://www.sec.gov/ix?doc=/Archives/edgar/data/0000104169/000010416922000083/wmt-20221031.htm" TargetMode="External"/><Relationship Id="rId105" Type="http://schemas.openxmlformats.org/officeDocument/2006/relationships/hyperlink" Target="https://www.sec.gov/ix?doc=/Archives/edgar/data/0000104169/000010416922000083/wmt-20221031.htm" TargetMode="External"/><Relationship Id="rId8" Type="http://schemas.openxmlformats.org/officeDocument/2006/relationships/hyperlink" Target="https://www.sec.gov/ix?doc=/Archives/edgar/data/0000104169/000010416922000083/wmt-20221031.htm" TargetMode="External"/><Relationship Id="rId51" Type="http://schemas.openxmlformats.org/officeDocument/2006/relationships/hyperlink" Target="https://www.sec.gov/ix?doc=/Archives/edgar/data/0000104169/000010416922000083/wmt-20221031.htm" TargetMode="External"/><Relationship Id="rId72" Type="http://schemas.openxmlformats.org/officeDocument/2006/relationships/hyperlink" Target="https://www.sec.gov/ix?doc=/Archives/edgar/data/0000104169/000010416922000083/wmt-20221031.htm" TargetMode="External"/><Relationship Id="rId93" Type="http://schemas.openxmlformats.org/officeDocument/2006/relationships/hyperlink" Target="https://www.sec.gov/ix?doc=/Archives/edgar/data/0000104169/000010416922000083/wmt-20221031.htm" TargetMode="External"/><Relationship Id="rId98" Type="http://schemas.openxmlformats.org/officeDocument/2006/relationships/hyperlink" Target="https://www.sec.gov/ix?doc=/Archives/edgar/data/0000104169/000010416922000083/wmt-20221031.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2000083/wmt-20221031.htm" TargetMode="External"/><Relationship Id="rId46" Type="http://schemas.openxmlformats.org/officeDocument/2006/relationships/hyperlink" Target="https://www.sec.gov/ix?doc=/Archives/edgar/data/0000104169/000010416922000083/wmt-20221031.htm" TargetMode="External"/><Relationship Id="rId67" Type="http://schemas.openxmlformats.org/officeDocument/2006/relationships/hyperlink" Target="https://www.sec.gov/ix?doc=/Archives/edgar/data/0000104169/000010416922000083/wmt-20221031.htm" TargetMode="External"/><Relationship Id="rId116" Type="http://schemas.openxmlformats.org/officeDocument/2006/relationships/hyperlink" Target="https://www.sec.gov/ix?doc=/Archives/edgar/data/0000104169/000010416922000083/wmt-20221031.htm" TargetMode="External"/><Relationship Id="rId20" Type="http://schemas.openxmlformats.org/officeDocument/2006/relationships/hyperlink" Target="https://www.sec.gov/ix?doc=/Archives/edgar/data/0000104169/000010416922000083/wmt-20221031.htm" TargetMode="External"/><Relationship Id="rId41" Type="http://schemas.openxmlformats.org/officeDocument/2006/relationships/hyperlink" Target="https://www.sec.gov/ix?doc=/Archives/edgar/data/0000104169/000010416922000083/wmt-20221031.htm" TargetMode="External"/><Relationship Id="rId62" Type="http://schemas.openxmlformats.org/officeDocument/2006/relationships/hyperlink" Target="https://www.sec.gov/ix?doc=/Archives/edgar/data/0000104169/000010416922000083/wmt-20221031.htm" TargetMode="External"/><Relationship Id="rId83" Type="http://schemas.openxmlformats.org/officeDocument/2006/relationships/hyperlink" Target="https://www.sec.gov/ix?doc=/Archives/edgar/data/0000104169/000010416922000083/wmt-20221031.htm" TargetMode="External"/><Relationship Id="rId88" Type="http://schemas.openxmlformats.org/officeDocument/2006/relationships/hyperlink" Target="https://www.sec.gov/ix?doc=/Archives/edgar/data/0000104169/000010416922000083/wmt-20221031.htm" TargetMode="External"/><Relationship Id="rId111" Type="http://schemas.openxmlformats.org/officeDocument/2006/relationships/hyperlink" Target="https://www.sec.gov/Archives/edgar/data/0000104169/000010416922000083/wmtexhibit311fy23q3.htm" TargetMode="External"/><Relationship Id="rId15" Type="http://schemas.openxmlformats.org/officeDocument/2006/relationships/hyperlink" Target="https://www.sec.gov/ix?doc=/Archives/edgar/data/0000104169/000010416922000083/wmt-20221031.htm" TargetMode="External"/><Relationship Id="rId36" Type="http://schemas.openxmlformats.org/officeDocument/2006/relationships/hyperlink" Target="https://www.sec.gov/ix?doc=/Archives/edgar/data/0000104169/000010416922000083/wmt-20221031.htm" TargetMode="External"/><Relationship Id="rId57" Type="http://schemas.openxmlformats.org/officeDocument/2006/relationships/hyperlink" Target="https://www.sec.gov/ix?doc=/Archives/edgar/data/0000104169/000010416922000083/wmt-20221031.htm" TargetMode="External"/><Relationship Id="rId106" Type="http://schemas.openxmlformats.org/officeDocument/2006/relationships/hyperlink" Target="https://www.sec.gov/ix?doc=/Archives/edgar/data/0000104169/000010416922000083/wmt-202210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22800</Words>
  <Characters>129965</Characters>
  <Application>Microsoft Office Word</Application>
  <DocSecurity>0</DocSecurity>
  <Lines>1083</Lines>
  <Paragraphs>304</Paragraphs>
  <ScaleCrop>false</ScaleCrop>
  <Company/>
  <LinksUpToDate>false</LinksUpToDate>
  <CharactersWithSpaces>152461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356A69ADFC604D3270BBE7637D12E69E</vt:lpwstr>
  </property>
</Properties>
</file>