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2A06D" w14:textId="77777777" w:rsidR="00000000" w:rsidRDefault="00016ED8">
      <w:pPr>
        <w:divId w:val="307369671"/>
        <w:rPr>
          <w:rFonts w:ascii="Arial" w:eastAsia="Times New Roman" w:hAnsi="Arial" w:cs="Arial"/>
          <w:vanish/>
          <w:sz w:val="20"/>
          <w:szCs w:val="20"/>
        </w:rPr>
      </w:pPr>
      <w:r>
        <w:rPr>
          <w:rFonts w:ascii="Arial" w:eastAsia="Times New Roman" w:hAnsi="Arial" w:cs="Arial"/>
          <w:vanish/>
          <w:sz w:val="20"/>
          <w:szCs w:val="20"/>
        </w:rPr>
        <w:t xml:space="preserve">0001332174 iShares S&amp;P GSCI Commodity-Indexed Trust false --12-31 Q2 2020 1.54 July 02, 2020 0.14 July 07, 2020 0.09 0.13 July 14, 2020 0.09 July 23, 2020 0.13 July 28, 2020 0.12 0.13 August 04, 2020 0.11 1.06 August 06, 2020 0.12 </w:t>
      </w:r>
      <w:r>
        <w:rPr>
          <w:rFonts w:ascii="Arial" w:eastAsia="Times New Roman" w:hAnsi="Arial" w:cs="Arial"/>
          <w:vanish/>
          <w:sz w:val="20"/>
          <w:szCs w:val="20"/>
        </w:rPr>
        <w:t>August 11, 2020 0.12 August 20, 2020 0.12 August 27, 2020 0.12 September 10, 2020 0.14 September 24, 2020 0.14 October 13, 2020 563,837,730 92.55 7.45 100.00 1.56 January 7, 2020 1.54 1.87 January 16, 2020 1.62 January 21, 2020 1.87 January 23, 2020 1.55 J</w:t>
      </w:r>
      <w:r>
        <w:rPr>
          <w:rFonts w:ascii="Arial" w:eastAsia="Times New Roman" w:hAnsi="Arial" w:cs="Arial"/>
          <w:vanish/>
          <w:sz w:val="20"/>
          <w:szCs w:val="20"/>
        </w:rPr>
        <w:t>anuary 30, 2020 1.56 February 4, 2020 1.88 1.93 February 6, 2020 1.55 February 13, 2020 1.55 February 20, 2020 1.81 February 27, 2020 1.53 1.61 March 12, 2020 1.55 March 26, 2020 1.55 April 16, 2020 1.55 1.61 April 23, 2020 1.51 May 7, 2020 1.55 May 14, 20</w:t>
      </w:r>
      <w:r>
        <w:rPr>
          <w:rFonts w:ascii="Arial" w:eastAsia="Times New Roman" w:hAnsi="Arial" w:cs="Arial"/>
          <w:vanish/>
          <w:sz w:val="20"/>
          <w:szCs w:val="20"/>
        </w:rPr>
        <w:t xml:space="preserve">20 750,419,242 96.8 3.20 100.00 A portion of the above U.S. Treasury bills are posted as margin for the Trust’s Index Futures positions as described in Note 2D. Based on the change in net asset value of a Share during the period. Percentage is annualized. </w:t>
      </w:r>
      <w:r>
        <w:rPr>
          <w:rFonts w:ascii="Arial" w:eastAsia="Times New Roman" w:hAnsi="Arial" w:cs="Arial"/>
          <w:vanish/>
          <w:sz w:val="20"/>
          <w:szCs w:val="20"/>
        </w:rPr>
        <w:t>Net increase (decrease) in net assets per Share based on average shares outstanding during the period. Rates shown are discount rates paid at the time of purchase. The amounts reported for a Share outstanding may not accord with the change in aggregate gai</w:t>
      </w:r>
      <w:r>
        <w:rPr>
          <w:rFonts w:ascii="Arial" w:eastAsia="Times New Roman" w:hAnsi="Arial" w:cs="Arial"/>
          <w:vanish/>
          <w:sz w:val="20"/>
          <w:szCs w:val="20"/>
        </w:rPr>
        <w:t>ns and losses on investments for each period due to the timing of Trust Share transactions in relation to the fluctuating fair values of the Trust’s underlying investments. Based on average Shares outstanding during the period. Cost of short-term investmen</w:t>
      </w:r>
      <w:r>
        <w:rPr>
          <w:rFonts w:ascii="Arial" w:eastAsia="Times New Roman" w:hAnsi="Arial" w:cs="Arial"/>
          <w:vanish/>
          <w:sz w:val="20"/>
          <w:szCs w:val="20"/>
        </w:rPr>
        <w:t>ts: $508,123,101 and $720,991,393, respectively. Percentage is not annualized. No par value, unlimited amount authorized. Cost of short-term investments held at the broker (restricted): $55,714,629 and $29,427,850, respectively. Shown at the unrealized app</w:t>
      </w:r>
      <w:r>
        <w:rPr>
          <w:rFonts w:ascii="Arial" w:eastAsia="Times New Roman" w:hAnsi="Arial" w:cs="Arial"/>
          <w:vanish/>
          <w:sz w:val="20"/>
          <w:szCs w:val="20"/>
        </w:rPr>
        <w:t>reciation (depreciation) on the contracts. 508,123,101 720,991,393 55,714,629 29,427,850 59,000,000 47,750,000 0 0 00013321742020-01-012020-06-30 xbrli:shares 00013321742020-07-31 thunderdome:item iso4217:USD 00013321742020-06-30 00013321742019-12-31 iso42</w:t>
      </w:r>
      <w:r>
        <w:rPr>
          <w:rFonts w:ascii="Arial" w:eastAsia="Times New Roman" w:hAnsi="Arial" w:cs="Arial"/>
          <w:vanish/>
          <w:sz w:val="20"/>
          <w:szCs w:val="20"/>
        </w:rPr>
        <w:t>17:USDxbrli:shares 00013321742020-04-012020-06-30 00013321742019-04-012019-06-30 00013321742019-01-012019-06-30 00013321742020-01-012020-03-31 00013321742020-03-31 00013321742018-12-31 00013321742019-01-012019-03-31 00013321742019-03-31 00013321742019-06-3</w:t>
      </w:r>
      <w:r>
        <w:rPr>
          <w:rFonts w:ascii="Arial" w:eastAsia="Times New Roman" w:hAnsi="Arial" w:cs="Arial"/>
          <w:vanish/>
          <w:sz w:val="20"/>
          <w:szCs w:val="20"/>
        </w:rPr>
        <w:t>0 xbrli:pure 0001332174gsg:UnitedStatesTreasuryBills154Due070220Member2020-06-30 0001332174gsg:UnitedStatesTreasuryBills014Due070720Member2020-06-30 0001332174gsg:UnitedStatesTreasuryBills009013Due071420Membersrt:MinimumMember2020-06-30 0001332174gsg:Unite</w:t>
      </w:r>
      <w:r>
        <w:rPr>
          <w:rFonts w:ascii="Arial" w:eastAsia="Times New Roman" w:hAnsi="Arial" w:cs="Arial"/>
          <w:vanish/>
          <w:sz w:val="20"/>
          <w:szCs w:val="20"/>
        </w:rPr>
        <w:t>dStatesTreasuryBills009013Due071420Membersrt:MaximumMember2020-06-30 0001332174gsg:UnitedStatesTreasuryBills009013Due071420Member2020-06-30 0001332174gsg:UnitedStatesTreasuryBills009Due072320Member2020-06-30 0001332174gsg:UnitedStatesTreasuryBills013Due072</w:t>
      </w:r>
      <w:r>
        <w:rPr>
          <w:rFonts w:ascii="Arial" w:eastAsia="Times New Roman" w:hAnsi="Arial" w:cs="Arial"/>
          <w:vanish/>
          <w:sz w:val="20"/>
          <w:szCs w:val="20"/>
        </w:rPr>
        <w:t>820Member2020-06-30 0001332174gsg:UnitedStatesTreasuryBills012013Due080420Membersrt:MinimumMember2020-06-30 0001332174gsg:UnitedStatesTreasuryBills012013Due080420Membersrt:MaximumMember2020-06-30 0001332174gsg:UnitedStatesTreasuryBills012013Due080420Member</w:t>
      </w:r>
      <w:r>
        <w:rPr>
          <w:rFonts w:ascii="Arial" w:eastAsia="Times New Roman" w:hAnsi="Arial" w:cs="Arial"/>
          <w:vanish/>
          <w:sz w:val="20"/>
          <w:szCs w:val="20"/>
        </w:rPr>
        <w:t>2020-06-30 0001332174gsg:UnitedStatesTreasuryBills011106Due080620Membersrt:MinimumMember2020-06-30 0001332174gsg:UnitedStatesTreasuryBills011106Due080620Membersrt:MaximumMember2020-06-30 0001332174gsg:UnitedStatesTreasuryBills011106Due080620Member2020-06-3</w:t>
      </w:r>
      <w:r>
        <w:rPr>
          <w:rFonts w:ascii="Arial" w:eastAsia="Times New Roman" w:hAnsi="Arial" w:cs="Arial"/>
          <w:vanish/>
          <w:sz w:val="20"/>
          <w:szCs w:val="20"/>
        </w:rPr>
        <w:t>0 0001332174gsg:UnitedStatesTreasuryBills012Due081120Member2020-06-30 0001332174gsg:UnitedStatesTreasuryBills012Due082020Member2020-06-30 0001332174gsg:UnitedStatesTreasuryBills012Due082720Member2020-06-30 0001332174gsg:UnitedStatesTreasuryBills012Due09102</w:t>
      </w:r>
      <w:r>
        <w:rPr>
          <w:rFonts w:ascii="Arial" w:eastAsia="Times New Roman" w:hAnsi="Arial" w:cs="Arial"/>
          <w:vanish/>
          <w:sz w:val="20"/>
          <w:szCs w:val="20"/>
        </w:rPr>
        <w:t>0Member2020-06-30 0001332174gsg:UnitedStatesTreasuryBills014Due092420Member2020-06-30 0001332174gsg:UnitedStatesTreasuryBills014Due101320Member2020-06-30 0001332174us-gaap:USTreasuryBillSecuritiesMember2020-06-30 0001332174gsg:UnitedStatesTreasuryBills156D</w:t>
      </w:r>
      <w:r>
        <w:rPr>
          <w:rFonts w:ascii="Arial" w:eastAsia="Times New Roman" w:hAnsi="Arial" w:cs="Arial"/>
          <w:vanish/>
          <w:sz w:val="20"/>
          <w:szCs w:val="20"/>
        </w:rPr>
        <w:t>ue010720Member2019-12-31 0001332174gsg:UnitedStatesTreasuryBills154187Due011620Membersrt:MinimumMember2019-12-31 0001332174gsg:UnitedStatesTreasuryBills154187Due011620Membersrt:MaximumMember2019-12-31 0001332174gsg:UnitedStatesTreasuryBills154187Due011620M</w:t>
      </w:r>
      <w:r>
        <w:rPr>
          <w:rFonts w:ascii="Arial" w:eastAsia="Times New Roman" w:hAnsi="Arial" w:cs="Arial"/>
          <w:vanish/>
          <w:sz w:val="20"/>
          <w:szCs w:val="20"/>
        </w:rPr>
        <w:t>ember2019-12-31 0001332174gsg:UnitedStatesTreasuryBills162Due012120Member2019-12-31 0001332174gsg:UnitedStatesTreasuryBills187Due012320Member2019-12-31 0001332174gsg:UnitedStatesTreasuryBills155Due013020Member2019-12-31 0001332174gsg:UnitedStatesTreasuryBi</w:t>
      </w:r>
      <w:r>
        <w:rPr>
          <w:rFonts w:ascii="Arial" w:eastAsia="Times New Roman" w:hAnsi="Arial" w:cs="Arial"/>
          <w:vanish/>
          <w:sz w:val="20"/>
          <w:szCs w:val="20"/>
        </w:rPr>
        <w:t>lls156Due020420Member2019-12-31 0001332174gsg:UnitedStatesTreasuryBills188193Due020620Membersrt:MinimumMember2019-12-31 0001332174gsg:UnitedStatesTreasuryBills188193Due020620Membersrt:MaximumMember2019-12-31 0001332174gsg:UnitedStatesTreasuryBills188193Due</w:t>
      </w:r>
      <w:r>
        <w:rPr>
          <w:rFonts w:ascii="Arial" w:eastAsia="Times New Roman" w:hAnsi="Arial" w:cs="Arial"/>
          <w:vanish/>
          <w:sz w:val="20"/>
          <w:szCs w:val="20"/>
        </w:rPr>
        <w:t>020620Member2019-12-31 0001332174gsg:UnitedStatesTreasuryBills155Due021320Member2019-12-31 0001332174gsg:UnitedStatesTreasuryBills155Due022020Member2019-12-31 0001332174gsg:UnitedStatesTreasuryBills181Due022720Member2019-12-31 0001332174gsg:UnitedStatesTre</w:t>
      </w:r>
      <w:r>
        <w:rPr>
          <w:rFonts w:ascii="Arial" w:eastAsia="Times New Roman" w:hAnsi="Arial" w:cs="Arial"/>
          <w:vanish/>
          <w:sz w:val="20"/>
          <w:szCs w:val="20"/>
        </w:rPr>
        <w:t>asuryBills153161Due031220Membersrt:MinimumMember2019-12-31 0001332174gsg:UnitedStatesTreasuryBills153161Due031220Membersrt:MaximumMember2019-12-31 0001332174gsg:UnitedStatesTreasuryBills153161Due031220Member2019-12-31 0001332174gsg:UnitedStatesTreasuryBill</w:t>
      </w:r>
      <w:r>
        <w:rPr>
          <w:rFonts w:ascii="Arial" w:eastAsia="Times New Roman" w:hAnsi="Arial" w:cs="Arial"/>
          <w:vanish/>
          <w:sz w:val="20"/>
          <w:szCs w:val="20"/>
        </w:rPr>
        <w:t>s155Due032620Member2019-12-31 0001332174gsg:UnitedStatesTreasuryBills155Due041620Member2019-12-31 0001332174gsg:UnitedStatesTreasuryBills155161Due042320Membersrt:MinimumMember2019-12-31 0001332174gsg:UnitedStatesTreasuryBills155161Due042320Membersrt:Maximu</w:t>
      </w:r>
      <w:r>
        <w:rPr>
          <w:rFonts w:ascii="Arial" w:eastAsia="Times New Roman" w:hAnsi="Arial" w:cs="Arial"/>
          <w:vanish/>
          <w:sz w:val="20"/>
          <w:szCs w:val="20"/>
        </w:rPr>
        <w:t>mMember2019-12-31 0001332174gsg:UnitedStatesTreasuryBills155161Due042320Member2019-12-31 0001332174gsg:UnitedStatesTreasuryBills151Due050720Member2019-12-31 0001332174gsg:UnitedStatesTreasuryBills155Due051420Member2019-12-31 0001332174us-gaap:USTreasuryBil</w:t>
      </w:r>
      <w:r>
        <w:rPr>
          <w:rFonts w:ascii="Arial" w:eastAsia="Times New Roman" w:hAnsi="Arial" w:cs="Arial"/>
          <w:vanish/>
          <w:sz w:val="20"/>
          <w:szCs w:val="20"/>
        </w:rPr>
        <w:t>lSecuritiesMember2019-12-31 00013321742019-01-012019-12-31 0001332174srt:MaximumMember2020-01-012020-06-30 0001332174gsg:ReceivableForVariationMarginOnOpenFuturesContractsMemberus-gaap:CommodityContractMember2020-06-30 0001332174gsg:PayableForVariationMarg</w:t>
      </w:r>
      <w:r>
        <w:rPr>
          <w:rFonts w:ascii="Arial" w:eastAsia="Times New Roman" w:hAnsi="Arial" w:cs="Arial"/>
          <w:vanish/>
          <w:sz w:val="20"/>
          <w:szCs w:val="20"/>
        </w:rPr>
        <w:t>inOnOpenFuturesContractsMemberus-gaap:CommodityContractMember2020-06-30 0001332174gsg:ReceivableForVariationMarginOnOpenFuturesContractsMemberus-gaap:CommodityContractMember2019-12-31 0001332174gsg:PayableForVariationMarginOnOpenFuturesContractsMemberus-ga</w:t>
      </w:r>
      <w:r>
        <w:rPr>
          <w:rFonts w:ascii="Arial" w:eastAsia="Times New Roman" w:hAnsi="Arial" w:cs="Arial"/>
          <w:vanish/>
          <w:sz w:val="20"/>
          <w:szCs w:val="20"/>
        </w:rPr>
        <w:t>ap:CommodityContractMember2019-12-31 0001332174gsg:NetRealizedGainLossFromFuturesContractsMemberus-gaap:CommodityContractMember2020-04-012020-06-30 0001332174gsg:NetChangeInUnrealizedAppreciationDepreciationOnFuturesContractsMemberus-gaap:CommodityContract</w:t>
      </w:r>
      <w:r>
        <w:rPr>
          <w:rFonts w:ascii="Arial" w:eastAsia="Times New Roman" w:hAnsi="Arial" w:cs="Arial"/>
          <w:vanish/>
          <w:sz w:val="20"/>
          <w:szCs w:val="20"/>
        </w:rPr>
        <w:t>Member2020-04-012020-06-30 0001332174gsg:NetRealizedGainLossFromFuturesContractsMemberus-gaap:CommodityContractMember2019-04-012019-06-30 0001332174gsg:NetChangeInUnrealizedAppreciationDepreciationOnFuturesContractsMemberus-gaap:CommodityContractMember2019</w:t>
      </w:r>
      <w:r>
        <w:rPr>
          <w:rFonts w:ascii="Arial" w:eastAsia="Times New Roman" w:hAnsi="Arial" w:cs="Arial"/>
          <w:vanish/>
          <w:sz w:val="20"/>
          <w:szCs w:val="20"/>
        </w:rPr>
        <w:t>-04-012019-06-30 0001332174gsg:NetRealizedGainLossFromFuturesContractsMemberus-gaap:CommodityContractMember2020-01-012020-06-30 0001332174gsg:NetChangeInUnrealizedAppreciationDepreciationOnFuturesContractsMemberus-gaap:CommodityContractMember2020-01-012020</w:t>
      </w:r>
      <w:r>
        <w:rPr>
          <w:rFonts w:ascii="Arial" w:eastAsia="Times New Roman" w:hAnsi="Arial" w:cs="Arial"/>
          <w:vanish/>
          <w:sz w:val="20"/>
          <w:szCs w:val="20"/>
        </w:rPr>
        <w:t>-06-30 0001332174gsg:NetRealizedGainLossFromFuturesContractsMemberus-gaap:CommodityContractMember2019-01-012019-06-30 0001332174gsg:NetChangeInUnrealizedAppreciationDepreciationOnFuturesContractsMemberus-gaap:CommodityContractMember2019-01-012019-06-30 000</w:t>
      </w:r>
      <w:r>
        <w:rPr>
          <w:rFonts w:ascii="Arial" w:eastAsia="Times New Roman" w:hAnsi="Arial" w:cs="Arial"/>
          <w:vanish/>
          <w:sz w:val="20"/>
          <w:szCs w:val="20"/>
        </w:rPr>
        <w:t>1332174us-gaap:FairValueInputsLevel1Membergsg:FuturesMember2020-06-30 0001332174us-gaap:FairValueInputsLevel2Membergsg:FuturesMember2020-06-30 0001332174us-gaap:FairValueInputsLevel3Membergsg:FuturesMember2020-06-30 0001332174gsg:FuturesMember2020-06-30 00</w:t>
      </w:r>
      <w:r>
        <w:rPr>
          <w:rFonts w:ascii="Arial" w:eastAsia="Times New Roman" w:hAnsi="Arial" w:cs="Arial"/>
          <w:vanish/>
          <w:sz w:val="20"/>
          <w:szCs w:val="20"/>
        </w:rPr>
        <w:t>01332174us-gaap:FairValueInputsLevel1Memberus-gaap:USTreasuryBillSecuritiesMember2020-06-30 0001332174us-gaap:FairValueInputsLevel2Memberus-gaap:USTreasuryBillSecuritiesMember2020-06-30 0001332174us-gaap:FairValueInputsLevel3Memberus-gaap:USTreasuryBillSec</w:t>
      </w:r>
      <w:r>
        <w:rPr>
          <w:rFonts w:ascii="Arial" w:eastAsia="Times New Roman" w:hAnsi="Arial" w:cs="Arial"/>
          <w:vanish/>
          <w:sz w:val="20"/>
          <w:szCs w:val="20"/>
        </w:rPr>
        <w:t>uritiesMember2020-06-30 0001332174us-gaap:FairValueInputsLevel1Membergsg:FuturesMember2019-12-31 0001332174us-gaap:FairValueInputsLevel2Membergsg:FuturesMember2019-12-31 0001332174us-gaap:FairValueInputsLevel3Membergsg:FuturesMember2019-12-31 0001332174gsg</w:t>
      </w:r>
      <w:r>
        <w:rPr>
          <w:rFonts w:ascii="Arial" w:eastAsia="Times New Roman" w:hAnsi="Arial" w:cs="Arial"/>
          <w:vanish/>
          <w:sz w:val="20"/>
          <w:szCs w:val="20"/>
        </w:rPr>
        <w:t>:FuturesMember2019-12-31 0001332174us-gaap:FairValueInputsLevel1Memberus-gaap:USTreasuryBillSecuritiesMember2019-12-31 0001332174us-gaap:FairValueInputsLevel2Memberus-gaap:USTreasuryBillSecuritiesMember2019-12-31 0001332174us-gaap:FairValueInputsLevel3Memb</w:t>
      </w:r>
      <w:r>
        <w:rPr>
          <w:rFonts w:ascii="Arial" w:eastAsia="Times New Roman" w:hAnsi="Arial" w:cs="Arial"/>
          <w:vanish/>
          <w:sz w:val="20"/>
          <w:szCs w:val="20"/>
        </w:rPr>
        <w:t xml:space="preserve">erus-gaap:USTreasuryBillSecuritiesMember2019-12-31 </w:t>
      </w:r>
    </w:p>
    <w:p w14:paraId="7F012CAB" w14:textId="77777777" w:rsidR="00000000" w:rsidRDefault="00016ED8">
      <w:pPr>
        <w:divId w:val="1306666600"/>
        <w:rPr>
          <w:rFonts w:ascii="Arial" w:eastAsia="Times New Roman" w:hAnsi="Arial" w:cs="Arial"/>
          <w:sz w:val="20"/>
          <w:szCs w:val="20"/>
        </w:rPr>
      </w:pPr>
      <w:r>
        <w:rPr>
          <w:rFonts w:ascii="Arial" w:eastAsia="Times New Roman" w:hAnsi="Arial" w:cs="Arial"/>
          <w:sz w:val="20"/>
          <w:szCs w:val="20"/>
        </w:rPr>
        <w:t xml:space="preserve">  </w:t>
      </w:r>
    </w:p>
    <w:p w14:paraId="6B1B895D" w14:textId="77777777" w:rsidR="00000000" w:rsidRDefault="00016ED8">
      <w:pPr>
        <w:pStyle w:val="a3"/>
        <w:spacing w:before="0" w:beforeAutospacing="0" w:after="0" w:afterAutospacing="0"/>
        <w:divId w:val="1664431223"/>
        <w:rPr>
          <w:rFonts w:ascii="Arial" w:hAnsi="Arial" w:cs="Arial"/>
          <w:sz w:val="20"/>
          <w:szCs w:val="20"/>
        </w:rPr>
      </w:pPr>
      <w:hyperlink w:anchor="toc" w:history="1">
        <w:r>
          <w:rPr>
            <w:rStyle w:val="a4"/>
            <w:rFonts w:ascii="Arial" w:hAnsi="Arial" w:cs="Arial"/>
            <w:sz w:val="20"/>
            <w:szCs w:val="20"/>
          </w:rPr>
          <w:t>Table of Contents</w:t>
        </w:r>
      </w:hyperlink>
    </w:p>
    <w:p w14:paraId="1A71AEB2" w14:textId="77777777" w:rsidR="00000000" w:rsidRDefault="00016ED8">
      <w:pPr>
        <w:spacing w:before="60" w:after="60"/>
        <w:divId w:val="1664431223"/>
        <w:rPr>
          <w:rFonts w:ascii="Arial" w:eastAsia="Times New Roman" w:hAnsi="Arial" w:cs="Arial"/>
          <w:sz w:val="20"/>
          <w:szCs w:val="20"/>
        </w:rPr>
      </w:pPr>
      <w:r>
        <w:rPr>
          <w:rFonts w:ascii="Arial" w:eastAsia="Times New Roman" w:hAnsi="Arial" w:cs="Arial"/>
          <w:sz w:val="20"/>
          <w:szCs w:val="20"/>
        </w:rPr>
        <w:pict w14:anchorId="624F02E9">
          <v:rect id="_x0000_i1025" style="width:415.3pt;height:2.25pt" o:hralign="center" o:hrstd="t" o:hrnoshade="t" o:hr="t" fillcolor="black" stroked="f"/>
        </w:pict>
      </w:r>
    </w:p>
    <w:p w14:paraId="1647AA86" w14:textId="77777777" w:rsidR="00000000" w:rsidRDefault="00016ED8">
      <w:pPr>
        <w:spacing w:after="60"/>
        <w:divId w:val="1664431223"/>
        <w:rPr>
          <w:rFonts w:ascii="Arial" w:eastAsia="Times New Roman" w:hAnsi="Arial" w:cs="Arial"/>
          <w:sz w:val="20"/>
          <w:szCs w:val="20"/>
        </w:rPr>
      </w:pPr>
      <w:r>
        <w:rPr>
          <w:rFonts w:ascii="Arial" w:eastAsia="Times New Roman" w:hAnsi="Arial" w:cs="Arial"/>
          <w:sz w:val="20"/>
          <w:szCs w:val="20"/>
        </w:rPr>
        <w:pict w14:anchorId="0C2F806F">
          <v:rect id="_x0000_i1026" style="width:415.3pt;height:.75pt" o:hralign="center" o:hrstd="t" o:hrnoshade="t" o:hr="t" fillcolor="black" stroked="f"/>
        </w:pict>
      </w:r>
    </w:p>
    <w:p w14:paraId="56659193" w14:textId="77777777" w:rsidR="00000000" w:rsidRDefault="00016ED8">
      <w:pPr>
        <w:pStyle w:val="a3"/>
        <w:spacing w:before="0" w:beforeAutospacing="0" w:after="0" w:afterAutospacing="0"/>
        <w:ind w:left="56" w:right="57"/>
        <w:jc w:val="center"/>
        <w:divId w:val="1664431223"/>
        <w:rPr>
          <w:rFonts w:ascii="Arial" w:hAnsi="Arial" w:cs="Arial"/>
          <w:sz w:val="36"/>
          <w:szCs w:val="36"/>
        </w:rPr>
      </w:pPr>
      <w:r>
        <w:rPr>
          <w:rFonts w:ascii="Arial" w:hAnsi="Arial" w:cs="Arial"/>
          <w:b/>
          <w:bCs/>
          <w:sz w:val="36"/>
          <w:szCs w:val="36"/>
        </w:rPr>
        <w:t>UNITED STATES</w:t>
      </w:r>
    </w:p>
    <w:p w14:paraId="118E8567" w14:textId="77777777" w:rsidR="00000000" w:rsidRDefault="00016ED8">
      <w:pPr>
        <w:pStyle w:val="a3"/>
        <w:spacing w:before="0" w:beforeAutospacing="0" w:after="0" w:afterAutospacing="0"/>
        <w:ind w:left="56" w:right="54"/>
        <w:jc w:val="center"/>
        <w:divId w:val="1664431223"/>
        <w:rPr>
          <w:rFonts w:ascii="Arial" w:hAnsi="Arial" w:cs="Arial"/>
          <w:sz w:val="36"/>
          <w:szCs w:val="36"/>
        </w:rPr>
      </w:pPr>
      <w:r>
        <w:rPr>
          <w:rFonts w:ascii="Arial" w:hAnsi="Arial" w:cs="Arial"/>
          <w:b/>
          <w:bCs/>
          <w:sz w:val="36"/>
          <w:szCs w:val="36"/>
        </w:rPr>
        <w:t>SECURITIES AND EXCHANGE COMMISSION</w:t>
      </w:r>
    </w:p>
    <w:p w14:paraId="23A08175" w14:textId="77777777" w:rsidR="00000000" w:rsidRDefault="00016ED8">
      <w:pPr>
        <w:pStyle w:val="a3"/>
        <w:spacing w:before="0" w:beforeAutospacing="0" w:after="0" w:afterAutospacing="0"/>
        <w:ind w:left="56" w:right="57"/>
        <w:jc w:val="center"/>
        <w:divId w:val="1664431223"/>
        <w:rPr>
          <w:rFonts w:ascii="Arial" w:hAnsi="Arial" w:cs="Arial"/>
          <w:sz w:val="20"/>
          <w:szCs w:val="20"/>
        </w:rPr>
      </w:pPr>
      <w:r>
        <w:rPr>
          <w:rFonts w:ascii="Arial" w:hAnsi="Arial" w:cs="Arial"/>
          <w:b/>
          <w:bCs/>
          <w:sz w:val="20"/>
          <w:szCs w:val="20"/>
        </w:rPr>
        <w:t>Washington, D.C. 20549</w:t>
      </w:r>
    </w:p>
    <w:p w14:paraId="5F933274"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2D037AE3" w14:textId="77777777" w:rsidR="00000000" w:rsidRDefault="00016ED8">
      <w:pPr>
        <w:spacing w:before="60" w:after="60"/>
        <w:divId w:val="1664431223"/>
        <w:rPr>
          <w:rFonts w:ascii="Arial" w:eastAsia="Times New Roman" w:hAnsi="Arial" w:cs="Arial"/>
          <w:sz w:val="20"/>
          <w:szCs w:val="20"/>
        </w:rPr>
      </w:pPr>
      <w:r>
        <w:rPr>
          <w:rFonts w:ascii="Arial" w:eastAsia="Times New Roman" w:hAnsi="Arial" w:cs="Arial"/>
          <w:sz w:val="20"/>
          <w:szCs w:val="20"/>
        </w:rPr>
        <w:pict w14:anchorId="155EE95C">
          <v:rect id="_x0000_i1027" style="width:62.3pt;height:.75pt" o:hrpct="150" o:hralign="center" o:hrstd="t" o:hrnoshade="t" o:hr="t" fillcolor="black" stroked="f"/>
        </w:pict>
      </w:r>
    </w:p>
    <w:p w14:paraId="798E1BC5" w14:textId="77777777" w:rsidR="00000000" w:rsidRDefault="00016ED8">
      <w:pPr>
        <w:pStyle w:val="a3"/>
        <w:spacing w:before="0" w:beforeAutospacing="0" w:after="0" w:afterAutospacing="0"/>
        <w:jc w:val="center"/>
        <w:divId w:val="1664431223"/>
        <w:rPr>
          <w:rFonts w:ascii="Arial" w:hAnsi="Arial" w:cs="Arial"/>
          <w:sz w:val="36"/>
          <w:szCs w:val="36"/>
        </w:rPr>
      </w:pPr>
      <w:r>
        <w:rPr>
          <w:rFonts w:ascii="Arial" w:hAnsi="Arial" w:cs="Arial"/>
          <w:b/>
          <w:bCs/>
          <w:sz w:val="36"/>
          <w:szCs w:val="36"/>
        </w:rPr>
        <w:t>FORM 10-Q</w:t>
      </w:r>
    </w:p>
    <w:p w14:paraId="5BCC5571" w14:textId="77777777" w:rsidR="00000000" w:rsidRDefault="00016ED8">
      <w:pPr>
        <w:spacing w:before="60" w:after="60"/>
        <w:divId w:val="1664431223"/>
        <w:rPr>
          <w:rFonts w:ascii="Arial" w:eastAsia="Times New Roman" w:hAnsi="Arial" w:cs="Arial"/>
          <w:sz w:val="20"/>
          <w:szCs w:val="20"/>
        </w:rPr>
      </w:pPr>
      <w:r>
        <w:rPr>
          <w:rFonts w:ascii="Arial" w:eastAsia="Times New Roman" w:hAnsi="Arial" w:cs="Arial"/>
          <w:sz w:val="20"/>
          <w:szCs w:val="20"/>
        </w:rPr>
        <w:pict w14:anchorId="752B2963">
          <v:rect id="_x0000_i1028" style="width:62.3pt;height:.75pt" o:hrpct="150" o:hralign="center" o:hrstd="t" o:hrnoshade="t" o:hr="t" fillcolor="black" stroked="f"/>
        </w:pict>
      </w:r>
    </w:p>
    <w:p w14:paraId="48F6BA13"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770858D9" w14:textId="77777777">
        <w:trPr>
          <w:divId w:val="1664431223"/>
          <w:tblCellSpacing w:w="0" w:type="dxa"/>
        </w:trPr>
        <w:tc>
          <w:tcPr>
            <w:tcW w:w="720" w:type="dxa"/>
            <w:hideMark/>
          </w:tcPr>
          <w:p w14:paraId="3C4D4591" w14:textId="77777777" w:rsidR="00000000" w:rsidRDefault="00016ED8">
            <w:pPr>
              <w:pStyle w:val="a3"/>
              <w:spacing w:before="0" w:beforeAutospacing="0" w:after="0" w:afterAutospacing="0"/>
              <w:rPr>
                <w:rFonts w:ascii="Arial" w:hAnsi="Arial" w:cs="Arial"/>
                <w:sz w:val="20"/>
                <w:szCs w:val="20"/>
              </w:rPr>
            </w:pPr>
            <w:r>
              <w:rPr>
                <w:rFonts w:ascii="Segoe UI Symbol" w:hAnsi="Segoe UI Symbol" w:cs="Segoe UI Symbol"/>
              </w:rPr>
              <w:t>☒</w:t>
            </w:r>
          </w:p>
        </w:tc>
        <w:tc>
          <w:tcPr>
            <w:tcW w:w="0" w:type="auto"/>
            <w:hideMark/>
          </w:tcPr>
          <w:p w14:paraId="7B729D45" w14:textId="77777777" w:rsidR="00000000" w:rsidRDefault="00016ED8">
            <w:pPr>
              <w:pStyle w:val="a3"/>
              <w:spacing w:before="0" w:beforeAutospacing="0" w:after="0" w:afterAutospacing="0"/>
              <w:rPr>
                <w:rFonts w:ascii="Arial" w:hAnsi="Arial" w:cs="Arial"/>
                <w:sz w:val="20"/>
                <w:szCs w:val="20"/>
              </w:rPr>
            </w:pPr>
            <w:r>
              <w:rPr>
                <w:rFonts w:ascii="Arial" w:hAnsi="Arial" w:cs="Arial"/>
                <w:b/>
                <w:bCs/>
              </w:rPr>
              <w:t>QUARTERLY REPORT PURSUANT TO SECTION</w:t>
            </w:r>
            <w:r>
              <w:rPr>
                <w:rFonts w:ascii="Arial" w:hAnsi="Arial" w:cs="Arial"/>
                <w:b/>
                <w:bCs/>
              </w:rPr>
              <w:t xml:space="preserve"> 13 OR 15(d) OF THE SECURITIES EXCHANGE ACT OF 1934</w:t>
            </w:r>
          </w:p>
        </w:tc>
      </w:tr>
    </w:tbl>
    <w:p w14:paraId="1645758B" w14:textId="77777777" w:rsidR="00000000" w:rsidRDefault="00016ED8">
      <w:pPr>
        <w:divId w:val="1664431223"/>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2E19CA65" w14:textId="77777777">
        <w:trPr>
          <w:divId w:val="1664431223"/>
          <w:tblCellSpacing w:w="0" w:type="dxa"/>
        </w:trPr>
        <w:tc>
          <w:tcPr>
            <w:tcW w:w="720" w:type="dxa"/>
            <w:vAlign w:val="center"/>
            <w:hideMark/>
          </w:tcPr>
          <w:p w14:paraId="01BB20F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14:paraId="02EBE0C0" w14:textId="77777777" w:rsidR="00000000" w:rsidRDefault="00016ED8">
            <w:pPr>
              <w:rPr>
                <w:rFonts w:ascii="Arial" w:eastAsia="Times New Roman" w:hAnsi="Arial" w:cs="Arial"/>
                <w:sz w:val="20"/>
                <w:szCs w:val="20"/>
              </w:rPr>
            </w:pPr>
            <w:r>
              <w:rPr>
                <w:rFonts w:ascii="Arial" w:eastAsia="Times New Roman" w:hAnsi="Arial" w:cs="Arial"/>
                <w:b/>
                <w:bCs/>
                <w:caps/>
                <w:sz w:val="20"/>
                <w:szCs w:val="20"/>
              </w:rPr>
              <w:t>For the quarterly period ended June 30, 2020</w:t>
            </w:r>
          </w:p>
        </w:tc>
      </w:tr>
    </w:tbl>
    <w:p w14:paraId="2E764859"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b/>
          <w:bCs/>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35509F5F" w14:textId="77777777">
        <w:trPr>
          <w:divId w:val="1664431223"/>
          <w:tblCellSpacing w:w="0" w:type="dxa"/>
        </w:trPr>
        <w:tc>
          <w:tcPr>
            <w:tcW w:w="720" w:type="dxa"/>
            <w:hideMark/>
          </w:tcPr>
          <w:p w14:paraId="0AC2515B" w14:textId="77777777" w:rsidR="00000000" w:rsidRDefault="00016ED8">
            <w:pPr>
              <w:pStyle w:val="a3"/>
              <w:spacing w:before="0" w:beforeAutospacing="0" w:after="0" w:afterAutospacing="0"/>
              <w:rPr>
                <w:rFonts w:ascii="Arial" w:hAnsi="Arial" w:cs="Arial"/>
                <w:sz w:val="20"/>
                <w:szCs w:val="20"/>
              </w:rPr>
            </w:pPr>
            <w:r>
              <w:rPr>
                <w:rFonts w:ascii="Segoe UI Symbol" w:hAnsi="Segoe UI Symbol" w:cs="Segoe UI Symbol"/>
              </w:rPr>
              <w:t>☐</w:t>
            </w:r>
          </w:p>
        </w:tc>
        <w:tc>
          <w:tcPr>
            <w:tcW w:w="0" w:type="auto"/>
            <w:hideMark/>
          </w:tcPr>
          <w:p w14:paraId="5BB7CD6C" w14:textId="77777777" w:rsidR="00000000" w:rsidRDefault="00016ED8">
            <w:pPr>
              <w:pStyle w:val="a3"/>
              <w:spacing w:before="0" w:beforeAutospacing="0" w:after="0" w:afterAutospacing="0"/>
              <w:rPr>
                <w:rFonts w:ascii="Arial" w:hAnsi="Arial" w:cs="Arial"/>
                <w:sz w:val="20"/>
                <w:szCs w:val="20"/>
              </w:rPr>
            </w:pPr>
            <w:r>
              <w:rPr>
                <w:rFonts w:ascii="Arial" w:hAnsi="Arial" w:cs="Arial"/>
                <w:b/>
                <w:bCs/>
              </w:rPr>
              <w:t>TRANSITION REPORT PURSUANT TO SECTION 13 OR 15(d) OF THE SECURITIES EXCHANGE ACT OF 1934</w:t>
            </w:r>
          </w:p>
        </w:tc>
      </w:tr>
    </w:tbl>
    <w:p w14:paraId="70FED201" w14:textId="77777777" w:rsidR="00000000" w:rsidRDefault="00016ED8">
      <w:pPr>
        <w:divId w:val="1664431223"/>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14:paraId="3EED1690" w14:textId="77777777">
        <w:trPr>
          <w:divId w:val="1664431223"/>
          <w:tblCellSpacing w:w="0" w:type="dxa"/>
        </w:trPr>
        <w:tc>
          <w:tcPr>
            <w:tcW w:w="720" w:type="dxa"/>
            <w:vAlign w:val="center"/>
            <w:hideMark/>
          </w:tcPr>
          <w:p w14:paraId="7ACB700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center"/>
            <w:hideMark/>
          </w:tcPr>
          <w:p w14:paraId="69961D40" w14:textId="77777777" w:rsidR="00000000" w:rsidRDefault="00016ED8">
            <w:pPr>
              <w:rPr>
                <w:rFonts w:ascii="Arial" w:eastAsia="Times New Roman" w:hAnsi="Arial" w:cs="Arial"/>
                <w:sz w:val="20"/>
                <w:szCs w:val="20"/>
              </w:rPr>
            </w:pPr>
            <w:r>
              <w:rPr>
                <w:rFonts w:ascii="Arial" w:eastAsia="Times New Roman" w:hAnsi="Arial" w:cs="Arial"/>
                <w:b/>
                <w:bCs/>
                <w:caps/>
                <w:sz w:val="20"/>
                <w:szCs w:val="20"/>
              </w:rPr>
              <w:t>For the transition period from </w:t>
            </w:r>
            <w:r>
              <w:rPr>
                <w:rFonts w:ascii="Arial" w:eastAsia="Times New Roman" w:hAnsi="Arial" w:cs="Arial"/>
                <w:caps/>
                <w:sz w:val="20"/>
                <w:szCs w:val="20"/>
                <w:u w:val="single"/>
              </w:rPr>
              <w:t>                   </w:t>
            </w:r>
            <w:r>
              <w:rPr>
                <w:rFonts w:ascii="Arial" w:eastAsia="Times New Roman" w:hAnsi="Arial" w:cs="Arial"/>
                <w:b/>
                <w:bCs/>
                <w:caps/>
                <w:sz w:val="20"/>
                <w:szCs w:val="20"/>
              </w:rPr>
              <w:t xml:space="preserve"> to </w:t>
            </w:r>
            <w:r>
              <w:rPr>
                <w:rFonts w:ascii="Arial" w:eastAsia="Times New Roman" w:hAnsi="Arial" w:cs="Arial"/>
                <w:caps/>
                <w:sz w:val="20"/>
                <w:szCs w:val="20"/>
                <w:u w:val="single"/>
              </w:rPr>
              <w:t>                   </w:t>
            </w:r>
          </w:p>
        </w:tc>
      </w:tr>
    </w:tbl>
    <w:p w14:paraId="288764E3"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6D361262"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b/>
          <w:bCs/>
          <w:sz w:val="20"/>
          <w:szCs w:val="20"/>
        </w:rPr>
        <w:t>Commission File Number: 001-32947</w:t>
      </w:r>
    </w:p>
    <w:p w14:paraId="4E6C231A"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258B6CB2" w14:textId="77777777" w:rsidR="00000000" w:rsidRDefault="00016ED8">
      <w:pPr>
        <w:spacing w:before="60" w:after="60"/>
        <w:divId w:val="1664431223"/>
        <w:rPr>
          <w:rFonts w:ascii="Arial" w:eastAsia="Times New Roman" w:hAnsi="Arial" w:cs="Arial"/>
          <w:sz w:val="20"/>
          <w:szCs w:val="20"/>
        </w:rPr>
      </w:pPr>
      <w:r>
        <w:rPr>
          <w:rFonts w:ascii="Arial" w:eastAsia="Times New Roman" w:hAnsi="Arial" w:cs="Arial"/>
          <w:sz w:val="20"/>
          <w:szCs w:val="20"/>
        </w:rPr>
        <w:pict w14:anchorId="13DFB94C">
          <v:rect id="_x0000_i1029" style="width:62.3pt;height:.75pt" o:hrpct="150" o:hralign="center" o:hrstd="t" o:hrnoshade="t" o:hr="t" fillcolor="black" stroked="f"/>
        </w:pict>
      </w:r>
    </w:p>
    <w:p w14:paraId="70D5B0BE"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b/>
          <w:bCs/>
          <w:sz w:val="20"/>
          <w:szCs w:val="20"/>
        </w:rPr>
        <w:t> </w:t>
      </w:r>
    </w:p>
    <w:p w14:paraId="50EA5F2F" w14:textId="77777777" w:rsidR="00000000" w:rsidRDefault="00016ED8">
      <w:pPr>
        <w:pStyle w:val="a3"/>
        <w:spacing w:before="0" w:beforeAutospacing="0" w:after="0" w:afterAutospacing="0"/>
        <w:jc w:val="center"/>
        <w:divId w:val="1664431223"/>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b/>
          <w:bCs/>
          <w:sz w:val="36"/>
          <w:szCs w:val="36"/>
        </w:rPr>
        <w:t xml:space="preserve"> S&amp;P GSCI™ Commodity-Indexed Trust</w:t>
      </w:r>
    </w:p>
    <w:p w14:paraId="4A527925" w14:textId="77777777" w:rsidR="00000000" w:rsidRDefault="00016ED8">
      <w:pPr>
        <w:pStyle w:val="a3"/>
        <w:spacing w:before="0" w:beforeAutospacing="0" w:after="0" w:afterAutospacing="0"/>
        <w:jc w:val="center"/>
        <w:divId w:val="1664431223"/>
        <w:rPr>
          <w:rFonts w:ascii="Arial" w:hAnsi="Arial" w:cs="Arial"/>
          <w:sz w:val="16"/>
          <w:szCs w:val="16"/>
        </w:rPr>
      </w:pPr>
      <w:r>
        <w:rPr>
          <w:rFonts w:ascii="Arial" w:hAnsi="Arial" w:cs="Arial"/>
          <w:b/>
          <w:bCs/>
          <w:sz w:val="16"/>
          <w:szCs w:val="16"/>
        </w:rPr>
        <w:t>(Exact name of registrant as specified in its charter)</w:t>
      </w:r>
    </w:p>
    <w:p w14:paraId="58FE6FEF"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34190874" w14:textId="77777777" w:rsidR="00000000" w:rsidRDefault="00016ED8">
      <w:pPr>
        <w:spacing w:before="60" w:after="60"/>
        <w:divId w:val="1664431223"/>
        <w:rPr>
          <w:rFonts w:ascii="Arial" w:eastAsia="Times New Roman" w:hAnsi="Arial" w:cs="Arial"/>
          <w:sz w:val="20"/>
          <w:szCs w:val="20"/>
        </w:rPr>
      </w:pPr>
      <w:r>
        <w:rPr>
          <w:rFonts w:ascii="Arial" w:eastAsia="Times New Roman" w:hAnsi="Arial" w:cs="Arial"/>
          <w:sz w:val="20"/>
          <w:szCs w:val="20"/>
        </w:rPr>
        <w:pict w14:anchorId="08D455AE">
          <v:rect id="_x0000_i1030" style="width:62.3pt;height:.75pt" o:hrpct="150"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14:paraId="46E21D1E" w14:textId="77777777">
        <w:trPr>
          <w:divId w:val="1664431223"/>
          <w:tblCellSpacing w:w="0" w:type="dxa"/>
        </w:trPr>
        <w:tc>
          <w:tcPr>
            <w:tcW w:w="2500" w:type="pct"/>
            <w:vAlign w:val="center"/>
            <w:hideMark/>
          </w:tcPr>
          <w:p w14:paraId="3F6621CF" w14:textId="77777777" w:rsidR="00000000" w:rsidRDefault="00016ED8">
            <w:pPr>
              <w:jc w:val="center"/>
              <w:rPr>
                <w:rFonts w:eastAsia="Times New Roman"/>
                <w:sz w:val="20"/>
                <w:szCs w:val="20"/>
              </w:rPr>
            </w:pPr>
            <w:r>
              <w:rPr>
                <w:rFonts w:eastAsia="Times New Roman"/>
                <w:b/>
                <w:bCs/>
                <w:sz w:val="20"/>
                <w:szCs w:val="20"/>
              </w:rPr>
              <w:t>Delaware</w:t>
            </w:r>
          </w:p>
        </w:tc>
        <w:tc>
          <w:tcPr>
            <w:tcW w:w="2500" w:type="pct"/>
            <w:vAlign w:val="center"/>
            <w:hideMark/>
          </w:tcPr>
          <w:p w14:paraId="4C2BC99B" w14:textId="77777777" w:rsidR="00000000" w:rsidRDefault="00016ED8">
            <w:pPr>
              <w:jc w:val="center"/>
              <w:rPr>
                <w:rFonts w:eastAsia="Times New Roman"/>
                <w:sz w:val="20"/>
                <w:szCs w:val="20"/>
              </w:rPr>
            </w:pPr>
            <w:r>
              <w:rPr>
                <w:rFonts w:eastAsia="Times New Roman"/>
                <w:b/>
                <w:bCs/>
                <w:sz w:val="20"/>
                <w:szCs w:val="20"/>
              </w:rPr>
              <w:t>51-6573369</w:t>
            </w:r>
          </w:p>
        </w:tc>
      </w:tr>
      <w:tr w:rsidR="00000000" w14:paraId="0D5C043E" w14:textId="77777777">
        <w:trPr>
          <w:divId w:val="1664431223"/>
          <w:tblCellSpacing w:w="0" w:type="dxa"/>
        </w:trPr>
        <w:tc>
          <w:tcPr>
            <w:tcW w:w="0" w:type="auto"/>
            <w:vAlign w:val="center"/>
            <w:hideMark/>
          </w:tcPr>
          <w:p w14:paraId="6B83F19F" w14:textId="77777777" w:rsidR="00000000" w:rsidRDefault="00016ED8">
            <w:pPr>
              <w:jc w:val="center"/>
              <w:rPr>
                <w:rFonts w:eastAsia="Times New Roman"/>
                <w:sz w:val="16"/>
                <w:szCs w:val="16"/>
              </w:rPr>
            </w:pPr>
            <w:r>
              <w:rPr>
                <w:rFonts w:eastAsia="Times New Roman"/>
                <w:b/>
                <w:bCs/>
                <w:sz w:val="16"/>
                <w:szCs w:val="16"/>
              </w:rPr>
              <w:t>(State or other jurisdiction of</w:t>
            </w:r>
          </w:p>
        </w:tc>
        <w:tc>
          <w:tcPr>
            <w:tcW w:w="0" w:type="auto"/>
            <w:vAlign w:val="center"/>
            <w:hideMark/>
          </w:tcPr>
          <w:p w14:paraId="3FD945EA" w14:textId="77777777" w:rsidR="00000000" w:rsidRDefault="00016ED8">
            <w:pPr>
              <w:jc w:val="center"/>
              <w:rPr>
                <w:rFonts w:eastAsia="Times New Roman"/>
                <w:sz w:val="16"/>
                <w:szCs w:val="16"/>
              </w:rPr>
            </w:pPr>
            <w:r>
              <w:rPr>
                <w:rFonts w:eastAsia="Times New Roman"/>
                <w:b/>
                <w:bCs/>
                <w:sz w:val="16"/>
                <w:szCs w:val="16"/>
              </w:rPr>
              <w:t>(I.R.S. Employer</w:t>
            </w:r>
          </w:p>
        </w:tc>
      </w:tr>
      <w:tr w:rsidR="00000000" w14:paraId="26F8C58D" w14:textId="77777777">
        <w:trPr>
          <w:divId w:val="1664431223"/>
          <w:tblCellSpacing w:w="0" w:type="dxa"/>
        </w:trPr>
        <w:tc>
          <w:tcPr>
            <w:tcW w:w="0" w:type="auto"/>
            <w:vAlign w:val="center"/>
            <w:hideMark/>
          </w:tcPr>
          <w:p w14:paraId="1E1B7706" w14:textId="77777777" w:rsidR="00000000" w:rsidRDefault="00016ED8">
            <w:pPr>
              <w:jc w:val="center"/>
              <w:rPr>
                <w:rFonts w:eastAsia="Times New Roman"/>
                <w:sz w:val="16"/>
                <w:szCs w:val="16"/>
              </w:rPr>
            </w:pPr>
            <w:r>
              <w:rPr>
                <w:rFonts w:eastAsia="Times New Roman"/>
                <w:b/>
                <w:bCs/>
                <w:sz w:val="16"/>
                <w:szCs w:val="16"/>
              </w:rPr>
              <w:t>incorporation or organization)</w:t>
            </w:r>
          </w:p>
        </w:tc>
        <w:tc>
          <w:tcPr>
            <w:tcW w:w="0" w:type="auto"/>
            <w:vAlign w:val="center"/>
            <w:hideMark/>
          </w:tcPr>
          <w:p w14:paraId="1EB1D302" w14:textId="77777777" w:rsidR="00000000" w:rsidRDefault="00016ED8">
            <w:pPr>
              <w:jc w:val="center"/>
              <w:rPr>
                <w:rFonts w:eastAsia="Times New Roman"/>
                <w:sz w:val="16"/>
                <w:szCs w:val="16"/>
              </w:rPr>
            </w:pPr>
            <w:r>
              <w:rPr>
                <w:rFonts w:eastAsia="Times New Roman"/>
                <w:b/>
                <w:bCs/>
                <w:sz w:val="16"/>
                <w:szCs w:val="16"/>
              </w:rPr>
              <w:t>Identification No.)</w:t>
            </w:r>
          </w:p>
        </w:tc>
      </w:tr>
    </w:tbl>
    <w:p w14:paraId="30BF7330"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sz w:val="20"/>
          <w:szCs w:val="20"/>
        </w:rPr>
        <w:t> </w:t>
      </w:r>
    </w:p>
    <w:p w14:paraId="3BB2BE6C"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b/>
          <w:bCs/>
          <w:sz w:val="20"/>
          <w:szCs w:val="20"/>
        </w:rPr>
        <w:t>c/o iShares Delaware Trust Sponsor LLC</w:t>
      </w:r>
    </w:p>
    <w:p w14:paraId="534001BC"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b/>
          <w:bCs/>
          <w:sz w:val="20"/>
          <w:szCs w:val="20"/>
        </w:rPr>
        <w:t>400 Howard Street</w:t>
      </w:r>
    </w:p>
    <w:p w14:paraId="598F7498"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b/>
          <w:bCs/>
          <w:sz w:val="20"/>
          <w:szCs w:val="20"/>
        </w:rPr>
        <w:t>San Francisco, California 94105</w:t>
      </w:r>
    </w:p>
    <w:p w14:paraId="6F78C940"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b/>
          <w:bCs/>
          <w:sz w:val="20"/>
          <w:szCs w:val="20"/>
        </w:rPr>
        <w:t>Attn: Product Management Team</w:t>
      </w:r>
    </w:p>
    <w:p w14:paraId="07CD9AE2"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b/>
          <w:bCs/>
          <w:sz w:val="20"/>
          <w:szCs w:val="20"/>
        </w:rPr>
        <w:t>iShares Product Research &amp; Development</w:t>
      </w:r>
    </w:p>
    <w:p w14:paraId="75BB82AD" w14:textId="77777777" w:rsidR="00000000" w:rsidRDefault="00016ED8">
      <w:pPr>
        <w:pStyle w:val="a3"/>
        <w:spacing w:before="0" w:beforeAutospacing="0" w:after="0" w:afterAutospacing="0"/>
        <w:jc w:val="center"/>
        <w:divId w:val="1664431223"/>
        <w:rPr>
          <w:rFonts w:ascii="Arial" w:hAnsi="Arial" w:cs="Arial"/>
          <w:sz w:val="16"/>
          <w:szCs w:val="16"/>
        </w:rPr>
      </w:pPr>
      <w:r>
        <w:rPr>
          <w:rFonts w:ascii="Arial" w:hAnsi="Arial" w:cs="Arial"/>
          <w:b/>
          <w:bCs/>
          <w:sz w:val="16"/>
          <w:szCs w:val="16"/>
        </w:rPr>
        <w:t>(Address of principal executive offices)(Zip Code)</w:t>
      </w:r>
    </w:p>
    <w:p w14:paraId="359117FE"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b/>
          <w:bCs/>
          <w:sz w:val="20"/>
          <w:szCs w:val="20"/>
        </w:rPr>
        <w:t> </w:t>
      </w:r>
    </w:p>
    <w:p w14:paraId="1A52298B"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b/>
          <w:bCs/>
          <w:sz w:val="20"/>
          <w:szCs w:val="20"/>
        </w:rPr>
        <w:t>(415) 670-2000</w:t>
      </w:r>
    </w:p>
    <w:p w14:paraId="5D106ACC" w14:textId="77777777" w:rsidR="00000000" w:rsidRDefault="00016ED8">
      <w:pPr>
        <w:pStyle w:val="a3"/>
        <w:spacing w:before="0" w:beforeAutospacing="0" w:after="0" w:afterAutospacing="0"/>
        <w:jc w:val="center"/>
        <w:divId w:val="1664431223"/>
        <w:rPr>
          <w:rFonts w:ascii="Arial" w:hAnsi="Arial" w:cs="Arial"/>
          <w:sz w:val="16"/>
          <w:szCs w:val="16"/>
        </w:rPr>
      </w:pPr>
      <w:r>
        <w:rPr>
          <w:rFonts w:ascii="Arial" w:hAnsi="Arial" w:cs="Arial"/>
          <w:b/>
          <w:bCs/>
          <w:sz w:val="16"/>
          <w:szCs w:val="16"/>
        </w:rPr>
        <w:t>(Registrant’s telephone number, including area code)</w:t>
      </w:r>
    </w:p>
    <w:p w14:paraId="59DE01E1"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34FAF28D" w14:textId="77777777" w:rsidR="00000000" w:rsidRDefault="00016ED8">
      <w:pPr>
        <w:spacing w:before="60" w:after="60"/>
        <w:divId w:val="1664431223"/>
        <w:rPr>
          <w:rFonts w:ascii="Arial" w:eastAsia="Times New Roman" w:hAnsi="Arial" w:cs="Arial"/>
          <w:sz w:val="20"/>
          <w:szCs w:val="20"/>
        </w:rPr>
      </w:pPr>
      <w:r>
        <w:rPr>
          <w:rFonts w:ascii="Arial" w:eastAsia="Times New Roman" w:hAnsi="Arial" w:cs="Arial"/>
          <w:sz w:val="20"/>
          <w:szCs w:val="20"/>
        </w:rPr>
        <w:pict w14:anchorId="54E7A91C">
          <v:rect id="_x0000_i1031" style="width:62.3pt;height:.75pt" o:hrpct="150" o:hralign="center" o:hrstd="t" o:hrnoshade="t" o:hr="t" fillcolor="black" stroked="f"/>
        </w:pict>
      </w:r>
    </w:p>
    <w:p w14:paraId="1A37CE96"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b/>
          <w:bCs/>
          <w:sz w:val="20"/>
          <w:szCs w:val="20"/>
        </w:rPr>
        <w:t> </w:t>
      </w:r>
    </w:p>
    <w:p w14:paraId="69FD0F48"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b/>
          <w:bCs/>
          <w:sz w:val="20"/>
          <w:szCs w:val="20"/>
        </w:rPr>
        <w:t>N/A</w:t>
      </w:r>
    </w:p>
    <w:p w14:paraId="2C401F3D" w14:textId="77777777" w:rsidR="00000000" w:rsidRDefault="00016ED8">
      <w:pPr>
        <w:pStyle w:val="a3"/>
        <w:spacing w:before="0" w:beforeAutospacing="0" w:after="0" w:afterAutospacing="0"/>
        <w:jc w:val="center"/>
        <w:divId w:val="1664431223"/>
        <w:rPr>
          <w:rFonts w:ascii="Arial" w:hAnsi="Arial" w:cs="Arial"/>
          <w:sz w:val="16"/>
          <w:szCs w:val="16"/>
        </w:rPr>
      </w:pPr>
      <w:r>
        <w:rPr>
          <w:rFonts w:ascii="Arial" w:hAnsi="Arial" w:cs="Arial"/>
          <w:b/>
          <w:bCs/>
          <w:sz w:val="16"/>
          <w:szCs w:val="16"/>
        </w:rPr>
        <w:t>(Former name, former address and former fiscal year, if changed since last report)</w:t>
      </w:r>
    </w:p>
    <w:p w14:paraId="32FB3815"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6AA35E0F" w14:textId="77777777" w:rsidR="00000000" w:rsidRDefault="00016ED8">
      <w:pPr>
        <w:spacing w:before="60" w:after="60"/>
        <w:divId w:val="1664431223"/>
        <w:rPr>
          <w:rFonts w:ascii="Arial" w:eastAsia="Times New Roman" w:hAnsi="Arial" w:cs="Arial"/>
          <w:sz w:val="20"/>
          <w:szCs w:val="20"/>
        </w:rPr>
      </w:pPr>
      <w:r>
        <w:rPr>
          <w:rFonts w:ascii="Arial" w:eastAsia="Times New Roman" w:hAnsi="Arial" w:cs="Arial"/>
          <w:sz w:val="20"/>
          <w:szCs w:val="20"/>
        </w:rPr>
        <w:pict w14:anchorId="564F7A27">
          <v:rect id="_x0000_i1032" style="width:62.3pt;height:.75pt" o:hrpct="150" o:hralign="center" o:hrstd="t" o:hrnoshade="t" o:hr="t" fillcolor="black" stroked="f"/>
        </w:pict>
      </w:r>
    </w:p>
    <w:p w14:paraId="185C5CE3"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Indicate by check mark whether the registrant (1) has filed all reports required to be filed by Section 13 or 15</w:t>
      </w:r>
      <w:r>
        <w:rPr>
          <w:rFonts w:ascii="Arial" w:hAnsi="Arial" w:cs="Arial"/>
          <w:sz w:val="20"/>
          <w:szCs w:val="20"/>
        </w:rPr>
        <w:t xml:space="preserve">(d) 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2A643879"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61D742C9"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lastRenderedPageBreak/>
        <w:t>Indicate b</w:t>
      </w:r>
      <w:r>
        <w:rPr>
          <w:rFonts w:ascii="Arial" w:hAnsi="Arial" w:cs="Arial"/>
          <w:sz w:val="20"/>
          <w:szCs w:val="20"/>
        </w:rPr>
        <w:t>y check mark whether the registrant has submitted electronically every Interactive Data File required to be submitted pursuant to Rule 405 of Regulation S-T (§232.405 of this chapter) during the preceding 12 months (or for such shorter period that the regi</w:t>
      </w:r>
      <w:r>
        <w:rPr>
          <w:rFonts w:ascii="Arial" w:hAnsi="Arial" w:cs="Arial"/>
          <w:sz w:val="20"/>
          <w:szCs w:val="20"/>
        </w:rPr>
        <w:t xml:space="preserve">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1A2A0824"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59870EDD"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Indicate by check mark whether the registrant is a large accelerated filer, an accelerated filer, a non-accelerated filer, smaller reporting company, or an emerging growth company. See the definitions</w:t>
      </w:r>
      <w:r>
        <w:rPr>
          <w:rFonts w:ascii="Arial" w:hAnsi="Arial" w:cs="Arial"/>
          <w:sz w:val="20"/>
          <w:szCs w:val="20"/>
        </w:rPr>
        <w:t xml:space="preserve"> of “large accelerated filer,” “accelerated filer,” “smaller reporting company” and “emerging growth company” in Rule 12b-2 of the Exchange Act.</w:t>
      </w:r>
    </w:p>
    <w:p w14:paraId="2D52208F"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7"/>
        <w:gridCol w:w="2907"/>
        <w:gridCol w:w="2492"/>
      </w:tblGrid>
      <w:tr w:rsidR="00000000" w14:paraId="568FAB98" w14:textId="77777777">
        <w:trPr>
          <w:divId w:val="1664431223"/>
          <w:tblCellSpacing w:w="0" w:type="dxa"/>
        </w:trPr>
        <w:tc>
          <w:tcPr>
            <w:tcW w:w="1750" w:type="pct"/>
            <w:vAlign w:val="center"/>
            <w:hideMark/>
          </w:tcPr>
          <w:p w14:paraId="42B7D37C" w14:textId="77777777" w:rsidR="00000000" w:rsidRDefault="00016ED8">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p>
        </w:tc>
        <w:tc>
          <w:tcPr>
            <w:tcW w:w="1750" w:type="pct"/>
            <w:vAlign w:val="center"/>
            <w:hideMark/>
          </w:tcPr>
          <w:p w14:paraId="2139051B" w14:textId="77777777" w:rsidR="00000000" w:rsidRDefault="00016ED8">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500" w:type="pct"/>
            <w:vAlign w:val="center"/>
            <w:hideMark/>
          </w:tcPr>
          <w:p w14:paraId="238594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CF578D0" w14:textId="77777777">
        <w:trPr>
          <w:divId w:val="1664431223"/>
          <w:tblCellSpacing w:w="0" w:type="dxa"/>
        </w:trPr>
        <w:tc>
          <w:tcPr>
            <w:tcW w:w="1750" w:type="pct"/>
            <w:vAlign w:val="center"/>
            <w:hideMark/>
          </w:tcPr>
          <w:p w14:paraId="60B6D39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750" w:type="pct"/>
            <w:vAlign w:val="center"/>
            <w:hideMark/>
          </w:tcPr>
          <w:p w14:paraId="60E10F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500" w:type="pct"/>
            <w:vAlign w:val="center"/>
            <w:hideMark/>
          </w:tcPr>
          <w:p w14:paraId="3517611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3ADDC91" w14:textId="77777777">
        <w:trPr>
          <w:divId w:val="1664431223"/>
          <w:tblCellSpacing w:w="0" w:type="dxa"/>
        </w:trPr>
        <w:tc>
          <w:tcPr>
            <w:tcW w:w="1750" w:type="pct"/>
            <w:vAlign w:val="center"/>
            <w:hideMark/>
          </w:tcPr>
          <w:p w14:paraId="5028B740" w14:textId="77777777" w:rsidR="00000000" w:rsidRDefault="00016ED8">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1750" w:type="pct"/>
            <w:vAlign w:val="center"/>
            <w:hideMark/>
          </w:tcPr>
          <w:p w14:paraId="450AFD79" w14:textId="77777777" w:rsidR="00000000" w:rsidRDefault="00016ED8">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1500" w:type="pct"/>
            <w:vAlign w:val="center"/>
            <w:hideMark/>
          </w:tcPr>
          <w:p w14:paraId="51AAE206" w14:textId="77777777" w:rsidR="00000000" w:rsidRDefault="00016ED8">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14:paraId="5FF37F17"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1B5F7C16"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If an emerging growth company, indicate by check mark if the registrant has elected not to use the extended transition period for complying with any new or revised financial accounting standards prov</w:t>
      </w:r>
      <w:r>
        <w:rPr>
          <w:rFonts w:ascii="Arial" w:hAnsi="Arial" w:cs="Arial"/>
          <w:sz w:val="20"/>
          <w:szCs w:val="20"/>
        </w:rPr>
        <w:t xml:space="preserve">ided pursuant to Section 13(a) of the Exchange Act. </w:t>
      </w:r>
      <w:r>
        <w:rPr>
          <w:rFonts w:ascii="Segoe UI Symbol" w:hAnsi="Segoe UI Symbol" w:cs="Segoe UI Symbol"/>
          <w:sz w:val="20"/>
          <w:szCs w:val="20"/>
        </w:rPr>
        <w:t>☐</w:t>
      </w:r>
    </w:p>
    <w:p w14:paraId="39280C98"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5077EA53"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23655A74"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024BE7FD" w14:textId="77777777" w:rsidR="00000000" w:rsidRDefault="00016ED8">
      <w:pPr>
        <w:pStyle w:val="a3"/>
        <w:spacing w:before="0" w:beforeAutospacing="0" w:after="0" w:afterAutospacing="0"/>
        <w:jc w:val="center"/>
        <w:divId w:val="1664431223"/>
        <w:rPr>
          <w:rFonts w:ascii="Arial" w:hAnsi="Arial" w:cs="Arial"/>
          <w:sz w:val="20"/>
          <w:szCs w:val="20"/>
        </w:rPr>
      </w:pPr>
      <w:r>
        <w:rPr>
          <w:rFonts w:ascii="Arial" w:hAnsi="Arial" w:cs="Arial"/>
          <w:sz w:val="20"/>
          <w:szCs w:val="20"/>
        </w:rPr>
        <w:t>Securities registered pursuant to Section 12(b) of the Act:</w:t>
      </w:r>
    </w:p>
    <w:p w14:paraId="350F9234"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35"/>
        <w:gridCol w:w="2819"/>
        <w:gridCol w:w="2736"/>
      </w:tblGrid>
      <w:tr w:rsidR="00000000" w14:paraId="5A81AE4B" w14:textId="77777777">
        <w:trPr>
          <w:divId w:val="1664431223"/>
          <w:tblCellSpacing w:w="0" w:type="dxa"/>
        </w:trPr>
        <w:tc>
          <w:tcPr>
            <w:tcW w:w="1650" w:type="pct"/>
            <w:tcBorders>
              <w:top w:val="single" w:sz="6" w:space="0" w:color="000000"/>
              <w:left w:val="single" w:sz="6" w:space="0" w:color="000000"/>
              <w:bottom w:val="single" w:sz="6" w:space="0" w:color="000000"/>
              <w:right w:val="single" w:sz="6" w:space="0" w:color="000000"/>
            </w:tcBorders>
            <w:hideMark/>
          </w:tcPr>
          <w:p w14:paraId="31689EB3"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Title of eac</w:t>
            </w:r>
            <w:r>
              <w:rPr>
                <w:rFonts w:ascii="Arial" w:hAnsi="Arial" w:cs="Arial"/>
                <w:sz w:val="20"/>
                <w:szCs w:val="20"/>
              </w:rPr>
              <w:t>h class</w:t>
            </w:r>
          </w:p>
        </w:tc>
        <w:tc>
          <w:tcPr>
            <w:tcW w:w="1700" w:type="pct"/>
            <w:tcBorders>
              <w:top w:val="single" w:sz="6" w:space="0" w:color="000000"/>
              <w:bottom w:val="single" w:sz="6" w:space="0" w:color="000000"/>
            </w:tcBorders>
            <w:hideMark/>
          </w:tcPr>
          <w:p w14:paraId="159D0049"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650" w:type="pct"/>
            <w:tcBorders>
              <w:top w:val="single" w:sz="6" w:space="0" w:color="000000"/>
              <w:left w:val="single" w:sz="6" w:space="0" w:color="000000"/>
              <w:bottom w:val="single" w:sz="6" w:space="0" w:color="000000"/>
              <w:right w:val="single" w:sz="6" w:space="0" w:color="000000"/>
            </w:tcBorders>
            <w:hideMark/>
          </w:tcPr>
          <w:p w14:paraId="4320C06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Name of each exchange on which registered</w:t>
            </w:r>
          </w:p>
        </w:tc>
      </w:tr>
      <w:tr w:rsidR="00000000" w14:paraId="60BA199E" w14:textId="77777777">
        <w:trPr>
          <w:divId w:val="1664431223"/>
          <w:tblCellSpacing w:w="0" w:type="dxa"/>
        </w:trPr>
        <w:tc>
          <w:tcPr>
            <w:tcW w:w="1650" w:type="pct"/>
            <w:tcBorders>
              <w:left w:val="single" w:sz="6" w:space="0" w:color="000000"/>
              <w:bottom w:val="single" w:sz="6" w:space="0" w:color="000000"/>
              <w:right w:val="single" w:sz="6" w:space="0" w:color="000000"/>
            </w:tcBorders>
            <w:hideMark/>
          </w:tcPr>
          <w:p w14:paraId="3C0857A7"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Shares</w:t>
            </w:r>
          </w:p>
        </w:tc>
        <w:tc>
          <w:tcPr>
            <w:tcW w:w="1700" w:type="pct"/>
            <w:tcBorders>
              <w:bottom w:val="single" w:sz="6" w:space="0" w:color="000000"/>
            </w:tcBorders>
            <w:hideMark/>
          </w:tcPr>
          <w:p w14:paraId="2717646E"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650" w:type="pct"/>
            <w:tcBorders>
              <w:left w:val="single" w:sz="6" w:space="0" w:color="000000"/>
              <w:bottom w:val="single" w:sz="6" w:space="0" w:color="000000"/>
              <w:right w:val="single" w:sz="6" w:space="0" w:color="000000"/>
            </w:tcBorders>
            <w:hideMark/>
          </w:tcPr>
          <w:p w14:paraId="4774A3BB"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14:paraId="5E75B6B0"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64EE542E"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As of July 31, 2020, the Registrant had 63,800,000 Shares outstanding.</w:t>
      </w:r>
    </w:p>
    <w:p w14:paraId="2620452D"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3F0A885E" w14:textId="77777777" w:rsidR="00000000" w:rsidRDefault="00016ED8">
      <w:pPr>
        <w:spacing w:before="60" w:after="60"/>
        <w:divId w:val="1664431223"/>
        <w:rPr>
          <w:rFonts w:ascii="Arial" w:eastAsia="Times New Roman" w:hAnsi="Arial" w:cs="Arial"/>
          <w:sz w:val="20"/>
          <w:szCs w:val="20"/>
        </w:rPr>
      </w:pPr>
      <w:r>
        <w:rPr>
          <w:rFonts w:ascii="Arial" w:eastAsia="Times New Roman" w:hAnsi="Arial" w:cs="Arial"/>
          <w:sz w:val="20"/>
          <w:szCs w:val="20"/>
        </w:rPr>
        <w:pict w14:anchorId="420E01FC">
          <v:rect id="_x0000_i1033" style="width:415.3pt;height:.75pt" o:hralign="center" o:hrstd="t" o:hrnoshade="t" o:hr="t" fillcolor="black" stroked="f"/>
        </w:pict>
      </w:r>
    </w:p>
    <w:p w14:paraId="121E60C2" w14:textId="77777777" w:rsidR="00000000" w:rsidRDefault="00016ED8">
      <w:pPr>
        <w:spacing w:after="60"/>
        <w:divId w:val="1664431223"/>
        <w:rPr>
          <w:rFonts w:ascii="Arial" w:eastAsia="Times New Roman" w:hAnsi="Arial" w:cs="Arial"/>
          <w:sz w:val="20"/>
          <w:szCs w:val="20"/>
        </w:rPr>
      </w:pPr>
      <w:r>
        <w:rPr>
          <w:rFonts w:ascii="Arial" w:eastAsia="Times New Roman" w:hAnsi="Arial" w:cs="Arial"/>
          <w:sz w:val="20"/>
          <w:szCs w:val="20"/>
        </w:rPr>
        <w:pict w14:anchorId="2E6EF5E4">
          <v:rect id="_x0000_i1034" style="width:415.3pt;height:2.25pt" o:hralign="center" o:hrstd="t" o:hrnoshade="t" o:hr="t" fillcolor="black" stroked="f"/>
        </w:pict>
      </w:r>
    </w:p>
    <w:p w14:paraId="3272A774"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738ED0B9" w14:textId="77777777" w:rsidR="00000000" w:rsidRDefault="00016ED8">
      <w:pPr>
        <w:jc w:val="center"/>
        <w:divId w:val="428550684"/>
        <w:rPr>
          <w:rFonts w:ascii="Arial" w:eastAsia="Times New Roman" w:hAnsi="Arial" w:cs="Arial"/>
          <w:sz w:val="20"/>
          <w:szCs w:val="20"/>
        </w:rPr>
      </w:pPr>
      <w:r>
        <w:rPr>
          <w:rFonts w:ascii="Arial" w:eastAsia="Times New Roman" w:hAnsi="Arial" w:cs="Arial"/>
          <w:sz w:val="20"/>
          <w:szCs w:val="20"/>
        </w:rPr>
        <w:t xml:space="preserve">  </w:t>
      </w:r>
    </w:p>
    <w:p w14:paraId="48EA4344" w14:textId="77777777" w:rsidR="00000000" w:rsidRDefault="00016ED8">
      <w:pPr>
        <w:divId w:val="1742364044"/>
        <w:rPr>
          <w:rFonts w:ascii="Arial" w:eastAsia="Times New Roman" w:hAnsi="Arial" w:cs="Arial"/>
          <w:sz w:val="20"/>
          <w:szCs w:val="20"/>
        </w:rPr>
      </w:pPr>
      <w:r>
        <w:rPr>
          <w:rFonts w:ascii="Arial" w:eastAsia="Times New Roman" w:hAnsi="Arial" w:cs="Arial"/>
          <w:sz w:val="20"/>
          <w:szCs w:val="20"/>
        </w:rPr>
        <w:pict w14:anchorId="71DC0165">
          <v:rect id="_x0000_i1035" style="width:415.3pt;height:1.5pt" o:hralign="center" o:hrstd="t" o:hrnoshade="t" o:hr="t" fillcolor="black" stroked="f"/>
        </w:pict>
      </w:r>
    </w:p>
    <w:p w14:paraId="5E235D7F" w14:textId="77777777" w:rsidR="00000000" w:rsidRDefault="00016ED8">
      <w:pPr>
        <w:divId w:val="70360375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DC6AA28"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197A6BEB" w14:textId="77777777" w:rsidR="00000000" w:rsidRDefault="00016ED8">
      <w:pPr>
        <w:pStyle w:val="a3"/>
        <w:spacing w:before="0" w:beforeAutospacing="0" w:after="0" w:afterAutospacing="0"/>
        <w:divId w:val="1664431223"/>
        <w:rPr>
          <w:rFonts w:ascii="Arial" w:hAnsi="Arial" w:cs="Arial"/>
          <w:sz w:val="20"/>
          <w:szCs w:val="20"/>
        </w:rPr>
      </w:pPr>
      <w:r>
        <w:rPr>
          <w:rFonts w:ascii="Arial" w:hAnsi="Arial" w:cs="Arial"/>
          <w:sz w:val="20"/>
          <w:szCs w:val="20"/>
        </w:rPr>
        <w:t> </w:t>
      </w:r>
    </w:p>
    <w:p w14:paraId="088AD05F" w14:textId="77777777" w:rsidR="00000000" w:rsidRDefault="00016ED8">
      <w:pPr>
        <w:divId w:val="1611013379"/>
        <w:rPr>
          <w:rFonts w:ascii="Arial" w:eastAsia="Times New Roman" w:hAnsi="Arial" w:cs="Arial"/>
          <w:sz w:val="20"/>
          <w:szCs w:val="20"/>
        </w:rPr>
      </w:pPr>
      <w:r>
        <w:rPr>
          <w:rFonts w:ascii="Arial" w:eastAsia="Times New Roman" w:hAnsi="Arial" w:cs="Arial"/>
          <w:sz w:val="20"/>
          <w:szCs w:val="20"/>
        </w:rPr>
        <w:t xml:space="preserve">  </w:t>
      </w:r>
    </w:p>
    <w:p w14:paraId="50687040"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Table of Contents</w:t>
      </w:r>
    </w:p>
    <w:p w14:paraId="51A739BD"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14:paraId="632B5BDF" w14:textId="77777777">
        <w:trPr>
          <w:tblCellSpacing w:w="0" w:type="dxa"/>
        </w:trPr>
        <w:tc>
          <w:tcPr>
            <w:tcW w:w="450" w:type="pct"/>
            <w:hideMark/>
          </w:tcPr>
          <w:p w14:paraId="175EF67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12298F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1752EBC3" w14:textId="77777777" w:rsidR="00000000" w:rsidRDefault="00016ED8">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14:paraId="65744F5F" w14:textId="77777777">
        <w:trPr>
          <w:tblCellSpacing w:w="0" w:type="dxa"/>
        </w:trPr>
        <w:tc>
          <w:tcPr>
            <w:tcW w:w="450" w:type="pct"/>
            <w:hideMark/>
          </w:tcPr>
          <w:p w14:paraId="1170778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22A5E64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518138F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6C3A20E" w14:textId="77777777">
        <w:trPr>
          <w:tblCellSpacing w:w="0" w:type="dxa"/>
        </w:trPr>
        <w:tc>
          <w:tcPr>
            <w:tcW w:w="450" w:type="pct"/>
            <w:gridSpan w:val="2"/>
            <w:hideMark/>
          </w:tcPr>
          <w:p w14:paraId="3A15ED51" w14:textId="77777777" w:rsidR="00000000" w:rsidRDefault="00016ED8">
            <w:pPr>
              <w:pStyle w:val="a3"/>
              <w:spacing w:before="0" w:beforeAutospacing="0" w:after="0" w:afterAutospacing="0"/>
              <w:rPr>
                <w:rFonts w:ascii="Arial" w:hAnsi="Arial" w:cs="Arial"/>
                <w:sz w:val="20"/>
                <w:szCs w:val="20"/>
              </w:rPr>
            </w:pPr>
            <w:hyperlink w:anchor="p1" w:history="1">
              <w:r>
                <w:rPr>
                  <w:rStyle w:val="a4"/>
                  <w:rFonts w:ascii="Arial" w:hAnsi="Arial" w:cs="Arial"/>
                  <w:sz w:val="20"/>
                  <w:szCs w:val="20"/>
                </w:rPr>
                <w:t>PART I – FINANCIAL INFORMATION</w:t>
              </w:r>
            </w:hyperlink>
          </w:p>
        </w:tc>
        <w:tc>
          <w:tcPr>
            <w:tcW w:w="350" w:type="pct"/>
            <w:hideMark/>
          </w:tcPr>
          <w:p w14:paraId="763E154A"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w:t>
            </w:r>
          </w:p>
        </w:tc>
      </w:tr>
      <w:tr w:rsidR="00000000" w14:paraId="29836C61" w14:textId="77777777">
        <w:trPr>
          <w:tblCellSpacing w:w="0" w:type="dxa"/>
        </w:trPr>
        <w:tc>
          <w:tcPr>
            <w:tcW w:w="450" w:type="pct"/>
            <w:hideMark/>
          </w:tcPr>
          <w:p w14:paraId="5A2CDBC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5F798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695525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C79DEA0" w14:textId="77777777">
        <w:trPr>
          <w:tblCellSpacing w:w="0" w:type="dxa"/>
        </w:trPr>
        <w:tc>
          <w:tcPr>
            <w:tcW w:w="450" w:type="pct"/>
            <w:hideMark/>
          </w:tcPr>
          <w:p w14:paraId="31E18A4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14:paraId="348177E4" w14:textId="77777777" w:rsidR="00000000" w:rsidRDefault="00016ED8">
            <w:pPr>
              <w:pStyle w:val="a3"/>
              <w:spacing w:before="0" w:beforeAutospacing="0" w:after="0" w:afterAutospacing="0"/>
              <w:rPr>
                <w:rFonts w:ascii="Arial" w:hAnsi="Arial" w:cs="Arial"/>
                <w:sz w:val="20"/>
                <w:szCs w:val="20"/>
              </w:rPr>
            </w:pPr>
            <w:hyperlink w:anchor="p1i1" w:history="1">
              <w:r>
                <w:rPr>
                  <w:rStyle w:val="a4"/>
                  <w:rFonts w:ascii="Arial" w:hAnsi="Arial" w:cs="Arial"/>
                  <w:sz w:val="20"/>
                  <w:szCs w:val="20"/>
                </w:rPr>
                <w:t>Financial Statements (Unaudited)</w:t>
              </w:r>
            </w:hyperlink>
          </w:p>
        </w:tc>
        <w:tc>
          <w:tcPr>
            <w:tcW w:w="350" w:type="pct"/>
            <w:hideMark/>
          </w:tcPr>
          <w:p w14:paraId="65E139F8"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w:t>
            </w:r>
          </w:p>
        </w:tc>
      </w:tr>
      <w:tr w:rsidR="00000000" w14:paraId="4C839D6C" w14:textId="77777777">
        <w:trPr>
          <w:tblCellSpacing w:w="0" w:type="dxa"/>
        </w:trPr>
        <w:tc>
          <w:tcPr>
            <w:tcW w:w="450" w:type="pct"/>
            <w:hideMark/>
          </w:tcPr>
          <w:p w14:paraId="3A5E59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509A428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48F7264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5403F0B" w14:textId="77777777">
        <w:trPr>
          <w:tblCellSpacing w:w="0" w:type="dxa"/>
        </w:trPr>
        <w:tc>
          <w:tcPr>
            <w:tcW w:w="450" w:type="pct"/>
            <w:hideMark/>
          </w:tcPr>
          <w:p w14:paraId="703B243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14:paraId="27E8D547" w14:textId="77777777" w:rsidR="00000000" w:rsidRDefault="00016ED8">
            <w:pPr>
              <w:rPr>
                <w:rFonts w:ascii="Arial" w:eastAsia="Times New Roman" w:hAnsi="Arial" w:cs="Arial"/>
                <w:sz w:val="20"/>
                <w:szCs w:val="20"/>
              </w:rPr>
            </w:pPr>
            <w:hyperlink w:anchor="stateassets" w:history="1">
              <w:r>
                <w:rPr>
                  <w:rStyle w:val="a4"/>
                  <w:rFonts w:ascii="Arial" w:eastAsia="Times New Roman" w:hAnsi="Arial" w:cs="Arial"/>
                  <w:sz w:val="20"/>
                  <w:szCs w:val="20"/>
                </w:rPr>
                <w:t>Statements of Assets and Liabilities at June 30, 2020 and December 31, 2019</w:t>
              </w:r>
            </w:hyperlink>
          </w:p>
        </w:tc>
        <w:tc>
          <w:tcPr>
            <w:tcW w:w="350" w:type="pct"/>
            <w:hideMark/>
          </w:tcPr>
          <w:p w14:paraId="2A4ADE55"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w:t>
            </w:r>
          </w:p>
        </w:tc>
      </w:tr>
      <w:tr w:rsidR="00000000" w14:paraId="52ADFD5B" w14:textId="77777777">
        <w:trPr>
          <w:tblCellSpacing w:w="0" w:type="dxa"/>
        </w:trPr>
        <w:tc>
          <w:tcPr>
            <w:tcW w:w="450" w:type="pct"/>
            <w:hideMark/>
          </w:tcPr>
          <w:p w14:paraId="5CBF4C8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1E6E3F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1C3E17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457E42F" w14:textId="77777777">
        <w:trPr>
          <w:tblCellSpacing w:w="0" w:type="dxa"/>
        </w:trPr>
        <w:tc>
          <w:tcPr>
            <w:tcW w:w="450" w:type="pct"/>
            <w:hideMark/>
          </w:tcPr>
          <w:p w14:paraId="77DD657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14:paraId="0389D202" w14:textId="77777777" w:rsidR="00000000" w:rsidRDefault="00016ED8">
            <w:pPr>
              <w:rPr>
                <w:rFonts w:ascii="Arial" w:eastAsia="Times New Roman" w:hAnsi="Arial" w:cs="Arial"/>
                <w:sz w:val="20"/>
                <w:szCs w:val="20"/>
              </w:rPr>
            </w:pPr>
            <w:hyperlink w:anchor="stateops" w:history="1">
              <w:r>
                <w:rPr>
                  <w:rStyle w:val="a4"/>
                  <w:rFonts w:ascii="Arial" w:eastAsia="Times New Roman" w:hAnsi="Arial" w:cs="Arial"/>
                  <w:sz w:val="20"/>
                  <w:szCs w:val="20"/>
                </w:rPr>
                <w:t>Statements of Operations for the three and six months ended June 30, 2020 and 2019</w:t>
              </w:r>
            </w:hyperlink>
          </w:p>
        </w:tc>
        <w:tc>
          <w:tcPr>
            <w:tcW w:w="350" w:type="pct"/>
            <w:hideMark/>
          </w:tcPr>
          <w:p w14:paraId="594A597D"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2</w:t>
            </w:r>
          </w:p>
        </w:tc>
      </w:tr>
      <w:tr w:rsidR="00000000" w14:paraId="6A76280F" w14:textId="77777777">
        <w:trPr>
          <w:tblCellSpacing w:w="0" w:type="dxa"/>
        </w:trPr>
        <w:tc>
          <w:tcPr>
            <w:tcW w:w="450" w:type="pct"/>
            <w:hideMark/>
          </w:tcPr>
          <w:p w14:paraId="0AD995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584537F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2816E6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86F0174" w14:textId="77777777">
        <w:trPr>
          <w:tblCellSpacing w:w="0" w:type="dxa"/>
        </w:trPr>
        <w:tc>
          <w:tcPr>
            <w:tcW w:w="450" w:type="pct"/>
            <w:hideMark/>
          </w:tcPr>
          <w:p w14:paraId="51EBA6F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14:paraId="5871DBBA" w14:textId="77777777" w:rsidR="00000000" w:rsidRDefault="00016ED8">
            <w:pPr>
              <w:rPr>
                <w:rFonts w:ascii="Arial" w:eastAsia="Times New Roman" w:hAnsi="Arial" w:cs="Arial"/>
                <w:sz w:val="20"/>
                <w:szCs w:val="20"/>
              </w:rPr>
            </w:pPr>
            <w:hyperlink w:anchor="statechanges" w:history="1">
              <w:r>
                <w:rPr>
                  <w:rStyle w:val="a4"/>
                  <w:rFonts w:ascii="Arial" w:eastAsia="Times New Roman" w:hAnsi="Arial" w:cs="Arial"/>
                  <w:sz w:val="20"/>
                  <w:szCs w:val="20"/>
                </w:rPr>
                <w:t>Stateme</w:t>
              </w:r>
              <w:r>
                <w:rPr>
                  <w:rStyle w:val="a4"/>
                  <w:rFonts w:ascii="Arial" w:eastAsia="Times New Roman" w:hAnsi="Arial" w:cs="Arial"/>
                  <w:sz w:val="20"/>
                  <w:szCs w:val="20"/>
                </w:rPr>
                <w:t>nts of Changes in Net Assets for the three and six months ended June 30, 2020 and 2019</w:t>
              </w:r>
            </w:hyperlink>
          </w:p>
        </w:tc>
        <w:tc>
          <w:tcPr>
            <w:tcW w:w="350" w:type="pct"/>
            <w:hideMark/>
          </w:tcPr>
          <w:p w14:paraId="230741AB"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3</w:t>
            </w:r>
          </w:p>
        </w:tc>
      </w:tr>
      <w:tr w:rsidR="00000000" w14:paraId="10B194A3" w14:textId="77777777">
        <w:trPr>
          <w:tblCellSpacing w:w="0" w:type="dxa"/>
        </w:trPr>
        <w:tc>
          <w:tcPr>
            <w:tcW w:w="450" w:type="pct"/>
            <w:hideMark/>
          </w:tcPr>
          <w:p w14:paraId="0597B22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279A7B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6C7CF43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CA82528" w14:textId="77777777">
        <w:trPr>
          <w:tblCellSpacing w:w="0" w:type="dxa"/>
        </w:trPr>
        <w:tc>
          <w:tcPr>
            <w:tcW w:w="450" w:type="pct"/>
            <w:hideMark/>
          </w:tcPr>
          <w:p w14:paraId="079FDC9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14:paraId="1ADEB9F1" w14:textId="77777777" w:rsidR="00000000" w:rsidRDefault="00016ED8">
            <w:pPr>
              <w:rPr>
                <w:rFonts w:ascii="Arial" w:eastAsia="Times New Roman" w:hAnsi="Arial" w:cs="Arial"/>
                <w:sz w:val="20"/>
                <w:szCs w:val="20"/>
              </w:rPr>
            </w:pPr>
            <w:hyperlink w:anchor="statecashflows" w:history="1">
              <w:r>
                <w:rPr>
                  <w:rStyle w:val="a4"/>
                  <w:rFonts w:ascii="Arial" w:eastAsia="Times New Roman" w:hAnsi="Arial" w:cs="Arial"/>
                  <w:sz w:val="20"/>
                  <w:szCs w:val="20"/>
                </w:rPr>
                <w:t>Statements of Cash Flows for the six months ended June 30, 2020 and 2019</w:t>
              </w:r>
            </w:hyperlink>
          </w:p>
        </w:tc>
        <w:tc>
          <w:tcPr>
            <w:tcW w:w="350" w:type="pct"/>
            <w:hideMark/>
          </w:tcPr>
          <w:p w14:paraId="6D901CA7"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5</w:t>
            </w:r>
          </w:p>
        </w:tc>
      </w:tr>
      <w:tr w:rsidR="00000000" w14:paraId="58839B3B" w14:textId="77777777">
        <w:trPr>
          <w:tblCellSpacing w:w="0" w:type="dxa"/>
        </w:trPr>
        <w:tc>
          <w:tcPr>
            <w:tcW w:w="450" w:type="pct"/>
            <w:hideMark/>
          </w:tcPr>
          <w:p w14:paraId="69A65E5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2E7E6EF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43741CD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4DDA5BE" w14:textId="77777777">
        <w:trPr>
          <w:tblCellSpacing w:w="0" w:type="dxa"/>
        </w:trPr>
        <w:tc>
          <w:tcPr>
            <w:tcW w:w="450" w:type="pct"/>
            <w:hideMark/>
          </w:tcPr>
          <w:p w14:paraId="4BE6FD9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14:paraId="779AD3C1" w14:textId="77777777" w:rsidR="00000000" w:rsidRDefault="00016ED8">
            <w:pPr>
              <w:rPr>
                <w:rFonts w:ascii="Arial" w:eastAsia="Times New Roman" w:hAnsi="Arial" w:cs="Arial"/>
                <w:sz w:val="20"/>
                <w:szCs w:val="20"/>
              </w:rPr>
            </w:pPr>
            <w:hyperlink w:anchor="schedules" w:history="1">
              <w:r>
                <w:rPr>
                  <w:rStyle w:val="a4"/>
                  <w:rFonts w:ascii="Arial" w:eastAsia="Times New Roman" w:hAnsi="Arial" w:cs="Arial"/>
                  <w:sz w:val="20"/>
                  <w:szCs w:val="20"/>
                </w:rPr>
                <w:t>Schedules of Investments at June 30, 2020 and December 31, 2019</w:t>
              </w:r>
            </w:hyperlink>
          </w:p>
        </w:tc>
        <w:tc>
          <w:tcPr>
            <w:tcW w:w="350" w:type="pct"/>
            <w:hideMark/>
          </w:tcPr>
          <w:p w14:paraId="09BA8DC6"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6</w:t>
            </w:r>
          </w:p>
        </w:tc>
      </w:tr>
      <w:tr w:rsidR="00000000" w14:paraId="2E655370" w14:textId="77777777">
        <w:trPr>
          <w:tblCellSpacing w:w="0" w:type="dxa"/>
        </w:trPr>
        <w:tc>
          <w:tcPr>
            <w:tcW w:w="450" w:type="pct"/>
            <w:hideMark/>
          </w:tcPr>
          <w:p w14:paraId="562C486F" w14:textId="77777777" w:rsidR="00000000" w:rsidRDefault="00016ED8">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hideMark/>
          </w:tcPr>
          <w:p w14:paraId="7BE39F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665A39B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800E2F4" w14:textId="77777777">
        <w:trPr>
          <w:tblCellSpacing w:w="0" w:type="dxa"/>
        </w:trPr>
        <w:tc>
          <w:tcPr>
            <w:tcW w:w="450" w:type="pct"/>
            <w:hideMark/>
          </w:tcPr>
          <w:p w14:paraId="003EB26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c>
        <w:tc>
          <w:tcPr>
            <w:tcW w:w="4200" w:type="pct"/>
            <w:hideMark/>
          </w:tcPr>
          <w:p w14:paraId="004DD9AE" w14:textId="77777777" w:rsidR="00000000" w:rsidRDefault="00016ED8">
            <w:pPr>
              <w:rPr>
                <w:rFonts w:ascii="Arial" w:eastAsia="Times New Roman" w:hAnsi="Arial" w:cs="Arial"/>
                <w:sz w:val="20"/>
                <w:szCs w:val="20"/>
              </w:rPr>
            </w:pPr>
            <w:hyperlink w:anchor="notes" w:history="1">
              <w:r>
                <w:rPr>
                  <w:rStyle w:val="a4"/>
                  <w:rFonts w:ascii="Arial" w:eastAsia="Times New Roman" w:hAnsi="Arial" w:cs="Arial"/>
                  <w:sz w:val="20"/>
                  <w:szCs w:val="20"/>
                </w:rPr>
                <w:t>Notes to Financial Statements</w:t>
              </w:r>
            </w:hyperlink>
          </w:p>
        </w:tc>
        <w:tc>
          <w:tcPr>
            <w:tcW w:w="350" w:type="pct"/>
            <w:hideMark/>
          </w:tcPr>
          <w:p w14:paraId="45A4A2A8"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7</w:t>
            </w:r>
          </w:p>
        </w:tc>
      </w:tr>
      <w:tr w:rsidR="00000000" w14:paraId="3F40756F" w14:textId="77777777">
        <w:trPr>
          <w:tblCellSpacing w:w="0" w:type="dxa"/>
        </w:trPr>
        <w:tc>
          <w:tcPr>
            <w:tcW w:w="450" w:type="pct"/>
            <w:hideMark/>
          </w:tcPr>
          <w:p w14:paraId="350FA05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387843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0E93FC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15F47E5" w14:textId="77777777">
        <w:trPr>
          <w:tblCellSpacing w:w="0" w:type="dxa"/>
        </w:trPr>
        <w:tc>
          <w:tcPr>
            <w:tcW w:w="450" w:type="pct"/>
            <w:hideMark/>
          </w:tcPr>
          <w:p w14:paraId="26E5E96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14:paraId="5D372812" w14:textId="77777777" w:rsidR="00000000" w:rsidRDefault="00016ED8">
            <w:pPr>
              <w:pStyle w:val="a3"/>
              <w:spacing w:before="0" w:beforeAutospacing="0" w:after="0" w:afterAutospacing="0"/>
              <w:rPr>
                <w:rFonts w:ascii="Arial" w:hAnsi="Arial" w:cs="Arial"/>
                <w:sz w:val="20"/>
                <w:szCs w:val="20"/>
              </w:rPr>
            </w:pPr>
            <w:hyperlink w:anchor="p1i2" w:history="1">
              <w:r>
                <w:rPr>
                  <w:rStyle w:val="a4"/>
                  <w:rFonts w:ascii="Arial" w:hAnsi="Arial" w:cs="Arial"/>
                  <w:sz w:val="20"/>
                  <w:szCs w:val="20"/>
                </w:rPr>
                <w:t>Management’s Discussion and Analysis of Financial Condition and Results of Operations</w:t>
              </w:r>
            </w:hyperlink>
          </w:p>
        </w:tc>
        <w:tc>
          <w:tcPr>
            <w:tcW w:w="350" w:type="pct"/>
            <w:hideMark/>
          </w:tcPr>
          <w:p w14:paraId="280921B8"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12</w:t>
            </w:r>
          </w:p>
        </w:tc>
      </w:tr>
      <w:tr w:rsidR="00000000" w14:paraId="6C7B605D" w14:textId="77777777">
        <w:trPr>
          <w:tblCellSpacing w:w="0" w:type="dxa"/>
        </w:trPr>
        <w:tc>
          <w:tcPr>
            <w:tcW w:w="450" w:type="pct"/>
            <w:hideMark/>
          </w:tcPr>
          <w:p w14:paraId="3F55CA9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59492D9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6766C40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484095A" w14:textId="77777777">
        <w:trPr>
          <w:tblCellSpacing w:w="0" w:type="dxa"/>
        </w:trPr>
        <w:tc>
          <w:tcPr>
            <w:tcW w:w="450" w:type="pct"/>
            <w:hideMark/>
          </w:tcPr>
          <w:p w14:paraId="542CBA7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14:paraId="52FAF3B3" w14:textId="77777777" w:rsidR="00000000" w:rsidRDefault="00016ED8">
            <w:pPr>
              <w:pStyle w:val="a3"/>
              <w:spacing w:before="0" w:beforeAutospacing="0" w:after="0" w:afterAutospacing="0"/>
              <w:rPr>
                <w:rFonts w:ascii="Arial" w:hAnsi="Arial" w:cs="Arial"/>
                <w:sz w:val="20"/>
                <w:szCs w:val="20"/>
              </w:rPr>
            </w:pPr>
            <w:hyperlink w:anchor="p1i3" w:history="1">
              <w:r>
                <w:rPr>
                  <w:rStyle w:val="a4"/>
                  <w:rFonts w:ascii="Arial" w:hAnsi="Arial" w:cs="Arial"/>
                  <w:sz w:val="20"/>
                  <w:szCs w:val="20"/>
                </w:rPr>
                <w:t>Quantitative and Qualitative Disclosures About Market Risk</w:t>
              </w:r>
            </w:hyperlink>
          </w:p>
        </w:tc>
        <w:tc>
          <w:tcPr>
            <w:tcW w:w="350" w:type="pct"/>
            <w:hideMark/>
          </w:tcPr>
          <w:p w14:paraId="0063ECE7"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0BF7FBBC" w14:textId="77777777">
        <w:trPr>
          <w:tblCellSpacing w:w="0" w:type="dxa"/>
        </w:trPr>
        <w:tc>
          <w:tcPr>
            <w:tcW w:w="450" w:type="pct"/>
            <w:hideMark/>
          </w:tcPr>
          <w:p w14:paraId="2867745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23E75A7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D85AAD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9660E9D" w14:textId="77777777">
        <w:trPr>
          <w:tblCellSpacing w:w="0" w:type="dxa"/>
        </w:trPr>
        <w:tc>
          <w:tcPr>
            <w:tcW w:w="450" w:type="pct"/>
            <w:hideMark/>
          </w:tcPr>
          <w:p w14:paraId="4381181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14:paraId="4A850391" w14:textId="77777777" w:rsidR="00000000" w:rsidRDefault="00016ED8">
            <w:pPr>
              <w:pStyle w:val="a3"/>
              <w:spacing w:before="0" w:beforeAutospacing="0" w:after="0" w:afterAutospacing="0"/>
              <w:rPr>
                <w:rFonts w:ascii="Arial" w:hAnsi="Arial" w:cs="Arial"/>
                <w:sz w:val="20"/>
                <w:szCs w:val="20"/>
              </w:rPr>
            </w:pPr>
            <w:hyperlink w:anchor="p1i4" w:history="1">
              <w:r>
                <w:rPr>
                  <w:rStyle w:val="a4"/>
                  <w:rFonts w:ascii="Arial" w:hAnsi="Arial" w:cs="Arial"/>
                  <w:sz w:val="20"/>
                  <w:szCs w:val="20"/>
                </w:rPr>
                <w:t>Controls and Procedures</w:t>
              </w:r>
            </w:hyperlink>
          </w:p>
        </w:tc>
        <w:tc>
          <w:tcPr>
            <w:tcW w:w="350" w:type="pct"/>
            <w:hideMark/>
          </w:tcPr>
          <w:p w14:paraId="6BE69EC6"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14</w:t>
            </w:r>
          </w:p>
        </w:tc>
      </w:tr>
      <w:tr w:rsidR="00000000" w14:paraId="2BAD401D" w14:textId="77777777">
        <w:trPr>
          <w:tblCellSpacing w:w="0" w:type="dxa"/>
        </w:trPr>
        <w:tc>
          <w:tcPr>
            <w:tcW w:w="450" w:type="pct"/>
            <w:hideMark/>
          </w:tcPr>
          <w:p w14:paraId="2B4B5A1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4CC72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32596C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A0768CF" w14:textId="77777777">
        <w:trPr>
          <w:tblCellSpacing w:w="0" w:type="dxa"/>
        </w:trPr>
        <w:tc>
          <w:tcPr>
            <w:tcW w:w="450" w:type="pct"/>
            <w:gridSpan w:val="2"/>
            <w:hideMark/>
          </w:tcPr>
          <w:p w14:paraId="30816DE1" w14:textId="77777777" w:rsidR="00000000" w:rsidRDefault="00016ED8">
            <w:pPr>
              <w:pStyle w:val="a3"/>
              <w:spacing w:before="0" w:beforeAutospacing="0" w:after="0" w:afterAutospacing="0"/>
              <w:rPr>
                <w:rFonts w:ascii="Arial" w:hAnsi="Arial" w:cs="Arial"/>
                <w:sz w:val="20"/>
                <w:szCs w:val="20"/>
              </w:rPr>
            </w:pPr>
            <w:hyperlink w:anchor="p2" w:history="1">
              <w:r>
                <w:rPr>
                  <w:rStyle w:val="a4"/>
                  <w:rFonts w:ascii="Arial" w:hAnsi="Arial" w:cs="Arial"/>
                  <w:sz w:val="20"/>
                  <w:szCs w:val="20"/>
                </w:rPr>
                <w:t>PART II – OTHER INFORMATION</w:t>
              </w:r>
            </w:hyperlink>
          </w:p>
        </w:tc>
        <w:tc>
          <w:tcPr>
            <w:tcW w:w="350" w:type="pct"/>
            <w:hideMark/>
          </w:tcPr>
          <w:p w14:paraId="7061264E"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15</w:t>
            </w:r>
          </w:p>
        </w:tc>
      </w:tr>
      <w:tr w:rsidR="00000000" w14:paraId="2BB47A8F" w14:textId="77777777">
        <w:trPr>
          <w:tblCellSpacing w:w="0" w:type="dxa"/>
        </w:trPr>
        <w:tc>
          <w:tcPr>
            <w:tcW w:w="450" w:type="pct"/>
            <w:hideMark/>
          </w:tcPr>
          <w:p w14:paraId="694CAB6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3D57B4C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68C0136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55324C4" w14:textId="77777777">
        <w:trPr>
          <w:tblCellSpacing w:w="0" w:type="dxa"/>
        </w:trPr>
        <w:tc>
          <w:tcPr>
            <w:tcW w:w="450" w:type="pct"/>
            <w:hideMark/>
          </w:tcPr>
          <w:p w14:paraId="45CE7F4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14:paraId="1DF519D7" w14:textId="77777777" w:rsidR="00000000" w:rsidRDefault="00016ED8">
            <w:pPr>
              <w:pStyle w:val="a3"/>
              <w:spacing w:before="0" w:beforeAutospacing="0" w:after="0" w:afterAutospacing="0"/>
              <w:rPr>
                <w:rFonts w:ascii="Arial" w:hAnsi="Arial" w:cs="Arial"/>
                <w:sz w:val="20"/>
                <w:szCs w:val="20"/>
              </w:rPr>
            </w:pPr>
            <w:hyperlink w:anchor="p2i1" w:history="1">
              <w:r>
                <w:rPr>
                  <w:rStyle w:val="a4"/>
                  <w:rFonts w:ascii="Arial" w:hAnsi="Arial" w:cs="Arial"/>
                  <w:sz w:val="20"/>
                  <w:szCs w:val="20"/>
                </w:rPr>
                <w:t>Legal Proceedings</w:t>
              </w:r>
            </w:hyperlink>
          </w:p>
        </w:tc>
        <w:tc>
          <w:tcPr>
            <w:tcW w:w="350" w:type="pct"/>
            <w:hideMark/>
          </w:tcPr>
          <w:p w14:paraId="5EED012E"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15</w:t>
            </w:r>
          </w:p>
        </w:tc>
      </w:tr>
      <w:tr w:rsidR="00000000" w14:paraId="48AB0233" w14:textId="77777777">
        <w:trPr>
          <w:tblCellSpacing w:w="0" w:type="dxa"/>
        </w:trPr>
        <w:tc>
          <w:tcPr>
            <w:tcW w:w="450" w:type="pct"/>
            <w:hideMark/>
          </w:tcPr>
          <w:p w14:paraId="21B651F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A74282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0534764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235793D" w14:textId="77777777">
        <w:trPr>
          <w:tblCellSpacing w:w="0" w:type="dxa"/>
        </w:trPr>
        <w:tc>
          <w:tcPr>
            <w:tcW w:w="450" w:type="pct"/>
            <w:hideMark/>
          </w:tcPr>
          <w:p w14:paraId="6380280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4200" w:type="pct"/>
            <w:hideMark/>
          </w:tcPr>
          <w:p w14:paraId="468C9C03" w14:textId="77777777" w:rsidR="00000000" w:rsidRDefault="00016ED8">
            <w:pPr>
              <w:pStyle w:val="a3"/>
              <w:spacing w:before="0" w:beforeAutospacing="0" w:after="0" w:afterAutospacing="0"/>
              <w:rPr>
                <w:rFonts w:ascii="Arial" w:hAnsi="Arial" w:cs="Arial"/>
                <w:sz w:val="20"/>
                <w:szCs w:val="20"/>
              </w:rPr>
            </w:pPr>
            <w:hyperlink w:anchor="p2i1a" w:history="1">
              <w:r>
                <w:rPr>
                  <w:rStyle w:val="a4"/>
                  <w:rFonts w:ascii="Arial" w:hAnsi="Arial" w:cs="Arial"/>
                  <w:sz w:val="20"/>
                  <w:szCs w:val="20"/>
                </w:rPr>
                <w:t>Risk Factors</w:t>
              </w:r>
            </w:hyperlink>
          </w:p>
        </w:tc>
        <w:tc>
          <w:tcPr>
            <w:tcW w:w="350" w:type="pct"/>
            <w:hideMark/>
          </w:tcPr>
          <w:p w14:paraId="1B4A0884"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15</w:t>
            </w:r>
          </w:p>
        </w:tc>
      </w:tr>
      <w:tr w:rsidR="00000000" w14:paraId="69F3062D" w14:textId="77777777">
        <w:trPr>
          <w:tblCellSpacing w:w="0" w:type="dxa"/>
        </w:trPr>
        <w:tc>
          <w:tcPr>
            <w:tcW w:w="450" w:type="pct"/>
            <w:hideMark/>
          </w:tcPr>
          <w:p w14:paraId="5878BEF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2B44326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24F5EC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848E054" w14:textId="77777777">
        <w:trPr>
          <w:tblCellSpacing w:w="0" w:type="dxa"/>
        </w:trPr>
        <w:tc>
          <w:tcPr>
            <w:tcW w:w="450" w:type="pct"/>
            <w:hideMark/>
          </w:tcPr>
          <w:p w14:paraId="2B40D42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14:paraId="7116990D" w14:textId="77777777" w:rsidR="00000000" w:rsidRDefault="00016ED8">
            <w:pPr>
              <w:pStyle w:val="a3"/>
              <w:spacing w:before="0" w:beforeAutospacing="0" w:after="0" w:afterAutospacing="0"/>
              <w:rPr>
                <w:rFonts w:ascii="Arial" w:hAnsi="Arial" w:cs="Arial"/>
                <w:sz w:val="20"/>
                <w:szCs w:val="20"/>
              </w:rPr>
            </w:pPr>
            <w:hyperlink w:anchor="p2i2" w:history="1">
              <w:r>
                <w:rPr>
                  <w:rStyle w:val="a4"/>
                  <w:rFonts w:ascii="Arial" w:hAnsi="Arial" w:cs="Arial"/>
                  <w:sz w:val="20"/>
                  <w:szCs w:val="20"/>
                </w:rPr>
                <w:t>Unregistered Sales of Equity Securities and Use of Proceeds</w:t>
              </w:r>
            </w:hyperlink>
          </w:p>
        </w:tc>
        <w:tc>
          <w:tcPr>
            <w:tcW w:w="350" w:type="pct"/>
            <w:hideMark/>
          </w:tcPr>
          <w:p w14:paraId="0AFA883A"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19</w:t>
            </w:r>
          </w:p>
        </w:tc>
      </w:tr>
      <w:tr w:rsidR="00000000" w14:paraId="3B6DBA69" w14:textId="77777777">
        <w:trPr>
          <w:tblCellSpacing w:w="0" w:type="dxa"/>
        </w:trPr>
        <w:tc>
          <w:tcPr>
            <w:tcW w:w="450" w:type="pct"/>
            <w:hideMark/>
          </w:tcPr>
          <w:p w14:paraId="2ED2C66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711B5E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2D7D4FD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0E562F9" w14:textId="77777777">
        <w:trPr>
          <w:tblCellSpacing w:w="0" w:type="dxa"/>
        </w:trPr>
        <w:tc>
          <w:tcPr>
            <w:tcW w:w="450" w:type="pct"/>
            <w:hideMark/>
          </w:tcPr>
          <w:p w14:paraId="7B9521E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14:paraId="2342EAB2" w14:textId="77777777" w:rsidR="00000000" w:rsidRDefault="00016ED8">
            <w:pPr>
              <w:pStyle w:val="a3"/>
              <w:spacing w:before="0" w:beforeAutospacing="0" w:after="0" w:afterAutospacing="0"/>
              <w:rPr>
                <w:rFonts w:ascii="Arial" w:hAnsi="Arial" w:cs="Arial"/>
                <w:sz w:val="20"/>
                <w:szCs w:val="20"/>
              </w:rPr>
            </w:pPr>
            <w:hyperlink w:anchor="p2i3" w:history="1">
              <w:r>
                <w:rPr>
                  <w:rStyle w:val="a4"/>
                  <w:rFonts w:ascii="Arial" w:hAnsi="Arial" w:cs="Arial"/>
                  <w:sz w:val="20"/>
                  <w:szCs w:val="20"/>
                </w:rPr>
                <w:t>Defaults Upon Senior Securities</w:t>
              </w:r>
            </w:hyperlink>
          </w:p>
        </w:tc>
        <w:tc>
          <w:tcPr>
            <w:tcW w:w="350" w:type="pct"/>
            <w:hideMark/>
          </w:tcPr>
          <w:p w14:paraId="59327CAA"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19</w:t>
            </w:r>
          </w:p>
        </w:tc>
      </w:tr>
      <w:tr w:rsidR="00000000" w14:paraId="68AE714B" w14:textId="77777777">
        <w:trPr>
          <w:tblCellSpacing w:w="0" w:type="dxa"/>
        </w:trPr>
        <w:tc>
          <w:tcPr>
            <w:tcW w:w="450" w:type="pct"/>
            <w:hideMark/>
          </w:tcPr>
          <w:p w14:paraId="7B129C6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14082E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18DCC64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FFEA025" w14:textId="77777777">
        <w:trPr>
          <w:tblCellSpacing w:w="0" w:type="dxa"/>
        </w:trPr>
        <w:tc>
          <w:tcPr>
            <w:tcW w:w="450" w:type="pct"/>
            <w:hideMark/>
          </w:tcPr>
          <w:p w14:paraId="073D479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14:paraId="54F0B45D" w14:textId="77777777" w:rsidR="00000000" w:rsidRDefault="00016ED8">
            <w:pPr>
              <w:pStyle w:val="a3"/>
              <w:spacing w:before="0" w:beforeAutospacing="0" w:after="0" w:afterAutospacing="0"/>
              <w:rPr>
                <w:rFonts w:ascii="Arial" w:hAnsi="Arial" w:cs="Arial"/>
                <w:sz w:val="20"/>
                <w:szCs w:val="20"/>
              </w:rPr>
            </w:pPr>
            <w:hyperlink w:anchor="p2i4" w:history="1">
              <w:r>
                <w:rPr>
                  <w:rStyle w:val="a4"/>
                  <w:rFonts w:ascii="Arial" w:hAnsi="Arial" w:cs="Arial"/>
                  <w:sz w:val="20"/>
                  <w:szCs w:val="20"/>
                </w:rPr>
                <w:t>Mine Safety Disclosures</w:t>
              </w:r>
            </w:hyperlink>
          </w:p>
        </w:tc>
        <w:tc>
          <w:tcPr>
            <w:tcW w:w="350" w:type="pct"/>
            <w:hideMark/>
          </w:tcPr>
          <w:p w14:paraId="31443053"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19</w:t>
            </w:r>
          </w:p>
        </w:tc>
      </w:tr>
      <w:tr w:rsidR="00000000" w14:paraId="5C1D1AC3" w14:textId="77777777">
        <w:trPr>
          <w:tblCellSpacing w:w="0" w:type="dxa"/>
        </w:trPr>
        <w:tc>
          <w:tcPr>
            <w:tcW w:w="450" w:type="pct"/>
            <w:hideMark/>
          </w:tcPr>
          <w:p w14:paraId="0652639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21C2670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39F7379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0485CFE" w14:textId="77777777">
        <w:trPr>
          <w:tblCellSpacing w:w="0" w:type="dxa"/>
        </w:trPr>
        <w:tc>
          <w:tcPr>
            <w:tcW w:w="450" w:type="pct"/>
            <w:hideMark/>
          </w:tcPr>
          <w:p w14:paraId="6398826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5.</w:t>
            </w:r>
          </w:p>
        </w:tc>
        <w:tc>
          <w:tcPr>
            <w:tcW w:w="4200" w:type="pct"/>
            <w:hideMark/>
          </w:tcPr>
          <w:p w14:paraId="6CD09CC3" w14:textId="77777777" w:rsidR="00000000" w:rsidRDefault="00016ED8">
            <w:pPr>
              <w:pStyle w:val="a3"/>
              <w:spacing w:before="0" w:beforeAutospacing="0" w:after="0" w:afterAutospacing="0"/>
              <w:rPr>
                <w:rFonts w:ascii="Arial" w:hAnsi="Arial" w:cs="Arial"/>
                <w:sz w:val="20"/>
                <w:szCs w:val="20"/>
              </w:rPr>
            </w:pPr>
            <w:hyperlink w:anchor="p2i5" w:history="1">
              <w:r>
                <w:rPr>
                  <w:rStyle w:val="a4"/>
                  <w:rFonts w:ascii="Arial" w:hAnsi="Arial" w:cs="Arial"/>
                  <w:sz w:val="20"/>
                  <w:szCs w:val="20"/>
                </w:rPr>
                <w:t>Other Information</w:t>
              </w:r>
            </w:hyperlink>
          </w:p>
        </w:tc>
        <w:tc>
          <w:tcPr>
            <w:tcW w:w="350" w:type="pct"/>
            <w:hideMark/>
          </w:tcPr>
          <w:p w14:paraId="1A1AC6C6"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19</w:t>
            </w:r>
          </w:p>
        </w:tc>
      </w:tr>
      <w:tr w:rsidR="00000000" w14:paraId="062F555C" w14:textId="77777777">
        <w:trPr>
          <w:tblCellSpacing w:w="0" w:type="dxa"/>
        </w:trPr>
        <w:tc>
          <w:tcPr>
            <w:tcW w:w="450" w:type="pct"/>
            <w:hideMark/>
          </w:tcPr>
          <w:p w14:paraId="4324458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618D24C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7EC928C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CC238FA" w14:textId="77777777">
        <w:trPr>
          <w:tblCellSpacing w:w="0" w:type="dxa"/>
        </w:trPr>
        <w:tc>
          <w:tcPr>
            <w:tcW w:w="450" w:type="pct"/>
            <w:hideMark/>
          </w:tcPr>
          <w:p w14:paraId="60EA5AE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4200" w:type="pct"/>
            <w:hideMark/>
          </w:tcPr>
          <w:p w14:paraId="19AE1767" w14:textId="77777777" w:rsidR="00000000" w:rsidRDefault="00016ED8">
            <w:pPr>
              <w:pStyle w:val="a3"/>
              <w:spacing w:before="0" w:beforeAutospacing="0" w:after="0" w:afterAutospacing="0"/>
              <w:rPr>
                <w:rFonts w:ascii="Arial" w:hAnsi="Arial" w:cs="Arial"/>
                <w:sz w:val="20"/>
                <w:szCs w:val="20"/>
              </w:rPr>
            </w:pPr>
            <w:hyperlink w:anchor="p2i6" w:history="1">
              <w:r>
                <w:rPr>
                  <w:rStyle w:val="a4"/>
                  <w:rFonts w:ascii="Arial" w:hAnsi="Arial" w:cs="Arial"/>
                  <w:sz w:val="20"/>
                  <w:szCs w:val="20"/>
                </w:rPr>
                <w:t>Exhibits</w:t>
              </w:r>
            </w:hyperlink>
          </w:p>
        </w:tc>
        <w:tc>
          <w:tcPr>
            <w:tcW w:w="350" w:type="pct"/>
            <w:hideMark/>
          </w:tcPr>
          <w:p w14:paraId="46C488D5"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20</w:t>
            </w:r>
          </w:p>
        </w:tc>
      </w:tr>
      <w:tr w:rsidR="00000000" w14:paraId="1CF7403E" w14:textId="77777777">
        <w:trPr>
          <w:tblCellSpacing w:w="0" w:type="dxa"/>
        </w:trPr>
        <w:tc>
          <w:tcPr>
            <w:tcW w:w="450" w:type="pct"/>
            <w:hideMark/>
          </w:tcPr>
          <w:p w14:paraId="4210DA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1BA356C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14:paraId="6443ED6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6D57AD5" w14:textId="77777777">
        <w:trPr>
          <w:tblCellSpacing w:w="0" w:type="dxa"/>
        </w:trPr>
        <w:tc>
          <w:tcPr>
            <w:tcW w:w="450" w:type="pct"/>
            <w:gridSpan w:val="2"/>
            <w:hideMark/>
          </w:tcPr>
          <w:p w14:paraId="54684A5D" w14:textId="77777777" w:rsidR="00000000" w:rsidRDefault="00016ED8">
            <w:pPr>
              <w:pStyle w:val="a3"/>
              <w:spacing w:before="0" w:beforeAutospacing="0" w:after="0" w:afterAutospacing="0"/>
              <w:rPr>
                <w:rFonts w:ascii="Arial" w:hAnsi="Arial" w:cs="Arial"/>
                <w:sz w:val="20"/>
                <w:szCs w:val="20"/>
              </w:rPr>
            </w:pPr>
            <w:hyperlink w:anchor="sig" w:history="1">
              <w:r>
                <w:rPr>
                  <w:rStyle w:val="a4"/>
                  <w:rFonts w:ascii="Arial" w:hAnsi="Arial" w:cs="Arial"/>
                  <w:sz w:val="20"/>
                  <w:szCs w:val="20"/>
                </w:rPr>
                <w:t>SIGNATURES</w:t>
              </w:r>
            </w:hyperlink>
          </w:p>
        </w:tc>
        <w:tc>
          <w:tcPr>
            <w:tcW w:w="350" w:type="pct"/>
            <w:hideMark/>
          </w:tcPr>
          <w:p w14:paraId="3FF9A255"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21</w:t>
            </w:r>
          </w:p>
        </w:tc>
      </w:tr>
    </w:tbl>
    <w:p w14:paraId="26D6230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00BBC96" w14:textId="77777777" w:rsidR="00000000" w:rsidRDefault="00016ED8">
      <w:pPr>
        <w:jc w:val="center"/>
        <w:divId w:val="361514774"/>
        <w:rPr>
          <w:rFonts w:ascii="Arial" w:eastAsia="Times New Roman" w:hAnsi="Arial" w:cs="Arial"/>
          <w:sz w:val="20"/>
          <w:szCs w:val="20"/>
        </w:rPr>
      </w:pPr>
      <w:r>
        <w:rPr>
          <w:rFonts w:ascii="Arial" w:eastAsia="Times New Roman" w:hAnsi="Arial" w:cs="Arial"/>
          <w:sz w:val="20"/>
          <w:szCs w:val="20"/>
        </w:rPr>
        <w:t xml:space="preserve">  </w:t>
      </w:r>
    </w:p>
    <w:p w14:paraId="5D4E7A91" w14:textId="77777777" w:rsidR="00000000" w:rsidRDefault="00016ED8">
      <w:pPr>
        <w:divId w:val="456796909"/>
        <w:rPr>
          <w:rFonts w:ascii="Arial" w:eastAsia="Times New Roman" w:hAnsi="Arial" w:cs="Arial"/>
          <w:sz w:val="20"/>
          <w:szCs w:val="20"/>
        </w:rPr>
      </w:pPr>
      <w:r>
        <w:rPr>
          <w:rFonts w:ascii="Arial" w:eastAsia="Times New Roman" w:hAnsi="Arial" w:cs="Arial"/>
          <w:sz w:val="20"/>
          <w:szCs w:val="20"/>
        </w:rPr>
        <w:pict w14:anchorId="202E6A2B">
          <v:rect id="_x0000_i1036" style="width:0;height:1.5pt" o:hralign="center" o:hrstd="t" o:hr="t" fillcolor="#a0a0a0" stroked="f"/>
        </w:pict>
      </w:r>
    </w:p>
    <w:p w14:paraId="26C0EFBC" w14:textId="77777777" w:rsidR="00000000" w:rsidRDefault="00016ED8">
      <w:pPr>
        <w:divId w:val="99745845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2B9C55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BD5078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68EAD37"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PART I – FINANCIAL INFORMATION</w:t>
      </w:r>
    </w:p>
    <w:p w14:paraId="5A981BC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86D8FDC"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p w14:paraId="3E34AF1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62E83E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1867694" w14:textId="77777777" w:rsidR="00000000" w:rsidRDefault="00016ED8">
      <w:pPr>
        <w:divId w:val="1384868053"/>
        <w:rPr>
          <w:rFonts w:ascii="Arial" w:eastAsia="Times New Roman" w:hAnsi="Arial" w:cs="Arial"/>
          <w:sz w:val="20"/>
          <w:szCs w:val="20"/>
        </w:rPr>
      </w:pPr>
      <w:r>
        <w:rPr>
          <w:rFonts w:ascii="Arial" w:eastAsia="Times New Roman" w:hAnsi="Arial" w:cs="Arial"/>
          <w:sz w:val="20"/>
          <w:szCs w:val="20"/>
        </w:rPr>
        <w:t xml:space="preserve">  </w:t>
      </w:r>
    </w:p>
    <w:p w14:paraId="5E7FE0CF"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6AE04541"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Liabilities (Unaudited)</w:t>
      </w:r>
    </w:p>
    <w:p w14:paraId="38CDC992"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At June 30, 2020 and December 31, 2019</w:t>
      </w:r>
    </w:p>
    <w:p w14:paraId="49BAC2B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520"/>
        <w:gridCol w:w="112"/>
        <w:gridCol w:w="112"/>
        <w:gridCol w:w="1113"/>
        <w:gridCol w:w="56"/>
        <w:gridCol w:w="112"/>
        <w:gridCol w:w="112"/>
        <w:gridCol w:w="1113"/>
        <w:gridCol w:w="56"/>
      </w:tblGrid>
      <w:tr w:rsidR="00000000" w14:paraId="7495C75A" w14:textId="77777777">
        <w:trPr>
          <w:divId w:val="375469030"/>
          <w:tblCellSpacing w:w="0" w:type="dxa"/>
        </w:trPr>
        <w:tc>
          <w:tcPr>
            <w:tcW w:w="0" w:type="auto"/>
            <w:vAlign w:val="bottom"/>
            <w:hideMark/>
          </w:tcPr>
          <w:p w14:paraId="1CCD278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571096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C81AAB3"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p w14:paraId="757E7468"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14:paraId="0F44C2C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BF01B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54C04F1"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14:paraId="7066653E"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14:paraId="2346F79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44D76B0" w14:textId="77777777">
        <w:trPr>
          <w:divId w:val="375469030"/>
          <w:tblCellSpacing w:w="0" w:type="dxa"/>
        </w:trPr>
        <w:tc>
          <w:tcPr>
            <w:tcW w:w="3400" w:type="pct"/>
            <w:shd w:val="clear" w:color="auto" w:fill="CCEEFF"/>
            <w:vAlign w:val="bottom"/>
            <w:hideMark/>
          </w:tcPr>
          <w:p w14:paraId="310DC3ED"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0" w:type="auto"/>
            <w:shd w:val="clear" w:color="auto" w:fill="CCEEFF"/>
            <w:vAlign w:val="bottom"/>
            <w:hideMark/>
          </w:tcPr>
          <w:p w14:paraId="78223B3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44721FF"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7F00C47"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F13D50F"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6E1956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2DCBB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2EDEF6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D05D872"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0CCC00DF" w14:textId="77777777">
        <w:trPr>
          <w:divId w:val="375469030"/>
          <w:tblCellSpacing w:w="0" w:type="dxa"/>
        </w:trPr>
        <w:tc>
          <w:tcPr>
            <w:tcW w:w="0" w:type="auto"/>
            <w:shd w:val="clear" w:color="auto" w:fill="FFFFFF"/>
            <w:vAlign w:val="bottom"/>
            <w:hideMark/>
          </w:tcPr>
          <w:p w14:paraId="6ACF1FA4"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14:paraId="26FDD1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5691B6"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7E20EFA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30,430,030</w:t>
            </w:r>
          </w:p>
        </w:tc>
        <w:tc>
          <w:tcPr>
            <w:tcW w:w="50" w:type="pct"/>
            <w:shd w:val="clear" w:color="auto" w:fill="FFFFFF"/>
            <w:vAlign w:val="bottom"/>
            <w:hideMark/>
          </w:tcPr>
          <w:p w14:paraId="509688F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109D6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7465E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14:paraId="4E76C3D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vAlign w:val="bottom"/>
            <w:hideMark/>
          </w:tcPr>
          <w:p w14:paraId="3D44A0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DE57E51" w14:textId="77777777">
        <w:trPr>
          <w:divId w:val="375469030"/>
          <w:tblCellSpacing w:w="0" w:type="dxa"/>
        </w:trPr>
        <w:tc>
          <w:tcPr>
            <w:tcW w:w="0" w:type="auto"/>
            <w:shd w:val="clear" w:color="auto" w:fill="CCEEFF"/>
            <w:vAlign w:val="bottom"/>
            <w:hideMark/>
          </w:tcPr>
          <w:p w14:paraId="094A1B1F"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at fair value</w:t>
            </w:r>
            <w:r>
              <w:rPr>
                <w:rFonts w:ascii="Arial" w:hAnsi="Arial" w:cs="Arial"/>
                <w:sz w:val="12"/>
                <w:szCs w:val="12"/>
              </w:rPr>
              <w:t>(a)</w:t>
            </w:r>
          </w:p>
        </w:tc>
        <w:tc>
          <w:tcPr>
            <w:tcW w:w="50" w:type="pct"/>
            <w:shd w:val="clear" w:color="auto" w:fill="CCEEFF"/>
            <w:vAlign w:val="bottom"/>
            <w:hideMark/>
          </w:tcPr>
          <w:p w14:paraId="7AFF18E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6B28F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550E62E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508,126,088</w:t>
            </w:r>
          </w:p>
        </w:tc>
        <w:tc>
          <w:tcPr>
            <w:tcW w:w="50" w:type="pct"/>
            <w:shd w:val="clear" w:color="auto" w:fill="CCEEFF"/>
            <w:vAlign w:val="bottom"/>
            <w:hideMark/>
          </w:tcPr>
          <w:p w14:paraId="23F5A22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15A37F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D20CB8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0E2BDB2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721,080,429</w:t>
            </w:r>
          </w:p>
        </w:tc>
        <w:tc>
          <w:tcPr>
            <w:tcW w:w="50" w:type="pct"/>
            <w:shd w:val="clear" w:color="auto" w:fill="CCEEFF"/>
            <w:vAlign w:val="bottom"/>
            <w:hideMark/>
          </w:tcPr>
          <w:p w14:paraId="4382042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268ABEA" w14:textId="77777777">
        <w:trPr>
          <w:divId w:val="375469030"/>
          <w:tblCellSpacing w:w="0" w:type="dxa"/>
        </w:trPr>
        <w:tc>
          <w:tcPr>
            <w:tcW w:w="0" w:type="auto"/>
            <w:shd w:val="clear" w:color="auto" w:fill="FFFFFF"/>
            <w:vAlign w:val="bottom"/>
            <w:hideMark/>
          </w:tcPr>
          <w:p w14:paraId="182BCDD5"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 at fair value</w:t>
            </w:r>
            <w:r>
              <w:rPr>
                <w:rFonts w:ascii="Arial" w:hAnsi="Arial" w:cs="Arial"/>
                <w:sz w:val="12"/>
                <w:szCs w:val="12"/>
              </w:rPr>
              <w:t>(b)</w:t>
            </w:r>
          </w:p>
        </w:tc>
        <w:tc>
          <w:tcPr>
            <w:tcW w:w="50" w:type="pct"/>
            <w:shd w:val="clear" w:color="auto" w:fill="FFFFFF"/>
            <w:vAlign w:val="bottom"/>
            <w:hideMark/>
          </w:tcPr>
          <w:p w14:paraId="6384272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DE63D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71A9588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55,726,170</w:t>
            </w:r>
          </w:p>
        </w:tc>
        <w:tc>
          <w:tcPr>
            <w:tcW w:w="50" w:type="pct"/>
            <w:shd w:val="clear" w:color="auto" w:fill="FFFFFF"/>
            <w:vAlign w:val="bottom"/>
            <w:hideMark/>
          </w:tcPr>
          <w:p w14:paraId="08B5B43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D084C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3822FA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346B6C2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29,438,936</w:t>
            </w:r>
          </w:p>
        </w:tc>
        <w:tc>
          <w:tcPr>
            <w:tcW w:w="50" w:type="pct"/>
            <w:shd w:val="clear" w:color="auto" w:fill="FFFFFF"/>
            <w:vAlign w:val="bottom"/>
            <w:hideMark/>
          </w:tcPr>
          <w:p w14:paraId="182083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3566F5C" w14:textId="77777777">
        <w:trPr>
          <w:divId w:val="375469030"/>
          <w:tblCellSpacing w:w="0" w:type="dxa"/>
        </w:trPr>
        <w:tc>
          <w:tcPr>
            <w:tcW w:w="0" w:type="auto"/>
            <w:shd w:val="clear" w:color="auto" w:fill="CCEEFF"/>
            <w:vAlign w:val="bottom"/>
            <w:hideMark/>
          </w:tcPr>
          <w:p w14:paraId="7497F397"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14:paraId="0468E1E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AFA3C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5B2BC87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3,964,473</w:t>
            </w:r>
          </w:p>
        </w:tc>
        <w:tc>
          <w:tcPr>
            <w:tcW w:w="50" w:type="pct"/>
            <w:shd w:val="clear" w:color="auto" w:fill="CCEEFF"/>
            <w:vAlign w:val="bottom"/>
            <w:hideMark/>
          </w:tcPr>
          <w:p w14:paraId="39B735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47F1FE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F737E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362997F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4B7341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280A05D" w14:textId="77777777">
        <w:trPr>
          <w:divId w:val="375469030"/>
          <w:tblCellSpacing w:w="0" w:type="dxa"/>
        </w:trPr>
        <w:tc>
          <w:tcPr>
            <w:tcW w:w="0" w:type="auto"/>
            <w:shd w:val="clear" w:color="auto" w:fill="FFFFFF"/>
            <w:vAlign w:val="bottom"/>
            <w:hideMark/>
          </w:tcPr>
          <w:p w14:paraId="15FAF2F8"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Receivable for capital Shares sold</w:t>
            </w:r>
          </w:p>
        </w:tc>
        <w:tc>
          <w:tcPr>
            <w:tcW w:w="50" w:type="pct"/>
            <w:shd w:val="clear" w:color="auto" w:fill="FFFFFF"/>
            <w:tcMar>
              <w:top w:w="0" w:type="dxa"/>
              <w:left w:w="0" w:type="dxa"/>
              <w:bottom w:w="15" w:type="dxa"/>
              <w:right w:w="0" w:type="dxa"/>
            </w:tcMar>
            <w:vAlign w:val="bottom"/>
            <w:hideMark/>
          </w:tcPr>
          <w:p w14:paraId="5747BFB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6922B4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609399F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11,358,791</w:t>
            </w:r>
          </w:p>
        </w:tc>
        <w:tc>
          <w:tcPr>
            <w:tcW w:w="50" w:type="pct"/>
            <w:shd w:val="clear" w:color="auto" w:fill="FFFFFF"/>
            <w:tcMar>
              <w:top w:w="0" w:type="dxa"/>
              <w:left w:w="0" w:type="dxa"/>
              <w:bottom w:w="15" w:type="dxa"/>
              <w:right w:w="0" w:type="dxa"/>
            </w:tcMar>
            <w:vAlign w:val="bottom"/>
            <w:hideMark/>
          </w:tcPr>
          <w:p w14:paraId="19874C2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7681A52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6A97DF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0F53555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0AFE8D5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A301658" w14:textId="77777777">
        <w:trPr>
          <w:divId w:val="375469030"/>
          <w:tblCellSpacing w:w="0" w:type="dxa"/>
        </w:trPr>
        <w:tc>
          <w:tcPr>
            <w:tcW w:w="0" w:type="auto"/>
            <w:shd w:val="clear" w:color="auto" w:fill="CCEEFF"/>
            <w:vAlign w:val="bottom"/>
            <w:hideMark/>
          </w:tcPr>
          <w:p w14:paraId="7B94E93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CCEEFF"/>
            <w:vAlign w:val="bottom"/>
            <w:hideMark/>
          </w:tcPr>
          <w:p w14:paraId="1AC511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53B0A2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15001A9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609,605,552</w:t>
            </w:r>
          </w:p>
        </w:tc>
        <w:tc>
          <w:tcPr>
            <w:tcW w:w="50" w:type="pct"/>
            <w:shd w:val="clear" w:color="auto" w:fill="CCEEFF"/>
            <w:tcMar>
              <w:top w:w="0" w:type="dxa"/>
              <w:left w:w="0" w:type="dxa"/>
              <w:bottom w:w="15" w:type="dxa"/>
              <w:right w:w="0" w:type="dxa"/>
            </w:tcMar>
            <w:vAlign w:val="bottom"/>
            <w:hideMark/>
          </w:tcPr>
          <w:p w14:paraId="40089F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D6BFC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A88EF7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325799D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781,761,523</w:t>
            </w:r>
          </w:p>
        </w:tc>
        <w:tc>
          <w:tcPr>
            <w:tcW w:w="50" w:type="pct"/>
            <w:shd w:val="clear" w:color="auto" w:fill="CCEEFF"/>
            <w:tcMar>
              <w:top w:w="0" w:type="dxa"/>
              <w:left w:w="0" w:type="dxa"/>
              <w:bottom w:w="15" w:type="dxa"/>
              <w:right w:w="0" w:type="dxa"/>
            </w:tcMar>
            <w:vAlign w:val="bottom"/>
            <w:hideMark/>
          </w:tcPr>
          <w:p w14:paraId="65B4F53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D44BFA8" w14:textId="77777777">
        <w:trPr>
          <w:divId w:val="375469030"/>
          <w:tblCellSpacing w:w="0" w:type="dxa"/>
        </w:trPr>
        <w:tc>
          <w:tcPr>
            <w:tcW w:w="0" w:type="auto"/>
            <w:shd w:val="clear" w:color="auto" w:fill="FFFFFF"/>
            <w:vAlign w:val="bottom"/>
            <w:hideMark/>
          </w:tcPr>
          <w:p w14:paraId="51D6263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856D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C171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4194CF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9AA878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1D4F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585BA2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643F13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78AA76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8280D99" w14:textId="77777777">
        <w:trPr>
          <w:divId w:val="375469030"/>
          <w:tblCellSpacing w:w="0" w:type="dxa"/>
        </w:trPr>
        <w:tc>
          <w:tcPr>
            <w:tcW w:w="0" w:type="auto"/>
            <w:shd w:val="clear" w:color="auto" w:fill="CCEEFF"/>
            <w:vAlign w:val="bottom"/>
            <w:hideMark/>
          </w:tcPr>
          <w:p w14:paraId="6179746F"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CCEEFF"/>
            <w:vAlign w:val="bottom"/>
            <w:hideMark/>
          </w:tcPr>
          <w:p w14:paraId="0B74AF7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67BA28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017B18C"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80315C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967964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FC64C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EB3EBD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76C132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49471BAA" w14:textId="77777777">
        <w:trPr>
          <w:divId w:val="375469030"/>
          <w:tblCellSpacing w:w="0" w:type="dxa"/>
        </w:trPr>
        <w:tc>
          <w:tcPr>
            <w:tcW w:w="0" w:type="auto"/>
            <w:shd w:val="clear" w:color="auto" w:fill="FFFFFF"/>
            <w:vAlign w:val="bottom"/>
            <w:hideMark/>
          </w:tcPr>
          <w:p w14:paraId="739E6A2A"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14:paraId="1F5BC7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EFA443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0217F15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361,345</w:t>
            </w:r>
          </w:p>
        </w:tc>
        <w:tc>
          <w:tcPr>
            <w:tcW w:w="50" w:type="pct"/>
            <w:shd w:val="clear" w:color="auto" w:fill="FFFFFF"/>
            <w:vAlign w:val="bottom"/>
            <w:hideMark/>
          </w:tcPr>
          <w:p w14:paraId="6B9328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778D9F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4F53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783E072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465,837</w:t>
            </w:r>
          </w:p>
        </w:tc>
        <w:tc>
          <w:tcPr>
            <w:tcW w:w="50" w:type="pct"/>
            <w:shd w:val="clear" w:color="auto" w:fill="FFFFFF"/>
            <w:vAlign w:val="bottom"/>
            <w:hideMark/>
          </w:tcPr>
          <w:p w14:paraId="7EA634D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31CC3E5" w14:textId="77777777">
        <w:trPr>
          <w:divId w:val="375469030"/>
          <w:tblCellSpacing w:w="0" w:type="dxa"/>
        </w:trPr>
        <w:tc>
          <w:tcPr>
            <w:tcW w:w="0" w:type="auto"/>
            <w:shd w:val="clear" w:color="auto" w:fill="CCEEFF"/>
            <w:vAlign w:val="bottom"/>
            <w:hideMark/>
          </w:tcPr>
          <w:p w14:paraId="47FD1BB4"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CCEEFF"/>
            <w:vAlign w:val="bottom"/>
            <w:hideMark/>
          </w:tcPr>
          <w:p w14:paraId="541CA52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9F89E0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01D49DF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54BBB6A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5B4D4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9AFC1F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14:paraId="36B18E5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tcMar>
              <w:top w:w="0" w:type="dxa"/>
              <w:left w:w="0" w:type="dxa"/>
              <w:bottom w:w="15" w:type="dxa"/>
              <w:right w:w="0" w:type="dxa"/>
            </w:tcMar>
            <w:vAlign w:val="bottom"/>
            <w:hideMark/>
          </w:tcPr>
          <w:p w14:paraId="54AE05A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1E417D1" w14:textId="77777777">
        <w:trPr>
          <w:divId w:val="375469030"/>
          <w:tblCellSpacing w:w="0" w:type="dxa"/>
        </w:trPr>
        <w:tc>
          <w:tcPr>
            <w:tcW w:w="0" w:type="auto"/>
            <w:shd w:val="clear" w:color="auto" w:fill="FFFFFF"/>
            <w:vAlign w:val="bottom"/>
            <w:hideMark/>
          </w:tcPr>
          <w:p w14:paraId="7194004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lastRenderedPageBreak/>
              <w:t>Total Liabilities</w:t>
            </w:r>
          </w:p>
        </w:tc>
        <w:tc>
          <w:tcPr>
            <w:tcW w:w="50" w:type="pct"/>
            <w:shd w:val="clear" w:color="auto" w:fill="FFFFFF"/>
            <w:tcMar>
              <w:top w:w="0" w:type="dxa"/>
              <w:left w:w="0" w:type="dxa"/>
              <w:bottom w:w="15" w:type="dxa"/>
              <w:right w:w="0" w:type="dxa"/>
            </w:tcMar>
            <w:vAlign w:val="bottom"/>
            <w:hideMark/>
          </w:tcPr>
          <w:p w14:paraId="55DCA18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C2E89C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706730F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361,345</w:t>
            </w:r>
          </w:p>
        </w:tc>
        <w:tc>
          <w:tcPr>
            <w:tcW w:w="50" w:type="pct"/>
            <w:shd w:val="clear" w:color="auto" w:fill="FFFFFF"/>
            <w:tcMar>
              <w:top w:w="0" w:type="dxa"/>
              <w:left w:w="0" w:type="dxa"/>
              <w:bottom w:w="15" w:type="dxa"/>
              <w:right w:w="0" w:type="dxa"/>
            </w:tcMar>
            <w:vAlign w:val="bottom"/>
            <w:hideMark/>
          </w:tcPr>
          <w:p w14:paraId="41CE3FA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206C03D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ADC2E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14:paraId="1BF8F3A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6,418,418</w:t>
            </w:r>
          </w:p>
        </w:tc>
        <w:tc>
          <w:tcPr>
            <w:tcW w:w="50" w:type="pct"/>
            <w:shd w:val="clear" w:color="auto" w:fill="FFFFFF"/>
            <w:tcMar>
              <w:top w:w="0" w:type="dxa"/>
              <w:left w:w="0" w:type="dxa"/>
              <w:bottom w:w="15" w:type="dxa"/>
              <w:right w:w="0" w:type="dxa"/>
            </w:tcMar>
            <w:vAlign w:val="bottom"/>
            <w:hideMark/>
          </w:tcPr>
          <w:p w14:paraId="38A7368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2909C4A" w14:textId="77777777">
        <w:trPr>
          <w:divId w:val="375469030"/>
          <w:tblCellSpacing w:w="0" w:type="dxa"/>
        </w:trPr>
        <w:tc>
          <w:tcPr>
            <w:tcW w:w="0" w:type="auto"/>
            <w:shd w:val="clear" w:color="auto" w:fill="CCEEFF"/>
            <w:vAlign w:val="bottom"/>
            <w:hideMark/>
          </w:tcPr>
          <w:p w14:paraId="26724B9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9CA050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630622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931F58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A58FA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6845E9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F2EBDB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F31327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D697A9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7EB94DC" w14:textId="77777777">
        <w:trPr>
          <w:divId w:val="375469030"/>
          <w:tblCellSpacing w:w="0" w:type="dxa"/>
        </w:trPr>
        <w:tc>
          <w:tcPr>
            <w:tcW w:w="0" w:type="auto"/>
            <w:shd w:val="clear" w:color="auto" w:fill="FFFFFF"/>
            <w:vAlign w:val="bottom"/>
            <w:hideMark/>
          </w:tcPr>
          <w:p w14:paraId="40C8ADE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p w14:paraId="6DC3794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F0FE8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FFFFFF"/>
            <w:vAlign w:val="bottom"/>
            <w:hideMark/>
          </w:tcPr>
          <w:p w14:paraId="204791C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74B1180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8F4758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4C942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 </w:t>
            </w:r>
          </w:p>
        </w:tc>
        <w:tc>
          <w:tcPr>
            <w:tcW w:w="50" w:type="pct"/>
            <w:shd w:val="clear" w:color="auto" w:fill="FFFFFF"/>
            <w:vAlign w:val="bottom"/>
            <w:hideMark/>
          </w:tcPr>
          <w:p w14:paraId="45DB8DA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12D62D7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D99FF8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C6EB88D" w14:textId="77777777">
        <w:trPr>
          <w:divId w:val="375469030"/>
          <w:tblCellSpacing w:w="0" w:type="dxa"/>
        </w:trPr>
        <w:tc>
          <w:tcPr>
            <w:tcW w:w="0" w:type="auto"/>
            <w:shd w:val="clear" w:color="auto" w:fill="CCEEFF"/>
            <w:vAlign w:val="bottom"/>
            <w:hideMark/>
          </w:tcPr>
          <w:p w14:paraId="03BAA11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29C237F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1AEA8F7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338ECF0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08A9109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58EF45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6E466F9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CCEEFF"/>
            <w:vAlign w:val="bottom"/>
            <w:hideMark/>
          </w:tcPr>
          <w:p w14:paraId="1F34A2C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4156079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8A28082" w14:textId="77777777">
        <w:trPr>
          <w:divId w:val="375469030"/>
          <w:tblCellSpacing w:w="0" w:type="dxa"/>
        </w:trPr>
        <w:tc>
          <w:tcPr>
            <w:tcW w:w="0" w:type="auto"/>
            <w:shd w:val="clear" w:color="auto" w:fill="FFFFFF"/>
            <w:vAlign w:val="bottom"/>
            <w:hideMark/>
          </w:tcPr>
          <w:p w14:paraId="5EAABAA2"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FFFFFF"/>
            <w:tcMar>
              <w:top w:w="0" w:type="dxa"/>
              <w:left w:w="0" w:type="dxa"/>
              <w:bottom w:w="45" w:type="dxa"/>
              <w:right w:w="0" w:type="dxa"/>
            </w:tcMar>
            <w:vAlign w:val="bottom"/>
            <w:hideMark/>
          </w:tcPr>
          <w:p w14:paraId="56C6C8A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30C3C1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2769B8D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609,244,207</w:t>
            </w:r>
          </w:p>
        </w:tc>
        <w:tc>
          <w:tcPr>
            <w:tcW w:w="50" w:type="pct"/>
            <w:shd w:val="clear" w:color="auto" w:fill="FFFFFF"/>
            <w:tcMar>
              <w:top w:w="0" w:type="dxa"/>
              <w:left w:w="0" w:type="dxa"/>
              <w:bottom w:w="45" w:type="dxa"/>
              <w:right w:w="0" w:type="dxa"/>
            </w:tcMar>
            <w:vAlign w:val="bottom"/>
            <w:hideMark/>
          </w:tcPr>
          <w:p w14:paraId="1DE3CC7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4727E7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60E1F274"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FFFFFF"/>
            <w:vAlign w:val="bottom"/>
            <w:hideMark/>
          </w:tcPr>
          <w:p w14:paraId="571F38C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14:paraId="63D25F6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2F9A097" w14:textId="77777777">
        <w:trPr>
          <w:divId w:val="375469030"/>
          <w:tblCellSpacing w:w="0" w:type="dxa"/>
        </w:trPr>
        <w:tc>
          <w:tcPr>
            <w:tcW w:w="0" w:type="auto"/>
            <w:shd w:val="clear" w:color="auto" w:fill="CCEEFF"/>
            <w:vAlign w:val="bottom"/>
            <w:hideMark/>
          </w:tcPr>
          <w:p w14:paraId="2D28B46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9D773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F40BE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979148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5154BB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D05BE8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06B639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D7646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339C2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48C9C9C" w14:textId="77777777">
        <w:trPr>
          <w:divId w:val="375469030"/>
          <w:tblCellSpacing w:w="0" w:type="dxa"/>
        </w:trPr>
        <w:tc>
          <w:tcPr>
            <w:tcW w:w="0" w:type="auto"/>
            <w:shd w:val="clear" w:color="auto" w:fill="FFFFFF"/>
            <w:vAlign w:val="bottom"/>
            <w:hideMark/>
          </w:tcPr>
          <w:p w14:paraId="0D928B6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FFFFFF"/>
            <w:vAlign w:val="bottom"/>
            <w:hideMark/>
          </w:tcPr>
          <w:p w14:paraId="49FB0AB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ED70AF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ACB67B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59,000,000</w:t>
            </w:r>
          </w:p>
        </w:tc>
        <w:tc>
          <w:tcPr>
            <w:tcW w:w="50" w:type="pct"/>
            <w:shd w:val="clear" w:color="auto" w:fill="FFFFFF"/>
            <w:vAlign w:val="bottom"/>
            <w:hideMark/>
          </w:tcPr>
          <w:p w14:paraId="485698B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2E92E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EC5A41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3F35FFB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47,750,000</w:t>
            </w:r>
          </w:p>
        </w:tc>
        <w:tc>
          <w:tcPr>
            <w:tcW w:w="50" w:type="pct"/>
            <w:shd w:val="clear" w:color="auto" w:fill="FFFFFF"/>
            <w:vAlign w:val="bottom"/>
            <w:hideMark/>
          </w:tcPr>
          <w:p w14:paraId="159F1F9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216F839" w14:textId="77777777">
        <w:trPr>
          <w:divId w:val="375469030"/>
          <w:tblCellSpacing w:w="0" w:type="dxa"/>
        </w:trPr>
        <w:tc>
          <w:tcPr>
            <w:tcW w:w="0" w:type="auto"/>
            <w:shd w:val="clear" w:color="auto" w:fill="CCEEFF"/>
            <w:vAlign w:val="bottom"/>
            <w:hideMark/>
          </w:tcPr>
          <w:p w14:paraId="7160C69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CCEEFF"/>
            <w:vAlign w:val="bottom"/>
            <w:hideMark/>
          </w:tcPr>
          <w:p w14:paraId="28AF785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A90B4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14:paraId="66239DC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10.33</w:t>
            </w:r>
          </w:p>
        </w:tc>
        <w:tc>
          <w:tcPr>
            <w:tcW w:w="50" w:type="pct"/>
            <w:shd w:val="clear" w:color="auto" w:fill="CCEEFF"/>
            <w:vAlign w:val="bottom"/>
            <w:hideMark/>
          </w:tcPr>
          <w:p w14:paraId="7F68D19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33DF9E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BA80D2C"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14:paraId="690E222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CCEEFF"/>
            <w:vAlign w:val="bottom"/>
            <w:hideMark/>
          </w:tcPr>
          <w:p w14:paraId="5E40415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263D9234" w14:textId="77777777" w:rsidR="00000000" w:rsidRDefault="00016ED8">
      <w:pPr>
        <w:pStyle w:val="a3"/>
        <w:spacing w:before="0" w:beforeAutospacing="0" w:after="0" w:afterAutospacing="0"/>
        <w:rPr>
          <w:rFonts w:ascii="Arial" w:hAnsi="Arial" w:cs="Arial"/>
        </w:rPr>
      </w:pPr>
      <w:r>
        <w:rPr>
          <w:rFonts w:ascii="Arial" w:hAnsi="Arial" w:cs="Arial"/>
        </w:rPr>
        <w:t> </w:t>
      </w:r>
    </w:p>
    <w:p w14:paraId="231E9328"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2FABAB72">
          <v:rect id="_x0000_i103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8B672A3" w14:textId="77777777">
        <w:trPr>
          <w:tblCellSpacing w:w="0" w:type="dxa"/>
        </w:trPr>
        <w:tc>
          <w:tcPr>
            <w:tcW w:w="360" w:type="dxa"/>
            <w:hideMark/>
          </w:tcPr>
          <w:p w14:paraId="67003D32"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(a)</w:t>
            </w:r>
            <w:r>
              <w:rPr>
                <w:rFonts w:ascii="Arial" w:hAnsi="Arial" w:cs="Arial"/>
                <w:sz w:val="20"/>
                <w:szCs w:val="20"/>
              </w:rPr>
              <w:t> </w:t>
            </w:r>
          </w:p>
        </w:tc>
        <w:tc>
          <w:tcPr>
            <w:tcW w:w="0" w:type="auto"/>
            <w:hideMark/>
          </w:tcPr>
          <w:p w14:paraId="0F3894F0"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Cost of short-term investments: $508,123,101 and $720,991,393, respectively.</w:t>
            </w:r>
          </w:p>
        </w:tc>
      </w:tr>
    </w:tbl>
    <w:p w14:paraId="5A589A93"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D57A40C" w14:textId="77777777">
        <w:trPr>
          <w:tblCellSpacing w:w="0" w:type="dxa"/>
        </w:trPr>
        <w:tc>
          <w:tcPr>
            <w:tcW w:w="360" w:type="dxa"/>
            <w:hideMark/>
          </w:tcPr>
          <w:p w14:paraId="142EDE8F"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(b)</w:t>
            </w:r>
            <w:r>
              <w:rPr>
                <w:rFonts w:ascii="Arial" w:hAnsi="Arial" w:cs="Arial"/>
                <w:sz w:val="20"/>
                <w:szCs w:val="20"/>
              </w:rPr>
              <w:t> </w:t>
            </w:r>
          </w:p>
        </w:tc>
        <w:tc>
          <w:tcPr>
            <w:tcW w:w="0" w:type="auto"/>
            <w:hideMark/>
          </w:tcPr>
          <w:p w14:paraId="651CCFAA"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$55,714,629 and $29,427,850, respectively.</w:t>
            </w:r>
          </w:p>
        </w:tc>
      </w:tr>
    </w:tbl>
    <w:p w14:paraId="463D1A6E"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07B609F" w14:textId="77777777">
        <w:trPr>
          <w:tblCellSpacing w:w="0" w:type="dxa"/>
        </w:trPr>
        <w:tc>
          <w:tcPr>
            <w:tcW w:w="360" w:type="dxa"/>
            <w:hideMark/>
          </w:tcPr>
          <w:p w14:paraId="312BBF09"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(c)</w:t>
            </w:r>
            <w:r>
              <w:rPr>
                <w:rFonts w:ascii="Arial" w:hAnsi="Arial" w:cs="Arial"/>
                <w:sz w:val="20"/>
                <w:szCs w:val="20"/>
              </w:rPr>
              <w:t> </w:t>
            </w:r>
          </w:p>
        </w:tc>
        <w:tc>
          <w:tcPr>
            <w:tcW w:w="0" w:type="auto"/>
            <w:hideMark/>
          </w:tcPr>
          <w:p w14:paraId="764C8446"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14:paraId="4836A2E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31379F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D3AC59B"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62BBB33B"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55D7DC2A" w14:textId="77777777" w:rsidR="00000000" w:rsidRDefault="00016ED8">
      <w:pPr>
        <w:jc w:val="center"/>
        <w:divId w:val="211843627"/>
        <w:rPr>
          <w:rFonts w:ascii="Arial" w:eastAsia="Times New Roman" w:hAnsi="Arial" w:cs="Arial"/>
          <w:sz w:val="20"/>
          <w:szCs w:val="20"/>
        </w:rPr>
      </w:pPr>
      <w:r>
        <w:rPr>
          <w:rFonts w:ascii="Arial" w:eastAsia="Times New Roman" w:hAnsi="Arial" w:cs="Arial"/>
          <w:sz w:val="20"/>
          <w:szCs w:val="20"/>
        </w:rPr>
        <w:t xml:space="preserve">1 </w:t>
      </w:r>
    </w:p>
    <w:p w14:paraId="55260927" w14:textId="77777777" w:rsidR="00000000" w:rsidRDefault="00016ED8">
      <w:pPr>
        <w:divId w:val="2137138617"/>
        <w:rPr>
          <w:rFonts w:ascii="Arial" w:eastAsia="Times New Roman" w:hAnsi="Arial" w:cs="Arial"/>
          <w:sz w:val="20"/>
          <w:szCs w:val="20"/>
        </w:rPr>
      </w:pPr>
      <w:r>
        <w:rPr>
          <w:rFonts w:ascii="Arial" w:eastAsia="Times New Roman" w:hAnsi="Arial" w:cs="Arial"/>
          <w:sz w:val="20"/>
          <w:szCs w:val="20"/>
        </w:rPr>
        <w:pict w14:anchorId="67DCF440">
          <v:rect id="_x0000_i1038" style="width:0;height:1.5pt" o:hralign="center" o:hrstd="t" o:hr="t" fillcolor="#a0a0a0" stroked="f"/>
        </w:pict>
      </w:r>
    </w:p>
    <w:p w14:paraId="2F3A0B77" w14:textId="77777777" w:rsidR="00000000" w:rsidRDefault="00016ED8">
      <w:pPr>
        <w:divId w:val="212468951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0D6961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348E399" w14:textId="77777777" w:rsidR="00000000" w:rsidRDefault="00016ED8">
      <w:pPr>
        <w:divId w:val="864710840"/>
        <w:rPr>
          <w:rFonts w:ascii="Arial" w:eastAsia="Times New Roman" w:hAnsi="Arial" w:cs="Arial"/>
          <w:sz w:val="20"/>
          <w:szCs w:val="20"/>
        </w:rPr>
      </w:pPr>
      <w:r>
        <w:rPr>
          <w:rFonts w:ascii="Arial" w:eastAsia="Times New Roman" w:hAnsi="Arial" w:cs="Arial"/>
          <w:sz w:val="20"/>
          <w:szCs w:val="20"/>
        </w:rPr>
        <w:t xml:space="preserve">  </w:t>
      </w:r>
    </w:p>
    <w:p w14:paraId="3E5025FF"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23CE7112"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14:paraId="41D47351"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For the three and six months ended June 30, 2020 and 2019</w:t>
      </w:r>
    </w:p>
    <w:p w14:paraId="0E58B19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54"/>
        <w:gridCol w:w="66"/>
        <w:gridCol w:w="112"/>
        <w:gridCol w:w="1113"/>
        <w:gridCol w:w="67"/>
        <w:gridCol w:w="65"/>
        <w:gridCol w:w="112"/>
        <w:gridCol w:w="1068"/>
        <w:gridCol w:w="67"/>
        <w:gridCol w:w="65"/>
        <w:gridCol w:w="112"/>
        <w:gridCol w:w="1179"/>
        <w:gridCol w:w="67"/>
        <w:gridCol w:w="67"/>
        <w:gridCol w:w="112"/>
        <w:gridCol w:w="1113"/>
        <w:gridCol w:w="67"/>
      </w:tblGrid>
      <w:tr w:rsidR="00000000" w14:paraId="1EC00F88" w14:textId="77777777">
        <w:trPr>
          <w:divId w:val="901863794"/>
          <w:tblCellSpacing w:w="0" w:type="dxa"/>
        </w:trPr>
        <w:tc>
          <w:tcPr>
            <w:tcW w:w="0" w:type="auto"/>
            <w:vAlign w:val="bottom"/>
            <w:hideMark/>
          </w:tcPr>
          <w:p w14:paraId="7BA2769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2ABDB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14:paraId="36102E71"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tc>
        <w:tc>
          <w:tcPr>
            <w:tcW w:w="0" w:type="auto"/>
            <w:vAlign w:val="bottom"/>
            <w:hideMark/>
          </w:tcPr>
          <w:p w14:paraId="25D26B5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46C844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14:paraId="221A8C6E"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p>
        </w:tc>
        <w:tc>
          <w:tcPr>
            <w:tcW w:w="0" w:type="auto"/>
            <w:vAlign w:val="bottom"/>
            <w:hideMark/>
          </w:tcPr>
          <w:p w14:paraId="6F8A112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8808F58" w14:textId="77777777">
        <w:trPr>
          <w:divId w:val="901863794"/>
          <w:tblCellSpacing w:w="0" w:type="dxa"/>
        </w:trPr>
        <w:tc>
          <w:tcPr>
            <w:tcW w:w="0" w:type="auto"/>
            <w:vAlign w:val="bottom"/>
            <w:hideMark/>
          </w:tcPr>
          <w:p w14:paraId="4920A7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4CC83F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34EE78F6"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0" w:type="auto"/>
            <w:tcMar>
              <w:top w:w="0" w:type="dxa"/>
              <w:left w:w="0" w:type="dxa"/>
              <w:bottom w:w="15" w:type="dxa"/>
              <w:right w:w="0" w:type="dxa"/>
            </w:tcMar>
            <w:vAlign w:val="bottom"/>
            <w:hideMark/>
          </w:tcPr>
          <w:p w14:paraId="3BA348F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233E0A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1B3E8991"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0" w:type="auto"/>
            <w:tcMar>
              <w:top w:w="0" w:type="dxa"/>
              <w:left w:w="0" w:type="dxa"/>
              <w:bottom w:w="15" w:type="dxa"/>
              <w:right w:w="0" w:type="dxa"/>
            </w:tcMar>
            <w:vAlign w:val="bottom"/>
            <w:hideMark/>
          </w:tcPr>
          <w:p w14:paraId="49302EC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2E90960" w14:textId="77777777">
        <w:trPr>
          <w:divId w:val="901863794"/>
          <w:tblCellSpacing w:w="0" w:type="dxa"/>
        </w:trPr>
        <w:tc>
          <w:tcPr>
            <w:tcW w:w="0" w:type="auto"/>
            <w:vAlign w:val="bottom"/>
            <w:hideMark/>
          </w:tcPr>
          <w:p w14:paraId="5707FC2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860840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9B62562"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14:paraId="3BC511D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2496A6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582AA7C"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14:paraId="20D3271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F8EB71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112566E"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14:paraId="378A7D7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6FC57A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9BCB9E1"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0" w:type="auto"/>
            <w:tcMar>
              <w:top w:w="0" w:type="dxa"/>
              <w:left w:w="0" w:type="dxa"/>
              <w:bottom w:w="15" w:type="dxa"/>
              <w:right w:w="0" w:type="dxa"/>
            </w:tcMar>
            <w:vAlign w:val="bottom"/>
            <w:hideMark/>
          </w:tcPr>
          <w:p w14:paraId="4833B66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FF6FFBB" w14:textId="77777777">
        <w:trPr>
          <w:divId w:val="901863794"/>
          <w:tblCellSpacing w:w="0" w:type="dxa"/>
        </w:trPr>
        <w:tc>
          <w:tcPr>
            <w:tcW w:w="0" w:type="auto"/>
            <w:shd w:val="clear" w:color="auto" w:fill="CCEEFF"/>
            <w:vAlign w:val="bottom"/>
            <w:hideMark/>
          </w:tcPr>
          <w:p w14:paraId="411962B2" w14:textId="77777777" w:rsidR="00000000" w:rsidRDefault="00016ED8">
            <w:pPr>
              <w:rPr>
                <w:rFonts w:ascii="Arial" w:eastAsia="Times New Roman" w:hAnsi="Arial" w:cs="Arial"/>
                <w:sz w:val="20"/>
                <w:szCs w:val="20"/>
              </w:rPr>
            </w:pPr>
            <w:r>
              <w:rPr>
                <w:rFonts w:ascii="Arial" w:eastAsia="Times New Roman" w:hAnsi="Arial" w:cs="Arial"/>
                <w:b/>
                <w:bCs/>
                <w:sz w:val="20"/>
                <w:szCs w:val="20"/>
              </w:rPr>
              <w:t>Investment Income</w:t>
            </w:r>
          </w:p>
        </w:tc>
        <w:tc>
          <w:tcPr>
            <w:tcW w:w="0" w:type="auto"/>
            <w:shd w:val="clear" w:color="auto" w:fill="CCEEFF"/>
            <w:vAlign w:val="bottom"/>
            <w:hideMark/>
          </w:tcPr>
          <w:p w14:paraId="05EC10B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C4958D3"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4E18087"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A0C87C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DC16A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01BE974"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9D7E088"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9CD8FA1"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E0C059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E3FD74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232EC67"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6A40004"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CA14F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37B735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204F7B1"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39F43C0"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19CD1B73" w14:textId="77777777">
        <w:trPr>
          <w:divId w:val="901863794"/>
          <w:tblCellSpacing w:w="0" w:type="dxa"/>
        </w:trPr>
        <w:tc>
          <w:tcPr>
            <w:tcW w:w="0" w:type="auto"/>
            <w:shd w:val="clear" w:color="auto" w:fill="FFFFFF"/>
            <w:vAlign w:val="bottom"/>
            <w:hideMark/>
          </w:tcPr>
          <w:p w14:paraId="51BD80C0"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tcMar>
              <w:top w:w="0" w:type="dxa"/>
              <w:left w:w="0" w:type="dxa"/>
              <w:bottom w:w="15" w:type="dxa"/>
              <w:right w:w="0" w:type="dxa"/>
            </w:tcMar>
            <w:vAlign w:val="bottom"/>
            <w:hideMark/>
          </w:tcPr>
          <w:p w14:paraId="6E011B1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B793D4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3531042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802,960</w:t>
            </w:r>
          </w:p>
        </w:tc>
        <w:tc>
          <w:tcPr>
            <w:tcW w:w="50" w:type="pct"/>
            <w:shd w:val="clear" w:color="auto" w:fill="FFFFFF"/>
            <w:tcMar>
              <w:top w:w="0" w:type="dxa"/>
              <w:left w:w="0" w:type="dxa"/>
              <w:bottom w:w="15" w:type="dxa"/>
              <w:right w:w="0" w:type="dxa"/>
            </w:tcMar>
            <w:vAlign w:val="bottom"/>
            <w:hideMark/>
          </w:tcPr>
          <w:p w14:paraId="3478C52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182F339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5DC09D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4571737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6,522,254</w:t>
            </w:r>
          </w:p>
        </w:tc>
        <w:tc>
          <w:tcPr>
            <w:tcW w:w="50" w:type="pct"/>
            <w:shd w:val="clear" w:color="auto" w:fill="FFFFFF"/>
            <w:tcMar>
              <w:top w:w="0" w:type="dxa"/>
              <w:left w:w="0" w:type="dxa"/>
              <w:bottom w:w="15" w:type="dxa"/>
              <w:right w:w="0" w:type="dxa"/>
            </w:tcMar>
            <w:vAlign w:val="bottom"/>
            <w:hideMark/>
          </w:tcPr>
          <w:p w14:paraId="2C675C3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1449AED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9C4D6B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3F6E83F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3,376,247</w:t>
            </w:r>
          </w:p>
        </w:tc>
        <w:tc>
          <w:tcPr>
            <w:tcW w:w="50" w:type="pct"/>
            <w:shd w:val="clear" w:color="auto" w:fill="FFFFFF"/>
            <w:tcMar>
              <w:top w:w="0" w:type="dxa"/>
              <w:left w:w="0" w:type="dxa"/>
              <w:bottom w:w="15" w:type="dxa"/>
              <w:right w:w="0" w:type="dxa"/>
            </w:tcMar>
            <w:vAlign w:val="bottom"/>
            <w:hideMark/>
          </w:tcPr>
          <w:p w14:paraId="0DCAB31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344550F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23F3AB7"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14:paraId="2EBC606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13,732,868</w:t>
            </w:r>
          </w:p>
        </w:tc>
        <w:tc>
          <w:tcPr>
            <w:tcW w:w="50" w:type="pct"/>
            <w:shd w:val="clear" w:color="auto" w:fill="FFFFFF"/>
            <w:tcMar>
              <w:top w:w="0" w:type="dxa"/>
              <w:left w:w="0" w:type="dxa"/>
              <w:bottom w:w="15" w:type="dxa"/>
              <w:right w:w="0" w:type="dxa"/>
            </w:tcMar>
            <w:vAlign w:val="bottom"/>
            <w:hideMark/>
          </w:tcPr>
          <w:p w14:paraId="0BCB857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C26A47C" w14:textId="77777777">
        <w:trPr>
          <w:divId w:val="901863794"/>
          <w:tblCellSpacing w:w="0" w:type="dxa"/>
        </w:trPr>
        <w:tc>
          <w:tcPr>
            <w:tcW w:w="0" w:type="auto"/>
            <w:shd w:val="clear" w:color="auto" w:fill="CCEEFF"/>
            <w:vAlign w:val="bottom"/>
            <w:hideMark/>
          </w:tcPr>
          <w:p w14:paraId="6CA2DB1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14:paraId="3EBC437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7762AE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B5838C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802,960</w:t>
            </w:r>
          </w:p>
        </w:tc>
        <w:tc>
          <w:tcPr>
            <w:tcW w:w="50" w:type="pct"/>
            <w:shd w:val="clear" w:color="auto" w:fill="CCEEFF"/>
            <w:tcMar>
              <w:top w:w="0" w:type="dxa"/>
              <w:left w:w="0" w:type="dxa"/>
              <w:bottom w:w="15" w:type="dxa"/>
              <w:right w:w="0" w:type="dxa"/>
            </w:tcMar>
            <w:vAlign w:val="bottom"/>
            <w:hideMark/>
          </w:tcPr>
          <w:p w14:paraId="328817B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02C27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6EA1F4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EBF93E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6,522,254</w:t>
            </w:r>
          </w:p>
        </w:tc>
        <w:tc>
          <w:tcPr>
            <w:tcW w:w="50" w:type="pct"/>
            <w:shd w:val="clear" w:color="auto" w:fill="CCEEFF"/>
            <w:tcMar>
              <w:top w:w="0" w:type="dxa"/>
              <w:left w:w="0" w:type="dxa"/>
              <w:bottom w:w="15" w:type="dxa"/>
              <w:right w:w="0" w:type="dxa"/>
            </w:tcMar>
            <w:vAlign w:val="bottom"/>
            <w:hideMark/>
          </w:tcPr>
          <w:p w14:paraId="369AEBD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055D9B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88F0A9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2952D8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3,376,247</w:t>
            </w:r>
          </w:p>
        </w:tc>
        <w:tc>
          <w:tcPr>
            <w:tcW w:w="50" w:type="pct"/>
            <w:shd w:val="clear" w:color="auto" w:fill="CCEEFF"/>
            <w:tcMar>
              <w:top w:w="0" w:type="dxa"/>
              <w:left w:w="0" w:type="dxa"/>
              <w:bottom w:w="15" w:type="dxa"/>
              <w:right w:w="0" w:type="dxa"/>
            </w:tcMar>
            <w:vAlign w:val="bottom"/>
            <w:hideMark/>
          </w:tcPr>
          <w:p w14:paraId="0000472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B62BA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8B4D3D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C3005F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13,732,868</w:t>
            </w:r>
          </w:p>
        </w:tc>
        <w:tc>
          <w:tcPr>
            <w:tcW w:w="50" w:type="pct"/>
            <w:shd w:val="clear" w:color="auto" w:fill="CCEEFF"/>
            <w:tcMar>
              <w:top w:w="0" w:type="dxa"/>
              <w:left w:w="0" w:type="dxa"/>
              <w:bottom w:w="15" w:type="dxa"/>
              <w:right w:w="0" w:type="dxa"/>
            </w:tcMar>
            <w:vAlign w:val="bottom"/>
            <w:hideMark/>
          </w:tcPr>
          <w:p w14:paraId="4961E8A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551BBDD" w14:textId="77777777">
        <w:trPr>
          <w:divId w:val="901863794"/>
          <w:tblCellSpacing w:w="0" w:type="dxa"/>
        </w:trPr>
        <w:tc>
          <w:tcPr>
            <w:tcW w:w="0" w:type="auto"/>
            <w:shd w:val="clear" w:color="auto" w:fill="FFFFFF"/>
            <w:vAlign w:val="bottom"/>
            <w:hideMark/>
          </w:tcPr>
          <w:p w14:paraId="0180F8C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D481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27C90D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FCE621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B97386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35C562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8613A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50C67C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7F53B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5F3605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4C39F4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FC15C8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808623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4ABCAE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D93659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AAE41A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A1A7D9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E05541A" w14:textId="77777777">
        <w:trPr>
          <w:divId w:val="901863794"/>
          <w:tblCellSpacing w:w="0" w:type="dxa"/>
        </w:trPr>
        <w:tc>
          <w:tcPr>
            <w:tcW w:w="0" w:type="auto"/>
            <w:shd w:val="clear" w:color="auto" w:fill="CCEEFF"/>
            <w:vAlign w:val="bottom"/>
            <w:hideMark/>
          </w:tcPr>
          <w:p w14:paraId="3BA0E03B"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CCEEFF"/>
            <w:vAlign w:val="bottom"/>
            <w:hideMark/>
          </w:tcPr>
          <w:p w14:paraId="25C7143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15E970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4D5EC93"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DE179E1"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E0D623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7E8C2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BD3DE2F"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9FF6A0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6931D7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4DDCA9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BB2392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F478AC0"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6A2AB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9A2354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EE33F5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F02806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32EE7730" w14:textId="77777777">
        <w:trPr>
          <w:divId w:val="901863794"/>
          <w:tblCellSpacing w:w="0" w:type="dxa"/>
        </w:trPr>
        <w:tc>
          <w:tcPr>
            <w:tcW w:w="0" w:type="auto"/>
            <w:shd w:val="clear" w:color="auto" w:fill="FFFFFF"/>
            <w:vAlign w:val="bottom"/>
            <w:hideMark/>
          </w:tcPr>
          <w:p w14:paraId="1D782B03"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14:paraId="2616C31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247419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12AD125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984,873</w:t>
            </w:r>
          </w:p>
        </w:tc>
        <w:tc>
          <w:tcPr>
            <w:tcW w:w="50" w:type="pct"/>
            <w:shd w:val="clear" w:color="auto" w:fill="FFFFFF"/>
            <w:vAlign w:val="bottom"/>
            <w:hideMark/>
          </w:tcPr>
          <w:p w14:paraId="14A508B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4D2D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DE6B85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373A5E4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2,074,766</w:t>
            </w:r>
          </w:p>
        </w:tc>
        <w:tc>
          <w:tcPr>
            <w:tcW w:w="50" w:type="pct"/>
            <w:shd w:val="clear" w:color="auto" w:fill="FFFFFF"/>
            <w:vAlign w:val="bottom"/>
            <w:hideMark/>
          </w:tcPr>
          <w:p w14:paraId="5540D6D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37EBD4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03088C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00FC7D1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2,300,279</w:t>
            </w:r>
          </w:p>
        </w:tc>
        <w:tc>
          <w:tcPr>
            <w:tcW w:w="50" w:type="pct"/>
            <w:shd w:val="clear" w:color="auto" w:fill="FFFFFF"/>
            <w:vAlign w:val="bottom"/>
            <w:hideMark/>
          </w:tcPr>
          <w:p w14:paraId="715858D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54F6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77D27E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14:paraId="676FBC8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4,457,197</w:t>
            </w:r>
          </w:p>
        </w:tc>
        <w:tc>
          <w:tcPr>
            <w:tcW w:w="50" w:type="pct"/>
            <w:shd w:val="clear" w:color="auto" w:fill="FFFFFF"/>
            <w:vAlign w:val="bottom"/>
            <w:hideMark/>
          </w:tcPr>
          <w:p w14:paraId="449F6B9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08BEBE2" w14:textId="77777777">
        <w:trPr>
          <w:divId w:val="901863794"/>
          <w:tblCellSpacing w:w="0" w:type="dxa"/>
        </w:trPr>
        <w:tc>
          <w:tcPr>
            <w:tcW w:w="0" w:type="auto"/>
            <w:shd w:val="clear" w:color="auto" w:fill="CCEEFF"/>
            <w:vAlign w:val="bottom"/>
            <w:hideMark/>
          </w:tcPr>
          <w:p w14:paraId="015F3A4B"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14:paraId="3D4BF8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67BF71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CC3FE0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237,503</w:t>
            </w:r>
          </w:p>
        </w:tc>
        <w:tc>
          <w:tcPr>
            <w:tcW w:w="50" w:type="pct"/>
            <w:shd w:val="clear" w:color="auto" w:fill="CCEEFF"/>
            <w:tcMar>
              <w:top w:w="0" w:type="dxa"/>
              <w:left w:w="0" w:type="dxa"/>
              <w:bottom w:w="15" w:type="dxa"/>
              <w:right w:w="0" w:type="dxa"/>
            </w:tcMar>
            <w:vAlign w:val="bottom"/>
            <w:hideMark/>
          </w:tcPr>
          <w:p w14:paraId="05F470D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D99A0F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9C16B7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C457DF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259,443</w:t>
            </w:r>
          </w:p>
        </w:tc>
        <w:tc>
          <w:tcPr>
            <w:tcW w:w="50" w:type="pct"/>
            <w:shd w:val="clear" w:color="auto" w:fill="CCEEFF"/>
            <w:tcMar>
              <w:top w:w="0" w:type="dxa"/>
              <w:left w:w="0" w:type="dxa"/>
              <w:bottom w:w="15" w:type="dxa"/>
              <w:right w:w="0" w:type="dxa"/>
            </w:tcMar>
            <w:vAlign w:val="bottom"/>
            <w:hideMark/>
          </w:tcPr>
          <w:p w14:paraId="40FF3C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B1D8E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3DB3B3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C7B54E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467,129</w:t>
            </w:r>
          </w:p>
        </w:tc>
        <w:tc>
          <w:tcPr>
            <w:tcW w:w="50" w:type="pct"/>
            <w:shd w:val="clear" w:color="auto" w:fill="CCEEFF"/>
            <w:tcMar>
              <w:top w:w="0" w:type="dxa"/>
              <w:left w:w="0" w:type="dxa"/>
              <w:bottom w:w="15" w:type="dxa"/>
              <w:right w:w="0" w:type="dxa"/>
            </w:tcMar>
            <w:vAlign w:val="bottom"/>
            <w:hideMark/>
          </w:tcPr>
          <w:p w14:paraId="22758E1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D8F69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87846A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93B926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596,589</w:t>
            </w:r>
          </w:p>
        </w:tc>
        <w:tc>
          <w:tcPr>
            <w:tcW w:w="50" w:type="pct"/>
            <w:shd w:val="clear" w:color="auto" w:fill="CCEEFF"/>
            <w:tcMar>
              <w:top w:w="0" w:type="dxa"/>
              <w:left w:w="0" w:type="dxa"/>
              <w:bottom w:w="15" w:type="dxa"/>
              <w:right w:w="0" w:type="dxa"/>
            </w:tcMar>
            <w:vAlign w:val="bottom"/>
            <w:hideMark/>
          </w:tcPr>
          <w:p w14:paraId="6D6BEDB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40BE5E0" w14:textId="77777777">
        <w:trPr>
          <w:divId w:val="901863794"/>
          <w:tblCellSpacing w:w="0" w:type="dxa"/>
        </w:trPr>
        <w:tc>
          <w:tcPr>
            <w:tcW w:w="0" w:type="auto"/>
            <w:shd w:val="clear" w:color="auto" w:fill="FFFFFF"/>
            <w:vAlign w:val="bottom"/>
            <w:hideMark/>
          </w:tcPr>
          <w:p w14:paraId="72E52BE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14:paraId="5CD2C9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764EA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5EB36ED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1,222,376</w:t>
            </w:r>
          </w:p>
        </w:tc>
        <w:tc>
          <w:tcPr>
            <w:tcW w:w="50" w:type="pct"/>
            <w:shd w:val="clear" w:color="auto" w:fill="FFFFFF"/>
            <w:tcMar>
              <w:top w:w="0" w:type="dxa"/>
              <w:left w:w="0" w:type="dxa"/>
              <w:bottom w:w="15" w:type="dxa"/>
              <w:right w:w="0" w:type="dxa"/>
            </w:tcMar>
            <w:vAlign w:val="bottom"/>
            <w:hideMark/>
          </w:tcPr>
          <w:p w14:paraId="24AF638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78AFC5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9FEEFC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3441168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2,334,209</w:t>
            </w:r>
          </w:p>
        </w:tc>
        <w:tc>
          <w:tcPr>
            <w:tcW w:w="50" w:type="pct"/>
            <w:shd w:val="clear" w:color="auto" w:fill="FFFFFF"/>
            <w:tcMar>
              <w:top w:w="0" w:type="dxa"/>
              <w:left w:w="0" w:type="dxa"/>
              <w:bottom w:w="15" w:type="dxa"/>
              <w:right w:w="0" w:type="dxa"/>
            </w:tcMar>
            <w:vAlign w:val="bottom"/>
            <w:hideMark/>
          </w:tcPr>
          <w:p w14:paraId="400A419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82093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BA7EC3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241D585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2,767,408</w:t>
            </w:r>
          </w:p>
        </w:tc>
        <w:tc>
          <w:tcPr>
            <w:tcW w:w="50" w:type="pct"/>
            <w:shd w:val="clear" w:color="auto" w:fill="FFFFFF"/>
            <w:tcMar>
              <w:top w:w="0" w:type="dxa"/>
              <w:left w:w="0" w:type="dxa"/>
              <w:bottom w:w="15" w:type="dxa"/>
              <w:right w:w="0" w:type="dxa"/>
            </w:tcMar>
            <w:vAlign w:val="bottom"/>
            <w:hideMark/>
          </w:tcPr>
          <w:p w14:paraId="14D2C6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091A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9568A6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08099B5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5,053,786</w:t>
            </w:r>
          </w:p>
        </w:tc>
        <w:tc>
          <w:tcPr>
            <w:tcW w:w="50" w:type="pct"/>
            <w:shd w:val="clear" w:color="auto" w:fill="FFFFFF"/>
            <w:tcMar>
              <w:top w:w="0" w:type="dxa"/>
              <w:left w:w="0" w:type="dxa"/>
              <w:bottom w:w="15" w:type="dxa"/>
              <w:right w:w="0" w:type="dxa"/>
            </w:tcMar>
            <w:vAlign w:val="bottom"/>
            <w:hideMark/>
          </w:tcPr>
          <w:p w14:paraId="739847E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04DE62A" w14:textId="77777777">
        <w:trPr>
          <w:divId w:val="901863794"/>
          <w:tblCellSpacing w:w="0" w:type="dxa"/>
        </w:trPr>
        <w:tc>
          <w:tcPr>
            <w:tcW w:w="0" w:type="auto"/>
            <w:shd w:val="clear" w:color="auto" w:fill="CCEEFF"/>
            <w:vAlign w:val="bottom"/>
            <w:hideMark/>
          </w:tcPr>
          <w:p w14:paraId="477EA49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14:paraId="607DAD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06922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6C69576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(419,416</w:t>
            </w:r>
          </w:p>
        </w:tc>
        <w:tc>
          <w:tcPr>
            <w:tcW w:w="50" w:type="pct"/>
            <w:shd w:val="clear" w:color="auto" w:fill="CCEEFF"/>
            <w:tcMar>
              <w:top w:w="0" w:type="dxa"/>
              <w:left w:w="0" w:type="dxa"/>
              <w:bottom w:w="15" w:type="dxa"/>
              <w:right w:w="0" w:type="dxa"/>
            </w:tcMar>
            <w:vAlign w:val="bottom"/>
            <w:hideMark/>
          </w:tcPr>
          <w:p w14:paraId="204A31E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596A3D8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BC6EAC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92A083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4,188,045</w:t>
            </w:r>
          </w:p>
        </w:tc>
        <w:tc>
          <w:tcPr>
            <w:tcW w:w="50" w:type="pct"/>
            <w:shd w:val="clear" w:color="auto" w:fill="CCEEFF"/>
            <w:tcMar>
              <w:top w:w="0" w:type="dxa"/>
              <w:left w:w="0" w:type="dxa"/>
              <w:bottom w:w="15" w:type="dxa"/>
              <w:right w:w="0" w:type="dxa"/>
            </w:tcMar>
            <w:vAlign w:val="bottom"/>
            <w:hideMark/>
          </w:tcPr>
          <w:p w14:paraId="5C89449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918902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E5EC5F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4DE5FF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608,839</w:t>
            </w:r>
          </w:p>
        </w:tc>
        <w:tc>
          <w:tcPr>
            <w:tcW w:w="50" w:type="pct"/>
            <w:shd w:val="clear" w:color="auto" w:fill="CCEEFF"/>
            <w:tcMar>
              <w:top w:w="0" w:type="dxa"/>
              <w:left w:w="0" w:type="dxa"/>
              <w:bottom w:w="15" w:type="dxa"/>
              <w:right w:w="0" w:type="dxa"/>
            </w:tcMar>
            <w:vAlign w:val="bottom"/>
            <w:hideMark/>
          </w:tcPr>
          <w:p w14:paraId="1215480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78E33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9B1E1C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582EF0C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8,679,082</w:t>
            </w:r>
          </w:p>
        </w:tc>
        <w:tc>
          <w:tcPr>
            <w:tcW w:w="50" w:type="pct"/>
            <w:shd w:val="clear" w:color="auto" w:fill="CCEEFF"/>
            <w:tcMar>
              <w:top w:w="0" w:type="dxa"/>
              <w:left w:w="0" w:type="dxa"/>
              <w:bottom w:w="15" w:type="dxa"/>
              <w:right w:w="0" w:type="dxa"/>
            </w:tcMar>
            <w:vAlign w:val="bottom"/>
            <w:hideMark/>
          </w:tcPr>
          <w:p w14:paraId="1BD89EB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D99B33C" w14:textId="77777777">
        <w:trPr>
          <w:divId w:val="901863794"/>
          <w:tblCellSpacing w:w="0" w:type="dxa"/>
        </w:trPr>
        <w:tc>
          <w:tcPr>
            <w:tcW w:w="0" w:type="auto"/>
            <w:shd w:val="clear" w:color="auto" w:fill="FFFFFF"/>
            <w:vAlign w:val="bottom"/>
            <w:hideMark/>
          </w:tcPr>
          <w:p w14:paraId="2783B3A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28EB6D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80985B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05C748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5EE8FB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C0B6BC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D33133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747E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F190E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F3B73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6CA598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DA599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2AB573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23D814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C95E97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E29940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20B3A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0D22663" w14:textId="77777777">
        <w:trPr>
          <w:divId w:val="901863794"/>
          <w:tblCellSpacing w:w="0" w:type="dxa"/>
        </w:trPr>
        <w:tc>
          <w:tcPr>
            <w:tcW w:w="0" w:type="auto"/>
            <w:shd w:val="clear" w:color="auto" w:fill="CCEEFF"/>
            <w:vAlign w:val="bottom"/>
            <w:hideMark/>
          </w:tcPr>
          <w:p w14:paraId="3C7DF843"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14:paraId="47A9F8B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EB8085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5247C0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3B6AF2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26AFF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D02DF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6806181"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629669C"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D5232D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575E0A3"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637A853"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041738F"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9FB151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064A231"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FAF0A71"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9306652"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3EC6BE64" w14:textId="77777777">
        <w:trPr>
          <w:divId w:val="901863794"/>
          <w:tblCellSpacing w:w="0" w:type="dxa"/>
        </w:trPr>
        <w:tc>
          <w:tcPr>
            <w:tcW w:w="0" w:type="auto"/>
            <w:shd w:val="clear" w:color="auto" w:fill="FFFFFF"/>
            <w:vAlign w:val="bottom"/>
            <w:hideMark/>
          </w:tcPr>
          <w:p w14:paraId="4917928F"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0" w:type="auto"/>
            <w:shd w:val="clear" w:color="auto" w:fill="FFFFFF"/>
            <w:vAlign w:val="bottom"/>
            <w:hideMark/>
          </w:tcPr>
          <w:p w14:paraId="285E55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609FD5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84868C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E8EF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F2919C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6CF9C2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5A62D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31F18B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B0425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9285D7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C9557B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8540DD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BA471E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EB1D77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A323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88D461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E9440DA" w14:textId="77777777">
        <w:trPr>
          <w:divId w:val="901863794"/>
          <w:tblCellSpacing w:w="0" w:type="dxa"/>
        </w:trPr>
        <w:tc>
          <w:tcPr>
            <w:tcW w:w="0" w:type="auto"/>
            <w:shd w:val="clear" w:color="auto" w:fill="CCEEFF"/>
            <w:vAlign w:val="bottom"/>
            <w:hideMark/>
          </w:tcPr>
          <w:p w14:paraId="6982DA97" w14:textId="77777777" w:rsidR="00000000" w:rsidRDefault="00016ED8">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5C08D2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6D79E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57EB8C2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29,175</w:t>
            </w:r>
          </w:p>
        </w:tc>
        <w:tc>
          <w:tcPr>
            <w:tcW w:w="50" w:type="pct"/>
            <w:shd w:val="clear" w:color="auto" w:fill="CCEEFF"/>
            <w:vAlign w:val="bottom"/>
            <w:hideMark/>
          </w:tcPr>
          <w:p w14:paraId="026DB00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07DFC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20B53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33D4698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8,155</w:t>
            </w:r>
          </w:p>
        </w:tc>
        <w:tc>
          <w:tcPr>
            <w:tcW w:w="50" w:type="pct"/>
            <w:shd w:val="clear" w:color="auto" w:fill="CCEEFF"/>
            <w:vAlign w:val="bottom"/>
            <w:hideMark/>
          </w:tcPr>
          <w:p w14:paraId="76E222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C3F941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224A9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5494812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61,104</w:t>
            </w:r>
          </w:p>
        </w:tc>
        <w:tc>
          <w:tcPr>
            <w:tcW w:w="50" w:type="pct"/>
            <w:shd w:val="clear" w:color="auto" w:fill="CCEEFF"/>
            <w:vAlign w:val="bottom"/>
            <w:hideMark/>
          </w:tcPr>
          <w:p w14:paraId="602CCB5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822F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60ADD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19F94EB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8,256</w:t>
            </w:r>
          </w:p>
        </w:tc>
        <w:tc>
          <w:tcPr>
            <w:tcW w:w="50" w:type="pct"/>
            <w:shd w:val="clear" w:color="auto" w:fill="CCEEFF"/>
            <w:vAlign w:val="bottom"/>
            <w:hideMark/>
          </w:tcPr>
          <w:p w14:paraId="0C4DC53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BAB74E6" w14:textId="77777777">
        <w:trPr>
          <w:divId w:val="901863794"/>
          <w:tblCellSpacing w:w="0" w:type="dxa"/>
        </w:trPr>
        <w:tc>
          <w:tcPr>
            <w:tcW w:w="0" w:type="auto"/>
            <w:shd w:val="clear" w:color="auto" w:fill="FFFFFF"/>
            <w:vAlign w:val="bottom"/>
            <w:hideMark/>
          </w:tcPr>
          <w:p w14:paraId="3888AB8F" w14:textId="77777777" w:rsidR="00000000" w:rsidRDefault="00016ED8">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6E2A67E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BE1431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3BD897E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(82,733,584</w:t>
            </w:r>
          </w:p>
        </w:tc>
        <w:tc>
          <w:tcPr>
            <w:tcW w:w="50" w:type="pct"/>
            <w:shd w:val="clear" w:color="auto" w:fill="FFFFFF"/>
            <w:tcMar>
              <w:top w:w="0" w:type="dxa"/>
              <w:left w:w="0" w:type="dxa"/>
              <w:bottom w:w="15" w:type="dxa"/>
              <w:right w:w="0" w:type="dxa"/>
            </w:tcMar>
            <w:vAlign w:val="bottom"/>
            <w:hideMark/>
          </w:tcPr>
          <w:p w14:paraId="7F48A087"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04367E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4F61B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00919BD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(12,341,801</w:t>
            </w:r>
          </w:p>
        </w:tc>
        <w:tc>
          <w:tcPr>
            <w:tcW w:w="50" w:type="pct"/>
            <w:shd w:val="clear" w:color="auto" w:fill="FFFFFF"/>
            <w:tcMar>
              <w:top w:w="0" w:type="dxa"/>
              <w:left w:w="0" w:type="dxa"/>
              <w:bottom w:w="15" w:type="dxa"/>
              <w:right w:w="0" w:type="dxa"/>
            </w:tcMar>
            <w:vAlign w:val="bottom"/>
            <w:hideMark/>
          </w:tcPr>
          <w:p w14:paraId="6D152E19"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09653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20DE90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AB2A79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(306,932,849</w:t>
            </w:r>
          </w:p>
        </w:tc>
        <w:tc>
          <w:tcPr>
            <w:tcW w:w="50" w:type="pct"/>
            <w:shd w:val="clear" w:color="auto" w:fill="FFFFFF"/>
            <w:tcMar>
              <w:top w:w="0" w:type="dxa"/>
              <w:left w:w="0" w:type="dxa"/>
              <w:bottom w:w="15" w:type="dxa"/>
              <w:right w:w="0" w:type="dxa"/>
            </w:tcMar>
            <w:vAlign w:val="bottom"/>
            <w:hideMark/>
          </w:tcPr>
          <w:p w14:paraId="62D3F5B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887591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B724D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6B2382B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(10,416,570</w:t>
            </w:r>
          </w:p>
        </w:tc>
        <w:tc>
          <w:tcPr>
            <w:tcW w:w="50" w:type="pct"/>
            <w:shd w:val="clear" w:color="auto" w:fill="FFFFFF"/>
            <w:tcMar>
              <w:top w:w="0" w:type="dxa"/>
              <w:left w:w="0" w:type="dxa"/>
              <w:bottom w:w="15" w:type="dxa"/>
              <w:right w:w="0" w:type="dxa"/>
            </w:tcMar>
            <w:vAlign w:val="bottom"/>
            <w:hideMark/>
          </w:tcPr>
          <w:p w14:paraId="4C5B752F"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7991D715" w14:textId="77777777">
        <w:trPr>
          <w:divId w:val="901863794"/>
          <w:tblCellSpacing w:w="0" w:type="dxa"/>
        </w:trPr>
        <w:tc>
          <w:tcPr>
            <w:tcW w:w="0" w:type="auto"/>
            <w:shd w:val="clear" w:color="auto" w:fill="CCEEFF"/>
            <w:vAlign w:val="bottom"/>
            <w:hideMark/>
          </w:tcPr>
          <w:p w14:paraId="2BB079D1"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CCEEFF"/>
            <w:tcMar>
              <w:top w:w="0" w:type="dxa"/>
              <w:left w:w="0" w:type="dxa"/>
              <w:bottom w:w="15" w:type="dxa"/>
              <w:right w:w="0" w:type="dxa"/>
            </w:tcMar>
            <w:vAlign w:val="bottom"/>
            <w:hideMark/>
          </w:tcPr>
          <w:p w14:paraId="2C3E0DE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3A7717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9B8BE5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(82,704,409</w:t>
            </w:r>
          </w:p>
        </w:tc>
        <w:tc>
          <w:tcPr>
            <w:tcW w:w="50" w:type="pct"/>
            <w:shd w:val="clear" w:color="auto" w:fill="CCEEFF"/>
            <w:tcMar>
              <w:top w:w="0" w:type="dxa"/>
              <w:left w:w="0" w:type="dxa"/>
              <w:bottom w:w="15" w:type="dxa"/>
              <w:right w:w="0" w:type="dxa"/>
            </w:tcMar>
            <w:vAlign w:val="bottom"/>
            <w:hideMark/>
          </w:tcPr>
          <w:p w14:paraId="2F6A0C5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1267E9B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77E5E0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05EA547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(12,333,646</w:t>
            </w:r>
          </w:p>
        </w:tc>
        <w:tc>
          <w:tcPr>
            <w:tcW w:w="50" w:type="pct"/>
            <w:shd w:val="clear" w:color="auto" w:fill="CCEEFF"/>
            <w:tcMar>
              <w:top w:w="0" w:type="dxa"/>
              <w:left w:w="0" w:type="dxa"/>
              <w:bottom w:w="15" w:type="dxa"/>
              <w:right w:w="0" w:type="dxa"/>
            </w:tcMar>
            <w:vAlign w:val="bottom"/>
            <w:hideMark/>
          </w:tcPr>
          <w:p w14:paraId="09B720D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51748AA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EF76C9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750D29A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(306,871,745</w:t>
            </w:r>
          </w:p>
        </w:tc>
        <w:tc>
          <w:tcPr>
            <w:tcW w:w="50" w:type="pct"/>
            <w:shd w:val="clear" w:color="auto" w:fill="CCEEFF"/>
            <w:tcMar>
              <w:top w:w="0" w:type="dxa"/>
              <w:left w:w="0" w:type="dxa"/>
              <w:bottom w:w="15" w:type="dxa"/>
              <w:right w:w="0" w:type="dxa"/>
            </w:tcMar>
            <w:vAlign w:val="bottom"/>
            <w:hideMark/>
          </w:tcPr>
          <w:p w14:paraId="1504CFC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74A4D25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226893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4B6B81A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(10,408,314</w:t>
            </w:r>
          </w:p>
        </w:tc>
        <w:tc>
          <w:tcPr>
            <w:tcW w:w="50" w:type="pct"/>
            <w:shd w:val="clear" w:color="auto" w:fill="CCEEFF"/>
            <w:tcMar>
              <w:top w:w="0" w:type="dxa"/>
              <w:left w:w="0" w:type="dxa"/>
              <w:bottom w:w="15" w:type="dxa"/>
              <w:right w:w="0" w:type="dxa"/>
            </w:tcMar>
            <w:vAlign w:val="bottom"/>
            <w:hideMark/>
          </w:tcPr>
          <w:p w14:paraId="765A1984"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12B47493" w14:textId="77777777">
        <w:trPr>
          <w:divId w:val="901863794"/>
          <w:tblCellSpacing w:w="0" w:type="dxa"/>
        </w:trPr>
        <w:tc>
          <w:tcPr>
            <w:tcW w:w="0" w:type="auto"/>
            <w:shd w:val="clear" w:color="auto" w:fill="FFFFFF"/>
            <w:vAlign w:val="bottom"/>
            <w:hideMark/>
          </w:tcPr>
          <w:p w14:paraId="6AF543D3"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14:paraId="5E37F7F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43020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562B9A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778507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DB302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7618D8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47E41F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AB4773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4F644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8C7FBE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B1862A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18E6DC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0171AF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172C9E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BB9728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46B47F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D9DF6AF" w14:textId="77777777">
        <w:trPr>
          <w:divId w:val="901863794"/>
          <w:tblCellSpacing w:w="0" w:type="dxa"/>
        </w:trPr>
        <w:tc>
          <w:tcPr>
            <w:tcW w:w="0" w:type="auto"/>
            <w:shd w:val="clear" w:color="auto" w:fill="CCEEFF"/>
            <w:vAlign w:val="bottom"/>
            <w:hideMark/>
          </w:tcPr>
          <w:p w14:paraId="2FE8D477" w14:textId="77777777" w:rsidR="00000000" w:rsidRDefault="00016ED8">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122BA16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DB29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28DCD1D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(715,749</w:t>
            </w:r>
          </w:p>
        </w:tc>
        <w:tc>
          <w:tcPr>
            <w:tcW w:w="50" w:type="pct"/>
            <w:shd w:val="clear" w:color="auto" w:fill="CCEEFF"/>
            <w:vAlign w:val="bottom"/>
            <w:hideMark/>
          </w:tcPr>
          <w:p w14:paraId="3A69DB19"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A07335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4846B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5CCF008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215,459</w:t>
            </w:r>
          </w:p>
        </w:tc>
        <w:tc>
          <w:tcPr>
            <w:tcW w:w="50" w:type="pct"/>
            <w:shd w:val="clear" w:color="auto" w:fill="CCEEFF"/>
            <w:vAlign w:val="bottom"/>
            <w:hideMark/>
          </w:tcPr>
          <w:p w14:paraId="0C55020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43BBA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6CF44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58E3C5C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(85,594</w:t>
            </w:r>
          </w:p>
        </w:tc>
        <w:tc>
          <w:tcPr>
            <w:tcW w:w="50" w:type="pct"/>
            <w:shd w:val="clear" w:color="auto" w:fill="CCEEFF"/>
            <w:vAlign w:val="bottom"/>
            <w:hideMark/>
          </w:tcPr>
          <w:p w14:paraId="3526F427"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327150F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3CC51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660D7C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353,577</w:t>
            </w:r>
          </w:p>
        </w:tc>
        <w:tc>
          <w:tcPr>
            <w:tcW w:w="50" w:type="pct"/>
            <w:shd w:val="clear" w:color="auto" w:fill="CCEEFF"/>
            <w:vAlign w:val="bottom"/>
            <w:hideMark/>
          </w:tcPr>
          <w:p w14:paraId="7C427C0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CB64878" w14:textId="77777777">
        <w:trPr>
          <w:divId w:val="901863794"/>
          <w:tblCellSpacing w:w="0" w:type="dxa"/>
        </w:trPr>
        <w:tc>
          <w:tcPr>
            <w:tcW w:w="0" w:type="auto"/>
            <w:shd w:val="clear" w:color="auto" w:fill="FFFFFF"/>
            <w:vAlign w:val="bottom"/>
            <w:hideMark/>
          </w:tcPr>
          <w:p w14:paraId="500D6A12" w14:textId="77777777" w:rsidR="00000000" w:rsidRDefault="00016ED8">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2DAB0DD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63F51D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6328EC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141,549,159</w:t>
            </w:r>
          </w:p>
        </w:tc>
        <w:tc>
          <w:tcPr>
            <w:tcW w:w="50" w:type="pct"/>
            <w:shd w:val="clear" w:color="auto" w:fill="FFFFFF"/>
            <w:tcMar>
              <w:top w:w="0" w:type="dxa"/>
              <w:left w:w="0" w:type="dxa"/>
              <w:bottom w:w="15" w:type="dxa"/>
              <w:right w:w="0" w:type="dxa"/>
            </w:tcMar>
            <w:vAlign w:val="bottom"/>
            <w:hideMark/>
          </w:tcPr>
          <w:p w14:paraId="2C9D1A1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FE2F4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F69AC7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0409FEA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(7,677,541</w:t>
            </w:r>
          </w:p>
        </w:tc>
        <w:tc>
          <w:tcPr>
            <w:tcW w:w="50" w:type="pct"/>
            <w:shd w:val="clear" w:color="auto" w:fill="FFFFFF"/>
            <w:tcMar>
              <w:top w:w="0" w:type="dxa"/>
              <w:left w:w="0" w:type="dxa"/>
              <w:bottom w:w="15" w:type="dxa"/>
              <w:right w:w="0" w:type="dxa"/>
            </w:tcMar>
            <w:vAlign w:val="bottom"/>
            <w:hideMark/>
          </w:tcPr>
          <w:p w14:paraId="0E7A8FE8"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EEF5ED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0165AB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4A2D49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(4,043,305</w:t>
            </w:r>
          </w:p>
        </w:tc>
        <w:tc>
          <w:tcPr>
            <w:tcW w:w="50" w:type="pct"/>
            <w:shd w:val="clear" w:color="auto" w:fill="FFFFFF"/>
            <w:tcMar>
              <w:top w:w="0" w:type="dxa"/>
              <w:left w:w="0" w:type="dxa"/>
              <w:bottom w:w="15" w:type="dxa"/>
              <w:right w:w="0" w:type="dxa"/>
            </w:tcMar>
            <w:vAlign w:val="bottom"/>
            <w:hideMark/>
          </w:tcPr>
          <w:p w14:paraId="35C21126"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118C16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DC0B47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4D8BCB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156,080,822</w:t>
            </w:r>
          </w:p>
        </w:tc>
        <w:tc>
          <w:tcPr>
            <w:tcW w:w="50" w:type="pct"/>
            <w:shd w:val="clear" w:color="auto" w:fill="FFFFFF"/>
            <w:tcMar>
              <w:top w:w="0" w:type="dxa"/>
              <w:left w:w="0" w:type="dxa"/>
              <w:bottom w:w="15" w:type="dxa"/>
              <w:right w:w="0" w:type="dxa"/>
            </w:tcMar>
            <w:vAlign w:val="bottom"/>
            <w:hideMark/>
          </w:tcPr>
          <w:p w14:paraId="49CC466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A1C143C" w14:textId="77777777">
        <w:trPr>
          <w:divId w:val="901863794"/>
          <w:tblCellSpacing w:w="0" w:type="dxa"/>
        </w:trPr>
        <w:tc>
          <w:tcPr>
            <w:tcW w:w="0" w:type="auto"/>
            <w:shd w:val="clear" w:color="auto" w:fill="CCEEFF"/>
            <w:vAlign w:val="bottom"/>
            <w:hideMark/>
          </w:tcPr>
          <w:p w14:paraId="3806F604"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14:paraId="7E18C9C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80288D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3448E2D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140,833,410</w:t>
            </w:r>
          </w:p>
        </w:tc>
        <w:tc>
          <w:tcPr>
            <w:tcW w:w="50" w:type="pct"/>
            <w:shd w:val="clear" w:color="auto" w:fill="CCEEFF"/>
            <w:tcMar>
              <w:top w:w="0" w:type="dxa"/>
              <w:left w:w="0" w:type="dxa"/>
              <w:bottom w:w="15" w:type="dxa"/>
              <w:right w:w="0" w:type="dxa"/>
            </w:tcMar>
            <w:vAlign w:val="bottom"/>
            <w:hideMark/>
          </w:tcPr>
          <w:p w14:paraId="6B33558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B650C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EA9494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F6CE7B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(7,462,082</w:t>
            </w:r>
          </w:p>
        </w:tc>
        <w:tc>
          <w:tcPr>
            <w:tcW w:w="50" w:type="pct"/>
            <w:shd w:val="clear" w:color="auto" w:fill="CCEEFF"/>
            <w:tcMar>
              <w:top w:w="0" w:type="dxa"/>
              <w:left w:w="0" w:type="dxa"/>
              <w:bottom w:w="15" w:type="dxa"/>
              <w:right w:w="0" w:type="dxa"/>
            </w:tcMar>
            <w:vAlign w:val="bottom"/>
            <w:hideMark/>
          </w:tcPr>
          <w:p w14:paraId="3002E0F4"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97CB9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0DE5FF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2E149D9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(4,128,899</w:t>
            </w:r>
          </w:p>
        </w:tc>
        <w:tc>
          <w:tcPr>
            <w:tcW w:w="50" w:type="pct"/>
            <w:shd w:val="clear" w:color="auto" w:fill="CCEEFF"/>
            <w:tcMar>
              <w:top w:w="0" w:type="dxa"/>
              <w:left w:w="0" w:type="dxa"/>
              <w:bottom w:w="15" w:type="dxa"/>
              <w:right w:w="0" w:type="dxa"/>
            </w:tcMar>
            <w:vAlign w:val="bottom"/>
            <w:hideMark/>
          </w:tcPr>
          <w:p w14:paraId="67ED6970"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9F2DC8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502338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14:paraId="107EB24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156,434,399</w:t>
            </w:r>
          </w:p>
        </w:tc>
        <w:tc>
          <w:tcPr>
            <w:tcW w:w="50" w:type="pct"/>
            <w:shd w:val="clear" w:color="auto" w:fill="CCEEFF"/>
            <w:tcMar>
              <w:top w:w="0" w:type="dxa"/>
              <w:left w:w="0" w:type="dxa"/>
              <w:bottom w:w="15" w:type="dxa"/>
              <w:right w:w="0" w:type="dxa"/>
            </w:tcMar>
            <w:vAlign w:val="bottom"/>
            <w:hideMark/>
          </w:tcPr>
          <w:p w14:paraId="678952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3B7E688" w14:textId="77777777">
        <w:trPr>
          <w:divId w:val="901863794"/>
          <w:tblCellSpacing w:w="0" w:type="dxa"/>
        </w:trPr>
        <w:tc>
          <w:tcPr>
            <w:tcW w:w="0" w:type="auto"/>
            <w:shd w:val="clear" w:color="auto" w:fill="FFFFFF"/>
            <w:vAlign w:val="bottom"/>
            <w:hideMark/>
          </w:tcPr>
          <w:p w14:paraId="4240FEC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tcMar>
              <w:top w:w="0" w:type="dxa"/>
              <w:left w:w="0" w:type="dxa"/>
              <w:bottom w:w="15" w:type="dxa"/>
              <w:right w:w="0" w:type="dxa"/>
            </w:tcMar>
            <w:vAlign w:val="bottom"/>
            <w:hideMark/>
          </w:tcPr>
          <w:p w14:paraId="527B5FA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21256F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749E7FB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58,129,001</w:t>
            </w:r>
          </w:p>
        </w:tc>
        <w:tc>
          <w:tcPr>
            <w:tcW w:w="50" w:type="pct"/>
            <w:shd w:val="clear" w:color="auto" w:fill="FFFFFF"/>
            <w:tcMar>
              <w:top w:w="0" w:type="dxa"/>
              <w:left w:w="0" w:type="dxa"/>
              <w:bottom w:w="15" w:type="dxa"/>
              <w:right w:w="0" w:type="dxa"/>
            </w:tcMar>
            <w:vAlign w:val="bottom"/>
            <w:hideMark/>
          </w:tcPr>
          <w:p w14:paraId="7F968EB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4DEDA01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022EF8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474B630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(19,795,728</w:t>
            </w:r>
          </w:p>
        </w:tc>
        <w:tc>
          <w:tcPr>
            <w:tcW w:w="50" w:type="pct"/>
            <w:shd w:val="clear" w:color="auto" w:fill="FFFFFF"/>
            <w:tcMar>
              <w:top w:w="0" w:type="dxa"/>
              <w:left w:w="0" w:type="dxa"/>
              <w:bottom w:w="15" w:type="dxa"/>
              <w:right w:w="0" w:type="dxa"/>
            </w:tcMar>
            <w:vAlign w:val="bottom"/>
            <w:hideMark/>
          </w:tcPr>
          <w:p w14:paraId="32232012"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0892172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78FDB8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4E4F2F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(311,000,644</w:t>
            </w:r>
          </w:p>
        </w:tc>
        <w:tc>
          <w:tcPr>
            <w:tcW w:w="50" w:type="pct"/>
            <w:shd w:val="clear" w:color="auto" w:fill="FFFFFF"/>
            <w:tcMar>
              <w:top w:w="0" w:type="dxa"/>
              <w:left w:w="0" w:type="dxa"/>
              <w:bottom w:w="15" w:type="dxa"/>
              <w:right w:w="0" w:type="dxa"/>
            </w:tcMar>
            <w:vAlign w:val="bottom"/>
            <w:hideMark/>
          </w:tcPr>
          <w:p w14:paraId="2E4A381D"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70577B7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72850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14:paraId="109CC21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146,026,085</w:t>
            </w:r>
          </w:p>
        </w:tc>
        <w:tc>
          <w:tcPr>
            <w:tcW w:w="50" w:type="pct"/>
            <w:shd w:val="clear" w:color="auto" w:fill="FFFFFF"/>
            <w:tcMar>
              <w:top w:w="0" w:type="dxa"/>
              <w:left w:w="0" w:type="dxa"/>
              <w:bottom w:w="15" w:type="dxa"/>
              <w:right w:w="0" w:type="dxa"/>
            </w:tcMar>
            <w:vAlign w:val="bottom"/>
            <w:hideMark/>
          </w:tcPr>
          <w:p w14:paraId="68CE76F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642902F" w14:textId="77777777">
        <w:trPr>
          <w:divId w:val="901863794"/>
          <w:tblCellSpacing w:w="0" w:type="dxa"/>
        </w:trPr>
        <w:tc>
          <w:tcPr>
            <w:tcW w:w="0" w:type="auto"/>
            <w:shd w:val="clear" w:color="auto" w:fill="CCEEFF"/>
            <w:vAlign w:val="bottom"/>
            <w:hideMark/>
          </w:tcPr>
          <w:p w14:paraId="5113DDB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22D044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408FE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817E93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859B6E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4C95A1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B91C5F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265B6E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326B21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E8A944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66B6D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82250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BD3A18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0E9DC3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6B3029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76A94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F47F3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7A8F5F1" w14:textId="77777777">
        <w:trPr>
          <w:divId w:val="901863794"/>
          <w:tblCellSpacing w:w="0" w:type="dxa"/>
        </w:trPr>
        <w:tc>
          <w:tcPr>
            <w:tcW w:w="0" w:type="auto"/>
            <w:shd w:val="clear" w:color="auto" w:fill="FFFFFF"/>
            <w:vAlign w:val="bottom"/>
            <w:hideMark/>
          </w:tcPr>
          <w:p w14:paraId="62A2299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lastRenderedPageBreak/>
              <w:t>Net increase (decrease) in net assets resulting from operations</w:t>
            </w:r>
          </w:p>
        </w:tc>
        <w:tc>
          <w:tcPr>
            <w:tcW w:w="50" w:type="pct"/>
            <w:shd w:val="clear" w:color="auto" w:fill="FFFFFF"/>
            <w:vAlign w:val="bottom"/>
            <w:hideMark/>
          </w:tcPr>
          <w:p w14:paraId="0222BA3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94E651D"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14:paraId="1F89C58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57,709,585</w:t>
            </w:r>
          </w:p>
        </w:tc>
        <w:tc>
          <w:tcPr>
            <w:tcW w:w="50" w:type="pct"/>
            <w:shd w:val="clear" w:color="auto" w:fill="FFFFFF"/>
            <w:tcMar>
              <w:top w:w="0" w:type="dxa"/>
              <w:left w:w="0" w:type="dxa"/>
              <w:bottom w:w="45" w:type="dxa"/>
              <w:right w:w="0" w:type="dxa"/>
            </w:tcMar>
            <w:vAlign w:val="bottom"/>
            <w:hideMark/>
          </w:tcPr>
          <w:p w14:paraId="036CB60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8F6F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5A586F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14:paraId="5A372CB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(15,607,683</w:t>
            </w:r>
          </w:p>
        </w:tc>
        <w:tc>
          <w:tcPr>
            <w:tcW w:w="50" w:type="pct"/>
            <w:shd w:val="clear" w:color="auto" w:fill="FFFFFF"/>
            <w:tcMar>
              <w:top w:w="0" w:type="dxa"/>
              <w:left w:w="0" w:type="dxa"/>
              <w:bottom w:w="45" w:type="dxa"/>
              <w:right w:w="0" w:type="dxa"/>
            </w:tcMar>
            <w:vAlign w:val="bottom"/>
            <w:hideMark/>
          </w:tcPr>
          <w:p w14:paraId="11BB157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13242E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103E64C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14:paraId="44ABEDB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(310,391,805</w:t>
            </w:r>
          </w:p>
        </w:tc>
        <w:tc>
          <w:tcPr>
            <w:tcW w:w="50" w:type="pct"/>
            <w:shd w:val="clear" w:color="auto" w:fill="FFFFFF"/>
            <w:tcMar>
              <w:top w:w="0" w:type="dxa"/>
              <w:left w:w="0" w:type="dxa"/>
              <w:bottom w:w="45" w:type="dxa"/>
              <w:right w:w="0" w:type="dxa"/>
            </w:tcMar>
            <w:vAlign w:val="bottom"/>
            <w:hideMark/>
          </w:tcPr>
          <w:p w14:paraId="12CC839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AE205F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C0B85B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14:paraId="41164F3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154,705,167</w:t>
            </w:r>
          </w:p>
        </w:tc>
        <w:tc>
          <w:tcPr>
            <w:tcW w:w="50" w:type="pct"/>
            <w:shd w:val="clear" w:color="auto" w:fill="FFFFFF"/>
            <w:tcMar>
              <w:top w:w="0" w:type="dxa"/>
              <w:left w:w="0" w:type="dxa"/>
              <w:bottom w:w="45" w:type="dxa"/>
              <w:right w:w="0" w:type="dxa"/>
            </w:tcMar>
            <w:vAlign w:val="bottom"/>
            <w:hideMark/>
          </w:tcPr>
          <w:p w14:paraId="0FE8F91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E3CEBD4" w14:textId="77777777">
        <w:trPr>
          <w:divId w:val="901863794"/>
          <w:tblCellSpacing w:w="0" w:type="dxa"/>
        </w:trPr>
        <w:tc>
          <w:tcPr>
            <w:tcW w:w="0" w:type="auto"/>
            <w:shd w:val="clear" w:color="auto" w:fill="CCEEFF"/>
            <w:vAlign w:val="bottom"/>
            <w:hideMark/>
          </w:tcPr>
          <w:p w14:paraId="27F011C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FE75A4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98060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CF23E1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44426D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592A19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4E842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31E6D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7202A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1DB8E4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EED8DE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A6906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A263A3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94F3D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85AD24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F4295F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880BF6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006987B" w14:textId="77777777">
        <w:trPr>
          <w:divId w:val="901863794"/>
          <w:tblCellSpacing w:w="0" w:type="dxa"/>
        </w:trPr>
        <w:tc>
          <w:tcPr>
            <w:tcW w:w="0" w:type="auto"/>
            <w:shd w:val="clear" w:color="auto" w:fill="FFFFFF"/>
            <w:vAlign w:val="bottom"/>
            <w:hideMark/>
          </w:tcPr>
          <w:p w14:paraId="522FEA1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14:paraId="1333AE6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B559B0"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083E935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1.04</w:t>
            </w:r>
          </w:p>
        </w:tc>
        <w:tc>
          <w:tcPr>
            <w:tcW w:w="50" w:type="pct"/>
            <w:shd w:val="clear" w:color="auto" w:fill="FFFFFF"/>
            <w:vAlign w:val="bottom"/>
            <w:hideMark/>
          </w:tcPr>
          <w:p w14:paraId="63A7921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E9BCD7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2599D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7F8C41A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(0.23</w:t>
            </w:r>
          </w:p>
        </w:tc>
        <w:tc>
          <w:tcPr>
            <w:tcW w:w="50" w:type="pct"/>
            <w:shd w:val="clear" w:color="auto" w:fill="FFFFFF"/>
            <w:vAlign w:val="bottom"/>
            <w:hideMark/>
          </w:tcPr>
          <w:p w14:paraId="42C03887"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345732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A6060E8"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5E72A32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(5.78</w:t>
            </w:r>
          </w:p>
        </w:tc>
        <w:tc>
          <w:tcPr>
            <w:tcW w:w="50" w:type="pct"/>
            <w:shd w:val="clear" w:color="auto" w:fill="FFFFFF"/>
            <w:vAlign w:val="bottom"/>
            <w:hideMark/>
          </w:tcPr>
          <w:p w14:paraId="6EE93D1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4DAAC1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08184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14:paraId="5597A77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2.03</w:t>
            </w:r>
          </w:p>
        </w:tc>
        <w:tc>
          <w:tcPr>
            <w:tcW w:w="50" w:type="pct"/>
            <w:shd w:val="clear" w:color="auto" w:fill="FFFFFF"/>
            <w:vAlign w:val="bottom"/>
            <w:hideMark/>
          </w:tcPr>
          <w:p w14:paraId="36016ED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4814871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6905B0B"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2293322A">
          <v:rect id="_x0000_i103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71D7ED8" w14:textId="77777777">
        <w:trPr>
          <w:tblCellSpacing w:w="0" w:type="dxa"/>
        </w:trPr>
        <w:tc>
          <w:tcPr>
            <w:tcW w:w="360" w:type="dxa"/>
            <w:hideMark/>
          </w:tcPr>
          <w:p w14:paraId="7B01AA55"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(a)</w:t>
            </w:r>
            <w:r>
              <w:rPr>
                <w:rFonts w:ascii="Arial" w:hAnsi="Arial" w:cs="Arial"/>
                <w:sz w:val="20"/>
                <w:szCs w:val="20"/>
              </w:rPr>
              <w:t> </w:t>
            </w:r>
          </w:p>
        </w:tc>
        <w:tc>
          <w:tcPr>
            <w:tcW w:w="0" w:type="auto"/>
            <w:hideMark/>
          </w:tcPr>
          <w:p w14:paraId="09F069F4"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period.</w:t>
            </w:r>
          </w:p>
        </w:tc>
      </w:tr>
    </w:tbl>
    <w:p w14:paraId="71981010"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71AD2FB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C0C9411"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29990B2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F4D6268" w14:textId="77777777" w:rsidR="00000000" w:rsidRDefault="00016ED8">
      <w:pPr>
        <w:jc w:val="center"/>
        <w:divId w:val="1048379672"/>
        <w:rPr>
          <w:rFonts w:ascii="Arial" w:eastAsia="Times New Roman" w:hAnsi="Arial" w:cs="Arial"/>
          <w:sz w:val="20"/>
          <w:szCs w:val="20"/>
        </w:rPr>
      </w:pPr>
      <w:r>
        <w:rPr>
          <w:rFonts w:ascii="Arial" w:eastAsia="Times New Roman" w:hAnsi="Arial" w:cs="Arial"/>
          <w:sz w:val="20"/>
          <w:szCs w:val="20"/>
        </w:rPr>
        <w:t xml:space="preserve">2 </w:t>
      </w:r>
    </w:p>
    <w:p w14:paraId="06C51311" w14:textId="77777777" w:rsidR="00000000" w:rsidRDefault="00016ED8">
      <w:pPr>
        <w:divId w:val="558978645"/>
        <w:rPr>
          <w:rFonts w:ascii="Arial" w:eastAsia="Times New Roman" w:hAnsi="Arial" w:cs="Arial"/>
          <w:sz w:val="20"/>
          <w:szCs w:val="20"/>
        </w:rPr>
      </w:pPr>
      <w:r>
        <w:rPr>
          <w:rFonts w:ascii="Arial" w:eastAsia="Times New Roman" w:hAnsi="Arial" w:cs="Arial"/>
          <w:sz w:val="20"/>
          <w:szCs w:val="20"/>
        </w:rPr>
        <w:pict w14:anchorId="03F832DA">
          <v:rect id="_x0000_i1040" style="width:0;height:1.5pt" o:hralign="center" o:hrstd="t" o:hr="t" fillcolor="#a0a0a0" stroked="f"/>
        </w:pict>
      </w:r>
    </w:p>
    <w:p w14:paraId="51791A36" w14:textId="77777777" w:rsidR="00000000" w:rsidRDefault="00016ED8">
      <w:pPr>
        <w:divId w:val="189125783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DEF7BC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76D8725" w14:textId="77777777" w:rsidR="00000000" w:rsidRDefault="00016ED8">
      <w:pPr>
        <w:divId w:val="202910491"/>
        <w:rPr>
          <w:rFonts w:ascii="Arial" w:eastAsia="Times New Roman" w:hAnsi="Arial" w:cs="Arial"/>
          <w:sz w:val="20"/>
          <w:szCs w:val="20"/>
        </w:rPr>
      </w:pPr>
      <w:r>
        <w:rPr>
          <w:rFonts w:ascii="Arial" w:eastAsia="Times New Roman" w:hAnsi="Arial" w:cs="Arial"/>
          <w:sz w:val="20"/>
          <w:szCs w:val="20"/>
        </w:rPr>
        <w:t xml:space="preserve">  </w:t>
      </w:r>
    </w:p>
    <w:p w14:paraId="1FE67334"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66DE66C8"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14:paraId="7D19FF23"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For the three and six months ended June 30, 2020</w:t>
      </w:r>
    </w:p>
    <w:p w14:paraId="695DE4E9"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803"/>
        <w:gridCol w:w="76"/>
        <w:gridCol w:w="112"/>
        <w:gridCol w:w="1239"/>
        <w:gridCol w:w="76"/>
      </w:tblGrid>
      <w:tr w:rsidR="00000000" w14:paraId="6A83FB30" w14:textId="77777777">
        <w:trPr>
          <w:divId w:val="1334649581"/>
          <w:tblCellSpacing w:w="0" w:type="dxa"/>
        </w:trPr>
        <w:tc>
          <w:tcPr>
            <w:tcW w:w="0" w:type="auto"/>
            <w:vAlign w:val="bottom"/>
            <w:hideMark/>
          </w:tcPr>
          <w:p w14:paraId="5223C0F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40ADD8E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14:paraId="68662F30"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p>
        </w:tc>
        <w:tc>
          <w:tcPr>
            <w:tcW w:w="0" w:type="auto"/>
            <w:vAlign w:val="bottom"/>
            <w:hideMark/>
          </w:tcPr>
          <w:p w14:paraId="332D438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600B9F3" w14:textId="77777777">
        <w:trPr>
          <w:divId w:val="1334649581"/>
          <w:tblCellSpacing w:w="0" w:type="dxa"/>
        </w:trPr>
        <w:tc>
          <w:tcPr>
            <w:tcW w:w="0" w:type="auto"/>
            <w:vAlign w:val="bottom"/>
            <w:hideMark/>
          </w:tcPr>
          <w:p w14:paraId="644851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4562FFC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1FAB60F"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June 30, 2020</w:t>
            </w:r>
          </w:p>
        </w:tc>
        <w:tc>
          <w:tcPr>
            <w:tcW w:w="0" w:type="auto"/>
            <w:tcMar>
              <w:top w:w="0" w:type="dxa"/>
              <w:left w:w="0" w:type="dxa"/>
              <w:bottom w:w="15" w:type="dxa"/>
              <w:right w:w="0" w:type="dxa"/>
            </w:tcMar>
            <w:vAlign w:val="bottom"/>
            <w:hideMark/>
          </w:tcPr>
          <w:p w14:paraId="0A27053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5B9E2B6" w14:textId="77777777">
        <w:trPr>
          <w:divId w:val="1334649581"/>
          <w:tblCellSpacing w:w="0" w:type="dxa"/>
        </w:trPr>
        <w:tc>
          <w:tcPr>
            <w:tcW w:w="4100" w:type="pct"/>
            <w:shd w:val="clear" w:color="auto" w:fill="CCEEFF"/>
            <w:vAlign w:val="bottom"/>
            <w:hideMark/>
          </w:tcPr>
          <w:p w14:paraId="34EA6002"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2019</w:t>
            </w:r>
          </w:p>
        </w:tc>
        <w:tc>
          <w:tcPr>
            <w:tcW w:w="50" w:type="pct"/>
            <w:shd w:val="clear" w:color="auto" w:fill="CCEEFF"/>
            <w:vAlign w:val="bottom"/>
            <w:hideMark/>
          </w:tcPr>
          <w:p w14:paraId="1E71F4E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4CDC8CF"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14:paraId="359D587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CCEEFF"/>
            <w:tcMar>
              <w:top w:w="0" w:type="dxa"/>
              <w:left w:w="0" w:type="dxa"/>
              <w:bottom w:w="15" w:type="dxa"/>
              <w:right w:w="0" w:type="dxa"/>
            </w:tcMar>
            <w:vAlign w:val="bottom"/>
            <w:hideMark/>
          </w:tcPr>
          <w:p w14:paraId="7057DCA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A7C85C0" w14:textId="77777777">
        <w:trPr>
          <w:divId w:val="1334649581"/>
          <w:tblCellSpacing w:w="0" w:type="dxa"/>
        </w:trPr>
        <w:tc>
          <w:tcPr>
            <w:tcW w:w="0" w:type="auto"/>
            <w:shd w:val="clear" w:color="auto" w:fill="FFFFFF"/>
            <w:vAlign w:val="bottom"/>
            <w:hideMark/>
          </w:tcPr>
          <w:p w14:paraId="773B68B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D2CED0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F8EEAF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8D88DA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6BFE33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452C824" w14:textId="77777777">
        <w:trPr>
          <w:divId w:val="1334649581"/>
          <w:tblCellSpacing w:w="0" w:type="dxa"/>
        </w:trPr>
        <w:tc>
          <w:tcPr>
            <w:tcW w:w="0" w:type="auto"/>
            <w:shd w:val="clear" w:color="auto" w:fill="CCEEFF"/>
            <w:vAlign w:val="bottom"/>
            <w:hideMark/>
          </w:tcPr>
          <w:p w14:paraId="76240F9B"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14:paraId="6077ACF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A342D2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EB59A7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7F4C5B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776EF375" w14:textId="77777777">
        <w:trPr>
          <w:divId w:val="1334649581"/>
          <w:tblCellSpacing w:w="0" w:type="dxa"/>
        </w:trPr>
        <w:tc>
          <w:tcPr>
            <w:tcW w:w="0" w:type="auto"/>
            <w:shd w:val="clear" w:color="auto" w:fill="FFFFFF"/>
            <w:vAlign w:val="bottom"/>
            <w:hideMark/>
          </w:tcPr>
          <w:p w14:paraId="46D4D6CF"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14:paraId="6E4192D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AB6BE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1F56FAB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FFFFFF"/>
            <w:vAlign w:val="bottom"/>
            <w:hideMark/>
          </w:tcPr>
          <w:p w14:paraId="66DE40F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0954EBE" w14:textId="77777777">
        <w:trPr>
          <w:divId w:val="1334649581"/>
          <w:tblCellSpacing w:w="0" w:type="dxa"/>
        </w:trPr>
        <w:tc>
          <w:tcPr>
            <w:tcW w:w="0" w:type="auto"/>
            <w:shd w:val="clear" w:color="auto" w:fill="CCEEFF"/>
            <w:vAlign w:val="bottom"/>
            <w:hideMark/>
          </w:tcPr>
          <w:p w14:paraId="767EC464"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CCEEFF"/>
            <w:vAlign w:val="bottom"/>
            <w:hideMark/>
          </w:tcPr>
          <w:p w14:paraId="784117F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440CD9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751B437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CCEEFF"/>
            <w:vAlign w:val="bottom"/>
            <w:hideMark/>
          </w:tcPr>
          <w:p w14:paraId="31F7F596"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61C476F5" w14:textId="77777777">
        <w:trPr>
          <w:divId w:val="1334649581"/>
          <w:tblCellSpacing w:w="0" w:type="dxa"/>
        </w:trPr>
        <w:tc>
          <w:tcPr>
            <w:tcW w:w="0" w:type="auto"/>
            <w:shd w:val="clear" w:color="auto" w:fill="FFFFFF"/>
            <w:vAlign w:val="bottom"/>
            <w:hideMark/>
          </w:tcPr>
          <w:p w14:paraId="4AFA7AEE"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064AE73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295BC6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456A239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FFFFFF"/>
            <w:tcMar>
              <w:top w:w="0" w:type="dxa"/>
              <w:left w:w="0" w:type="dxa"/>
              <w:bottom w:w="15" w:type="dxa"/>
              <w:right w:w="0" w:type="dxa"/>
            </w:tcMar>
            <w:vAlign w:val="bottom"/>
            <w:hideMark/>
          </w:tcPr>
          <w:p w14:paraId="13E560EF"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78AF4A39" w14:textId="77777777">
        <w:trPr>
          <w:divId w:val="1334649581"/>
          <w:tblCellSpacing w:w="0" w:type="dxa"/>
        </w:trPr>
        <w:tc>
          <w:tcPr>
            <w:tcW w:w="0" w:type="auto"/>
            <w:shd w:val="clear" w:color="auto" w:fill="CCEEFF"/>
            <w:vAlign w:val="bottom"/>
            <w:hideMark/>
          </w:tcPr>
          <w:p w14:paraId="49146F7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CCEEFF"/>
            <w:vAlign w:val="bottom"/>
            <w:hideMark/>
          </w:tcPr>
          <w:p w14:paraId="3004251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A105B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5096A77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(368,101,390</w:t>
            </w:r>
          </w:p>
        </w:tc>
        <w:tc>
          <w:tcPr>
            <w:tcW w:w="50" w:type="pct"/>
            <w:shd w:val="clear" w:color="auto" w:fill="CCEEFF"/>
            <w:tcMar>
              <w:top w:w="0" w:type="dxa"/>
              <w:left w:w="0" w:type="dxa"/>
              <w:bottom w:w="15" w:type="dxa"/>
              <w:right w:w="0" w:type="dxa"/>
            </w:tcMar>
            <w:vAlign w:val="bottom"/>
            <w:hideMark/>
          </w:tcPr>
          <w:p w14:paraId="3EA26FF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63378AF9" w14:textId="77777777">
        <w:trPr>
          <w:divId w:val="1334649581"/>
          <w:tblCellSpacing w:w="0" w:type="dxa"/>
        </w:trPr>
        <w:tc>
          <w:tcPr>
            <w:tcW w:w="0" w:type="auto"/>
            <w:shd w:val="clear" w:color="auto" w:fill="FFFFFF"/>
            <w:vAlign w:val="bottom"/>
            <w:hideMark/>
          </w:tcPr>
          <w:p w14:paraId="77BF5C9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34F549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56CC89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95861B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EA9629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69C11BC" w14:textId="77777777">
        <w:trPr>
          <w:divId w:val="1334649581"/>
          <w:tblCellSpacing w:w="0" w:type="dxa"/>
        </w:trPr>
        <w:tc>
          <w:tcPr>
            <w:tcW w:w="0" w:type="auto"/>
            <w:shd w:val="clear" w:color="auto" w:fill="CCEEFF"/>
            <w:vAlign w:val="bottom"/>
            <w:hideMark/>
          </w:tcPr>
          <w:p w14:paraId="64DB7009"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14:paraId="5165F3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F3EDE64"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9E689C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C4177C1"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02C182AD" w14:textId="77777777">
        <w:trPr>
          <w:divId w:val="1334649581"/>
          <w:tblCellSpacing w:w="0" w:type="dxa"/>
        </w:trPr>
        <w:tc>
          <w:tcPr>
            <w:tcW w:w="0" w:type="auto"/>
            <w:shd w:val="clear" w:color="auto" w:fill="FFFFFF"/>
            <w:vAlign w:val="bottom"/>
            <w:hideMark/>
          </w:tcPr>
          <w:p w14:paraId="3C614558"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7AAE17F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3DA0DC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5F4FB48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134,854,545</w:t>
            </w:r>
          </w:p>
        </w:tc>
        <w:tc>
          <w:tcPr>
            <w:tcW w:w="50" w:type="pct"/>
            <w:shd w:val="clear" w:color="auto" w:fill="FFFFFF"/>
            <w:vAlign w:val="bottom"/>
            <w:hideMark/>
          </w:tcPr>
          <w:p w14:paraId="0FCE91F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84BBEC0" w14:textId="77777777">
        <w:trPr>
          <w:divId w:val="1334649581"/>
          <w:tblCellSpacing w:w="0" w:type="dxa"/>
        </w:trPr>
        <w:tc>
          <w:tcPr>
            <w:tcW w:w="0" w:type="auto"/>
            <w:shd w:val="clear" w:color="auto" w:fill="CCEEFF"/>
            <w:vAlign w:val="bottom"/>
            <w:hideMark/>
          </w:tcPr>
          <w:p w14:paraId="54BEDC32"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391250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EAAAD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44C7A49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(40,549,504</w:t>
            </w:r>
          </w:p>
        </w:tc>
        <w:tc>
          <w:tcPr>
            <w:tcW w:w="50" w:type="pct"/>
            <w:shd w:val="clear" w:color="auto" w:fill="CCEEFF"/>
            <w:tcMar>
              <w:top w:w="0" w:type="dxa"/>
              <w:left w:w="0" w:type="dxa"/>
              <w:bottom w:w="15" w:type="dxa"/>
              <w:right w:w="0" w:type="dxa"/>
            </w:tcMar>
            <w:vAlign w:val="bottom"/>
            <w:hideMark/>
          </w:tcPr>
          <w:p w14:paraId="3A01F61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742F98BF" w14:textId="77777777">
        <w:trPr>
          <w:divId w:val="1334649581"/>
          <w:tblCellSpacing w:w="0" w:type="dxa"/>
        </w:trPr>
        <w:tc>
          <w:tcPr>
            <w:tcW w:w="0" w:type="auto"/>
            <w:shd w:val="clear" w:color="auto" w:fill="FFFFFF"/>
            <w:vAlign w:val="bottom"/>
            <w:hideMark/>
          </w:tcPr>
          <w:p w14:paraId="0CE1D47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14:paraId="4EA1D2A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11ADAD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6E4AF85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94,305,041</w:t>
            </w:r>
          </w:p>
        </w:tc>
        <w:tc>
          <w:tcPr>
            <w:tcW w:w="50" w:type="pct"/>
            <w:shd w:val="clear" w:color="auto" w:fill="FFFFFF"/>
            <w:tcMar>
              <w:top w:w="0" w:type="dxa"/>
              <w:left w:w="0" w:type="dxa"/>
              <w:bottom w:w="15" w:type="dxa"/>
              <w:right w:w="0" w:type="dxa"/>
            </w:tcMar>
            <w:vAlign w:val="bottom"/>
            <w:hideMark/>
          </w:tcPr>
          <w:p w14:paraId="4D2735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E7267D7" w14:textId="77777777">
        <w:trPr>
          <w:divId w:val="1334649581"/>
          <w:tblCellSpacing w:w="0" w:type="dxa"/>
        </w:trPr>
        <w:tc>
          <w:tcPr>
            <w:tcW w:w="0" w:type="auto"/>
            <w:shd w:val="clear" w:color="auto" w:fill="CCEEFF"/>
            <w:vAlign w:val="bottom"/>
            <w:hideMark/>
          </w:tcPr>
          <w:p w14:paraId="6103C75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902C9B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B024A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00415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ED7234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8244557" w14:textId="77777777">
        <w:trPr>
          <w:divId w:val="1334649581"/>
          <w:tblCellSpacing w:w="0" w:type="dxa"/>
        </w:trPr>
        <w:tc>
          <w:tcPr>
            <w:tcW w:w="0" w:type="auto"/>
            <w:shd w:val="clear" w:color="auto" w:fill="FFFFFF"/>
            <w:vAlign w:val="bottom"/>
            <w:hideMark/>
          </w:tcPr>
          <w:p w14:paraId="56066A4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vAlign w:val="bottom"/>
            <w:hideMark/>
          </w:tcPr>
          <w:p w14:paraId="4F2861C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B3C521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426B9D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(273,796,349</w:t>
            </w:r>
          </w:p>
        </w:tc>
        <w:tc>
          <w:tcPr>
            <w:tcW w:w="50" w:type="pct"/>
            <w:shd w:val="clear" w:color="auto" w:fill="FFFFFF"/>
            <w:tcMar>
              <w:top w:w="0" w:type="dxa"/>
              <w:left w:w="0" w:type="dxa"/>
              <w:bottom w:w="15" w:type="dxa"/>
              <w:right w:w="0" w:type="dxa"/>
            </w:tcMar>
            <w:vAlign w:val="bottom"/>
            <w:hideMark/>
          </w:tcPr>
          <w:p w14:paraId="4CB4336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7AA36053" w14:textId="77777777">
        <w:trPr>
          <w:divId w:val="1334649581"/>
          <w:tblCellSpacing w:w="0" w:type="dxa"/>
        </w:trPr>
        <w:tc>
          <w:tcPr>
            <w:tcW w:w="0" w:type="auto"/>
            <w:shd w:val="clear" w:color="auto" w:fill="CCEEFF"/>
            <w:vAlign w:val="bottom"/>
            <w:hideMark/>
          </w:tcPr>
          <w:p w14:paraId="6284F56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1C7E96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D5204F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E95247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AA4AD9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3558DB0" w14:textId="77777777">
        <w:trPr>
          <w:divId w:val="1334649581"/>
          <w:tblCellSpacing w:w="0" w:type="dxa"/>
        </w:trPr>
        <w:tc>
          <w:tcPr>
            <w:tcW w:w="0" w:type="auto"/>
            <w:shd w:val="clear" w:color="auto" w:fill="FFFFFF"/>
            <w:vAlign w:val="bottom"/>
            <w:hideMark/>
          </w:tcPr>
          <w:p w14:paraId="68B34962"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2020</w:t>
            </w:r>
          </w:p>
        </w:tc>
        <w:tc>
          <w:tcPr>
            <w:tcW w:w="50" w:type="pct"/>
            <w:shd w:val="clear" w:color="auto" w:fill="FFFFFF"/>
            <w:vAlign w:val="bottom"/>
            <w:hideMark/>
          </w:tcPr>
          <w:p w14:paraId="411330E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8481B3C"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FFFFFF"/>
            <w:vAlign w:val="bottom"/>
            <w:hideMark/>
          </w:tcPr>
          <w:p w14:paraId="2149964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501,546,756</w:t>
            </w:r>
          </w:p>
        </w:tc>
        <w:tc>
          <w:tcPr>
            <w:tcW w:w="50" w:type="pct"/>
            <w:shd w:val="clear" w:color="auto" w:fill="FFFFFF"/>
            <w:tcMar>
              <w:top w:w="0" w:type="dxa"/>
              <w:left w:w="0" w:type="dxa"/>
              <w:bottom w:w="15" w:type="dxa"/>
              <w:right w:w="0" w:type="dxa"/>
            </w:tcMar>
            <w:vAlign w:val="bottom"/>
            <w:hideMark/>
          </w:tcPr>
          <w:p w14:paraId="1F17E91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BC717BE" w14:textId="77777777">
        <w:trPr>
          <w:divId w:val="1334649581"/>
          <w:tblCellSpacing w:w="0" w:type="dxa"/>
        </w:trPr>
        <w:tc>
          <w:tcPr>
            <w:tcW w:w="0" w:type="auto"/>
            <w:shd w:val="clear" w:color="auto" w:fill="CCEEFF"/>
            <w:vAlign w:val="bottom"/>
            <w:hideMark/>
          </w:tcPr>
          <w:p w14:paraId="3429889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869887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3A5B40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6F8F04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72684F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64302D6" w14:textId="77777777">
        <w:trPr>
          <w:divId w:val="1334649581"/>
          <w:tblCellSpacing w:w="0" w:type="dxa"/>
        </w:trPr>
        <w:tc>
          <w:tcPr>
            <w:tcW w:w="0" w:type="auto"/>
            <w:shd w:val="clear" w:color="auto" w:fill="FFFFFF"/>
            <w:vAlign w:val="bottom"/>
            <w:hideMark/>
          </w:tcPr>
          <w:p w14:paraId="1FE6E071"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14:paraId="773D11C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CE12C54"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656E95B7"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E72696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563248DE" w14:textId="77777777">
        <w:trPr>
          <w:divId w:val="1334649581"/>
          <w:tblCellSpacing w:w="0" w:type="dxa"/>
        </w:trPr>
        <w:tc>
          <w:tcPr>
            <w:tcW w:w="0" w:type="auto"/>
            <w:shd w:val="clear" w:color="auto" w:fill="CCEEFF"/>
            <w:vAlign w:val="bottom"/>
            <w:hideMark/>
          </w:tcPr>
          <w:p w14:paraId="33D0CB32"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14:paraId="6C1015E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2434F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4811256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(419,416</w:t>
            </w:r>
          </w:p>
        </w:tc>
        <w:tc>
          <w:tcPr>
            <w:tcW w:w="50" w:type="pct"/>
            <w:shd w:val="clear" w:color="auto" w:fill="CCEEFF"/>
            <w:vAlign w:val="bottom"/>
            <w:hideMark/>
          </w:tcPr>
          <w:p w14:paraId="54D3A37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21055BF4" w14:textId="77777777">
        <w:trPr>
          <w:divId w:val="1334649581"/>
          <w:tblCellSpacing w:w="0" w:type="dxa"/>
        </w:trPr>
        <w:tc>
          <w:tcPr>
            <w:tcW w:w="0" w:type="auto"/>
            <w:shd w:val="clear" w:color="auto" w:fill="FFFFFF"/>
            <w:vAlign w:val="bottom"/>
            <w:hideMark/>
          </w:tcPr>
          <w:p w14:paraId="62226189"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FFFFFF"/>
            <w:vAlign w:val="bottom"/>
            <w:hideMark/>
          </w:tcPr>
          <w:p w14:paraId="5C04AC6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56808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238E5D3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(82,704,409</w:t>
            </w:r>
          </w:p>
        </w:tc>
        <w:tc>
          <w:tcPr>
            <w:tcW w:w="50" w:type="pct"/>
            <w:shd w:val="clear" w:color="auto" w:fill="FFFFFF"/>
            <w:vAlign w:val="bottom"/>
            <w:hideMark/>
          </w:tcPr>
          <w:p w14:paraId="279BD9F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5A9E65F3" w14:textId="77777777">
        <w:trPr>
          <w:divId w:val="1334649581"/>
          <w:tblCellSpacing w:w="0" w:type="dxa"/>
        </w:trPr>
        <w:tc>
          <w:tcPr>
            <w:tcW w:w="0" w:type="auto"/>
            <w:shd w:val="clear" w:color="auto" w:fill="CCEEFF"/>
            <w:vAlign w:val="bottom"/>
            <w:hideMark/>
          </w:tcPr>
          <w:p w14:paraId="65A57236"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14:paraId="171B61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0879E0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3DC74F5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140,833,410</w:t>
            </w:r>
          </w:p>
        </w:tc>
        <w:tc>
          <w:tcPr>
            <w:tcW w:w="50" w:type="pct"/>
            <w:shd w:val="clear" w:color="auto" w:fill="CCEEFF"/>
            <w:tcMar>
              <w:top w:w="0" w:type="dxa"/>
              <w:left w:w="0" w:type="dxa"/>
              <w:bottom w:w="15" w:type="dxa"/>
              <w:right w:w="0" w:type="dxa"/>
            </w:tcMar>
            <w:vAlign w:val="bottom"/>
            <w:hideMark/>
          </w:tcPr>
          <w:p w14:paraId="223B5E5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A63C35A" w14:textId="77777777">
        <w:trPr>
          <w:divId w:val="1334649581"/>
          <w:tblCellSpacing w:w="0" w:type="dxa"/>
        </w:trPr>
        <w:tc>
          <w:tcPr>
            <w:tcW w:w="0" w:type="auto"/>
            <w:shd w:val="clear" w:color="auto" w:fill="FFFFFF"/>
            <w:vAlign w:val="bottom"/>
            <w:hideMark/>
          </w:tcPr>
          <w:p w14:paraId="09BA064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14:paraId="408F93F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F2BE06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14C339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57,709,585</w:t>
            </w:r>
          </w:p>
        </w:tc>
        <w:tc>
          <w:tcPr>
            <w:tcW w:w="50" w:type="pct"/>
            <w:shd w:val="clear" w:color="auto" w:fill="FFFFFF"/>
            <w:tcMar>
              <w:top w:w="0" w:type="dxa"/>
              <w:left w:w="0" w:type="dxa"/>
              <w:bottom w:w="15" w:type="dxa"/>
              <w:right w:w="0" w:type="dxa"/>
            </w:tcMar>
            <w:vAlign w:val="bottom"/>
            <w:hideMark/>
          </w:tcPr>
          <w:p w14:paraId="536525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A49987F" w14:textId="77777777">
        <w:trPr>
          <w:divId w:val="1334649581"/>
          <w:tblCellSpacing w:w="0" w:type="dxa"/>
        </w:trPr>
        <w:tc>
          <w:tcPr>
            <w:tcW w:w="0" w:type="auto"/>
            <w:shd w:val="clear" w:color="auto" w:fill="CCEEFF"/>
            <w:vAlign w:val="center"/>
            <w:hideMark/>
          </w:tcPr>
          <w:p w14:paraId="104A3B8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0ADB3A4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1756CBF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77DCBD3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6A52EC8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400B54B" w14:textId="77777777">
        <w:trPr>
          <w:divId w:val="1334649581"/>
          <w:tblCellSpacing w:w="0" w:type="dxa"/>
        </w:trPr>
        <w:tc>
          <w:tcPr>
            <w:tcW w:w="0" w:type="auto"/>
            <w:shd w:val="clear" w:color="auto" w:fill="FFFFFF"/>
            <w:vAlign w:val="bottom"/>
            <w:hideMark/>
          </w:tcPr>
          <w:p w14:paraId="446BE740"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14:paraId="7A93550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1327C30"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8D2F437"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1FEF8CF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75326CC1" w14:textId="77777777">
        <w:trPr>
          <w:divId w:val="1334649581"/>
          <w:tblCellSpacing w:w="0" w:type="dxa"/>
        </w:trPr>
        <w:tc>
          <w:tcPr>
            <w:tcW w:w="0" w:type="auto"/>
            <w:shd w:val="clear" w:color="auto" w:fill="CCEEFF"/>
            <w:vAlign w:val="bottom"/>
            <w:hideMark/>
          </w:tcPr>
          <w:p w14:paraId="6A37C53D"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14:paraId="7896A62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70FC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779BA42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69,679,590</w:t>
            </w:r>
          </w:p>
        </w:tc>
        <w:tc>
          <w:tcPr>
            <w:tcW w:w="50" w:type="pct"/>
            <w:shd w:val="clear" w:color="auto" w:fill="CCEEFF"/>
            <w:vAlign w:val="bottom"/>
            <w:hideMark/>
          </w:tcPr>
          <w:p w14:paraId="28F5B52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0E37595" w14:textId="77777777">
        <w:trPr>
          <w:divId w:val="1334649581"/>
          <w:tblCellSpacing w:w="0" w:type="dxa"/>
        </w:trPr>
        <w:tc>
          <w:tcPr>
            <w:tcW w:w="0" w:type="auto"/>
            <w:shd w:val="clear" w:color="auto" w:fill="FFFFFF"/>
            <w:vAlign w:val="bottom"/>
            <w:hideMark/>
          </w:tcPr>
          <w:p w14:paraId="2A832A0A"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14:paraId="04F09A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5B44B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516755A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(19,691,724</w:t>
            </w:r>
          </w:p>
        </w:tc>
        <w:tc>
          <w:tcPr>
            <w:tcW w:w="50" w:type="pct"/>
            <w:shd w:val="clear" w:color="auto" w:fill="FFFFFF"/>
            <w:tcMar>
              <w:top w:w="0" w:type="dxa"/>
              <w:left w:w="0" w:type="dxa"/>
              <w:bottom w:w="15" w:type="dxa"/>
              <w:right w:w="0" w:type="dxa"/>
            </w:tcMar>
            <w:vAlign w:val="bottom"/>
            <w:hideMark/>
          </w:tcPr>
          <w:p w14:paraId="044CC9B9"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41C62864" w14:textId="77777777">
        <w:trPr>
          <w:divId w:val="1334649581"/>
          <w:tblCellSpacing w:w="0" w:type="dxa"/>
        </w:trPr>
        <w:tc>
          <w:tcPr>
            <w:tcW w:w="0" w:type="auto"/>
            <w:shd w:val="clear" w:color="auto" w:fill="CCEEFF"/>
            <w:vAlign w:val="bottom"/>
            <w:hideMark/>
          </w:tcPr>
          <w:p w14:paraId="0122918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CCEEFF"/>
            <w:vAlign w:val="bottom"/>
            <w:hideMark/>
          </w:tcPr>
          <w:p w14:paraId="263584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E2C769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3ACD524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49,987,866</w:t>
            </w:r>
          </w:p>
        </w:tc>
        <w:tc>
          <w:tcPr>
            <w:tcW w:w="50" w:type="pct"/>
            <w:shd w:val="clear" w:color="auto" w:fill="CCEEFF"/>
            <w:tcMar>
              <w:top w:w="0" w:type="dxa"/>
              <w:left w:w="0" w:type="dxa"/>
              <w:bottom w:w="15" w:type="dxa"/>
              <w:right w:w="0" w:type="dxa"/>
            </w:tcMar>
            <w:vAlign w:val="bottom"/>
            <w:hideMark/>
          </w:tcPr>
          <w:p w14:paraId="71D98B6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6EEC2BF" w14:textId="77777777">
        <w:trPr>
          <w:divId w:val="1334649581"/>
          <w:tblCellSpacing w:w="0" w:type="dxa"/>
        </w:trPr>
        <w:tc>
          <w:tcPr>
            <w:tcW w:w="0" w:type="auto"/>
            <w:shd w:val="clear" w:color="auto" w:fill="FFFFFF"/>
            <w:vAlign w:val="bottom"/>
            <w:hideMark/>
          </w:tcPr>
          <w:p w14:paraId="6A0857D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D1FF4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DE67CD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4F59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525D1C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A120239" w14:textId="77777777">
        <w:trPr>
          <w:divId w:val="1334649581"/>
          <w:tblCellSpacing w:w="0" w:type="dxa"/>
        </w:trPr>
        <w:tc>
          <w:tcPr>
            <w:tcW w:w="0" w:type="auto"/>
            <w:shd w:val="clear" w:color="auto" w:fill="CCEEFF"/>
            <w:vAlign w:val="bottom"/>
            <w:hideMark/>
          </w:tcPr>
          <w:p w14:paraId="20B1FD5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vAlign w:val="bottom"/>
            <w:hideMark/>
          </w:tcPr>
          <w:p w14:paraId="6750D8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3862EA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6DB8971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107,697,451</w:t>
            </w:r>
          </w:p>
        </w:tc>
        <w:tc>
          <w:tcPr>
            <w:tcW w:w="50" w:type="pct"/>
            <w:shd w:val="clear" w:color="auto" w:fill="CCEEFF"/>
            <w:tcMar>
              <w:top w:w="0" w:type="dxa"/>
              <w:left w:w="0" w:type="dxa"/>
              <w:bottom w:w="15" w:type="dxa"/>
              <w:right w:w="0" w:type="dxa"/>
            </w:tcMar>
            <w:vAlign w:val="bottom"/>
            <w:hideMark/>
          </w:tcPr>
          <w:p w14:paraId="5D89C9D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BAE1B13" w14:textId="77777777">
        <w:trPr>
          <w:divId w:val="1334649581"/>
          <w:tblCellSpacing w:w="0" w:type="dxa"/>
        </w:trPr>
        <w:tc>
          <w:tcPr>
            <w:tcW w:w="0" w:type="auto"/>
            <w:shd w:val="clear" w:color="auto" w:fill="FFFFFF"/>
            <w:vAlign w:val="bottom"/>
            <w:hideMark/>
          </w:tcPr>
          <w:p w14:paraId="6FEBFD8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690B9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7ED7B1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C97EAC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B16FB2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71C3084" w14:textId="77777777">
        <w:trPr>
          <w:divId w:val="1334649581"/>
          <w:tblCellSpacing w:w="0" w:type="dxa"/>
        </w:trPr>
        <w:tc>
          <w:tcPr>
            <w:tcW w:w="0" w:type="auto"/>
            <w:shd w:val="clear" w:color="auto" w:fill="CCEEFF"/>
            <w:vAlign w:val="bottom"/>
            <w:hideMark/>
          </w:tcPr>
          <w:p w14:paraId="6151972B"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Net Assets at June 30, 2020</w:t>
            </w:r>
          </w:p>
        </w:tc>
        <w:tc>
          <w:tcPr>
            <w:tcW w:w="50" w:type="pct"/>
            <w:shd w:val="clear" w:color="auto" w:fill="CCEEFF"/>
            <w:vAlign w:val="bottom"/>
            <w:hideMark/>
          </w:tcPr>
          <w:p w14:paraId="122142C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10BDDA8"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14:paraId="5F43383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609,244,207</w:t>
            </w:r>
          </w:p>
        </w:tc>
        <w:tc>
          <w:tcPr>
            <w:tcW w:w="50" w:type="pct"/>
            <w:shd w:val="clear" w:color="auto" w:fill="CCEEFF"/>
            <w:tcMar>
              <w:top w:w="0" w:type="dxa"/>
              <w:left w:w="0" w:type="dxa"/>
              <w:bottom w:w="15" w:type="dxa"/>
              <w:right w:w="0" w:type="dxa"/>
            </w:tcMar>
            <w:vAlign w:val="bottom"/>
            <w:hideMark/>
          </w:tcPr>
          <w:p w14:paraId="30CF988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8EBCFD5" w14:textId="77777777">
        <w:trPr>
          <w:divId w:val="1334649581"/>
          <w:tblCellSpacing w:w="0" w:type="dxa"/>
        </w:trPr>
        <w:tc>
          <w:tcPr>
            <w:tcW w:w="0" w:type="auto"/>
            <w:shd w:val="clear" w:color="auto" w:fill="FFFFFF"/>
            <w:vAlign w:val="bottom"/>
            <w:hideMark/>
          </w:tcPr>
          <w:p w14:paraId="7F7E02E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14:paraId="204164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7AC141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F8BB41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D8881E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35030F6" w14:textId="77777777">
        <w:trPr>
          <w:divId w:val="1334649581"/>
          <w:tblCellSpacing w:w="0" w:type="dxa"/>
        </w:trPr>
        <w:tc>
          <w:tcPr>
            <w:tcW w:w="0" w:type="auto"/>
            <w:shd w:val="clear" w:color="auto" w:fill="CCEEFF"/>
            <w:vAlign w:val="bottom"/>
            <w:hideMark/>
          </w:tcPr>
          <w:p w14:paraId="69910D92"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14:paraId="7CC289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E14ABA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0A0B1EA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17,100,000</w:t>
            </w:r>
          </w:p>
        </w:tc>
        <w:tc>
          <w:tcPr>
            <w:tcW w:w="50" w:type="pct"/>
            <w:shd w:val="clear" w:color="auto" w:fill="CCEEFF"/>
            <w:vAlign w:val="bottom"/>
            <w:hideMark/>
          </w:tcPr>
          <w:p w14:paraId="67A3005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B38C264" w14:textId="77777777">
        <w:trPr>
          <w:divId w:val="1334649581"/>
          <w:tblCellSpacing w:w="0" w:type="dxa"/>
        </w:trPr>
        <w:tc>
          <w:tcPr>
            <w:tcW w:w="0" w:type="auto"/>
            <w:shd w:val="clear" w:color="auto" w:fill="FFFFFF"/>
            <w:vAlign w:val="bottom"/>
            <w:hideMark/>
          </w:tcPr>
          <w:p w14:paraId="66735223"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14:paraId="712303D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75679D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7B8CEBF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(5,850,000</w:t>
            </w:r>
          </w:p>
        </w:tc>
        <w:tc>
          <w:tcPr>
            <w:tcW w:w="50" w:type="pct"/>
            <w:shd w:val="clear" w:color="auto" w:fill="FFFFFF"/>
            <w:tcMar>
              <w:top w:w="0" w:type="dxa"/>
              <w:left w:w="0" w:type="dxa"/>
              <w:bottom w:w="15" w:type="dxa"/>
              <w:right w:w="0" w:type="dxa"/>
            </w:tcMar>
            <w:vAlign w:val="bottom"/>
            <w:hideMark/>
          </w:tcPr>
          <w:p w14:paraId="68457224"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0B40ABB7" w14:textId="77777777">
        <w:trPr>
          <w:divId w:val="1334649581"/>
          <w:tblCellSpacing w:w="0" w:type="dxa"/>
        </w:trPr>
        <w:tc>
          <w:tcPr>
            <w:tcW w:w="0" w:type="auto"/>
            <w:shd w:val="clear" w:color="auto" w:fill="CCEEFF"/>
            <w:vAlign w:val="bottom"/>
            <w:hideMark/>
          </w:tcPr>
          <w:p w14:paraId="5B86651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CCEEFF"/>
            <w:vAlign w:val="bottom"/>
            <w:hideMark/>
          </w:tcPr>
          <w:p w14:paraId="4DE04F3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14BA52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CCEEFF"/>
            <w:vAlign w:val="bottom"/>
            <w:hideMark/>
          </w:tcPr>
          <w:p w14:paraId="3E0ACD0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11,250,000</w:t>
            </w:r>
          </w:p>
        </w:tc>
        <w:tc>
          <w:tcPr>
            <w:tcW w:w="50" w:type="pct"/>
            <w:shd w:val="clear" w:color="auto" w:fill="CCEEFF"/>
            <w:tcMar>
              <w:top w:w="0" w:type="dxa"/>
              <w:left w:w="0" w:type="dxa"/>
              <w:bottom w:w="45" w:type="dxa"/>
              <w:right w:w="0" w:type="dxa"/>
            </w:tcMar>
            <w:vAlign w:val="bottom"/>
            <w:hideMark/>
          </w:tcPr>
          <w:p w14:paraId="3F67C6C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4B08378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lastRenderedPageBreak/>
        <w:t> </w:t>
      </w:r>
    </w:p>
    <w:p w14:paraId="15477B7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258E90F"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57F1DA4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450FE42" w14:textId="77777777" w:rsidR="00000000" w:rsidRDefault="00016ED8">
      <w:pPr>
        <w:jc w:val="center"/>
        <w:divId w:val="1614897116"/>
        <w:rPr>
          <w:rFonts w:ascii="Arial" w:eastAsia="Times New Roman" w:hAnsi="Arial" w:cs="Arial"/>
          <w:sz w:val="20"/>
          <w:szCs w:val="20"/>
        </w:rPr>
      </w:pPr>
      <w:r>
        <w:rPr>
          <w:rFonts w:ascii="Arial" w:eastAsia="Times New Roman" w:hAnsi="Arial" w:cs="Arial"/>
          <w:sz w:val="20"/>
          <w:szCs w:val="20"/>
        </w:rPr>
        <w:t xml:space="preserve">3 </w:t>
      </w:r>
    </w:p>
    <w:p w14:paraId="623729F4" w14:textId="77777777" w:rsidR="00000000" w:rsidRDefault="00016ED8">
      <w:pPr>
        <w:divId w:val="2028673355"/>
        <w:rPr>
          <w:rFonts w:ascii="Arial" w:eastAsia="Times New Roman" w:hAnsi="Arial" w:cs="Arial"/>
          <w:sz w:val="20"/>
          <w:szCs w:val="20"/>
        </w:rPr>
      </w:pPr>
      <w:r>
        <w:rPr>
          <w:rFonts w:ascii="Arial" w:eastAsia="Times New Roman" w:hAnsi="Arial" w:cs="Arial"/>
          <w:sz w:val="20"/>
          <w:szCs w:val="20"/>
        </w:rPr>
        <w:pict w14:anchorId="63C39482">
          <v:rect id="_x0000_i1041" style="width:0;height:1.5pt" o:hralign="center" o:hrstd="t" o:hr="t" fillcolor="#a0a0a0" stroked="f"/>
        </w:pict>
      </w:r>
    </w:p>
    <w:p w14:paraId="795158C5" w14:textId="77777777" w:rsidR="00000000" w:rsidRDefault="00016ED8">
      <w:pPr>
        <w:divId w:val="28339386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0C7635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C3A0E0A"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1A3979E4"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14:paraId="2A05D4A7"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For the three and six months ended June 30, 2019</w:t>
      </w:r>
    </w:p>
    <w:p w14:paraId="3CBBE6A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14:paraId="04B9BD6D" w14:textId="77777777">
        <w:trPr>
          <w:divId w:val="1681544039"/>
          <w:tblCellSpacing w:w="0" w:type="dxa"/>
        </w:trPr>
        <w:tc>
          <w:tcPr>
            <w:tcW w:w="0" w:type="auto"/>
            <w:vAlign w:val="bottom"/>
            <w:hideMark/>
          </w:tcPr>
          <w:p w14:paraId="0F8D7D2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4206EFC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F295806"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p>
          <w:p w14:paraId="10229089"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June 30, 20</w:t>
            </w:r>
            <w:r>
              <w:rPr>
                <w:rFonts w:ascii="Arial" w:hAnsi="Arial" w:cs="Arial"/>
                <w:b/>
                <w:bCs/>
                <w:sz w:val="20"/>
                <w:szCs w:val="20"/>
              </w:rPr>
              <w:t>19</w:t>
            </w:r>
          </w:p>
        </w:tc>
        <w:tc>
          <w:tcPr>
            <w:tcW w:w="0" w:type="auto"/>
            <w:tcMar>
              <w:top w:w="0" w:type="dxa"/>
              <w:left w:w="0" w:type="dxa"/>
              <w:bottom w:w="15" w:type="dxa"/>
              <w:right w:w="0" w:type="dxa"/>
            </w:tcMar>
            <w:vAlign w:val="bottom"/>
            <w:hideMark/>
          </w:tcPr>
          <w:p w14:paraId="190F8DA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CA4A81D" w14:textId="77777777">
        <w:trPr>
          <w:divId w:val="1681544039"/>
          <w:tblCellSpacing w:w="0" w:type="dxa"/>
        </w:trPr>
        <w:tc>
          <w:tcPr>
            <w:tcW w:w="4100" w:type="pct"/>
            <w:shd w:val="clear" w:color="auto" w:fill="CCEEFF"/>
            <w:vAlign w:val="bottom"/>
            <w:hideMark/>
          </w:tcPr>
          <w:p w14:paraId="64A4A0D7"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2018</w:t>
            </w:r>
          </w:p>
        </w:tc>
        <w:tc>
          <w:tcPr>
            <w:tcW w:w="50" w:type="pct"/>
            <w:shd w:val="clear" w:color="auto" w:fill="CCEEFF"/>
            <w:vAlign w:val="bottom"/>
            <w:hideMark/>
          </w:tcPr>
          <w:p w14:paraId="1ABB325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A8641F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14:paraId="2B9C7F5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CCEEFF"/>
            <w:tcMar>
              <w:top w:w="0" w:type="dxa"/>
              <w:left w:w="0" w:type="dxa"/>
              <w:bottom w:w="15" w:type="dxa"/>
              <w:right w:w="0" w:type="dxa"/>
            </w:tcMar>
            <w:vAlign w:val="bottom"/>
            <w:hideMark/>
          </w:tcPr>
          <w:p w14:paraId="2DCDD65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D845120" w14:textId="77777777">
        <w:trPr>
          <w:divId w:val="1681544039"/>
          <w:tblCellSpacing w:w="0" w:type="dxa"/>
        </w:trPr>
        <w:tc>
          <w:tcPr>
            <w:tcW w:w="0" w:type="auto"/>
            <w:shd w:val="clear" w:color="auto" w:fill="FFFFFF"/>
            <w:vAlign w:val="bottom"/>
            <w:hideMark/>
          </w:tcPr>
          <w:p w14:paraId="63D2389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2D149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20354E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4DBDA9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15E663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F693308" w14:textId="77777777">
        <w:trPr>
          <w:divId w:val="1681544039"/>
          <w:tblCellSpacing w:w="0" w:type="dxa"/>
        </w:trPr>
        <w:tc>
          <w:tcPr>
            <w:tcW w:w="0" w:type="auto"/>
            <w:shd w:val="clear" w:color="auto" w:fill="CCEEFF"/>
            <w:vAlign w:val="bottom"/>
            <w:hideMark/>
          </w:tcPr>
          <w:p w14:paraId="08293037"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14:paraId="2F2B5D9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DB11DE7"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ED4F06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A184057"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6CFA3E81" w14:textId="77777777">
        <w:trPr>
          <w:divId w:val="1681544039"/>
          <w:tblCellSpacing w:w="0" w:type="dxa"/>
        </w:trPr>
        <w:tc>
          <w:tcPr>
            <w:tcW w:w="0" w:type="auto"/>
            <w:shd w:val="clear" w:color="auto" w:fill="FFFFFF"/>
            <w:vAlign w:val="bottom"/>
            <w:hideMark/>
          </w:tcPr>
          <w:p w14:paraId="21D78330"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14:paraId="63D094A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3E3270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4C5C198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4,491,037</w:t>
            </w:r>
          </w:p>
        </w:tc>
        <w:tc>
          <w:tcPr>
            <w:tcW w:w="50" w:type="pct"/>
            <w:shd w:val="clear" w:color="auto" w:fill="FFFFFF"/>
            <w:vAlign w:val="bottom"/>
            <w:hideMark/>
          </w:tcPr>
          <w:p w14:paraId="044BDA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3E5F7D8" w14:textId="77777777">
        <w:trPr>
          <w:divId w:val="1681544039"/>
          <w:tblCellSpacing w:w="0" w:type="dxa"/>
        </w:trPr>
        <w:tc>
          <w:tcPr>
            <w:tcW w:w="0" w:type="auto"/>
            <w:shd w:val="clear" w:color="auto" w:fill="CCEEFF"/>
            <w:vAlign w:val="bottom"/>
            <w:hideMark/>
          </w:tcPr>
          <w:p w14:paraId="573CC3C3"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14:paraId="512EF5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7C763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6ED05BD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1,925,332</w:t>
            </w:r>
          </w:p>
        </w:tc>
        <w:tc>
          <w:tcPr>
            <w:tcW w:w="50" w:type="pct"/>
            <w:shd w:val="clear" w:color="auto" w:fill="CCEEFF"/>
            <w:vAlign w:val="bottom"/>
            <w:hideMark/>
          </w:tcPr>
          <w:p w14:paraId="4A615AD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BCA7658" w14:textId="77777777">
        <w:trPr>
          <w:divId w:val="1681544039"/>
          <w:tblCellSpacing w:w="0" w:type="dxa"/>
        </w:trPr>
        <w:tc>
          <w:tcPr>
            <w:tcW w:w="0" w:type="auto"/>
            <w:shd w:val="clear" w:color="auto" w:fill="FFFFFF"/>
            <w:vAlign w:val="bottom"/>
            <w:hideMark/>
          </w:tcPr>
          <w:p w14:paraId="7861CCDE"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14:paraId="5AFD51B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334B7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585FDBF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163,896,481</w:t>
            </w:r>
          </w:p>
        </w:tc>
        <w:tc>
          <w:tcPr>
            <w:tcW w:w="50" w:type="pct"/>
            <w:shd w:val="clear" w:color="auto" w:fill="FFFFFF"/>
            <w:tcMar>
              <w:top w:w="0" w:type="dxa"/>
              <w:left w:w="0" w:type="dxa"/>
              <w:bottom w:w="15" w:type="dxa"/>
              <w:right w:w="0" w:type="dxa"/>
            </w:tcMar>
            <w:vAlign w:val="bottom"/>
            <w:hideMark/>
          </w:tcPr>
          <w:p w14:paraId="708790C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F13094C" w14:textId="77777777">
        <w:trPr>
          <w:divId w:val="1681544039"/>
          <w:tblCellSpacing w:w="0" w:type="dxa"/>
        </w:trPr>
        <w:tc>
          <w:tcPr>
            <w:tcW w:w="0" w:type="auto"/>
            <w:shd w:val="clear" w:color="auto" w:fill="CCEEFF"/>
            <w:vAlign w:val="bottom"/>
            <w:hideMark/>
          </w:tcPr>
          <w:p w14:paraId="412AC33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14:paraId="209100F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5DF86C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1B4197B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170,312,850</w:t>
            </w:r>
          </w:p>
        </w:tc>
        <w:tc>
          <w:tcPr>
            <w:tcW w:w="50" w:type="pct"/>
            <w:shd w:val="clear" w:color="auto" w:fill="CCEEFF"/>
            <w:tcMar>
              <w:top w:w="0" w:type="dxa"/>
              <w:left w:w="0" w:type="dxa"/>
              <w:bottom w:w="15" w:type="dxa"/>
              <w:right w:w="0" w:type="dxa"/>
            </w:tcMar>
            <w:vAlign w:val="bottom"/>
            <w:hideMark/>
          </w:tcPr>
          <w:p w14:paraId="3E654BA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CF6BE72" w14:textId="77777777">
        <w:trPr>
          <w:divId w:val="1681544039"/>
          <w:tblCellSpacing w:w="0" w:type="dxa"/>
        </w:trPr>
        <w:tc>
          <w:tcPr>
            <w:tcW w:w="0" w:type="auto"/>
            <w:shd w:val="clear" w:color="auto" w:fill="FFFFFF"/>
            <w:vAlign w:val="bottom"/>
            <w:hideMark/>
          </w:tcPr>
          <w:p w14:paraId="285890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9C6FE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47E284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6DBA4C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34C30B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E276129" w14:textId="77777777">
        <w:trPr>
          <w:divId w:val="1681544039"/>
          <w:tblCellSpacing w:w="0" w:type="dxa"/>
        </w:trPr>
        <w:tc>
          <w:tcPr>
            <w:tcW w:w="0" w:type="auto"/>
            <w:shd w:val="clear" w:color="auto" w:fill="CCEEFF"/>
            <w:vAlign w:val="bottom"/>
            <w:hideMark/>
          </w:tcPr>
          <w:p w14:paraId="70F4D19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14:paraId="7B194DD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4CC361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9446D2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1CEFC6"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4937D4C8" w14:textId="77777777">
        <w:trPr>
          <w:divId w:val="1681544039"/>
          <w:tblCellSpacing w:w="0" w:type="dxa"/>
        </w:trPr>
        <w:tc>
          <w:tcPr>
            <w:tcW w:w="0" w:type="auto"/>
            <w:shd w:val="clear" w:color="auto" w:fill="FFFFFF"/>
            <w:vAlign w:val="bottom"/>
            <w:hideMark/>
          </w:tcPr>
          <w:p w14:paraId="27C740C1"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220C044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0DF6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2CA943D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24,217,916</w:t>
            </w:r>
          </w:p>
        </w:tc>
        <w:tc>
          <w:tcPr>
            <w:tcW w:w="50" w:type="pct"/>
            <w:shd w:val="clear" w:color="auto" w:fill="FFFFFF"/>
            <w:vAlign w:val="bottom"/>
            <w:hideMark/>
          </w:tcPr>
          <w:p w14:paraId="749D14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C14F4B0" w14:textId="77777777">
        <w:trPr>
          <w:divId w:val="1681544039"/>
          <w:tblCellSpacing w:w="0" w:type="dxa"/>
        </w:trPr>
        <w:tc>
          <w:tcPr>
            <w:tcW w:w="0" w:type="auto"/>
            <w:shd w:val="clear" w:color="auto" w:fill="CCEEFF"/>
            <w:vAlign w:val="bottom"/>
            <w:hideMark/>
          </w:tcPr>
          <w:p w14:paraId="7DEAE806"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14:paraId="37D4398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3B0840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05C4F38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(171,597,419</w:t>
            </w:r>
          </w:p>
        </w:tc>
        <w:tc>
          <w:tcPr>
            <w:tcW w:w="50" w:type="pct"/>
            <w:shd w:val="clear" w:color="auto" w:fill="CCEEFF"/>
            <w:tcMar>
              <w:top w:w="0" w:type="dxa"/>
              <w:left w:w="0" w:type="dxa"/>
              <w:bottom w:w="15" w:type="dxa"/>
              <w:right w:w="0" w:type="dxa"/>
            </w:tcMar>
            <w:vAlign w:val="bottom"/>
            <w:hideMark/>
          </w:tcPr>
          <w:p w14:paraId="6FBF61B9"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1A628519" w14:textId="77777777">
        <w:trPr>
          <w:divId w:val="1681544039"/>
          <w:tblCellSpacing w:w="0" w:type="dxa"/>
        </w:trPr>
        <w:tc>
          <w:tcPr>
            <w:tcW w:w="0" w:type="auto"/>
            <w:shd w:val="clear" w:color="auto" w:fill="FFFFFF"/>
            <w:vAlign w:val="bottom"/>
            <w:hideMark/>
          </w:tcPr>
          <w:p w14:paraId="6AFBCEC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14:paraId="593906D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BC7DF2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DC81FA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(147,379,503</w:t>
            </w:r>
          </w:p>
        </w:tc>
        <w:tc>
          <w:tcPr>
            <w:tcW w:w="50" w:type="pct"/>
            <w:shd w:val="clear" w:color="auto" w:fill="FFFFFF"/>
            <w:tcMar>
              <w:top w:w="0" w:type="dxa"/>
              <w:left w:w="0" w:type="dxa"/>
              <w:bottom w:w="15" w:type="dxa"/>
              <w:right w:w="0" w:type="dxa"/>
            </w:tcMar>
            <w:vAlign w:val="bottom"/>
            <w:hideMark/>
          </w:tcPr>
          <w:p w14:paraId="4174014C"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3896A175" w14:textId="77777777">
        <w:trPr>
          <w:divId w:val="1681544039"/>
          <w:tblCellSpacing w:w="0" w:type="dxa"/>
        </w:trPr>
        <w:tc>
          <w:tcPr>
            <w:tcW w:w="0" w:type="auto"/>
            <w:shd w:val="clear" w:color="auto" w:fill="CCEEFF"/>
            <w:vAlign w:val="bottom"/>
            <w:hideMark/>
          </w:tcPr>
          <w:p w14:paraId="5098C44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FAFD55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97CE0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C8E76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762E92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3EF7132" w14:textId="77777777">
        <w:trPr>
          <w:divId w:val="1681544039"/>
          <w:tblCellSpacing w:w="0" w:type="dxa"/>
        </w:trPr>
        <w:tc>
          <w:tcPr>
            <w:tcW w:w="0" w:type="auto"/>
            <w:shd w:val="clear" w:color="auto" w:fill="FFFFFF"/>
            <w:vAlign w:val="bottom"/>
            <w:hideMark/>
          </w:tcPr>
          <w:p w14:paraId="05BCD2C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14:paraId="37EE1A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476635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0CCDB64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22,933,347</w:t>
            </w:r>
          </w:p>
        </w:tc>
        <w:tc>
          <w:tcPr>
            <w:tcW w:w="50" w:type="pct"/>
            <w:shd w:val="clear" w:color="auto" w:fill="FFFFFF"/>
            <w:tcMar>
              <w:top w:w="0" w:type="dxa"/>
              <w:left w:w="0" w:type="dxa"/>
              <w:bottom w:w="15" w:type="dxa"/>
              <w:right w:w="0" w:type="dxa"/>
            </w:tcMar>
            <w:vAlign w:val="bottom"/>
            <w:hideMark/>
          </w:tcPr>
          <w:p w14:paraId="4AD5B78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42DC5C4" w14:textId="77777777">
        <w:trPr>
          <w:divId w:val="1681544039"/>
          <w:tblCellSpacing w:w="0" w:type="dxa"/>
        </w:trPr>
        <w:tc>
          <w:tcPr>
            <w:tcW w:w="0" w:type="auto"/>
            <w:shd w:val="clear" w:color="auto" w:fill="CCEEFF"/>
            <w:vAlign w:val="bottom"/>
            <w:hideMark/>
          </w:tcPr>
          <w:p w14:paraId="13D63DE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112C8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6E6AC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A7D72C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9A904E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C2EF740" w14:textId="77777777">
        <w:trPr>
          <w:divId w:val="1681544039"/>
          <w:tblCellSpacing w:w="0" w:type="dxa"/>
        </w:trPr>
        <w:tc>
          <w:tcPr>
            <w:tcW w:w="0" w:type="auto"/>
            <w:shd w:val="clear" w:color="auto" w:fill="FFFFFF"/>
            <w:vAlign w:val="bottom"/>
            <w:hideMark/>
          </w:tcPr>
          <w:p w14:paraId="1B08E4B8"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Net Assets at March 31, 2019</w:t>
            </w:r>
          </w:p>
        </w:tc>
        <w:tc>
          <w:tcPr>
            <w:tcW w:w="50" w:type="pct"/>
            <w:shd w:val="clear" w:color="auto" w:fill="FFFFFF"/>
            <w:vAlign w:val="bottom"/>
            <w:hideMark/>
          </w:tcPr>
          <w:p w14:paraId="3F3B2B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C086F7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FFFFFF"/>
            <w:vAlign w:val="bottom"/>
            <w:hideMark/>
          </w:tcPr>
          <w:p w14:paraId="4AA8B7E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1,232,799,956</w:t>
            </w:r>
          </w:p>
        </w:tc>
        <w:tc>
          <w:tcPr>
            <w:tcW w:w="50" w:type="pct"/>
            <w:shd w:val="clear" w:color="auto" w:fill="FFFFFF"/>
            <w:tcMar>
              <w:top w:w="0" w:type="dxa"/>
              <w:left w:w="0" w:type="dxa"/>
              <w:bottom w:w="15" w:type="dxa"/>
              <w:right w:w="0" w:type="dxa"/>
            </w:tcMar>
            <w:vAlign w:val="bottom"/>
            <w:hideMark/>
          </w:tcPr>
          <w:p w14:paraId="45A37E3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B1595E5" w14:textId="77777777">
        <w:trPr>
          <w:divId w:val="1681544039"/>
          <w:tblCellSpacing w:w="0" w:type="dxa"/>
        </w:trPr>
        <w:tc>
          <w:tcPr>
            <w:tcW w:w="0" w:type="auto"/>
            <w:shd w:val="clear" w:color="auto" w:fill="CCEEFF"/>
            <w:vAlign w:val="bottom"/>
            <w:hideMark/>
          </w:tcPr>
          <w:p w14:paraId="20D02D3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635E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81D5A4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91DC31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D22D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45B4BB5" w14:textId="77777777">
        <w:trPr>
          <w:divId w:val="1681544039"/>
          <w:tblCellSpacing w:w="0" w:type="dxa"/>
        </w:trPr>
        <w:tc>
          <w:tcPr>
            <w:tcW w:w="0" w:type="auto"/>
            <w:shd w:val="clear" w:color="auto" w:fill="FFFFFF"/>
            <w:vAlign w:val="bottom"/>
            <w:hideMark/>
          </w:tcPr>
          <w:p w14:paraId="762448CE"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14:paraId="690A062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09A5DEF"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7D125EE8"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4CFD641"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16335CB3" w14:textId="77777777">
        <w:trPr>
          <w:divId w:val="1681544039"/>
          <w:tblCellSpacing w:w="0" w:type="dxa"/>
        </w:trPr>
        <w:tc>
          <w:tcPr>
            <w:tcW w:w="0" w:type="auto"/>
            <w:shd w:val="clear" w:color="auto" w:fill="CCEEFF"/>
            <w:vAlign w:val="bottom"/>
            <w:hideMark/>
          </w:tcPr>
          <w:p w14:paraId="6D74659F"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CCEEFF"/>
            <w:vAlign w:val="bottom"/>
            <w:hideMark/>
          </w:tcPr>
          <w:p w14:paraId="256B83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893CC9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491C404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4,188,045</w:t>
            </w:r>
          </w:p>
        </w:tc>
        <w:tc>
          <w:tcPr>
            <w:tcW w:w="50" w:type="pct"/>
            <w:shd w:val="clear" w:color="auto" w:fill="CCEEFF"/>
            <w:vAlign w:val="bottom"/>
            <w:hideMark/>
          </w:tcPr>
          <w:p w14:paraId="5BDBB1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FA6BD79" w14:textId="77777777">
        <w:trPr>
          <w:divId w:val="1681544039"/>
          <w:tblCellSpacing w:w="0" w:type="dxa"/>
        </w:trPr>
        <w:tc>
          <w:tcPr>
            <w:tcW w:w="0" w:type="auto"/>
            <w:shd w:val="clear" w:color="auto" w:fill="FFFFFF"/>
            <w:vAlign w:val="bottom"/>
            <w:hideMark/>
          </w:tcPr>
          <w:p w14:paraId="4B780349"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FFFFFF"/>
            <w:vAlign w:val="bottom"/>
            <w:hideMark/>
          </w:tcPr>
          <w:p w14:paraId="5622F39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E6D8A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5412ED8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(12,333,646</w:t>
            </w:r>
          </w:p>
        </w:tc>
        <w:tc>
          <w:tcPr>
            <w:tcW w:w="50" w:type="pct"/>
            <w:shd w:val="clear" w:color="auto" w:fill="FFFFFF"/>
            <w:vAlign w:val="bottom"/>
            <w:hideMark/>
          </w:tcPr>
          <w:p w14:paraId="752FA3A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2C9EB049" w14:textId="77777777">
        <w:trPr>
          <w:divId w:val="1681544039"/>
          <w:tblCellSpacing w:w="0" w:type="dxa"/>
        </w:trPr>
        <w:tc>
          <w:tcPr>
            <w:tcW w:w="0" w:type="auto"/>
            <w:shd w:val="clear" w:color="auto" w:fill="CCEEFF"/>
            <w:vAlign w:val="bottom"/>
            <w:hideMark/>
          </w:tcPr>
          <w:p w14:paraId="7ABFA997"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14:paraId="25D9EF8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4C6063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2BE8A04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(7,462,082</w:t>
            </w:r>
          </w:p>
        </w:tc>
        <w:tc>
          <w:tcPr>
            <w:tcW w:w="50" w:type="pct"/>
            <w:shd w:val="clear" w:color="auto" w:fill="CCEEFF"/>
            <w:tcMar>
              <w:top w:w="0" w:type="dxa"/>
              <w:left w:w="0" w:type="dxa"/>
              <w:bottom w:w="15" w:type="dxa"/>
              <w:right w:w="0" w:type="dxa"/>
            </w:tcMar>
            <w:vAlign w:val="bottom"/>
            <w:hideMark/>
          </w:tcPr>
          <w:p w14:paraId="165A98A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47565FFB" w14:textId="77777777">
        <w:trPr>
          <w:divId w:val="1681544039"/>
          <w:tblCellSpacing w:w="0" w:type="dxa"/>
        </w:trPr>
        <w:tc>
          <w:tcPr>
            <w:tcW w:w="0" w:type="auto"/>
            <w:shd w:val="clear" w:color="auto" w:fill="FFFFFF"/>
            <w:vAlign w:val="bottom"/>
            <w:hideMark/>
          </w:tcPr>
          <w:p w14:paraId="5EDD98C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FFFFFF"/>
            <w:vAlign w:val="bottom"/>
            <w:hideMark/>
          </w:tcPr>
          <w:p w14:paraId="763B670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FEC7C1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0E6164A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(15,607,683</w:t>
            </w:r>
          </w:p>
        </w:tc>
        <w:tc>
          <w:tcPr>
            <w:tcW w:w="50" w:type="pct"/>
            <w:shd w:val="clear" w:color="auto" w:fill="FFFFFF"/>
            <w:tcMar>
              <w:top w:w="0" w:type="dxa"/>
              <w:left w:w="0" w:type="dxa"/>
              <w:bottom w:w="15" w:type="dxa"/>
              <w:right w:w="0" w:type="dxa"/>
            </w:tcMar>
            <w:vAlign w:val="bottom"/>
            <w:hideMark/>
          </w:tcPr>
          <w:p w14:paraId="495E725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1F4C6E50" w14:textId="77777777">
        <w:trPr>
          <w:divId w:val="1681544039"/>
          <w:tblCellSpacing w:w="0" w:type="dxa"/>
        </w:trPr>
        <w:tc>
          <w:tcPr>
            <w:tcW w:w="0" w:type="auto"/>
            <w:shd w:val="clear" w:color="auto" w:fill="CCEEFF"/>
            <w:vAlign w:val="bottom"/>
            <w:hideMark/>
          </w:tcPr>
          <w:p w14:paraId="57AD063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3D514C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8AB5C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6BDEC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94DF8B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FA88EF0" w14:textId="77777777">
        <w:trPr>
          <w:divId w:val="1681544039"/>
          <w:tblCellSpacing w:w="0" w:type="dxa"/>
        </w:trPr>
        <w:tc>
          <w:tcPr>
            <w:tcW w:w="0" w:type="auto"/>
            <w:shd w:val="clear" w:color="auto" w:fill="FFFFFF"/>
            <w:vAlign w:val="bottom"/>
            <w:hideMark/>
          </w:tcPr>
          <w:p w14:paraId="5230AC02"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14:paraId="3043A45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E05633F"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1FBD2B1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72B354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3598F375" w14:textId="77777777">
        <w:trPr>
          <w:divId w:val="1681544039"/>
          <w:tblCellSpacing w:w="0" w:type="dxa"/>
        </w:trPr>
        <w:tc>
          <w:tcPr>
            <w:tcW w:w="0" w:type="auto"/>
            <w:shd w:val="clear" w:color="auto" w:fill="CCEEFF"/>
            <w:vAlign w:val="bottom"/>
            <w:hideMark/>
          </w:tcPr>
          <w:p w14:paraId="508036FF"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14:paraId="61CABC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99F78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5DCE4C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891,320</w:t>
            </w:r>
          </w:p>
        </w:tc>
        <w:tc>
          <w:tcPr>
            <w:tcW w:w="50" w:type="pct"/>
            <w:shd w:val="clear" w:color="auto" w:fill="CCEEFF"/>
            <w:vAlign w:val="bottom"/>
            <w:hideMark/>
          </w:tcPr>
          <w:p w14:paraId="7640F8E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1BFF2A4" w14:textId="77777777">
        <w:trPr>
          <w:divId w:val="1681544039"/>
          <w:tblCellSpacing w:w="0" w:type="dxa"/>
        </w:trPr>
        <w:tc>
          <w:tcPr>
            <w:tcW w:w="0" w:type="auto"/>
            <w:shd w:val="clear" w:color="auto" w:fill="FFFFFF"/>
            <w:vAlign w:val="bottom"/>
            <w:hideMark/>
          </w:tcPr>
          <w:p w14:paraId="47C0A4FF"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14:paraId="4486AE2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DD37D4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14:paraId="357B1E8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(341,748,867</w:t>
            </w:r>
          </w:p>
        </w:tc>
        <w:tc>
          <w:tcPr>
            <w:tcW w:w="50" w:type="pct"/>
            <w:shd w:val="clear" w:color="auto" w:fill="FFFFFF"/>
            <w:tcMar>
              <w:top w:w="0" w:type="dxa"/>
              <w:left w:w="0" w:type="dxa"/>
              <w:bottom w:w="15" w:type="dxa"/>
              <w:right w:w="0" w:type="dxa"/>
            </w:tcMar>
            <w:vAlign w:val="bottom"/>
            <w:hideMark/>
          </w:tcPr>
          <w:p w14:paraId="4F502C4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69B22C8D" w14:textId="77777777">
        <w:trPr>
          <w:divId w:val="1681544039"/>
          <w:tblCellSpacing w:w="0" w:type="dxa"/>
        </w:trPr>
        <w:tc>
          <w:tcPr>
            <w:tcW w:w="0" w:type="auto"/>
            <w:shd w:val="clear" w:color="auto" w:fill="CCEEFF"/>
            <w:vAlign w:val="bottom"/>
            <w:hideMark/>
          </w:tcPr>
          <w:p w14:paraId="4BCC5CA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CCEEFF"/>
            <w:vAlign w:val="bottom"/>
            <w:hideMark/>
          </w:tcPr>
          <w:p w14:paraId="7A0BAC7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CE5233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6D8576F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(340,857,547</w:t>
            </w:r>
          </w:p>
        </w:tc>
        <w:tc>
          <w:tcPr>
            <w:tcW w:w="50" w:type="pct"/>
            <w:shd w:val="clear" w:color="auto" w:fill="CCEEFF"/>
            <w:tcMar>
              <w:top w:w="0" w:type="dxa"/>
              <w:left w:w="0" w:type="dxa"/>
              <w:bottom w:w="15" w:type="dxa"/>
              <w:right w:w="0" w:type="dxa"/>
            </w:tcMar>
            <w:vAlign w:val="bottom"/>
            <w:hideMark/>
          </w:tcPr>
          <w:p w14:paraId="34317DC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39D82956" w14:textId="77777777">
        <w:trPr>
          <w:divId w:val="1681544039"/>
          <w:tblCellSpacing w:w="0" w:type="dxa"/>
        </w:trPr>
        <w:tc>
          <w:tcPr>
            <w:tcW w:w="0" w:type="auto"/>
            <w:shd w:val="clear" w:color="auto" w:fill="FFFFFF"/>
            <w:vAlign w:val="bottom"/>
            <w:hideMark/>
          </w:tcPr>
          <w:p w14:paraId="73641C7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2A451F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4E8BFF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018C3F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122A9C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264576E" w14:textId="77777777">
        <w:trPr>
          <w:divId w:val="1681544039"/>
          <w:tblCellSpacing w:w="0" w:type="dxa"/>
        </w:trPr>
        <w:tc>
          <w:tcPr>
            <w:tcW w:w="0" w:type="auto"/>
            <w:shd w:val="clear" w:color="auto" w:fill="CCEEFF"/>
            <w:vAlign w:val="bottom"/>
            <w:hideMark/>
          </w:tcPr>
          <w:p w14:paraId="34B69AE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CCEEFF"/>
            <w:vAlign w:val="bottom"/>
            <w:hideMark/>
          </w:tcPr>
          <w:p w14:paraId="5C60DDB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B269AD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630FBA8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(356,465,230</w:t>
            </w:r>
          </w:p>
        </w:tc>
        <w:tc>
          <w:tcPr>
            <w:tcW w:w="50" w:type="pct"/>
            <w:shd w:val="clear" w:color="auto" w:fill="CCEEFF"/>
            <w:tcMar>
              <w:top w:w="0" w:type="dxa"/>
              <w:left w:w="0" w:type="dxa"/>
              <w:bottom w:w="15" w:type="dxa"/>
              <w:right w:w="0" w:type="dxa"/>
            </w:tcMar>
            <w:vAlign w:val="bottom"/>
            <w:hideMark/>
          </w:tcPr>
          <w:p w14:paraId="6D74516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16AF2726" w14:textId="77777777">
        <w:trPr>
          <w:divId w:val="1681544039"/>
          <w:tblCellSpacing w:w="0" w:type="dxa"/>
        </w:trPr>
        <w:tc>
          <w:tcPr>
            <w:tcW w:w="0" w:type="auto"/>
            <w:shd w:val="clear" w:color="auto" w:fill="FFFFFF"/>
            <w:vAlign w:val="bottom"/>
            <w:hideMark/>
          </w:tcPr>
          <w:p w14:paraId="7E7ADD9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A94DB4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AC12F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360A37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D6AD66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EC24FB6" w14:textId="77777777">
        <w:trPr>
          <w:divId w:val="1681544039"/>
          <w:tblCellSpacing w:w="0" w:type="dxa"/>
        </w:trPr>
        <w:tc>
          <w:tcPr>
            <w:tcW w:w="0" w:type="auto"/>
            <w:shd w:val="clear" w:color="auto" w:fill="CCEEFF"/>
            <w:vAlign w:val="bottom"/>
            <w:hideMark/>
          </w:tcPr>
          <w:p w14:paraId="587DA37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Net Assets at June 30, 2019</w:t>
            </w:r>
          </w:p>
        </w:tc>
        <w:tc>
          <w:tcPr>
            <w:tcW w:w="50" w:type="pct"/>
            <w:shd w:val="clear" w:color="auto" w:fill="CCEEFF"/>
            <w:vAlign w:val="bottom"/>
            <w:hideMark/>
          </w:tcPr>
          <w:p w14:paraId="66F4CAB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811E16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14:paraId="410180E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876,334,726</w:t>
            </w:r>
          </w:p>
        </w:tc>
        <w:tc>
          <w:tcPr>
            <w:tcW w:w="50" w:type="pct"/>
            <w:shd w:val="clear" w:color="auto" w:fill="CCEEFF"/>
            <w:tcMar>
              <w:top w:w="0" w:type="dxa"/>
              <w:left w:w="0" w:type="dxa"/>
              <w:bottom w:w="15" w:type="dxa"/>
              <w:right w:w="0" w:type="dxa"/>
            </w:tcMar>
            <w:vAlign w:val="bottom"/>
            <w:hideMark/>
          </w:tcPr>
          <w:p w14:paraId="71BB6FF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2BF5CCB" w14:textId="77777777">
        <w:trPr>
          <w:divId w:val="1681544039"/>
          <w:tblCellSpacing w:w="0" w:type="dxa"/>
        </w:trPr>
        <w:tc>
          <w:tcPr>
            <w:tcW w:w="0" w:type="auto"/>
            <w:shd w:val="clear" w:color="auto" w:fill="FFFFFF"/>
            <w:vAlign w:val="bottom"/>
            <w:hideMark/>
          </w:tcPr>
          <w:p w14:paraId="3F78C6F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775E75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139E1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495A1F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B7280A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8495CFF" w14:textId="77777777">
        <w:trPr>
          <w:divId w:val="1681544039"/>
          <w:tblCellSpacing w:w="0" w:type="dxa"/>
        </w:trPr>
        <w:tc>
          <w:tcPr>
            <w:tcW w:w="0" w:type="auto"/>
            <w:shd w:val="clear" w:color="auto" w:fill="CCEEFF"/>
            <w:vAlign w:val="bottom"/>
            <w:hideMark/>
          </w:tcPr>
          <w:p w14:paraId="7257997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CCEEFF"/>
            <w:vAlign w:val="bottom"/>
            <w:hideMark/>
          </w:tcPr>
          <w:p w14:paraId="25A702C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32388D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46023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9D0BF5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CD777DE" w14:textId="77777777">
        <w:trPr>
          <w:divId w:val="1681544039"/>
          <w:tblCellSpacing w:w="0" w:type="dxa"/>
        </w:trPr>
        <w:tc>
          <w:tcPr>
            <w:tcW w:w="0" w:type="auto"/>
            <w:shd w:val="clear" w:color="auto" w:fill="FFFFFF"/>
            <w:vAlign w:val="bottom"/>
            <w:hideMark/>
          </w:tcPr>
          <w:p w14:paraId="11818E29"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FFFFFF"/>
            <w:vAlign w:val="bottom"/>
            <w:hideMark/>
          </w:tcPr>
          <w:p w14:paraId="3237877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754F8D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31DBE9D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1,750,000</w:t>
            </w:r>
          </w:p>
        </w:tc>
        <w:tc>
          <w:tcPr>
            <w:tcW w:w="50" w:type="pct"/>
            <w:shd w:val="clear" w:color="auto" w:fill="FFFFFF"/>
            <w:vAlign w:val="bottom"/>
            <w:hideMark/>
          </w:tcPr>
          <w:p w14:paraId="5CA68F6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AAA5D81" w14:textId="77777777">
        <w:trPr>
          <w:divId w:val="1681544039"/>
          <w:tblCellSpacing w:w="0" w:type="dxa"/>
        </w:trPr>
        <w:tc>
          <w:tcPr>
            <w:tcW w:w="0" w:type="auto"/>
            <w:shd w:val="clear" w:color="auto" w:fill="CCEEFF"/>
            <w:vAlign w:val="bottom"/>
            <w:hideMark/>
          </w:tcPr>
          <w:p w14:paraId="711E749C"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CCEEFF"/>
            <w:vAlign w:val="bottom"/>
            <w:hideMark/>
          </w:tcPr>
          <w:p w14:paraId="386C735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391B5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14:paraId="77E8563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(32,500,000</w:t>
            </w:r>
          </w:p>
        </w:tc>
        <w:tc>
          <w:tcPr>
            <w:tcW w:w="50" w:type="pct"/>
            <w:shd w:val="clear" w:color="auto" w:fill="CCEEFF"/>
            <w:tcMar>
              <w:top w:w="0" w:type="dxa"/>
              <w:left w:w="0" w:type="dxa"/>
              <w:bottom w:w="15" w:type="dxa"/>
              <w:right w:w="0" w:type="dxa"/>
            </w:tcMar>
            <w:vAlign w:val="bottom"/>
            <w:hideMark/>
          </w:tcPr>
          <w:p w14:paraId="273FEE6C"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52479BE7" w14:textId="77777777">
        <w:trPr>
          <w:divId w:val="1681544039"/>
          <w:tblCellSpacing w:w="0" w:type="dxa"/>
        </w:trPr>
        <w:tc>
          <w:tcPr>
            <w:tcW w:w="0" w:type="auto"/>
            <w:shd w:val="clear" w:color="auto" w:fill="FFFFFF"/>
            <w:vAlign w:val="bottom"/>
            <w:hideMark/>
          </w:tcPr>
          <w:p w14:paraId="54D2078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decrease in Shares issued and outstanding</w:t>
            </w:r>
          </w:p>
        </w:tc>
        <w:tc>
          <w:tcPr>
            <w:tcW w:w="50" w:type="pct"/>
            <w:shd w:val="clear" w:color="auto" w:fill="FFFFFF"/>
            <w:vAlign w:val="bottom"/>
            <w:hideMark/>
          </w:tcPr>
          <w:p w14:paraId="18770AC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9E5342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FFFFFF"/>
            <w:vAlign w:val="bottom"/>
            <w:hideMark/>
          </w:tcPr>
          <w:p w14:paraId="590DCCE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(30,750,000</w:t>
            </w:r>
          </w:p>
        </w:tc>
        <w:tc>
          <w:tcPr>
            <w:tcW w:w="50" w:type="pct"/>
            <w:shd w:val="clear" w:color="auto" w:fill="FFFFFF"/>
            <w:tcMar>
              <w:top w:w="0" w:type="dxa"/>
              <w:left w:w="0" w:type="dxa"/>
              <w:bottom w:w="45" w:type="dxa"/>
              <w:right w:w="0" w:type="dxa"/>
            </w:tcMar>
            <w:vAlign w:val="bottom"/>
            <w:hideMark/>
          </w:tcPr>
          <w:p w14:paraId="017A778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bl>
    <w:p w14:paraId="2034D96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6859D6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EF4A02E"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39B1F92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BB00B21" w14:textId="77777777" w:rsidR="00000000" w:rsidRDefault="00016ED8">
      <w:pPr>
        <w:jc w:val="center"/>
        <w:divId w:val="739717828"/>
        <w:rPr>
          <w:rFonts w:ascii="Arial" w:eastAsia="Times New Roman" w:hAnsi="Arial" w:cs="Arial"/>
          <w:sz w:val="20"/>
          <w:szCs w:val="20"/>
        </w:rPr>
      </w:pPr>
      <w:r>
        <w:rPr>
          <w:rFonts w:ascii="Arial" w:eastAsia="Times New Roman" w:hAnsi="Arial" w:cs="Arial"/>
          <w:sz w:val="20"/>
          <w:szCs w:val="20"/>
        </w:rPr>
        <w:t xml:space="preserve">4 </w:t>
      </w:r>
    </w:p>
    <w:p w14:paraId="2BA7F982" w14:textId="77777777" w:rsidR="00000000" w:rsidRDefault="00016ED8">
      <w:pPr>
        <w:divId w:val="1206991806"/>
        <w:rPr>
          <w:rFonts w:ascii="Arial" w:eastAsia="Times New Roman" w:hAnsi="Arial" w:cs="Arial"/>
          <w:sz w:val="20"/>
          <w:szCs w:val="20"/>
        </w:rPr>
      </w:pPr>
      <w:r>
        <w:rPr>
          <w:rFonts w:ascii="Arial" w:eastAsia="Times New Roman" w:hAnsi="Arial" w:cs="Arial"/>
          <w:sz w:val="20"/>
          <w:szCs w:val="20"/>
        </w:rPr>
        <w:pict w14:anchorId="61252BB9">
          <v:rect id="_x0000_i1042" style="width:0;height:1.5pt" o:hralign="center" o:hrstd="t" o:hr="t" fillcolor="#a0a0a0" stroked="f"/>
        </w:pict>
      </w:r>
    </w:p>
    <w:p w14:paraId="661BC844" w14:textId="77777777" w:rsidR="00000000" w:rsidRDefault="00016ED8">
      <w:pPr>
        <w:divId w:val="41359939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2DEC2F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6E9D3D8" w14:textId="77777777" w:rsidR="00000000" w:rsidRDefault="00016ED8">
      <w:pPr>
        <w:divId w:val="240602349"/>
        <w:rPr>
          <w:rFonts w:ascii="Arial" w:eastAsia="Times New Roman" w:hAnsi="Arial" w:cs="Arial"/>
          <w:sz w:val="20"/>
          <w:szCs w:val="20"/>
        </w:rPr>
      </w:pPr>
      <w:r>
        <w:rPr>
          <w:rFonts w:ascii="Arial" w:eastAsia="Times New Roman" w:hAnsi="Arial" w:cs="Arial"/>
          <w:sz w:val="20"/>
          <w:szCs w:val="20"/>
        </w:rPr>
        <w:t xml:space="preserve">  </w:t>
      </w:r>
    </w:p>
    <w:p w14:paraId="1370F112" w14:textId="77777777" w:rsidR="00000000" w:rsidRDefault="00016ED8">
      <w:pPr>
        <w:pStyle w:val="a3"/>
        <w:spacing w:before="0" w:beforeAutospacing="0" w:after="0" w:afterAutospacing="0"/>
        <w:ind w:left="144" w:right="144"/>
        <w:jc w:val="center"/>
        <w:rPr>
          <w:rFonts w:ascii="Arial" w:hAnsi="Arial" w:cs="Arial"/>
          <w:sz w:val="20"/>
          <w:szCs w:val="20"/>
        </w:rPr>
      </w:pPr>
      <w:r>
        <w:rPr>
          <w:rFonts w:ascii="Arial" w:hAnsi="Arial" w:cs="Arial"/>
          <w:b/>
          <w:bCs/>
          <w:sz w:val="20"/>
          <w:szCs w:val="20"/>
        </w:rPr>
        <w:t>iShares S&amp;P GSCI™ Commodity-Indexed Trust</w:t>
      </w:r>
    </w:p>
    <w:p w14:paraId="6EDCECB8" w14:textId="77777777" w:rsidR="00000000" w:rsidRDefault="00016ED8">
      <w:pPr>
        <w:pStyle w:val="a3"/>
        <w:spacing w:before="0" w:beforeAutospacing="0" w:after="0" w:afterAutospacing="0"/>
        <w:ind w:left="144" w:right="144"/>
        <w:jc w:val="center"/>
        <w:rPr>
          <w:rFonts w:ascii="Arial" w:hAnsi="Arial" w:cs="Arial"/>
          <w:sz w:val="20"/>
          <w:szCs w:val="20"/>
        </w:rPr>
      </w:pPr>
      <w:r>
        <w:rPr>
          <w:rFonts w:ascii="Arial" w:hAnsi="Arial" w:cs="Arial"/>
          <w:b/>
          <w:bCs/>
          <w:sz w:val="20"/>
          <w:szCs w:val="20"/>
        </w:rPr>
        <w:t>Statements of Cash Flows (Unaudited)</w:t>
      </w:r>
    </w:p>
    <w:p w14:paraId="2C723CFD" w14:textId="77777777" w:rsidR="00000000" w:rsidRDefault="00016ED8">
      <w:pPr>
        <w:pStyle w:val="a3"/>
        <w:spacing w:before="0" w:beforeAutospacing="0" w:after="0" w:afterAutospacing="0"/>
        <w:ind w:left="144" w:right="144"/>
        <w:jc w:val="center"/>
        <w:rPr>
          <w:rFonts w:ascii="Arial" w:hAnsi="Arial" w:cs="Arial"/>
          <w:sz w:val="20"/>
          <w:szCs w:val="20"/>
        </w:rPr>
      </w:pPr>
      <w:r>
        <w:rPr>
          <w:rFonts w:ascii="Arial" w:hAnsi="Arial" w:cs="Arial"/>
          <w:sz w:val="20"/>
          <w:szCs w:val="20"/>
        </w:rPr>
        <w:t>For the six months ended June 30, 2020 and 2019</w:t>
      </w:r>
    </w:p>
    <w:p w14:paraId="359A905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4"/>
        <w:gridCol w:w="56"/>
        <w:gridCol w:w="112"/>
        <w:gridCol w:w="1346"/>
        <w:gridCol w:w="67"/>
        <w:gridCol w:w="56"/>
        <w:gridCol w:w="112"/>
        <w:gridCol w:w="1346"/>
        <w:gridCol w:w="67"/>
      </w:tblGrid>
      <w:tr w:rsidR="00000000" w14:paraId="36B62102" w14:textId="77777777">
        <w:trPr>
          <w:divId w:val="232930211"/>
          <w:tblCellSpacing w:w="0" w:type="dxa"/>
        </w:trPr>
        <w:tc>
          <w:tcPr>
            <w:tcW w:w="0" w:type="auto"/>
            <w:vAlign w:val="bottom"/>
            <w:hideMark/>
          </w:tcPr>
          <w:p w14:paraId="05A0896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AC379B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14:paraId="38228BF9"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p>
        </w:tc>
        <w:tc>
          <w:tcPr>
            <w:tcW w:w="0" w:type="auto"/>
            <w:vAlign w:val="bottom"/>
            <w:hideMark/>
          </w:tcPr>
          <w:p w14:paraId="2060A5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31648A2" w14:textId="77777777">
        <w:trPr>
          <w:divId w:val="232930211"/>
          <w:tblCellSpacing w:w="0" w:type="dxa"/>
        </w:trPr>
        <w:tc>
          <w:tcPr>
            <w:tcW w:w="0" w:type="auto"/>
            <w:vAlign w:val="bottom"/>
            <w:hideMark/>
          </w:tcPr>
          <w:p w14:paraId="041D133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6A779F8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0A305A8F"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0" w:type="auto"/>
            <w:tcMar>
              <w:top w:w="0" w:type="dxa"/>
              <w:left w:w="0" w:type="dxa"/>
              <w:bottom w:w="15" w:type="dxa"/>
              <w:right w:w="0" w:type="dxa"/>
            </w:tcMar>
            <w:vAlign w:val="bottom"/>
            <w:hideMark/>
          </w:tcPr>
          <w:p w14:paraId="7C0EE93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FE01B69" w14:textId="77777777">
        <w:trPr>
          <w:divId w:val="232930211"/>
          <w:tblCellSpacing w:w="0" w:type="dxa"/>
        </w:trPr>
        <w:tc>
          <w:tcPr>
            <w:tcW w:w="0" w:type="auto"/>
            <w:vAlign w:val="bottom"/>
            <w:hideMark/>
          </w:tcPr>
          <w:p w14:paraId="68ED64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763D8F9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2BAFFF5"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0" w:type="auto"/>
            <w:tcMar>
              <w:top w:w="0" w:type="dxa"/>
              <w:left w:w="0" w:type="dxa"/>
              <w:bottom w:w="15" w:type="dxa"/>
              <w:right w:w="0" w:type="dxa"/>
            </w:tcMar>
            <w:vAlign w:val="bottom"/>
            <w:hideMark/>
          </w:tcPr>
          <w:p w14:paraId="4AFA1AF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77E9621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F6465C4"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2019 </w:t>
            </w:r>
          </w:p>
        </w:tc>
        <w:tc>
          <w:tcPr>
            <w:tcW w:w="0" w:type="auto"/>
            <w:tcMar>
              <w:top w:w="0" w:type="dxa"/>
              <w:left w:w="0" w:type="dxa"/>
              <w:bottom w:w="15" w:type="dxa"/>
              <w:right w:w="0" w:type="dxa"/>
            </w:tcMar>
            <w:vAlign w:val="bottom"/>
            <w:hideMark/>
          </w:tcPr>
          <w:p w14:paraId="59A0FB9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6A79C2E" w14:textId="77777777">
        <w:trPr>
          <w:divId w:val="232930211"/>
          <w:tblCellSpacing w:w="0" w:type="dxa"/>
        </w:trPr>
        <w:tc>
          <w:tcPr>
            <w:tcW w:w="3300" w:type="pct"/>
            <w:shd w:val="clear" w:color="auto" w:fill="CCEEFF"/>
            <w:vAlign w:val="bottom"/>
            <w:hideMark/>
          </w:tcPr>
          <w:p w14:paraId="238838EE"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Cash Flows from Operating Activities</w:t>
            </w:r>
          </w:p>
        </w:tc>
        <w:tc>
          <w:tcPr>
            <w:tcW w:w="0" w:type="auto"/>
            <w:shd w:val="clear" w:color="auto" w:fill="CCEEFF"/>
            <w:vAlign w:val="bottom"/>
            <w:hideMark/>
          </w:tcPr>
          <w:p w14:paraId="3BFCB54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8C2AB0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F27DD4C"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7617777"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130D5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9744A0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D490B4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64315C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5B57F0F7" w14:textId="77777777">
        <w:trPr>
          <w:divId w:val="232930211"/>
          <w:tblCellSpacing w:w="0" w:type="dxa"/>
        </w:trPr>
        <w:tc>
          <w:tcPr>
            <w:tcW w:w="0" w:type="auto"/>
            <w:shd w:val="clear" w:color="auto" w:fill="FFFFFF"/>
            <w:vAlign w:val="bottom"/>
            <w:hideMark/>
          </w:tcPr>
          <w:p w14:paraId="771F7A9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14:paraId="0DAE993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E38D32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14:paraId="650A83B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(310,391,805</w:t>
            </w:r>
          </w:p>
        </w:tc>
        <w:tc>
          <w:tcPr>
            <w:tcW w:w="50" w:type="pct"/>
            <w:shd w:val="clear" w:color="auto" w:fill="FFFFFF"/>
            <w:vAlign w:val="bottom"/>
            <w:hideMark/>
          </w:tcPr>
          <w:p w14:paraId="5F6D0FED"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608D34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B9D74D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14:paraId="72989BF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154,705,167</w:t>
            </w:r>
          </w:p>
        </w:tc>
        <w:tc>
          <w:tcPr>
            <w:tcW w:w="50" w:type="pct"/>
            <w:shd w:val="clear" w:color="auto" w:fill="FFFFFF"/>
            <w:vAlign w:val="bottom"/>
            <w:hideMark/>
          </w:tcPr>
          <w:p w14:paraId="63A5667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1D4B870" w14:textId="77777777">
        <w:trPr>
          <w:divId w:val="232930211"/>
          <w:tblCellSpacing w:w="0" w:type="dxa"/>
        </w:trPr>
        <w:tc>
          <w:tcPr>
            <w:tcW w:w="0" w:type="auto"/>
            <w:shd w:val="clear" w:color="auto" w:fill="CCEEFF"/>
            <w:vAlign w:val="bottom"/>
            <w:hideMark/>
          </w:tcPr>
          <w:p w14:paraId="57C40D7E" w14:textId="77777777" w:rsidR="00000000" w:rsidRDefault="00016ED8">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0" w:type="auto"/>
            <w:shd w:val="clear" w:color="auto" w:fill="CCEEFF"/>
            <w:vAlign w:val="bottom"/>
            <w:hideMark/>
          </w:tcPr>
          <w:p w14:paraId="17468BD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86F949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BA53F4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D78498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AA97A4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2C43B5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25AB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92F978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86FEBFC" w14:textId="77777777">
        <w:trPr>
          <w:divId w:val="232930211"/>
          <w:tblCellSpacing w:w="0" w:type="dxa"/>
        </w:trPr>
        <w:tc>
          <w:tcPr>
            <w:tcW w:w="0" w:type="auto"/>
            <w:shd w:val="clear" w:color="auto" w:fill="FFFFFF"/>
            <w:vAlign w:val="bottom"/>
            <w:hideMark/>
          </w:tcPr>
          <w:p w14:paraId="28B4627A"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14:paraId="2B32A83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6CA4F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5001872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(1,786,918,935</w:t>
            </w:r>
          </w:p>
        </w:tc>
        <w:tc>
          <w:tcPr>
            <w:tcW w:w="50" w:type="pct"/>
            <w:shd w:val="clear" w:color="auto" w:fill="FFFFFF"/>
            <w:vAlign w:val="bottom"/>
            <w:hideMark/>
          </w:tcPr>
          <w:p w14:paraId="65AA9A77"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CF4A30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01EBDD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26660F2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(4,662,031,173</w:t>
            </w:r>
          </w:p>
        </w:tc>
        <w:tc>
          <w:tcPr>
            <w:tcW w:w="50" w:type="pct"/>
            <w:shd w:val="clear" w:color="auto" w:fill="FFFFFF"/>
            <w:vAlign w:val="bottom"/>
            <w:hideMark/>
          </w:tcPr>
          <w:p w14:paraId="3460963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16ECBC1C" w14:textId="77777777">
        <w:trPr>
          <w:divId w:val="232930211"/>
          <w:tblCellSpacing w:w="0" w:type="dxa"/>
        </w:trPr>
        <w:tc>
          <w:tcPr>
            <w:tcW w:w="0" w:type="auto"/>
            <w:shd w:val="clear" w:color="auto" w:fill="CCEEFF"/>
            <w:vAlign w:val="bottom"/>
            <w:hideMark/>
          </w:tcPr>
          <w:p w14:paraId="78BD163C"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14:paraId="090AE7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4D81F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727F775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1,976,935,600</w:t>
            </w:r>
          </w:p>
        </w:tc>
        <w:tc>
          <w:tcPr>
            <w:tcW w:w="50" w:type="pct"/>
            <w:shd w:val="clear" w:color="auto" w:fill="CCEEFF"/>
            <w:vAlign w:val="bottom"/>
            <w:hideMark/>
          </w:tcPr>
          <w:p w14:paraId="1F12D8B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10E29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FD162D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4ECAB85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4,956,202,455</w:t>
            </w:r>
          </w:p>
        </w:tc>
        <w:tc>
          <w:tcPr>
            <w:tcW w:w="50" w:type="pct"/>
            <w:shd w:val="clear" w:color="auto" w:fill="CCEEFF"/>
            <w:vAlign w:val="bottom"/>
            <w:hideMark/>
          </w:tcPr>
          <w:p w14:paraId="520EA56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F4F8B96" w14:textId="77777777">
        <w:trPr>
          <w:divId w:val="232930211"/>
          <w:tblCellSpacing w:w="0" w:type="dxa"/>
        </w:trPr>
        <w:tc>
          <w:tcPr>
            <w:tcW w:w="0" w:type="auto"/>
            <w:shd w:val="clear" w:color="auto" w:fill="FFFFFF"/>
            <w:vAlign w:val="bottom"/>
            <w:hideMark/>
          </w:tcPr>
          <w:p w14:paraId="12F94788"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14:paraId="0039D93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4EDE4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5AB25F0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(3,374,048</w:t>
            </w:r>
          </w:p>
        </w:tc>
        <w:tc>
          <w:tcPr>
            <w:tcW w:w="50" w:type="pct"/>
            <w:shd w:val="clear" w:color="auto" w:fill="FFFFFF"/>
            <w:vAlign w:val="bottom"/>
            <w:hideMark/>
          </w:tcPr>
          <w:p w14:paraId="07F5575C"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A250B8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38599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4ED0DE8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(13,725,952</w:t>
            </w:r>
          </w:p>
        </w:tc>
        <w:tc>
          <w:tcPr>
            <w:tcW w:w="50" w:type="pct"/>
            <w:shd w:val="clear" w:color="auto" w:fill="FFFFFF"/>
            <w:vAlign w:val="bottom"/>
            <w:hideMark/>
          </w:tcPr>
          <w:p w14:paraId="3DF4B1A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42D5CAA1" w14:textId="77777777">
        <w:trPr>
          <w:divId w:val="232930211"/>
          <w:tblCellSpacing w:w="0" w:type="dxa"/>
        </w:trPr>
        <w:tc>
          <w:tcPr>
            <w:tcW w:w="0" w:type="auto"/>
            <w:shd w:val="clear" w:color="auto" w:fill="CCEEFF"/>
            <w:vAlign w:val="bottom"/>
            <w:hideMark/>
          </w:tcPr>
          <w:p w14:paraId="59AADD5F"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14:paraId="0AFB644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94388D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5EE5295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(61,104</w:t>
            </w:r>
          </w:p>
        </w:tc>
        <w:tc>
          <w:tcPr>
            <w:tcW w:w="50" w:type="pct"/>
            <w:shd w:val="clear" w:color="auto" w:fill="CCEEFF"/>
            <w:vAlign w:val="bottom"/>
            <w:hideMark/>
          </w:tcPr>
          <w:p w14:paraId="186F15B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8A1E38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A2932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78F4023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(8,256</w:t>
            </w:r>
          </w:p>
        </w:tc>
        <w:tc>
          <w:tcPr>
            <w:tcW w:w="50" w:type="pct"/>
            <w:shd w:val="clear" w:color="auto" w:fill="CCEEFF"/>
            <w:vAlign w:val="bottom"/>
            <w:hideMark/>
          </w:tcPr>
          <w:p w14:paraId="44065AC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3B209DAD" w14:textId="77777777">
        <w:trPr>
          <w:divId w:val="232930211"/>
          <w:tblCellSpacing w:w="0" w:type="dxa"/>
        </w:trPr>
        <w:tc>
          <w:tcPr>
            <w:tcW w:w="0" w:type="auto"/>
            <w:shd w:val="clear" w:color="auto" w:fill="FFFFFF"/>
            <w:vAlign w:val="bottom"/>
            <w:hideMark/>
          </w:tcPr>
          <w:p w14:paraId="1ECB54C3"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14:paraId="797F813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8E47D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0C6804C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85,594</w:t>
            </w:r>
          </w:p>
        </w:tc>
        <w:tc>
          <w:tcPr>
            <w:tcW w:w="50" w:type="pct"/>
            <w:shd w:val="clear" w:color="auto" w:fill="FFFFFF"/>
            <w:vAlign w:val="bottom"/>
            <w:hideMark/>
          </w:tcPr>
          <w:p w14:paraId="0D8B83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2DB93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1277CD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22ED731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(353,577</w:t>
            </w:r>
          </w:p>
        </w:tc>
        <w:tc>
          <w:tcPr>
            <w:tcW w:w="50" w:type="pct"/>
            <w:shd w:val="clear" w:color="auto" w:fill="FFFFFF"/>
            <w:vAlign w:val="bottom"/>
            <w:hideMark/>
          </w:tcPr>
          <w:p w14:paraId="0A640BAD"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6F2E73AA" w14:textId="77777777">
        <w:trPr>
          <w:divId w:val="232930211"/>
          <w:tblCellSpacing w:w="0" w:type="dxa"/>
        </w:trPr>
        <w:tc>
          <w:tcPr>
            <w:tcW w:w="0" w:type="auto"/>
            <w:shd w:val="clear" w:color="auto" w:fill="CCEEFF"/>
            <w:tcMar>
              <w:top w:w="0" w:type="dxa"/>
              <w:left w:w="360" w:type="dxa"/>
              <w:bottom w:w="0" w:type="dxa"/>
              <w:right w:w="0" w:type="dxa"/>
            </w:tcMar>
            <w:vAlign w:val="center"/>
            <w:hideMark/>
          </w:tcPr>
          <w:p w14:paraId="6D4DC7AB" w14:textId="77777777" w:rsidR="00000000" w:rsidRDefault="00016ED8">
            <w:pPr>
              <w:rPr>
                <w:rFonts w:ascii="Arial" w:eastAsia="Times New Roman" w:hAnsi="Arial" w:cs="Arial"/>
                <w:sz w:val="20"/>
                <w:szCs w:val="20"/>
              </w:rPr>
            </w:pPr>
            <w:r>
              <w:rPr>
                <w:rFonts w:ascii="Arial" w:eastAsia="Times New Roman" w:hAnsi="Arial" w:cs="Arial"/>
                <w:sz w:val="20"/>
                <w:szCs w:val="20"/>
              </w:rPr>
              <w:t>Change in operating assets and liabilities:</w:t>
            </w:r>
          </w:p>
        </w:tc>
        <w:tc>
          <w:tcPr>
            <w:tcW w:w="50" w:type="pct"/>
            <w:shd w:val="clear" w:color="auto" w:fill="CCEEFF"/>
            <w:vAlign w:val="center"/>
            <w:hideMark/>
          </w:tcPr>
          <w:p w14:paraId="5BF1D2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67234BD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center"/>
            <w:hideMark/>
          </w:tcPr>
          <w:p w14:paraId="5021243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227712C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4D18D4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4C8FD74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center"/>
            <w:hideMark/>
          </w:tcPr>
          <w:p w14:paraId="454282F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23A795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F06C409" w14:textId="77777777">
        <w:trPr>
          <w:divId w:val="232930211"/>
          <w:tblCellSpacing w:w="0" w:type="dxa"/>
        </w:trPr>
        <w:tc>
          <w:tcPr>
            <w:tcW w:w="0" w:type="auto"/>
            <w:shd w:val="clear" w:color="auto" w:fill="FFFFFF"/>
            <w:vAlign w:val="bottom"/>
            <w:hideMark/>
          </w:tcPr>
          <w:p w14:paraId="64183C2A" w14:textId="77777777" w:rsidR="00000000" w:rsidRDefault="00016ED8">
            <w:pPr>
              <w:pStyle w:val="a3"/>
              <w:spacing w:before="0" w:beforeAutospacing="0" w:after="0" w:afterAutospacing="0"/>
              <w:ind w:left="72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14:paraId="10C8F76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8C792E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6B5B0D5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(3,964,473</w:t>
            </w:r>
          </w:p>
        </w:tc>
        <w:tc>
          <w:tcPr>
            <w:tcW w:w="50" w:type="pct"/>
            <w:shd w:val="clear" w:color="auto" w:fill="FFFFFF"/>
            <w:vAlign w:val="bottom"/>
            <w:hideMark/>
          </w:tcPr>
          <w:p w14:paraId="1F1ACA20"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1C8DE1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1FD794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2422F0A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FFFFFF"/>
            <w:vAlign w:val="bottom"/>
            <w:hideMark/>
          </w:tcPr>
          <w:p w14:paraId="6B77691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A4AB139" w14:textId="77777777">
        <w:trPr>
          <w:divId w:val="232930211"/>
          <w:tblCellSpacing w:w="0" w:type="dxa"/>
        </w:trPr>
        <w:tc>
          <w:tcPr>
            <w:tcW w:w="0" w:type="auto"/>
            <w:shd w:val="clear" w:color="auto" w:fill="CCEEFF"/>
            <w:vAlign w:val="bottom"/>
            <w:hideMark/>
          </w:tcPr>
          <w:p w14:paraId="219B67B6" w14:textId="77777777" w:rsidR="00000000" w:rsidRDefault="00016ED8">
            <w:pPr>
              <w:pStyle w:val="a3"/>
              <w:spacing w:before="0" w:beforeAutospacing="0" w:after="0" w:afterAutospacing="0"/>
              <w:ind w:left="72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14:paraId="61E66DC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00F7CF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4D3AA0C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14:paraId="5D367B82"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E2D112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1F8DB3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72FEAE1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11,385,911</w:t>
            </w:r>
          </w:p>
        </w:tc>
        <w:tc>
          <w:tcPr>
            <w:tcW w:w="50" w:type="pct"/>
            <w:shd w:val="clear" w:color="auto" w:fill="CCEEFF"/>
            <w:vAlign w:val="bottom"/>
            <w:hideMark/>
          </w:tcPr>
          <w:p w14:paraId="2F696B6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241D160" w14:textId="77777777">
        <w:trPr>
          <w:divId w:val="232930211"/>
          <w:tblCellSpacing w:w="0" w:type="dxa"/>
        </w:trPr>
        <w:tc>
          <w:tcPr>
            <w:tcW w:w="0" w:type="auto"/>
            <w:shd w:val="clear" w:color="auto" w:fill="FFFFFF"/>
            <w:vAlign w:val="bottom"/>
            <w:hideMark/>
          </w:tcPr>
          <w:p w14:paraId="1E7DD13E" w14:textId="77777777" w:rsidR="00000000" w:rsidRDefault="00016ED8">
            <w:pPr>
              <w:pStyle w:val="a3"/>
              <w:spacing w:before="0" w:beforeAutospacing="0" w:after="0" w:afterAutospacing="0"/>
              <w:ind w:left="72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14:paraId="5BD102F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6C074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57606CE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(104,492</w:t>
            </w:r>
          </w:p>
        </w:tc>
        <w:tc>
          <w:tcPr>
            <w:tcW w:w="50" w:type="pct"/>
            <w:shd w:val="clear" w:color="auto" w:fill="FFFFFF"/>
            <w:vAlign w:val="bottom"/>
            <w:hideMark/>
          </w:tcPr>
          <w:p w14:paraId="293E1390"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D813FA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738FF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14:paraId="56667CE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(220,461</w:t>
            </w:r>
          </w:p>
        </w:tc>
        <w:tc>
          <w:tcPr>
            <w:tcW w:w="50" w:type="pct"/>
            <w:shd w:val="clear" w:color="auto" w:fill="FFFFFF"/>
            <w:vAlign w:val="bottom"/>
            <w:hideMark/>
          </w:tcPr>
          <w:p w14:paraId="34D17352"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75A998B1" w14:textId="77777777">
        <w:trPr>
          <w:divId w:val="232930211"/>
          <w:tblCellSpacing w:w="0" w:type="dxa"/>
        </w:trPr>
        <w:tc>
          <w:tcPr>
            <w:tcW w:w="0" w:type="auto"/>
            <w:shd w:val="clear" w:color="auto" w:fill="CCEEFF"/>
            <w:vAlign w:val="bottom"/>
            <w:hideMark/>
          </w:tcPr>
          <w:p w14:paraId="120A3FBF" w14:textId="77777777" w:rsidR="00000000" w:rsidRDefault="00016ED8">
            <w:pPr>
              <w:pStyle w:val="a3"/>
              <w:spacing w:before="0" w:beforeAutospacing="0" w:after="0" w:afterAutospacing="0"/>
              <w:ind w:left="720"/>
              <w:rPr>
                <w:rFonts w:ascii="Arial" w:hAnsi="Arial" w:cs="Arial"/>
                <w:sz w:val="20"/>
                <w:szCs w:val="20"/>
              </w:rPr>
            </w:pPr>
            <w:r>
              <w:rPr>
                <w:rFonts w:ascii="Arial" w:hAnsi="Arial" w:cs="Arial"/>
                <w:sz w:val="20"/>
                <w:szCs w:val="20"/>
              </w:rPr>
              <w:t>Brokerage commissions and fees payable</w:t>
            </w:r>
          </w:p>
        </w:tc>
        <w:tc>
          <w:tcPr>
            <w:tcW w:w="50" w:type="pct"/>
            <w:shd w:val="clear" w:color="auto" w:fill="CCEEFF"/>
            <w:tcMar>
              <w:top w:w="0" w:type="dxa"/>
              <w:left w:w="0" w:type="dxa"/>
              <w:bottom w:w="15" w:type="dxa"/>
              <w:right w:w="0" w:type="dxa"/>
            </w:tcMar>
            <w:vAlign w:val="bottom"/>
            <w:hideMark/>
          </w:tcPr>
          <w:p w14:paraId="2E3C3D2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802046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60701FC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4880549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E39CDE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A9D788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5625A9E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CCEEFF"/>
            <w:tcMar>
              <w:top w:w="0" w:type="dxa"/>
              <w:left w:w="0" w:type="dxa"/>
              <w:bottom w:w="15" w:type="dxa"/>
              <w:right w:w="0" w:type="dxa"/>
            </w:tcMar>
            <w:vAlign w:val="bottom"/>
            <w:hideMark/>
          </w:tcPr>
          <w:p w14:paraId="7DF330F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4D22675E" w14:textId="77777777">
        <w:trPr>
          <w:divId w:val="232930211"/>
          <w:tblCellSpacing w:w="0" w:type="dxa"/>
        </w:trPr>
        <w:tc>
          <w:tcPr>
            <w:tcW w:w="0" w:type="auto"/>
            <w:shd w:val="clear" w:color="auto" w:fill="FFFFFF"/>
            <w:vAlign w:val="bottom"/>
            <w:hideMark/>
          </w:tcPr>
          <w:p w14:paraId="0653A3F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FFFFFF"/>
            <w:tcMar>
              <w:top w:w="0" w:type="dxa"/>
              <w:left w:w="0" w:type="dxa"/>
              <w:bottom w:w="15" w:type="dxa"/>
              <w:right w:w="0" w:type="dxa"/>
            </w:tcMar>
            <w:vAlign w:val="bottom"/>
            <w:hideMark/>
          </w:tcPr>
          <w:p w14:paraId="51C69A6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B1DCF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51B73E3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(133,746,244</w:t>
            </w:r>
          </w:p>
        </w:tc>
        <w:tc>
          <w:tcPr>
            <w:tcW w:w="50" w:type="pct"/>
            <w:shd w:val="clear" w:color="auto" w:fill="FFFFFF"/>
            <w:tcMar>
              <w:top w:w="0" w:type="dxa"/>
              <w:left w:w="0" w:type="dxa"/>
              <w:bottom w:w="15" w:type="dxa"/>
              <w:right w:w="0" w:type="dxa"/>
            </w:tcMar>
            <w:vAlign w:val="bottom"/>
            <w:hideMark/>
          </w:tcPr>
          <w:p w14:paraId="7DDB3C97"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5EB060E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F82FF2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4F831E3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446,866,711</w:t>
            </w:r>
          </w:p>
        </w:tc>
        <w:tc>
          <w:tcPr>
            <w:tcW w:w="50" w:type="pct"/>
            <w:shd w:val="clear" w:color="auto" w:fill="FFFFFF"/>
            <w:tcMar>
              <w:top w:w="0" w:type="dxa"/>
              <w:left w:w="0" w:type="dxa"/>
              <w:bottom w:w="15" w:type="dxa"/>
              <w:right w:w="0" w:type="dxa"/>
            </w:tcMar>
            <w:vAlign w:val="bottom"/>
            <w:hideMark/>
          </w:tcPr>
          <w:p w14:paraId="742BBDE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F772AB3" w14:textId="77777777">
        <w:trPr>
          <w:divId w:val="232930211"/>
          <w:tblCellSpacing w:w="0" w:type="dxa"/>
        </w:trPr>
        <w:tc>
          <w:tcPr>
            <w:tcW w:w="0" w:type="auto"/>
            <w:shd w:val="clear" w:color="auto" w:fill="CCEEFF"/>
            <w:vAlign w:val="center"/>
            <w:hideMark/>
          </w:tcPr>
          <w:p w14:paraId="3BE4709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45BF485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5646E70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7919E4E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7170AC8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0A97425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67D9876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1F2B8AC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6477B5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C5C0B6A" w14:textId="77777777">
        <w:trPr>
          <w:divId w:val="232930211"/>
          <w:tblCellSpacing w:w="0" w:type="dxa"/>
        </w:trPr>
        <w:tc>
          <w:tcPr>
            <w:tcW w:w="0" w:type="auto"/>
            <w:shd w:val="clear" w:color="auto" w:fill="FFFFFF"/>
            <w:vAlign w:val="bottom"/>
            <w:hideMark/>
          </w:tcPr>
          <w:p w14:paraId="79ADFFA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xml:space="preserve">Cash Flows from Financing Activities </w:t>
            </w:r>
          </w:p>
        </w:tc>
        <w:tc>
          <w:tcPr>
            <w:tcW w:w="0" w:type="auto"/>
            <w:shd w:val="clear" w:color="auto" w:fill="FFFFFF"/>
            <w:vAlign w:val="bottom"/>
            <w:hideMark/>
          </w:tcPr>
          <w:p w14:paraId="23356F5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3FDA6D6"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4F6431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678EA61"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7C44BF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0A38D44"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D6F1C3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6A99E110"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6DDBEE8A" w14:textId="77777777">
        <w:trPr>
          <w:divId w:val="232930211"/>
          <w:tblCellSpacing w:w="0" w:type="dxa"/>
        </w:trPr>
        <w:tc>
          <w:tcPr>
            <w:tcW w:w="0" w:type="auto"/>
            <w:shd w:val="clear" w:color="auto" w:fill="CCEEFF"/>
            <w:vAlign w:val="bottom"/>
            <w:hideMark/>
          </w:tcPr>
          <w:p w14:paraId="622EAADC"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14:paraId="335DB3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BA5AC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043A7FB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193,175,344</w:t>
            </w:r>
          </w:p>
        </w:tc>
        <w:tc>
          <w:tcPr>
            <w:tcW w:w="50" w:type="pct"/>
            <w:shd w:val="clear" w:color="auto" w:fill="CCEEFF"/>
            <w:vAlign w:val="bottom"/>
            <w:hideMark/>
          </w:tcPr>
          <w:p w14:paraId="5342FC2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D142F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60381F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14:paraId="3F9D67A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25,109,236</w:t>
            </w:r>
          </w:p>
        </w:tc>
        <w:tc>
          <w:tcPr>
            <w:tcW w:w="50" w:type="pct"/>
            <w:shd w:val="clear" w:color="auto" w:fill="CCEEFF"/>
            <w:vAlign w:val="bottom"/>
            <w:hideMark/>
          </w:tcPr>
          <w:p w14:paraId="149D33E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078E324" w14:textId="77777777">
        <w:trPr>
          <w:divId w:val="232930211"/>
          <w:tblCellSpacing w:w="0" w:type="dxa"/>
        </w:trPr>
        <w:tc>
          <w:tcPr>
            <w:tcW w:w="0" w:type="auto"/>
            <w:shd w:val="clear" w:color="auto" w:fill="FFFFFF"/>
            <w:vAlign w:val="bottom"/>
            <w:hideMark/>
          </w:tcPr>
          <w:p w14:paraId="295B1FFE"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tcMar>
              <w:top w:w="0" w:type="dxa"/>
              <w:left w:w="0" w:type="dxa"/>
              <w:bottom w:w="15" w:type="dxa"/>
              <w:right w:w="0" w:type="dxa"/>
            </w:tcMar>
            <w:vAlign w:val="bottom"/>
            <w:hideMark/>
          </w:tcPr>
          <w:p w14:paraId="27E710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670749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03365F6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(60,241,228</w:t>
            </w:r>
          </w:p>
        </w:tc>
        <w:tc>
          <w:tcPr>
            <w:tcW w:w="50" w:type="pct"/>
            <w:shd w:val="clear" w:color="auto" w:fill="FFFFFF"/>
            <w:tcMar>
              <w:top w:w="0" w:type="dxa"/>
              <w:left w:w="0" w:type="dxa"/>
              <w:bottom w:w="15" w:type="dxa"/>
              <w:right w:w="0" w:type="dxa"/>
            </w:tcMar>
            <w:vAlign w:val="bottom"/>
            <w:hideMark/>
          </w:tcPr>
          <w:p w14:paraId="57F717B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3D556F6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1A0459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4C9ABD5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(455,183,498</w:t>
            </w:r>
          </w:p>
        </w:tc>
        <w:tc>
          <w:tcPr>
            <w:tcW w:w="50" w:type="pct"/>
            <w:shd w:val="clear" w:color="auto" w:fill="FFFFFF"/>
            <w:tcMar>
              <w:top w:w="0" w:type="dxa"/>
              <w:left w:w="0" w:type="dxa"/>
              <w:bottom w:w="15" w:type="dxa"/>
              <w:right w:w="0" w:type="dxa"/>
            </w:tcMar>
            <w:vAlign w:val="bottom"/>
            <w:hideMark/>
          </w:tcPr>
          <w:p w14:paraId="675FC797"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7A607970" w14:textId="77777777">
        <w:trPr>
          <w:divId w:val="232930211"/>
          <w:tblCellSpacing w:w="0" w:type="dxa"/>
        </w:trPr>
        <w:tc>
          <w:tcPr>
            <w:tcW w:w="0" w:type="auto"/>
            <w:shd w:val="clear" w:color="auto" w:fill="CCEEFF"/>
            <w:vAlign w:val="bottom"/>
            <w:hideMark/>
          </w:tcPr>
          <w:p w14:paraId="18AEBC8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CCEEFF"/>
            <w:tcMar>
              <w:top w:w="0" w:type="dxa"/>
              <w:left w:w="0" w:type="dxa"/>
              <w:bottom w:w="15" w:type="dxa"/>
              <w:right w:w="0" w:type="dxa"/>
            </w:tcMar>
            <w:vAlign w:val="bottom"/>
            <w:hideMark/>
          </w:tcPr>
          <w:p w14:paraId="0282BEA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CD947C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66A2F30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132,934,116</w:t>
            </w:r>
          </w:p>
        </w:tc>
        <w:tc>
          <w:tcPr>
            <w:tcW w:w="50" w:type="pct"/>
            <w:shd w:val="clear" w:color="auto" w:fill="CCEEFF"/>
            <w:tcMar>
              <w:top w:w="0" w:type="dxa"/>
              <w:left w:w="0" w:type="dxa"/>
              <w:bottom w:w="15" w:type="dxa"/>
              <w:right w:w="0" w:type="dxa"/>
            </w:tcMar>
            <w:vAlign w:val="bottom"/>
            <w:hideMark/>
          </w:tcPr>
          <w:p w14:paraId="1452801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3C094B8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BA230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14:paraId="281C8E5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(430,074,262</w:t>
            </w:r>
          </w:p>
        </w:tc>
        <w:tc>
          <w:tcPr>
            <w:tcW w:w="50" w:type="pct"/>
            <w:shd w:val="clear" w:color="auto" w:fill="CCEEFF"/>
            <w:tcMar>
              <w:top w:w="0" w:type="dxa"/>
              <w:left w:w="0" w:type="dxa"/>
              <w:bottom w:w="15" w:type="dxa"/>
              <w:right w:w="0" w:type="dxa"/>
            </w:tcMar>
            <w:vAlign w:val="bottom"/>
            <w:hideMark/>
          </w:tcPr>
          <w:p w14:paraId="6A8E911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557788F7" w14:textId="77777777">
        <w:trPr>
          <w:divId w:val="232930211"/>
          <w:tblCellSpacing w:w="0" w:type="dxa"/>
        </w:trPr>
        <w:tc>
          <w:tcPr>
            <w:tcW w:w="0" w:type="auto"/>
            <w:shd w:val="clear" w:color="auto" w:fill="FFFFFF"/>
            <w:vAlign w:val="bottom"/>
            <w:hideMark/>
          </w:tcPr>
          <w:p w14:paraId="621FC15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(decrease) in cash</w:t>
            </w:r>
          </w:p>
        </w:tc>
        <w:tc>
          <w:tcPr>
            <w:tcW w:w="50" w:type="pct"/>
            <w:shd w:val="clear" w:color="auto" w:fill="FFFFFF"/>
            <w:tcMar>
              <w:top w:w="0" w:type="dxa"/>
              <w:left w:w="0" w:type="dxa"/>
              <w:bottom w:w="15" w:type="dxa"/>
              <w:right w:w="0" w:type="dxa"/>
            </w:tcMar>
            <w:vAlign w:val="bottom"/>
            <w:hideMark/>
          </w:tcPr>
          <w:p w14:paraId="7748DF9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1B7DFB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460EE44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(812,128</w:t>
            </w:r>
          </w:p>
        </w:tc>
        <w:tc>
          <w:tcPr>
            <w:tcW w:w="50" w:type="pct"/>
            <w:shd w:val="clear" w:color="auto" w:fill="FFFFFF"/>
            <w:tcMar>
              <w:top w:w="0" w:type="dxa"/>
              <w:left w:w="0" w:type="dxa"/>
              <w:bottom w:w="15" w:type="dxa"/>
              <w:right w:w="0" w:type="dxa"/>
            </w:tcMar>
            <w:vAlign w:val="bottom"/>
            <w:hideMark/>
          </w:tcPr>
          <w:p w14:paraId="44581504"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022B0E2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8CA9D8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2009EFB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16,792,449</w:t>
            </w:r>
          </w:p>
        </w:tc>
        <w:tc>
          <w:tcPr>
            <w:tcW w:w="50" w:type="pct"/>
            <w:shd w:val="clear" w:color="auto" w:fill="FFFFFF"/>
            <w:tcMar>
              <w:top w:w="0" w:type="dxa"/>
              <w:left w:w="0" w:type="dxa"/>
              <w:bottom w:w="15" w:type="dxa"/>
              <w:right w:w="0" w:type="dxa"/>
            </w:tcMar>
            <w:vAlign w:val="bottom"/>
            <w:hideMark/>
          </w:tcPr>
          <w:p w14:paraId="383E9F7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702881C" w14:textId="77777777">
        <w:trPr>
          <w:divId w:val="232930211"/>
          <w:tblCellSpacing w:w="0" w:type="dxa"/>
        </w:trPr>
        <w:tc>
          <w:tcPr>
            <w:tcW w:w="0" w:type="auto"/>
            <w:shd w:val="clear" w:color="auto" w:fill="CCEEFF"/>
            <w:vAlign w:val="center"/>
            <w:hideMark/>
          </w:tcPr>
          <w:p w14:paraId="65CE608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395A95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6318DF2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4C3570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3927B5B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4373AB7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4786AB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145F1C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1FDCDC7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137CA68" w14:textId="77777777">
        <w:trPr>
          <w:divId w:val="232930211"/>
          <w:tblCellSpacing w:w="0" w:type="dxa"/>
        </w:trPr>
        <w:tc>
          <w:tcPr>
            <w:tcW w:w="0" w:type="auto"/>
            <w:shd w:val="clear" w:color="auto" w:fill="FFFFFF"/>
            <w:vAlign w:val="bottom"/>
            <w:hideMark/>
          </w:tcPr>
          <w:p w14:paraId="372C93EE"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xml:space="preserve">Cash </w:t>
            </w:r>
          </w:p>
        </w:tc>
        <w:tc>
          <w:tcPr>
            <w:tcW w:w="0" w:type="auto"/>
            <w:shd w:val="clear" w:color="auto" w:fill="FFFFFF"/>
            <w:vAlign w:val="bottom"/>
            <w:hideMark/>
          </w:tcPr>
          <w:p w14:paraId="4433F1B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7CDEF86"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26AB7E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631EED8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48BBD4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FE9D13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780D200C"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A935530"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25A300FF" w14:textId="77777777">
        <w:trPr>
          <w:divId w:val="232930211"/>
          <w:tblCellSpacing w:w="0" w:type="dxa"/>
        </w:trPr>
        <w:tc>
          <w:tcPr>
            <w:tcW w:w="0" w:type="auto"/>
            <w:shd w:val="clear" w:color="auto" w:fill="CCEEFF"/>
            <w:vAlign w:val="bottom"/>
            <w:hideMark/>
          </w:tcPr>
          <w:p w14:paraId="045CEBE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Beginning of period</w:t>
            </w:r>
          </w:p>
        </w:tc>
        <w:tc>
          <w:tcPr>
            <w:tcW w:w="0" w:type="auto"/>
            <w:shd w:val="clear" w:color="auto" w:fill="CCEEFF"/>
            <w:vAlign w:val="bottom"/>
            <w:hideMark/>
          </w:tcPr>
          <w:p w14:paraId="7BD3853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A9751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BFD56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F8154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853E7C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5EEB71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1F307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37B8B7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C896D67" w14:textId="77777777">
        <w:trPr>
          <w:divId w:val="232930211"/>
          <w:tblCellSpacing w:w="0" w:type="dxa"/>
        </w:trPr>
        <w:tc>
          <w:tcPr>
            <w:tcW w:w="0" w:type="auto"/>
            <w:shd w:val="clear" w:color="auto" w:fill="FFFFFF"/>
            <w:vAlign w:val="bottom"/>
            <w:hideMark/>
          </w:tcPr>
          <w:p w14:paraId="7969EE28"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Unrestricted – cash</w:t>
            </w:r>
          </w:p>
        </w:tc>
        <w:tc>
          <w:tcPr>
            <w:tcW w:w="50" w:type="pct"/>
            <w:shd w:val="clear" w:color="auto" w:fill="FFFFFF"/>
            <w:tcMar>
              <w:top w:w="0" w:type="dxa"/>
              <w:left w:w="0" w:type="dxa"/>
              <w:bottom w:w="15" w:type="dxa"/>
              <w:right w:w="0" w:type="dxa"/>
            </w:tcMar>
            <w:vAlign w:val="bottom"/>
            <w:hideMark/>
          </w:tcPr>
          <w:p w14:paraId="6FE2653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B521CB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7825613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tcMar>
              <w:top w:w="0" w:type="dxa"/>
              <w:left w:w="0" w:type="dxa"/>
              <w:bottom w:w="15" w:type="dxa"/>
              <w:right w:w="0" w:type="dxa"/>
            </w:tcMar>
            <w:vAlign w:val="bottom"/>
            <w:hideMark/>
          </w:tcPr>
          <w:p w14:paraId="4D0E69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3CE584D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C260D5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14:paraId="6ADB79C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FFFFFF"/>
            <w:tcMar>
              <w:top w:w="0" w:type="dxa"/>
              <w:left w:w="0" w:type="dxa"/>
              <w:bottom w:w="15" w:type="dxa"/>
              <w:right w:w="0" w:type="dxa"/>
            </w:tcMar>
            <w:vAlign w:val="bottom"/>
            <w:hideMark/>
          </w:tcPr>
          <w:p w14:paraId="00DBD51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04CEE6E" w14:textId="77777777">
        <w:trPr>
          <w:divId w:val="232930211"/>
          <w:tblCellSpacing w:w="0" w:type="dxa"/>
        </w:trPr>
        <w:tc>
          <w:tcPr>
            <w:tcW w:w="0" w:type="auto"/>
            <w:shd w:val="clear" w:color="auto" w:fill="CCEEFF"/>
            <w:vAlign w:val="center"/>
            <w:hideMark/>
          </w:tcPr>
          <w:p w14:paraId="0F36D0C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44F519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09D7C85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362CB5D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6C4836C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296AED1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0616D2E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34A5438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center"/>
            <w:hideMark/>
          </w:tcPr>
          <w:p w14:paraId="431B7B1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27BC151" w14:textId="77777777">
        <w:trPr>
          <w:divId w:val="232930211"/>
          <w:tblCellSpacing w:w="0" w:type="dxa"/>
        </w:trPr>
        <w:tc>
          <w:tcPr>
            <w:tcW w:w="0" w:type="auto"/>
            <w:shd w:val="clear" w:color="auto" w:fill="FFFFFF"/>
            <w:vAlign w:val="bottom"/>
            <w:hideMark/>
          </w:tcPr>
          <w:p w14:paraId="7263AEB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End of period</w:t>
            </w:r>
          </w:p>
        </w:tc>
        <w:tc>
          <w:tcPr>
            <w:tcW w:w="0" w:type="auto"/>
            <w:shd w:val="clear" w:color="auto" w:fill="FFFFFF"/>
            <w:vAlign w:val="bottom"/>
            <w:hideMark/>
          </w:tcPr>
          <w:p w14:paraId="7532FB5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FE06C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AB8FC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3B6748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9A1D0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FC442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72F6F3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1CB62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6AEA646" w14:textId="77777777">
        <w:trPr>
          <w:divId w:val="232930211"/>
          <w:tblCellSpacing w:w="0" w:type="dxa"/>
        </w:trPr>
        <w:tc>
          <w:tcPr>
            <w:tcW w:w="0" w:type="auto"/>
            <w:shd w:val="clear" w:color="auto" w:fill="CCEEFF"/>
            <w:vAlign w:val="bottom"/>
            <w:hideMark/>
          </w:tcPr>
          <w:p w14:paraId="20B40B0E"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Unrestricted – cash</w:t>
            </w:r>
          </w:p>
        </w:tc>
        <w:tc>
          <w:tcPr>
            <w:tcW w:w="50" w:type="pct"/>
            <w:shd w:val="clear" w:color="auto" w:fill="CCEEFF"/>
            <w:tcMar>
              <w:top w:w="0" w:type="dxa"/>
              <w:left w:w="0" w:type="dxa"/>
              <w:bottom w:w="45" w:type="dxa"/>
              <w:right w:w="0" w:type="dxa"/>
            </w:tcMar>
            <w:vAlign w:val="bottom"/>
            <w:hideMark/>
          </w:tcPr>
          <w:p w14:paraId="3618EEA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7587687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14:paraId="66BF45C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30,430,030</w:t>
            </w:r>
          </w:p>
        </w:tc>
        <w:tc>
          <w:tcPr>
            <w:tcW w:w="50" w:type="pct"/>
            <w:shd w:val="clear" w:color="auto" w:fill="CCEEFF"/>
            <w:tcMar>
              <w:top w:w="0" w:type="dxa"/>
              <w:left w:w="0" w:type="dxa"/>
              <w:bottom w:w="45" w:type="dxa"/>
              <w:right w:w="0" w:type="dxa"/>
            </w:tcMar>
            <w:vAlign w:val="bottom"/>
            <w:hideMark/>
          </w:tcPr>
          <w:p w14:paraId="52E4546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1C8607D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5CE6E36C"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14:paraId="20AF81C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26,825,746</w:t>
            </w:r>
          </w:p>
        </w:tc>
        <w:tc>
          <w:tcPr>
            <w:tcW w:w="50" w:type="pct"/>
            <w:shd w:val="clear" w:color="auto" w:fill="CCEEFF"/>
            <w:tcMar>
              <w:top w:w="0" w:type="dxa"/>
              <w:left w:w="0" w:type="dxa"/>
              <w:bottom w:w="45" w:type="dxa"/>
              <w:right w:w="0" w:type="dxa"/>
            </w:tcMar>
            <w:vAlign w:val="bottom"/>
            <w:hideMark/>
          </w:tcPr>
          <w:p w14:paraId="0813479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552DC8A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876DCB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2FD7D71"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31C23DA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3C41533" w14:textId="77777777" w:rsidR="00000000" w:rsidRDefault="00016ED8">
      <w:pPr>
        <w:jc w:val="center"/>
        <w:divId w:val="1894777527"/>
        <w:rPr>
          <w:rFonts w:ascii="Arial" w:eastAsia="Times New Roman" w:hAnsi="Arial" w:cs="Arial"/>
          <w:sz w:val="20"/>
          <w:szCs w:val="20"/>
        </w:rPr>
      </w:pPr>
      <w:r>
        <w:rPr>
          <w:rFonts w:ascii="Arial" w:eastAsia="Times New Roman" w:hAnsi="Arial" w:cs="Arial"/>
          <w:sz w:val="20"/>
          <w:szCs w:val="20"/>
        </w:rPr>
        <w:t xml:space="preserve">5 </w:t>
      </w:r>
    </w:p>
    <w:p w14:paraId="146DFDBA" w14:textId="77777777" w:rsidR="00000000" w:rsidRDefault="00016ED8">
      <w:pPr>
        <w:divId w:val="1623732961"/>
        <w:rPr>
          <w:rFonts w:ascii="Arial" w:eastAsia="Times New Roman" w:hAnsi="Arial" w:cs="Arial"/>
          <w:sz w:val="20"/>
          <w:szCs w:val="20"/>
        </w:rPr>
      </w:pPr>
      <w:r>
        <w:rPr>
          <w:rFonts w:ascii="Arial" w:eastAsia="Times New Roman" w:hAnsi="Arial" w:cs="Arial"/>
          <w:sz w:val="20"/>
          <w:szCs w:val="20"/>
        </w:rPr>
        <w:pict w14:anchorId="6A0B32A5">
          <v:rect id="_x0000_i1043" style="width:0;height:1.5pt" o:hralign="center" o:hrstd="t" o:hr="t" fillcolor="#a0a0a0" stroked="f"/>
        </w:pict>
      </w:r>
    </w:p>
    <w:p w14:paraId="5AAB84E3" w14:textId="77777777" w:rsidR="00000000" w:rsidRDefault="00016ED8">
      <w:pPr>
        <w:divId w:val="106687505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115DAC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E769D65" w14:textId="77777777" w:rsidR="00000000" w:rsidRDefault="00016ED8">
      <w:pPr>
        <w:divId w:val="1978219387"/>
        <w:rPr>
          <w:rFonts w:ascii="Arial" w:eastAsia="Times New Roman" w:hAnsi="Arial" w:cs="Arial"/>
          <w:sz w:val="20"/>
          <w:szCs w:val="20"/>
        </w:rPr>
      </w:pPr>
      <w:r>
        <w:rPr>
          <w:rFonts w:ascii="Arial" w:eastAsia="Times New Roman" w:hAnsi="Arial" w:cs="Arial"/>
          <w:sz w:val="20"/>
          <w:szCs w:val="20"/>
        </w:rPr>
        <w:t xml:space="preserve">  </w:t>
      </w:r>
    </w:p>
    <w:p w14:paraId="6780FFC3"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5AE0B980"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 (Unaudited)</w:t>
      </w:r>
    </w:p>
    <w:p w14:paraId="7A393F49"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June 30, 2020 </w:t>
      </w:r>
      <w:r>
        <w:rPr>
          <w:rFonts w:ascii="Arial" w:hAnsi="Arial" w:cs="Arial"/>
          <w:sz w:val="20"/>
          <w:szCs w:val="20"/>
        </w:rPr>
        <w:t xml:space="preserve">and </w:t>
      </w:r>
      <w:r>
        <w:rPr>
          <w:rStyle w:val="a6"/>
          <w:rFonts w:ascii="Arial" w:hAnsi="Arial" w:cs="Arial"/>
          <w:sz w:val="20"/>
          <w:szCs w:val="20"/>
        </w:rPr>
        <w:t>December 31, 2019</w:t>
      </w:r>
    </w:p>
    <w:p w14:paraId="013DC0E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91EB257" w14:textId="77777777" w:rsidR="00000000" w:rsidRDefault="00016ED8">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June</w:t>
      </w:r>
      <w:r>
        <w:rPr>
          <w:rFonts w:ascii="Arial" w:hAnsi="Arial" w:cs="Arial"/>
          <w:b/>
          <w:bCs/>
          <w:sz w:val="20"/>
          <w:szCs w:val="20"/>
          <w:u w:val="single"/>
        </w:rPr>
        <w:t xml:space="preserve"> </w:t>
      </w:r>
      <w:r>
        <w:rPr>
          <w:rStyle w:val="a6"/>
          <w:rFonts w:ascii="Arial" w:hAnsi="Arial" w:cs="Arial"/>
          <w:b/>
          <w:bCs/>
          <w:sz w:val="20"/>
          <w:szCs w:val="20"/>
          <w:u w:val="single"/>
        </w:rPr>
        <w:t>30</w:t>
      </w:r>
      <w:r>
        <w:rPr>
          <w:rFonts w:ascii="Arial" w:hAnsi="Arial" w:cs="Arial"/>
          <w:b/>
          <w:bCs/>
          <w:sz w:val="20"/>
          <w:szCs w:val="20"/>
          <w:u w:val="single"/>
        </w:rPr>
        <w:t xml:space="preserve">, </w:t>
      </w:r>
      <w:r>
        <w:rPr>
          <w:rStyle w:val="a6"/>
          <w:rFonts w:ascii="Arial" w:hAnsi="Arial" w:cs="Arial"/>
          <w:b/>
          <w:bCs/>
          <w:sz w:val="20"/>
          <w:szCs w:val="20"/>
          <w:u w:val="single"/>
        </w:rPr>
        <w:t>2020</w:t>
      </w:r>
    </w:p>
    <w:tbl>
      <w:tblPr>
        <w:tblW w:w="5000" w:type="pct"/>
        <w:tblCellSpacing w:w="0" w:type="dxa"/>
        <w:tblCellMar>
          <w:left w:w="0" w:type="dxa"/>
          <w:right w:w="0" w:type="dxa"/>
        </w:tblCellMar>
        <w:tblLook w:val="04A0" w:firstRow="1" w:lastRow="0" w:firstColumn="1" w:lastColumn="0" w:noHBand="0" w:noVBand="1"/>
      </w:tblPr>
      <w:tblGrid>
        <w:gridCol w:w="5744"/>
        <w:gridCol w:w="56"/>
        <w:gridCol w:w="112"/>
        <w:gridCol w:w="1001"/>
        <w:gridCol w:w="56"/>
        <w:gridCol w:w="56"/>
        <w:gridCol w:w="112"/>
        <w:gridCol w:w="1113"/>
        <w:gridCol w:w="56"/>
      </w:tblGrid>
      <w:tr w:rsidR="00000000" w14:paraId="7A9CEA4F" w14:textId="77777777">
        <w:trPr>
          <w:tblCellSpacing w:w="0" w:type="dxa"/>
        </w:trPr>
        <w:tc>
          <w:tcPr>
            <w:tcW w:w="3500" w:type="pct"/>
            <w:tcBorders>
              <w:bottom w:val="single" w:sz="6" w:space="0" w:color="000000"/>
            </w:tcBorders>
            <w:vAlign w:val="bottom"/>
            <w:hideMark/>
          </w:tcPr>
          <w:p w14:paraId="69AC8B92"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14:paraId="1B734EC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1A23A54"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14:paraId="37A4830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D438D9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39ACE56"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14:paraId="44EAB13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F15D878" w14:textId="77777777">
        <w:trPr>
          <w:tblCellSpacing w:w="0" w:type="dxa"/>
        </w:trPr>
        <w:tc>
          <w:tcPr>
            <w:tcW w:w="0" w:type="auto"/>
            <w:shd w:val="clear" w:color="auto" w:fill="CCEEFF"/>
            <w:vAlign w:val="bottom"/>
            <w:hideMark/>
          </w:tcPr>
          <w:p w14:paraId="70D5D16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14:paraId="55CF749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B8E82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AADE5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C4DED7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49C6BC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FDFF1A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D45B81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6B4BF2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39DAE3E" w14:textId="77777777">
        <w:trPr>
          <w:tblCellSpacing w:w="0" w:type="dxa"/>
        </w:trPr>
        <w:tc>
          <w:tcPr>
            <w:tcW w:w="0" w:type="auto"/>
            <w:shd w:val="clear" w:color="auto" w:fill="FFFFFF"/>
            <w:vAlign w:val="bottom"/>
            <w:hideMark/>
          </w:tcPr>
          <w:p w14:paraId="541E27F8"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4</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07/02/2</w:t>
            </w:r>
            <w:r>
              <w:rPr>
                <w:rFonts w:ascii="Arial" w:hAnsi="Arial" w:cs="Arial"/>
                <w:sz w:val="20"/>
                <w:szCs w:val="20"/>
              </w:rPr>
              <w:t>0</w:t>
            </w:r>
          </w:p>
        </w:tc>
        <w:tc>
          <w:tcPr>
            <w:tcW w:w="50" w:type="pct"/>
            <w:shd w:val="clear" w:color="auto" w:fill="FFFFFF"/>
            <w:vAlign w:val="bottom"/>
            <w:hideMark/>
          </w:tcPr>
          <w:p w14:paraId="23F02DA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0147AB2"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3CB3D16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45,000,000</w:t>
            </w:r>
          </w:p>
        </w:tc>
        <w:tc>
          <w:tcPr>
            <w:tcW w:w="50" w:type="pct"/>
            <w:shd w:val="clear" w:color="auto" w:fill="FFFFFF"/>
            <w:vAlign w:val="bottom"/>
            <w:hideMark/>
          </w:tcPr>
          <w:p w14:paraId="59748AD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6FE7B8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BD67AD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7E340AF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44,999,884</w:t>
            </w:r>
          </w:p>
        </w:tc>
        <w:tc>
          <w:tcPr>
            <w:tcW w:w="50" w:type="pct"/>
            <w:shd w:val="clear" w:color="auto" w:fill="FFFFFF"/>
            <w:vAlign w:val="bottom"/>
            <w:hideMark/>
          </w:tcPr>
          <w:p w14:paraId="2D954C5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D4EED51" w14:textId="77777777">
        <w:trPr>
          <w:tblCellSpacing w:w="0" w:type="dxa"/>
        </w:trPr>
        <w:tc>
          <w:tcPr>
            <w:tcW w:w="0" w:type="auto"/>
            <w:shd w:val="clear" w:color="auto" w:fill="CCEEFF"/>
            <w:tcMar>
              <w:top w:w="0" w:type="dxa"/>
              <w:left w:w="360" w:type="dxa"/>
              <w:bottom w:w="0" w:type="dxa"/>
              <w:right w:w="0" w:type="dxa"/>
            </w:tcMar>
            <w:vAlign w:val="bottom"/>
            <w:hideMark/>
          </w:tcPr>
          <w:p w14:paraId="63327329" w14:textId="77777777" w:rsidR="00000000" w:rsidRDefault="00016ED8">
            <w:pPr>
              <w:rPr>
                <w:rFonts w:ascii="Arial" w:eastAsia="Times New Roman" w:hAnsi="Arial" w:cs="Arial"/>
                <w:sz w:val="20"/>
                <w:szCs w:val="20"/>
              </w:rPr>
            </w:pPr>
            <w:r>
              <w:rPr>
                <w:rFonts w:ascii="Arial" w:eastAsia="Times New Roman" w:hAnsi="Arial" w:cs="Arial"/>
                <w:sz w:val="20"/>
                <w:szCs w:val="20"/>
              </w:rPr>
              <w:t>0.1</w:t>
            </w:r>
            <w:r>
              <w:rPr>
                <w:rFonts w:ascii="Arial" w:eastAsia="Times New Roman" w:hAnsi="Arial" w:cs="Arial"/>
                <w:sz w:val="20"/>
                <w:szCs w:val="20"/>
              </w:rPr>
              <w:t>4</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07/07/2</w:t>
            </w:r>
            <w:r>
              <w:rPr>
                <w:rFonts w:ascii="Arial" w:eastAsia="Times New Roman" w:hAnsi="Arial" w:cs="Arial"/>
                <w:sz w:val="20"/>
                <w:szCs w:val="20"/>
              </w:rPr>
              <w:t>0</w:t>
            </w:r>
          </w:p>
        </w:tc>
        <w:tc>
          <w:tcPr>
            <w:tcW w:w="50" w:type="pct"/>
            <w:shd w:val="clear" w:color="auto" w:fill="CCEEFF"/>
            <w:vAlign w:val="bottom"/>
            <w:hideMark/>
          </w:tcPr>
          <w:p w14:paraId="2178E8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68212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7145A8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vAlign w:val="bottom"/>
            <w:hideMark/>
          </w:tcPr>
          <w:p w14:paraId="22E1F6C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C46B2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4EDE7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7B8DF9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59,998,813</w:t>
            </w:r>
          </w:p>
        </w:tc>
        <w:tc>
          <w:tcPr>
            <w:tcW w:w="50" w:type="pct"/>
            <w:shd w:val="clear" w:color="auto" w:fill="CCEEFF"/>
            <w:vAlign w:val="bottom"/>
            <w:hideMark/>
          </w:tcPr>
          <w:p w14:paraId="7A6630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BD0220E" w14:textId="77777777">
        <w:trPr>
          <w:tblCellSpacing w:w="0" w:type="dxa"/>
        </w:trPr>
        <w:tc>
          <w:tcPr>
            <w:tcW w:w="0" w:type="auto"/>
            <w:shd w:val="clear" w:color="auto" w:fill="FFFFFF"/>
            <w:tcMar>
              <w:top w:w="0" w:type="dxa"/>
              <w:left w:w="360" w:type="dxa"/>
              <w:bottom w:w="0" w:type="dxa"/>
              <w:right w:w="0" w:type="dxa"/>
            </w:tcMar>
            <w:vAlign w:val="bottom"/>
            <w:hideMark/>
          </w:tcPr>
          <w:p w14:paraId="17F3210F" w14:textId="77777777" w:rsidR="00000000" w:rsidRDefault="00016ED8">
            <w:pPr>
              <w:rPr>
                <w:rFonts w:ascii="Arial" w:eastAsia="Times New Roman" w:hAnsi="Arial" w:cs="Arial"/>
                <w:sz w:val="20"/>
                <w:szCs w:val="20"/>
              </w:rPr>
            </w:pPr>
            <w:r>
              <w:rPr>
                <w:rFonts w:ascii="Arial" w:eastAsia="Times New Roman" w:hAnsi="Arial" w:cs="Arial"/>
                <w:sz w:val="20"/>
                <w:szCs w:val="20"/>
              </w:rPr>
              <w:t>0.0</w:t>
            </w:r>
            <w:r>
              <w:rPr>
                <w:rFonts w:ascii="Arial" w:eastAsia="Times New Roman" w:hAnsi="Arial" w:cs="Arial"/>
                <w:sz w:val="20"/>
                <w:szCs w:val="20"/>
              </w:rPr>
              <w:t>9</w:t>
            </w:r>
            <w:r>
              <w:rPr>
                <w:rFonts w:ascii="Arial" w:eastAsia="Times New Roman" w:hAnsi="Arial" w:cs="Arial"/>
                <w:sz w:val="20"/>
                <w:szCs w:val="20"/>
              </w:rPr>
              <w:t>% –</w:t>
            </w:r>
            <w:r>
              <w:rPr>
                <w:rFonts w:ascii="Arial" w:eastAsia="Times New Roman" w:hAnsi="Arial" w:cs="Arial"/>
                <w:sz w:val="20"/>
                <w:szCs w:val="20"/>
              </w:rPr>
              <w:t xml:space="preserve"> </w:t>
            </w:r>
            <w:r>
              <w:rPr>
                <w:rFonts w:ascii="Arial" w:eastAsia="Times New Roman" w:hAnsi="Arial" w:cs="Arial"/>
                <w:sz w:val="20"/>
                <w:szCs w:val="20"/>
              </w:rPr>
              <w:t>0.1</w:t>
            </w:r>
            <w:r>
              <w:rPr>
                <w:rFonts w:ascii="Arial" w:eastAsia="Times New Roman" w:hAnsi="Arial" w:cs="Arial"/>
                <w:sz w:val="20"/>
                <w:szCs w:val="20"/>
              </w:rPr>
              <w:t>3</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07/14/2</w:t>
            </w:r>
            <w:r>
              <w:rPr>
                <w:rFonts w:ascii="Arial" w:eastAsia="Times New Roman" w:hAnsi="Arial" w:cs="Arial"/>
                <w:sz w:val="20"/>
                <w:szCs w:val="20"/>
              </w:rPr>
              <w:t>0</w:t>
            </w:r>
          </w:p>
        </w:tc>
        <w:tc>
          <w:tcPr>
            <w:tcW w:w="50" w:type="pct"/>
            <w:shd w:val="clear" w:color="auto" w:fill="FFFFFF"/>
            <w:vAlign w:val="bottom"/>
            <w:hideMark/>
          </w:tcPr>
          <w:p w14:paraId="6547EDC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78CC8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C4AE82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55,000,000</w:t>
            </w:r>
          </w:p>
        </w:tc>
        <w:tc>
          <w:tcPr>
            <w:tcW w:w="50" w:type="pct"/>
            <w:shd w:val="clear" w:color="auto" w:fill="FFFFFF"/>
            <w:vAlign w:val="bottom"/>
            <w:hideMark/>
          </w:tcPr>
          <w:p w14:paraId="00B7FD5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D7F247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1A78B2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3914D6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54,997,815</w:t>
            </w:r>
          </w:p>
        </w:tc>
        <w:tc>
          <w:tcPr>
            <w:tcW w:w="50" w:type="pct"/>
            <w:shd w:val="clear" w:color="auto" w:fill="FFFFFF"/>
            <w:vAlign w:val="bottom"/>
            <w:hideMark/>
          </w:tcPr>
          <w:p w14:paraId="4853A43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E9FEBE9" w14:textId="77777777">
        <w:trPr>
          <w:tblCellSpacing w:w="0" w:type="dxa"/>
        </w:trPr>
        <w:tc>
          <w:tcPr>
            <w:tcW w:w="0" w:type="auto"/>
            <w:shd w:val="clear" w:color="auto" w:fill="CCEEFF"/>
            <w:tcMar>
              <w:top w:w="0" w:type="dxa"/>
              <w:left w:w="360" w:type="dxa"/>
              <w:bottom w:w="0" w:type="dxa"/>
              <w:right w:w="0" w:type="dxa"/>
            </w:tcMar>
            <w:vAlign w:val="bottom"/>
            <w:hideMark/>
          </w:tcPr>
          <w:p w14:paraId="0AB75CE3" w14:textId="77777777" w:rsidR="00000000" w:rsidRDefault="00016ED8">
            <w:pPr>
              <w:rPr>
                <w:rFonts w:ascii="Arial" w:eastAsia="Times New Roman" w:hAnsi="Arial" w:cs="Arial"/>
                <w:sz w:val="20"/>
                <w:szCs w:val="20"/>
              </w:rPr>
            </w:pPr>
            <w:r>
              <w:rPr>
                <w:rFonts w:ascii="Arial" w:eastAsia="Times New Roman" w:hAnsi="Arial" w:cs="Arial"/>
                <w:sz w:val="20"/>
                <w:szCs w:val="20"/>
              </w:rPr>
              <w:t>0.0</w:t>
            </w:r>
            <w:r>
              <w:rPr>
                <w:rFonts w:ascii="Arial" w:eastAsia="Times New Roman" w:hAnsi="Arial" w:cs="Arial"/>
                <w:sz w:val="20"/>
                <w:szCs w:val="20"/>
              </w:rPr>
              <w:t>9</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07/23/2</w:t>
            </w:r>
            <w:r>
              <w:rPr>
                <w:rFonts w:ascii="Arial" w:eastAsia="Times New Roman" w:hAnsi="Arial" w:cs="Arial"/>
                <w:sz w:val="20"/>
                <w:szCs w:val="20"/>
              </w:rPr>
              <w:t>0</w:t>
            </w:r>
          </w:p>
        </w:tc>
        <w:tc>
          <w:tcPr>
            <w:tcW w:w="50" w:type="pct"/>
            <w:shd w:val="clear" w:color="auto" w:fill="CCEEFF"/>
            <w:vAlign w:val="bottom"/>
            <w:hideMark/>
          </w:tcPr>
          <w:p w14:paraId="3773363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F406A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1B09F6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25,000,000</w:t>
            </w:r>
          </w:p>
        </w:tc>
        <w:tc>
          <w:tcPr>
            <w:tcW w:w="50" w:type="pct"/>
            <w:shd w:val="clear" w:color="auto" w:fill="CCEEFF"/>
            <w:vAlign w:val="bottom"/>
            <w:hideMark/>
          </w:tcPr>
          <w:p w14:paraId="6FE0A8C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8B7E3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9F134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EB3F8C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24,998,128</w:t>
            </w:r>
          </w:p>
        </w:tc>
        <w:tc>
          <w:tcPr>
            <w:tcW w:w="50" w:type="pct"/>
            <w:shd w:val="clear" w:color="auto" w:fill="CCEEFF"/>
            <w:vAlign w:val="bottom"/>
            <w:hideMark/>
          </w:tcPr>
          <w:p w14:paraId="495B4CD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E340765" w14:textId="77777777">
        <w:trPr>
          <w:tblCellSpacing w:w="0" w:type="dxa"/>
        </w:trPr>
        <w:tc>
          <w:tcPr>
            <w:tcW w:w="0" w:type="auto"/>
            <w:shd w:val="clear" w:color="auto" w:fill="FFFFFF"/>
            <w:tcMar>
              <w:top w:w="0" w:type="dxa"/>
              <w:left w:w="360" w:type="dxa"/>
              <w:bottom w:w="0" w:type="dxa"/>
              <w:right w:w="0" w:type="dxa"/>
            </w:tcMar>
            <w:vAlign w:val="bottom"/>
            <w:hideMark/>
          </w:tcPr>
          <w:p w14:paraId="682A23A2" w14:textId="77777777" w:rsidR="00000000" w:rsidRDefault="00016ED8">
            <w:pPr>
              <w:rPr>
                <w:rFonts w:ascii="Arial" w:eastAsia="Times New Roman" w:hAnsi="Arial" w:cs="Arial"/>
                <w:sz w:val="20"/>
                <w:szCs w:val="20"/>
              </w:rPr>
            </w:pPr>
            <w:r>
              <w:rPr>
                <w:rFonts w:ascii="Arial" w:eastAsia="Times New Roman" w:hAnsi="Arial" w:cs="Arial"/>
                <w:sz w:val="20"/>
                <w:szCs w:val="20"/>
              </w:rPr>
              <w:t>0.1</w:t>
            </w:r>
            <w:r>
              <w:rPr>
                <w:rFonts w:ascii="Arial" w:eastAsia="Times New Roman" w:hAnsi="Arial" w:cs="Arial"/>
                <w:sz w:val="20"/>
                <w:szCs w:val="20"/>
              </w:rPr>
              <w:t>3</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07/28/2</w:t>
            </w:r>
            <w:r>
              <w:rPr>
                <w:rFonts w:ascii="Arial" w:eastAsia="Times New Roman" w:hAnsi="Arial" w:cs="Arial"/>
                <w:sz w:val="20"/>
                <w:szCs w:val="20"/>
              </w:rPr>
              <w:t>0</w:t>
            </w:r>
          </w:p>
        </w:tc>
        <w:tc>
          <w:tcPr>
            <w:tcW w:w="50" w:type="pct"/>
            <w:shd w:val="clear" w:color="auto" w:fill="FFFFFF"/>
            <w:vAlign w:val="bottom"/>
            <w:hideMark/>
          </w:tcPr>
          <w:p w14:paraId="33A5DD7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D2DC9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0856D6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57,000,000</w:t>
            </w:r>
          </w:p>
        </w:tc>
        <w:tc>
          <w:tcPr>
            <w:tcW w:w="50" w:type="pct"/>
            <w:shd w:val="clear" w:color="auto" w:fill="FFFFFF"/>
            <w:vAlign w:val="bottom"/>
            <w:hideMark/>
          </w:tcPr>
          <w:p w14:paraId="79C3D9D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988245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E7939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D16149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56,994,335</w:t>
            </w:r>
          </w:p>
        </w:tc>
        <w:tc>
          <w:tcPr>
            <w:tcW w:w="50" w:type="pct"/>
            <w:shd w:val="clear" w:color="auto" w:fill="FFFFFF"/>
            <w:vAlign w:val="bottom"/>
            <w:hideMark/>
          </w:tcPr>
          <w:p w14:paraId="7320038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CBC7DDF" w14:textId="77777777">
        <w:trPr>
          <w:tblCellSpacing w:w="0" w:type="dxa"/>
        </w:trPr>
        <w:tc>
          <w:tcPr>
            <w:tcW w:w="0" w:type="auto"/>
            <w:shd w:val="clear" w:color="auto" w:fill="CCEEFF"/>
            <w:tcMar>
              <w:top w:w="0" w:type="dxa"/>
              <w:left w:w="360" w:type="dxa"/>
              <w:bottom w:w="0" w:type="dxa"/>
              <w:right w:w="0" w:type="dxa"/>
            </w:tcMar>
            <w:vAlign w:val="bottom"/>
            <w:hideMark/>
          </w:tcPr>
          <w:p w14:paraId="1D0C6DC2" w14:textId="77777777" w:rsidR="00000000" w:rsidRDefault="00016ED8">
            <w:pPr>
              <w:rPr>
                <w:rFonts w:ascii="Arial" w:eastAsia="Times New Roman" w:hAnsi="Arial" w:cs="Arial"/>
                <w:sz w:val="20"/>
                <w:szCs w:val="20"/>
              </w:rPr>
            </w:pPr>
            <w:r>
              <w:rPr>
                <w:rFonts w:ascii="Arial" w:eastAsia="Times New Roman" w:hAnsi="Arial" w:cs="Arial"/>
                <w:sz w:val="20"/>
                <w:szCs w:val="20"/>
              </w:rPr>
              <w:t>0.1</w:t>
            </w:r>
            <w:r>
              <w:rPr>
                <w:rFonts w:ascii="Arial" w:eastAsia="Times New Roman" w:hAnsi="Arial" w:cs="Arial"/>
                <w:sz w:val="20"/>
                <w:szCs w:val="20"/>
              </w:rPr>
              <w:t>2</w:t>
            </w:r>
            <w:r>
              <w:rPr>
                <w:rFonts w:ascii="Arial" w:eastAsia="Times New Roman" w:hAnsi="Arial" w:cs="Arial"/>
                <w:sz w:val="20"/>
                <w:szCs w:val="20"/>
              </w:rPr>
              <w:t>% –</w:t>
            </w:r>
            <w:r>
              <w:rPr>
                <w:rFonts w:ascii="Arial" w:eastAsia="Times New Roman" w:hAnsi="Arial" w:cs="Arial"/>
                <w:sz w:val="20"/>
                <w:szCs w:val="20"/>
              </w:rPr>
              <w:t xml:space="preserve"> </w:t>
            </w:r>
            <w:r>
              <w:rPr>
                <w:rFonts w:ascii="Arial" w:eastAsia="Times New Roman" w:hAnsi="Arial" w:cs="Arial"/>
                <w:sz w:val="20"/>
                <w:szCs w:val="20"/>
              </w:rPr>
              <w:t>0.1</w:t>
            </w:r>
            <w:r>
              <w:rPr>
                <w:rFonts w:ascii="Arial" w:eastAsia="Times New Roman" w:hAnsi="Arial" w:cs="Arial"/>
                <w:sz w:val="20"/>
                <w:szCs w:val="20"/>
              </w:rPr>
              <w:t>3</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08/04/2</w:t>
            </w:r>
            <w:r>
              <w:rPr>
                <w:rFonts w:ascii="Arial" w:eastAsia="Times New Roman" w:hAnsi="Arial" w:cs="Arial"/>
                <w:sz w:val="20"/>
                <w:szCs w:val="20"/>
              </w:rPr>
              <w:t>0</w:t>
            </w:r>
          </w:p>
        </w:tc>
        <w:tc>
          <w:tcPr>
            <w:tcW w:w="50" w:type="pct"/>
            <w:shd w:val="clear" w:color="auto" w:fill="CCEEFF"/>
            <w:vAlign w:val="bottom"/>
            <w:hideMark/>
          </w:tcPr>
          <w:p w14:paraId="00DB6A9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C94144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7DA5B8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CCEEFF"/>
            <w:vAlign w:val="bottom"/>
            <w:hideMark/>
          </w:tcPr>
          <w:p w14:paraId="6EF5515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43E122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4C428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4A2253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49,993,625</w:t>
            </w:r>
          </w:p>
        </w:tc>
        <w:tc>
          <w:tcPr>
            <w:tcW w:w="50" w:type="pct"/>
            <w:shd w:val="clear" w:color="auto" w:fill="CCEEFF"/>
            <w:vAlign w:val="bottom"/>
            <w:hideMark/>
          </w:tcPr>
          <w:p w14:paraId="1B7B857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4A20F55" w14:textId="77777777">
        <w:trPr>
          <w:tblCellSpacing w:w="0" w:type="dxa"/>
        </w:trPr>
        <w:tc>
          <w:tcPr>
            <w:tcW w:w="0" w:type="auto"/>
            <w:shd w:val="clear" w:color="auto" w:fill="FFFFFF"/>
            <w:vAlign w:val="bottom"/>
            <w:hideMark/>
          </w:tcPr>
          <w:p w14:paraId="1635CB13"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0.1</w:t>
            </w:r>
            <w:r>
              <w:rPr>
                <w:rFonts w:ascii="Arial" w:hAnsi="Arial" w:cs="Arial"/>
                <w:sz w:val="20"/>
                <w:szCs w:val="20"/>
              </w:rPr>
              <w:t>1</w:t>
            </w:r>
            <w:r>
              <w:rPr>
                <w:rFonts w:ascii="Arial" w:hAnsi="Arial" w:cs="Arial"/>
                <w:sz w:val="20"/>
                <w:szCs w:val="20"/>
              </w:rPr>
              <w:t>% –</w:t>
            </w:r>
            <w:r>
              <w:rPr>
                <w:rFonts w:ascii="Arial" w:hAnsi="Arial" w:cs="Arial"/>
                <w:sz w:val="20"/>
                <w:szCs w:val="20"/>
              </w:rPr>
              <w:t> </w:t>
            </w:r>
            <w:r>
              <w:rPr>
                <w:rFonts w:ascii="Arial" w:hAnsi="Arial" w:cs="Arial"/>
                <w:sz w:val="20"/>
                <w:szCs w:val="20"/>
              </w:rPr>
              <w:t>1.0</w:t>
            </w:r>
            <w:r>
              <w:rPr>
                <w:rFonts w:ascii="Arial" w:hAnsi="Arial" w:cs="Arial"/>
                <w:sz w:val="20"/>
                <w:szCs w:val="20"/>
              </w:rPr>
              <w:t>6</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08/06/2</w:t>
            </w:r>
            <w:r>
              <w:rPr>
                <w:rFonts w:ascii="Arial" w:hAnsi="Arial" w:cs="Arial"/>
                <w:sz w:val="20"/>
                <w:szCs w:val="20"/>
              </w:rPr>
              <w:t>0</w:t>
            </w:r>
          </w:p>
        </w:tc>
        <w:tc>
          <w:tcPr>
            <w:tcW w:w="50" w:type="pct"/>
            <w:shd w:val="clear" w:color="auto" w:fill="FFFFFF"/>
            <w:vAlign w:val="bottom"/>
            <w:hideMark/>
          </w:tcPr>
          <w:p w14:paraId="28BC638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E42304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C4289D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70,000,000</w:t>
            </w:r>
          </w:p>
        </w:tc>
        <w:tc>
          <w:tcPr>
            <w:tcW w:w="50" w:type="pct"/>
            <w:shd w:val="clear" w:color="auto" w:fill="FFFFFF"/>
            <w:vAlign w:val="bottom"/>
            <w:hideMark/>
          </w:tcPr>
          <w:p w14:paraId="0FAE5DC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50C4B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89721A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8F3E67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69,991,600</w:t>
            </w:r>
          </w:p>
        </w:tc>
        <w:tc>
          <w:tcPr>
            <w:tcW w:w="50" w:type="pct"/>
            <w:shd w:val="clear" w:color="auto" w:fill="FFFFFF"/>
            <w:vAlign w:val="bottom"/>
            <w:hideMark/>
          </w:tcPr>
          <w:p w14:paraId="6FDCCC9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0125773" w14:textId="77777777">
        <w:trPr>
          <w:tblCellSpacing w:w="0" w:type="dxa"/>
        </w:trPr>
        <w:tc>
          <w:tcPr>
            <w:tcW w:w="0" w:type="auto"/>
            <w:shd w:val="clear" w:color="auto" w:fill="CCEEFF"/>
            <w:tcMar>
              <w:top w:w="0" w:type="dxa"/>
              <w:left w:w="360" w:type="dxa"/>
              <w:bottom w:w="0" w:type="dxa"/>
              <w:right w:w="0" w:type="dxa"/>
            </w:tcMar>
            <w:vAlign w:val="bottom"/>
            <w:hideMark/>
          </w:tcPr>
          <w:p w14:paraId="5832EC32" w14:textId="77777777" w:rsidR="00000000" w:rsidRDefault="00016ED8">
            <w:pPr>
              <w:rPr>
                <w:rFonts w:ascii="Arial" w:eastAsia="Times New Roman" w:hAnsi="Arial" w:cs="Arial"/>
                <w:sz w:val="20"/>
                <w:szCs w:val="20"/>
              </w:rPr>
            </w:pPr>
            <w:r>
              <w:rPr>
                <w:rFonts w:ascii="Arial" w:eastAsia="Times New Roman" w:hAnsi="Arial" w:cs="Arial"/>
                <w:sz w:val="20"/>
                <w:szCs w:val="20"/>
              </w:rPr>
              <w:t>0.1</w:t>
            </w:r>
            <w:r>
              <w:rPr>
                <w:rFonts w:ascii="Arial" w:eastAsia="Times New Roman" w:hAnsi="Arial" w:cs="Arial"/>
                <w:sz w:val="20"/>
                <w:szCs w:val="20"/>
              </w:rPr>
              <w:t>2</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08/11/2</w:t>
            </w:r>
            <w:r>
              <w:rPr>
                <w:rFonts w:ascii="Arial" w:eastAsia="Times New Roman" w:hAnsi="Arial" w:cs="Arial"/>
                <w:sz w:val="20"/>
                <w:szCs w:val="20"/>
              </w:rPr>
              <w:t>0</w:t>
            </w:r>
          </w:p>
        </w:tc>
        <w:tc>
          <w:tcPr>
            <w:tcW w:w="50" w:type="pct"/>
            <w:shd w:val="clear" w:color="auto" w:fill="CCEEFF"/>
            <w:vAlign w:val="bottom"/>
            <w:hideMark/>
          </w:tcPr>
          <w:p w14:paraId="349C1C7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3FD0D6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DF8BC4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70,000,000</w:t>
            </w:r>
          </w:p>
        </w:tc>
        <w:tc>
          <w:tcPr>
            <w:tcW w:w="50" w:type="pct"/>
            <w:shd w:val="clear" w:color="auto" w:fill="CCEEFF"/>
            <w:vAlign w:val="bottom"/>
            <w:hideMark/>
          </w:tcPr>
          <w:p w14:paraId="4A5CCE8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6C1B4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F5F9E3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24607B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69,989,636</w:t>
            </w:r>
          </w:p>
        </w:tc>
        <w:tc>
          <w:tcPr>
            <w:tcW w:w="50" w:type="pct"/>
            <w:shd w:val="clear" w:color="auto" w:fill="CCEEFF"/>
            <w:vAlign w:val="bottom"/>
            <w:hideMark/>
          </w:tcPr>
          <w:p w14:paraId="23A1C51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6139E8A" w14:textId="77777777">
        <w:trPr>
          <w:tblCellSpacing w:w="0" w:type="dxa"/>
        </w:trPr>
        <w:tc>
          <w:tcPr>
            <w:tcW w:w="0" w:type="auto"/>
            <w:shd w:val="clear" w:color="auto" w:fill="FFFFFF"/>
            <w:tcMar>
              <w:top w:w="0" w:type="dxa"/>
              <w:left w:w="360" w:type="dxa"/>
              <w:bottom w:w="0" w:type="dxa"/>
              <w:right w:w="0" w:type="dxa"/>
            </w:tcMar>
            <w:vAlign w:val="bottom"/>
            <w:hideMark/>
          </w:tcPr>
          <w:p w14:paraId="2AB19FAF" w14:textId="77777777" w:rsidR="00000000" w:rsidRDefault="00016ED8">
            <w:pPr>
              <w:rPr>
                <w:rFonts w:ascii="Arial" w:eastAsia="Times New Roman" w:hAnsi="Arial" w:cs="Arial"/>
                <w:sz w:val="20"/>
                <w:szCs w:val="20"/>
              </w:rPr>
            </w:pPr>
            <w:r>
              <w:rPr>
                <w:rFonts w:ascii="Arial" w:eastAsia="Times New Roman" w:hAnsi="Arial" w:cs="Arial"/>
                <w:sz w:val="20"/>
                <w:szCs w:val="20"/>
              </w:rPr>
              <w:t>0.1</w:t>
            </w:r>
            <w:r>
              <w:rPr>
                <w:rFonts w:ascii="Arial" w:eastAsia="Times New Roman" w:hAnsi="Arial" w:cs="Arial"/>
                <w:sz w:val="20"/>
                <w:szCs w:val="20"/>
              </w:rPr>
              <w:t>2</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08/20/2</w:t>
            </w:r>
            <w:r>
              <w:rPr>
                <w:rFonts w:ascii="Arial" w:eastAsia="Times New Roman" w:hAnsi="Arial" w:cs="Arial"/>
                <w:sz w:val="20"/>
                <w:szCs w:val="20"/>
              </w:rPr>
              <w:t>0</w:t>
            </w:r>
          </w:p>
        </w:tc>
        <w:tc>
          <w:tcPr>
            <w:tcW w:w="50" w:type="pct"/>
            <w:shd w:val="clear" w:color="auto" w:fill="FFFFFF"/>
            <w:vAlign w:val="bottom"/>
            <w:hideMark/>
          </w:tcPr>
          <w:p w14:paraId="7B47CC4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C7563A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E7C50F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14:paraId="5239D0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F3D8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BBE54F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FCE9B1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49,990,972</w:t>
            </w:r>
          </w:p>
        </w:tc>
        <w:tc>
          <w:tcPr>
            <w:tcW w:w="50" w:type="pct"/>
            <w:shd w:val="clear" w:color="auto" w:fill="FFFFFF"/>
            <w:vAlign w:val="bottom"/>
            <w:hideMark/>
          </w:tcPr>
          <w:p w14:paraId="04218C6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4D117DE" w14:textId="77777777">
        <w:trPr>
          <w:tblCellSpacing w:w="0" w:type="dxa"/>
        </w:trPr>
        <w:tc>
          <w:tcPr>
            <w:tcW w:w="0" w:type="auto"/>
            <w:shd w:val="clear" w:color="auto" w:fill="CCEEFF"/>
            <w:tcMar>
              <w:top w:w="0" w:type="dxa"/>
              <w:left w:w="360" w:type="dxa"/>
              <w:bottom w:w="0" w:type="dxa"/>
              <w:right w:w="0" w:type="dxa"/>
            </w:tcMar>
            <w:vAlign w:val="bottom"/>
            <w:hideMark/>
          </w:tcPr>
          <w:p w14:paraId="09B5CF2E" w14:textId="77777777" w:rsidR="00000000" w:rsidRDefault="00016ED8">
            <w:pPr>
              <w:rPr>
                <w:rFonts w:ascii="Arial" w:eastAsia="Times New Roman" w:hAnsi="Arial" w:cs="Arial"/>
                <w:sz w:val="20"/>
                <w:szCs w:val="20"/>
              </w:rPr>
            </w:pPr>
            <w:r>
              <w:rPr>
                <w:rFonts w:ascii="Arial" w:eastAsia="Times New Roman" w:hAnsi="Arial" w:cs="Arial"/>
                <w:sz w:val="20"/>
                <w:szCs w:val="20"/>
              </w:rPr>
              <w:t>0.1</w:t>
            </w:r>
            <w:r>
              <w:rPr>
                <w:rFonts w:ascii="Arial" w:eastAsia="Times New Roman" w:hAnsi="Arial" w:cs="Arial"/>
                <w:sz w:val="20"/>
                <w:szCs w:val="20"/>
              </w:rPr>
              <w:t>2</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08/27/2</w:t>
            </w:r>
            <w:r>
              <w:rPr>
                <w:rFonts w:ascii="Arial" w:eastAsia="Times New Roman" w:hAnsi="Arial" w:cs="Arial"/>
                <w:sz w:val="20"/>
                <w:szCs w:val="20"/>
              </w:rPr>
              <w:t>0</w:t>
            </w:r>
          </w:p>
        </w:tc>
        <w:tc>
          <w:tcPr>
            <w:tcW w:w="50" w:type="pct"/>
            <w:shd w:val="clear" w:color="auto" w:fill="CCEEFF"/>
            <w:vAlign w:val="bottom"/>
            <w:hideMark/>
          </w:tcPr>
          <w:p w14:paraId="1ED9D04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1839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D5BA62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14:paraId="3001015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9CB5F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3FE161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5A1EA7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14,996,675</w:t>
            </w:r>
          </w:p>
        </w:tc>
        <w:tc>
          <w:tcPr>
            <w:tcW w:w="50" w:type="pct"/>
            <w:shd w:val="clear" w:color="auto" w:fill="CCEEFF"/>
            <w:vAlign w:val="bottom"/>
            <w:hideMark/>
          </w:tcPr>
          <w:p w14:paraId="4FAB971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7289439" w14:textId="77777777">
        <w:trPr>
          <w:tblCellSpacing w:w="0" w:type="dxa"/>
        </w:trPr>
        <w:tc>
          <w:tcPr>
            <w:tcW w:w="0" w:type="auto"/>
            <w:shd w:val="clear" w:color="auto" w:fill="FFFFFF"/>
            <w:tcMar>
              <w:top w:w="0" w:type="dxa"/>
              <w:left w:w="360" w:type="dxa"/>
              <w:bottom w:w="0" w:type="dxa"/>
              <w:right w:w="0" w:type="dxa"/>
            </w:tcMar>
            <w:vAlign w:val="bottom"/>
            <w:hideMark/>
          </w:tcPr>
          <w:p w14:paraId="648D5B70" w14:textId="77777777" w:rsidR="00000000" w:rsidRDefault="00016ED8">
            <w:pPr>
              <w:rPr>
                <w:rFonts w:ascii="Arial" w:eastAsia="Times New Roman" w:hAnsi="Arial" w:cs="Arial"/>
                <w:sz w:val="20"/>
                <w:szCs w:val="20"/>
              </w:rPr>
            </w:pPr>
            <w:r>
              <w:rPr>
                <w:rFonts w:ascii="Arial" w:eastAsia="Times New Roman" w:hAnsi="Arial" w:cs="Arial"/>
                <w:sz w:val="20"/>
                <w:szCs w:val="20"/>
              </w:rPr>
              <w:t>0.1</w:t>
            </w:r>
            <w:r>
              <w:rPr>
                <w:rFonts w:ascii="Arial" w:eastAsia="Times New Roman" w:hAnsi="Arial" w:cs="Arial"/>
                <w:sz w:val="20"/>
                <w:szCs w:val="20"/>
              </w:rPr>
              <w:t>2</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09/10/2</w:t>
            </w:r>
            <w:r>
              <w:rPr>
                <w:rFonts w:ascii="Arial" w:eastAsia="Times New Roman" w:hAnsi="Arial" w:cs="Arial"/>
                <w:sz w:val="20"/>
                <w:szCs w:val="20"/>
              </w:rPr>
              <w:t>0</w:t>
            </w:r>
          </w:p>
        </w:tc>
        <w:tc>
          <w:tcPr>
            <w:tcW w:w="50" w:type="pct"/>
            <w:shd w:val="clear" w:color="auto" w:fill="FFFFFF"/>
            <w:vAlign w:val="bottom"/>
            <w:hideMark/>
          </w:tcPr>
          <w:p w14:paraId="1DF9D5F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4915AD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757A1B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14:paraId="67E46DC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1546C3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EC9778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1FAD97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29,992,013</w:t>
            </w:r>
          </w:p>
        </w:tc>
        <w:tc>
          <w:tcPr>
            <w:tcW w:w="50" w:type="pct"/>
            <w:shd w:val="clear" w:color="auto" w:fill="FFFFFF"/>
            <w:vAlign w:val="bottom"/>
            <w:hideMark/>
          </w:tcPr>
          <w:p w14:paraId="3F76AF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ED2CF79" w14:textId="77777777">
        <w:trPr>
          <w:tblCellSpacing w:w="0" w:type="dxa"/>
        </w:trPr>
        <w:tc>
          <w:tcPr>
            <w:tcW w:w="0" w:type="auto"/>
            <w:shd w:val="clear" w:color="auto" w:fill="CCEEFF"/>
            <w:tcMar>
              <w:top w:w="0" w:type="dxa"/>
              <w:left w:w="360" w:type="dxa"/>
              <w:bottom w:w="0" w:type="dxa"/>
              <w:right w:w="0" w:type="dxa"/>
            </w:tcMar>
            <w:vAlign w:val="bottom"/>
            <w:hideMark/>
          </w:tcPr>
          <w:p w14:paraId="7ACB1A62" w14:textId="77777777" w:rsidR="00000000" w:rsidRDefault="00016ED8">
            <w:pPr>
              <w:rPr>
                <w:rFonts w:ascii="Arial" w:eastAsia="Times New Roman" w:hAnsi="Arial" w:cs="Arial"/>
                <w:sz w:val="20"/>
                <w:szCs w:val="20"/>
              </w:rPr>
            </w:pPr>
            <w:r>
              <w:rPr>
                <w:rFonts w:ascii="Arial" w:eastAsia="Times New Roman" w:hAnsi="Arial" w:cs="Arial"/>
                <w:sz w:val="20"/>
                <w:szCs w:val="20"/>
              </w:rPr>
              <w:t>0.1</w:t>
            </w:r>
            <w:r>
              <w:rPr>
                <w:rFonts w:ascii="Arial" w:eastAsia="Times New Roman" w:hAnsi="Arial" w:cs="Arial"/>
                <w:sz w:val="20"/>
                <w:szCs w:val="20"/>
              </w:rPr>
              <w:t>4</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09/24/2</w:t>
            </w:r>
            <w:r>
              <w:rPr>
                <w:rFonts w:ascii="Arial" w:eastAsia="Times New Roman" w:hAnsi="Arial" w:cs="Arial"/>
                <w:sz w:val="20"/>
                <w:szCs w:val="20"/>
              </w:rPr>
              <w:t>0</w:t>
            </w:r>
          </w:p>
        </w:tc>
        <w:tc>
          <w:tcPr>
            <w:tcW w:w="50" w:type="pct"/>
            <w:shd w:val="clear" w:color="auto" w:fill="CCEEFF"/>
            <w:vAlign w:val="bottom"/>
            <w:hideMark/>
          </w:tcPr>
          <w:p w14:paraId="5CC00CF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EBE918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FE20FE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6,925,000</w:t>
            </w:r>
          </w:p>
        </w:tc>
        <w:tc>
          <w:tcPr>
            <w:tcW w:w="50" w:type="pct"/>
            <w:shd w:val="clear" w:color="auto" w:fill="CCEEFF"/>
            <w:vAlign w:val="bottom"/>
            <w:hideMark/>
          </w:tcPr>
          <w:p w14:paraId="1E88262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82C399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A997F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C37B73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6,922,629</w:t>
            </w:r>
          </w:p>
        </w:tc>
        <w:tc>
          <w:tcPr>
            <w:tcW w:w="50" w:type="pct"/>
            <w:shd w:val="clear" w:color="auto" w:fill="CCEEFF"/>
            <w:vAlign w:val="bottom"/>
            <w:hideMark/>
          </w:tcPr>
          <w:p w14:paraId="207CCD0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6733CC2" w14:textId="77777777">
        <w:trPr>
          <w:tblCellSpacing w:w="0" w:type="dxa"/>
        </w:trPr>
        <w:tc>
          <w:tcPr>
            <w:tcW w:w="0" w:type="auto"/>
            <w:shd w:val="clear" w:color="auto" w:fill="FFFFFF"/>
            <w:tcMar>
              <w:top w:w="0" w:type="dxa"/>
              <w:left w:w="360" w:type="dxa"/>
              <w:bottom w:w="0" w:type="dxa"/>
              <w:right w:w="0" w:type="dxa"/>
            </w:tcMar>
            <w:vAlign w:val="bottom"/>
            <w:hideMark/>
          </w:tcPr>
          <w:p w14:paraId="286E42CE" w14:textId="77777777" w:rsidR="00000000" w:rsidRDefault="00016ED8">
            <w:pPr>
              <w:rPr>
                <w:rFonts w:ascii="Arial" w:eastAsia="Times New Roman" w:hAnsi="Arial" w:cs="Arial"/>
                <w:sz w:val="20"/>
                <w:szCs w:val="20"/>
              </w:rPr>
            </w:pPr>
            <w:r>
              <w:rPr>
                <w:rFonts w:ascii="Arial" w:eastAsia="Times New Roman" w:hAnsi="Arial" w:cs="Arial"/>
                <w:sz w:val="20"/>
                <w:szCs w:val="20"/>
              </w:rPr>
              <w:t>0.1</w:t>
            </w:r>
            <w:r>
              <w:rPr>
                <w:rFonts w:ascii="Arial" w:eastAsia="Times New Roman" w:hAnsi="Arial" w:cs="Arial"/>
                <w:sz w:val="20"/>
                <w:szCs w:val="20"/>
              </w:rPr>
              <w:t>4</w:t>
            </w:r>
            <w:r>
              <w:rPr>
                <w:rFonts w:ascii="Arial" w:eastAsia="Times New Roman" w:hAnsi="Arial" w:cs="Arial"/>
                <w:sz w:val="20"/>
                <w:szCs w:val="20"/>
              </w:rPr>
              <w:t>% due</w:t>
            </w:r>
            <w:r>
              <w:rPr>
                <w:rFonts w:ascii="Arial" w:eastAsia="Times New Roman" w:hAnsi="Arial" w:cs="Arial"/>
                <w:sz w:val="20"/>
                <w:szCs w:val="20"/>
              </w:rPr>
              <w:t xml:space="preserve"> </w:t>
            </w:r>
            <w:r>
              <w:rPr>
                <w:rFonts w:ascii="Arial" w:eastAsia="Times New Roman" w:hAnsi="Arial" w:cs="Arial"/>
                <w:sz w:val="20"/>
                <w:szCs w:val="20"/>
              </w:rPr>
              <w:t>10/13/2</w:t>
            </w:r>
            <w:r>
              <w:rPr>
                <w:rFonts w:ascii="Arial" w:eastAsia="Times New Roman" w:hAnsi="Arial" w:cs="Arial"/>
                <w:sz w:val="20"/>
                <w:szCs w:val="20"/>
              </w:rPr>
              <w:t>0</w:t>
            </w:r>
          </w:p>
        </w:tc>
        <w:tc>
          <w:tcPr>
            <w:tcW w:w="50" w:type="pct"/>
            <w:shd w:val="clear" w:color="auto" w:fill="FFFFFF"/>
            <w:vAlign w:val="bottom"/>
            <w:hideMark/>
          </w:tcPr>
          <w:p w14:paraId="290597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68E17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42BFF8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tcMar>
              <w:top w:w="0" w:type="dxa"/>
              <w:left w:w="0" w:type="dxa"/>
              <w:bottom w:w="15" w:type="dxa"/>
              <w:right w:w="0" w:type="dxa"/>
            </w:tcMar>
            <w:vAlign w:val="bottom"/>
            <w:hideMark/>
          </w:tcPr>
          <w:p w14:paraId="46F5D72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4C8E9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408493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CEDD2E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29,986,133</w:t>
            </w:r>
          </w:p>
        </w:tc>
        <w:tc>
          <w:tcPr>
            <w:tcW w:w="50" w:type="pct"/>
            <w:shd w:val="clear" w:color="auto" w:fill="FFFFFF"/>
            <w:tcMar>
              <w:top w:w="0" w:type="dxa"/>
              <w:left w:w="0" w:type="dxa"/>
              <w:bottom w:w="15" w:type="dxa"/>
              <w:right w:w="0" w:type="dxa"/>
            </w:tcMar>
            <w:vAlign w:val="bottom"/>
            <w:hideMark/>
          </w:tcPr>
          <w:p w14:paraId="4AC158A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4636A78" w14:textId="77777777">
        <w:trPr>
          <w:tblCellSpacing w:w="0" w:type="dxa"/>
        </w:trPr>
        <w:tc>
          <w:tcPr>
            <w:tcW w:w="0" w:type="auto"/>
            <w:shd w:val="clear" w:color="auto" w:fill="CCEEFF"/>
            <w:vAlign w:val="bottom"/>
            <w:hideMark/>
          </w:tcPr>
          <w:p w14:paraId="3DEED7DC" w14:textId="77777777" w:rsidR="00000000" w:rsidRDefault="00016ED8">
            <w:pPr>
              <w:rPr>
                <w:rFonts w:ascii="Arial" w:eastAsia="Times New Roman" w:hAnsi="Arial" w:cs="Arial"/>
                <w:sz w:val="20"/>
                <w:szCs w:val="20"/>
              </w:rPr>
            </w:pPr>
            <w:r>
              <w:rPr>
                <w:rFonts w:ascii="Arial" w:eastAsia="Times New Roman" w:hAnsi="Arial" w:cs="Arial"/>
                <w:sz w:val="20"/>
                <w:szCs w:val="20"/>
              </w:rPr>
              <w:t xml:space="preserve">Total U.S. Treasury bills (Cost: </w:t>
            </w:r>
            <w:r>
              <w:rPr>
                <w:rFonts w:ascii="Arial" w:eastAsia="Times New Roman" w:hAnsi="Arial" w:cs="Arial"/>
                <w:sz w:val="20"/>
                <w:szCs w:val="20"/>
              </w:rPr>
              <w:t>$</w:t>
            </w:r>
            <w:r>
              <w:rPr>
                <w:rFonts w:ascii="Arial" w:eastAsia="Times New Roman" w:hAnsi="Arial" w:cs="Arial"/>
                <w:sz w:val="20"/>
                <w:szCs w:val="20"/>
              </w:rPr>
              <w:t>563,837,73</w:t>
            </w:r>
            <w:r>
              <w:rPr>
                <w:rFonts w:ascii="Arial" w:eastAsia="Times New Roman" w:hAnsi="Arial" w:cs="Arial"/>
                <w:sz w:val="20"/>
                <w:szCs w:val="20"/>
              </w:rPr>
              <w:t>0</w:t>
            </w:r>
            <w:r>
              <w:rPr>
                <w:rFonts w:ascii="Arial" w:eastAsia="Times New Roman" w:hAnsi="Arial" w:cs="Arial"/>
                <w:sz w:val="20"/>
                <w:szCs w:val="20"/>
              </w:rPr>
              <w:t>)</w:t>
            </w:r>
          </w:p>
        </w:tc>
        <w:tc>
          <w:tcPr>
            <w:tcW w:w="0" w:type="auto"/>
            <w:shd w:val="clear" w:color="auto" w:fill="CCEEFF"/>
            <w:vAlign w:val="bottom"/>
            <w:hideMark/>
          </w:tcPr>
          <w:p w14:paraId="0EDBF6A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792357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F19028C" w14:textId="77777777" w:rsidR="00000000" w:rsidRDefault="00016ED8">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6D838E2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F21B9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519D94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BB08BA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563,852,258</w:t>
            </w:r>
          </w:p>
        </w:tc>
        <w:tc>
          <w:tcPr>
            <w:tcW w:w="50" w:type="pct"/>
            <w:shd w:val="clear" w:color="auto" w:fill="CCEEFF"/>
            <w:tcMar>
              <w:top w:w="0" w:type="dxa"/>
              <w:left w:w="0" w:type="dxa"/>
              <w:bottom w:w="15" w:type="dxa"/>
              <w:right w:w="0" w:type="dxa"/>
            </w:tcMar>
            <w:vAlign w:val="bottom"/>
            <w:hideMark/>
          </w:tcPr>
          <w:p w14:paraId="2EE93A0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0B4AF66" w14:textId="77777777">
        <w:trPr>
          <w:tblCellSpacing w:w="0" w:type="dxa"/>
        </w:trPr>
        <w:tc>
          <w:tcPr>
            <w:tcW w:w="0" w:type="auto"/>
            <w:shd w:val="clear" w:color="auto" w:fill="FFFFFF"/>
            <w:vAlign w:val="bottom"/>
            <w:hideMark/>
          </w:tcPr>
          <w:p w14:paraId="34F84E3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4DD7E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05A457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2281FD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859DEE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ACA45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D06F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34284F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9F4001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C909863" w14:textId="77777777">
        <w:trPr>
          <w:tblCellSpacing w:w="0" w:type="dxa"/>
        </w:trPr>
        <w:tc>
          <w:tcPr>
            <w:tcW w:w="0" w:type="auto"/>
            <w:shd w:val="clear" w:color="auto" w:fill="CCEEFF"/>
            <w:vAlign w:val="bottom"/>
            <w:hideMark/>
          </w:tcPr>
          <w:p w14:paraId="3EB9C09C" w14:textId="77777777" w:rsidR="00000000" w:rsidRDefault="00016ED8">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92.5</w:t>
            </w:r>
            <w:r>
              <w:rPr>
                <w:rFonts w:ascii="Arial" w:eastAsia="Times New Roman" w:hAnsi="Arial" w:cs="Arial"/>
                <w:sz w:val="20"/>
                <w:szCs w:val="20"/>
              </w:rPr>
              <w:t>5</w:t>
            </w:r>
            <w:r>
              <w:rPr>
                <w:rFonts w:ascii="Arial" w:eastAsia="Times New Roman" w:hAnsi="Arial" w:cs="Arial"/>
                <w:sz w:val="20"/>
                <w:szCs w:val="20"/>
              </w:rPr>
              <w:t>%</w:t>
            </w:r>
          </w:p>
        </w:tc>
        <w:tc>
          <w:tcPr>
            <w:tcW w:w="0" w:type="auto"/>
            <w:shd w:val="clear" w:color="auto" w:fill="CCEEFF"/>
            <w:vAlign w:val="bottom"/>
            <w:hideMark/>
          </w:tcPr>
          <w:p w14:paraId="771EF1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91E950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5487E12" w14:textId="77777777" w:rsidR="00000000" w:rsidRDefault="00016ED8">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14:paraId="69193F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A5C58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969B9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EDBAC6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563,852,258</w:t>
            </w:r>
          </w:p>
        </w:tc>
        <w:tc>
          <w:tcPr>
            <w:tcW w:w="50" w:type="pct"/>
            <w:shd w:val="clear" w:color="auto" w:fill="CCEEFF"/>
            <w:vAlign w:val="bottom"/>
            <w:hideMark/>
          </w:tcPr>
          <w:p w14:paraId="2C7195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067C544" w14:textId="77777777">
        <w:trPr>
          <w:tblCellSpacing w:w="0" w:type="dxa"/>
        </w:trPr>
        <w:tc>
          <w:tcPr>
            <w:tcW w:w="0" w:type="auto"/>
            <w:shd w:val="clear" w:color="auto" w:fill="FFFFFF"/>
            <w:vAlign w:val="bottom"/>
            <w:hideMark/>
          </w:tcPr>
          <w:p w14:paraId="7232BCCB" w14:textId="77777777" w:rsidR="00000000" w:rsidRDefault="00016ED8">
            <w:pPr>
              <w:rPr>
                <w:rFonts w:ascii="Arial" w:eastAsia="Times New Roman" w:hAnsi="Arial" w:cs="Arial"/>
                <w:sz w:val="20"/>
                <w:szCs w:val="20"/>
              </w:rPr>
            </w:pPr>
            <w:r>
              <w:rPr>
                <w:rFonts w:ascii="Arial" w:eastAsia="Times New Roman" w:hAnsi="Arial" w:cs="Arial"/>
                <w:sz w:val="20"/>
                <w:szCs w:val="20"/>
              </w:rPr>
              <w:t>Other Assets, Less Liabilities –</w:t>
            </w:r>
            <w:r>
              <w:rPr>
                <w:rFonts w:ascii="Arial" w:eastAsia="Times New Roman" w:hAnsi="Arial" w:cs="Arial"/>
                <w:sz w:val="20"/>
                <w:szCs w:val="20"/>
              </w:rPr>
              <w:t xml:space="preserve"> </w:t>
            </w:r>
            <w:r>
              <w:rPr>
                <w:rFonts w:ascii="Arial" w:eastAsia="Times New Roman" w:hAnsi="Arial" w:cs="Arial"/>
                <w:sz w:val="20"/>
                <w:szCs w:val="20"/>
              </w:rPr>
              <w:t>7.4</w:t>
            </w:r>
            <w:r>
              <w:rPr>
                <w:rFonts w:ascii="Arial" w:eastAsia="Times New Roman" w:hAnsi="Arial" w:cs="Arial"/>
                <w:sz w:val="20"/>
                <w:szCs w:val="20"/>
              </w:rPr>
              <w:t>5</w:t>
            </w:r>
            <w:r>
              <w:rPr>
                <w:rFonts w:ascii="Arial" w:eastAsia="Times New Roman" w:hAnsi="Arial" w:cs="Arial"/>
                <w:sz w:val="20"/>
                <w:szCs w:val="20"/>
              </w:rPr>
              <w:t>%</w:t>
            </w:r>
          </w:p>
        </w:tc>
        <w:tc>
          <w:tcPr>
            <w:tcW w:w="0" w:type="auto"/>
            <w:shd w:val="clear" w:color="auto" w:fill="FFFFFF"/>
            <w:tcMar>
              <w:top w:w="0" w:type="dxa"/>
              <w:left w:w="0" w:type="dxa"/>
              <w:bottom w:w="15" w:type="dxa"/>
              <w:right w:w="0" w:type="dxa"/>
            </w:tcMar>
            <w:vAlign w:val="bottom"/>
            <w:hideMark/>
          </w:tcPr>
          <w:p w14:paraId="1F81A5B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C0366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7F2DE3D" w14:textId="77777777" w:rsidR="00000000" w:rsidRDefault="00016ED8">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2B448A1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7F71D26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CA232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580098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45,391,949</w:t>
            </w:r>
          </w:p>
        </w:tc>
        <w:tc>
          <w:tcPr>
            <w:tcW w:w="50" w:type="pct"/>
            <w:shd w:val="clear" w:color="auto" w:fill="FFFFFF"/>
            <w:tcMar>
              <w:top w:w="0" w:type="dxa"/>
              <w:left w:w="0" w:type="dxa"/>
              <w:bottom w:w="15" w:type="dxa"/>
              <w:right w:w="0" w:type="dxa"/>
            </w:tcMar>
            <w:vAlign w:val="bottom"/>
            <w:hideMark/>
          </w:tcPr>
          <w:p w14:paraId="1BF9FCE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F2C4732" w14:textId="77777777">
        <w:trPr>
          <w:tblCellSpacing w:w="0" w:type="dxa"/>
        </w:trPr>
        <w:tc>
          <w:tcPr>
            <w:tcW w:w="0" w:type="auto"/>
            <w:shd w:val="clear" w:color="auto" w:fill="CCEEFF"/>
            <w:vAlign w:val="bottom"/>
            <w:hideMark/>
          </w:tcPr>
          <w:p w14:paraId="0807A703" w14:textId="77777777" w:rsidR="00000000" w:rsidRDefault="00016ED8">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w:t>
            </w:r>
            <w:r>
              <w:rPr>
                <w:rFonts w:ascii="Arial" w:eastAsia="Times New Roman" w:hAnsi="Arial" w:cs="Arial"/>
                <w:sz w:val="20"/>
                <w:szCs w:val="20"/>
              </w:rPr>
              <w:t>0</w:t>
            </w:r>
            <w:r>
              <w:rPr>
                <w:rFonts w:ascii="Arial" w:eastAsia="Times New Roman" w:hAnsi="Arial" w:cs="Arial"/>
                <w:sz w:val="20"/>
                <w:szCs w:val="20"/>
              </w:rPr>
              <w:t>%</w:t>
            </w:r>
          </w:p>
        </w:tc>
        <w:tc>
          <w:tcPr>
            <w:tcW w:w="0" w:type="auto"/>
            <w:shd w:val="clear" w:color="auto" w:fill="CCEEFF"/>
            <w:tcMar>
              <w:top w:w="0" w:type="dxa"/>
              <w:left w:w="0" w:type="dxa"/>
              <w:bottom w:w="45" w:type="dxa"/>
              <w:right w:w="0" w:type="dxa"/>
            </w:tcMar>
            <w:vAlign w:val="bottom"/>
            <w:hideMark/>
          </w:tcPr>
          <w:p w14:paraId="289EC16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6D95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04CC57" w14:textId="77777777" w:rsidR="00000000" w:rsidRDefault="00016ED8">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45" w:type="dxa"/>
              <w:right w:w="0" w:type="dxa"/>
            </w:tcMar>
            <w:vAlign w:val="bottom"/>
            <w:hideMark/>
          </w:tcPr>
          <w:p w14:paraId="731FEFB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2B3BE53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3D66A58"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14:paraId="43BA7E3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609,244,207</w:t>
            </w:r>
          </w:p>
        </w:tc>
        <w:tc>
          <w:tcPr>
            <w:tcW w:w="50" w:type="pct"/>
            <w:shd w:val="clear" w:color="auto" w:fill="CCEEFF"/>
            <w:tcMar>
              <w:top w:w="0" w:type="dxa"/>
              <w:left w:w="0" w:type="dxa"/>
              <w:bottom w:w="45" w:type="dxa"/>
              <w:right w:w="0" w:type="dxa"/>
            </w:tcMar>
            <w:vAlign w:val="bottom"/>
            <w:hideMark/>
          </w:tcPr>
          <w:p w14:paraId="648A0D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00B3F9F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38875E9" w14:textId="77777777" w:rsidR="00000000" w:rsidRDefault="00016ED8">
      <w:pPr>
        <w:spacing w:after="60"/>
        <w:rPr>
          <w:rFonts w:ascii="Arial" w:eastAsia="Times New Roman" w:hAnsi="Arial" w:cs="Arial"/>
          <w:sz w:val="20"/>
          <w:szCs w:val="20"/>
        </w:rPr>
      </w:pPr>
      <w:r>
        <w:rPr>
          <w:rFonts w:ascii="Arial" w:eastAsia="Times New Roman" w:hAnsi="Arial" w:cs="Arial"/>
          <w:sz w:val="20"/>
          <w:szCs w:val="20"/>
        </w:rPr>
        <w:pict w14:anchorId="4AA2C6FF">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7867F7D" w14:textId="77777777">
        <w:trPr>
          <w:tblCellSpacing w:w="0" w:type="dxa"/>
        </w:trPr>
        <w:tc>
          <w:tcPr>
            <w:tcW w:w="360" w:type="dxa"/>
            <w:hideMark/>
          </w:tcPr>
          <w:p w14:paraId="75201993"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(a)</w:t>
            </w:r>
            <w:r>
              <w:rPr>
                <w:rFonts w:ascii="Arial" w:hAnsi="Arial" w:cs="Arial"/>
                <w:sz w:val="20"/>
                <w:szCs w:val="20"/>
              </w:rPr>
              <w:t> </w:t>
            </w:r>
          </w:p>
        </w:tc>
        <w:tc>
          <w:tcPr>
            <w:tcW w:w="0" w:type="auto"/>
            <w:hideMark/>
          </w:tcPr>
          <w:p w14:paraId="6B820F01"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14:paraId="7DD5CE6D"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E91DAA1" w14:textId="77777777">
        <w:trPr>
          <w:tblCellSpacing w:w="0" w:type="dxa"/>
        </w:trPr>
        <w:tc>
          <w:tcPr>
            <w:tcW w:w="360" w:type="dxa"/>
            <w:hideMark/>
          </w:tcPr>
          <w:p w14:paraId="0E5D1AB8"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(b)</w:t>
            </w:r>
            <w:r>
              <w:rPr>
                <w:rFonts w:ascii="Arial" w:hAnsi="Arial" w:cs="Arial"/>
                <w:sz w:val="20"/>
                <w:szCs w:val="20"/>
              </w:rPr>
              <w:t> </w:t>
            </w:r>
          </w:p>
        </w:tc>
        <w:tc>
          <w:tcPr>
            <w:tcW w:w="0" w:type="auto"/>
            <w:hideMark/>
          </w:tcPr>
          <w:p w14:paraId="24D6C6B5"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1C7D3A4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B310C2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June 30, 2020, </w:t>
      </w:r>
      <w:r>
        <w:rPr>
          <w:rFonts w:ascii="Arial" w:hAnsi="Arial" w:cs="Arial"/>
          <w:sz w:val="20"/>
          <w:szCs w:val="20"/>
        </w:rPr>
        <w:t>the open S&amp;P GSCI-ER futures contracts were as follows:</w:t>
      </w:r>
    </w:p>
    <w:p w14:paraId="73AB4E7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5F086905" w14:textId="77777777">
        <w:trPr>
          <w:tblCellSpacing w:w="0" w:type="dxa"/>
        </w:trPr>
        <w:tc>
          <w:tcPr>
            <w:tcW w:w="1150" w:type="pct"/>
            <w:tcBorders>
              <w:bottom w:val="single" w:sz="6" w:space="0" w:color="000000"/>
            </w:tcBorders>
            <w:vAlign w:val="bottom"/>
            <w:hideMark/>
          </w:tcPr>
          <w:p w14:paraId="0DEEFEF5"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100" w:type="pct"/>
            <w:vAlign w:val="bottom"/>
            <w:hideMark/>
          </w:tcPr>
          <w:p w14:paraId="24B7C61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14:paraId="39360B1C"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14:paraId="69550CF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7EDF0065"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vAlign w:val="bottom"/>
            <w:hideMark/>
          </w:tcPr>
          <w:p w14:paraId="4C1F2A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2A9F00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2C69409D"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14:paraId="5CE0903D"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50" w:type="pct"/>
            <w:vAlign w:val="bottom"/>
            <w:hideMark/>
          </w:tcPr>
          <w:p w14:paraId="2E0A5FC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0A674E5" w14:textId="77777777">
        <w:trPr>
          <w:tblCellSpacing w:w="0" w:type="dxa"/>
        </w:trPr>
        <w:tc>
          <w:tcPr>
            <w:tcW w:w="1150" w:type="pct"/>
            <w:shd w:val="clear" w:color="auto" w:fill="CCEEFF"/>
            <w:vAlign w:val="bottom"/>
            <w:hideMark/>
          </w:tcPr>
          <w:p w14:paraId="60B1D2F6"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40,295</w:t>
            </w:r>
          </w:p>
        </w:tc>
        <w:tc>
          <w:tcPr>
            <w:tcW w:w="100" w:type="pct"/>
            <w:shd w:val="clear" w:color="auto" w:fill="CCEEFF"/>
            <w:vAlign w:val="bottom"/>
            <w:hideMark/>
          </w:tcPr>
          <w:p w14:paraId="20F701A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14:paraId="3F075F26"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September 16, 2020</w:t>
            </w:r>
          </w:p>
        </w:tc>
        <w:tc>
          <w:tcPr>
            <w:tcW w:w="50" w:type="pct"/>
            <w:shd w:val="clear" w:color="auto" w:fill="CCEEFF"/>
            <w:vAlign w:val="bottom"/>
            <w:hideMark/>
          </w:tcPr>
          <w:p w14:paraId="18DA1BD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6A8AD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4C5DAA2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608,341,674</w:t>
            </w:r>
          </w:p>
        </w:tc>
        <w:tc>
          <w:tcPr>
            <w:tcW w:w="50" w:type="pct"/>
            <w:shd w:val="clear" w:color="auto" w:fill="CCEEFF"/>
            <w:vAlign w:val="bottom"/>
            <w:hideMark/>
          </w:tcPr>
          <w:p w14:paraId="4056908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3F2CE5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E32797"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39729DF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15,591,346</w:t>
            </w:r>
          </w:p>
        </w:tc>
        <w:tc>
          <w:tcPr>
            <w:tcW w:w="50" w:type="pct"/>
            <w:shd w:val="clear" w:color="auto" w:fill="CCEEFF"/>
            <w:vAlign w:val="bottom"/>
            <w:hideMark/>
          </w:tcPr>
          <w:p w14:paraId="7D235C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1CDF435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C274BC1" w14:textId="77777777" w:rsidR="00000000" w:rsidRDefault="00016ED8">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2019</w:t>
      </w:r>
    </w:p>
    <w:tbl>
      <w:tblPr>
        <w:tblW w:w="5000" w:type="pct"/>
        <w:tblCellSpacing w:w="0" w:type="dxa"/>
        <w:tblCellMar>
          <w:left w:w="0" w:type="dxa"/>
          <w:right w:w="0" w:type="dxa"/>
        </w:tblCellMar>
        <w:tblLook w:val="04A0" w:firstRow="1" w:lastRow="0" w:firstColumn="1" w:lastColumn="0" w:noHBand="0" w:noVBand="1"/>
      </w:tblPr>
      <w:tblGrid>
        <w:gridCol w:w="5688"/>
        <w:gridCol w:w="56"/>
        <w:gridCol w:w="56"/>
        <w:gridCol w:w="1113"/>
        <w:gridCol w:w="56"/>
        <w:gridCol w:w="56"/>
        <w:gridCol w:w="112"/>
        <w:gridCol w:w="1113"/>
        <w:gridCol w:w="56"/>
      </w:tblGrid>
      <w:tr w:rsidR="00000000" w14:paraId="777C116A" w14:textId="77777777">
        <w:trPr>
          <w:tblCellSpacing w:w="0" w:type="dxa"/>
        </w:trPr>
        <w:tc>
          <w:tcPr>
            <w:tcW w:w="3500" w:type="pct"/>
            <w:tcBorders>
              <w:bottom w:val="single" w:sz="6" w:space="0" w:color="000000"/>
            </w:tcBorders>
            <w:vAlign w:val="bottom"/>
            <w:hideMark/>
          </w:tcPr>
          <w:p w14:paraId="4A91FB36" w14:textId="77777777" w:rsidR="00000000" w:rsidRDefault="00016ED8">
            <w:pPr>
              <w:rPr>
                <w:rFonts w:ascii="Arial" w:eastAsia="Times New Roman" w:hAnsi="Arial" w:cs="Arial"/>
                <w:sz w:val="20"/>
                <w:szCs w:val="20"/>
              </w:rPr>
            </w:pPr>
            <w:r>
              <w:rPr>
                <w:rFonts w:ascii="Arial" w:eastAsia="Times New Roman" w:hAnsi="Arial" w:cs="Arial"/>
                <w:b/>
                <w:bCs/>
                <w:sz w:val="20"/>
                <w:szCs w:val="20"/>
              </w:rPr>
              <w:t>Security Description</w:t>
            </w:r>
          </w:p>
        </w:tc>
        <w:tc>
          <w:tcPr>
            <w:tcW w:w="0" w:type="auto"/>
            <w:vAlign w:val="bottom"/>
            <w:hideMark/>
          </w:tcPr>
          <w:p w14:paraId="5D5F272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66CCEAB"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Face Amount</w:t>
            </w:r>
          </w:p>
        </w:tc>
        <w:tc>
          <w:tcPr>
            <w:tcW w:w="0" w:type="auto"/>
            <w:vAlign w:val="bottom"/>
            <w:hideMark/>
          </w:tcPr>
          <w:p w14:paraId="37413A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C5B27E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017C10F"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Fair Value</w:t>
            </w:r>
          </w:p>
        </w:tc>
        <w:tc>
          <w:tcPr>
            <w:tcW w:w="0" w:type="auto"/>
            <w:vAlign w:val="bottom"/>
            <w:hideMark/>
          </w:tcPr>
          <w:p w14:paraId="1A562FF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9A2B48C" w14:textId="77777777">
        <w:trPr>
          <w:tblCellSpacing w:w="0" w:type="dxa"/>
        </w:trPr>
        <w:tc>
          <w:tcPr>
            <w:tcW w:w="0" w:type="auto"/>
            <w:shd w:val="clear" w:color="auto" w:fill="CCEEFF"/>
            <w:vAlign w:val="bottom"/>
            <w:hideMark/>
          </w:tcPr>
          <w:p w14:paraId="6DB51028" w14:textId="77777777" w:rsidR="00000000" w:rsidRDefault="00016ED8">
            <w:pPr>
              <w:rPr>
                <w:rFonts w:ascii="Arial" w:eastAsia="Times New Roman" w:hAnsi="Arial" w:cs="Arial"/>
                <w:sz w:val="20"/>
                <w:szCs w:val="20"/>
              </w:rPr>
            </w:pPr>
            <w:r>
              <w:rPr>
                <w:rFonts w:ascii="Arial" w:eastAsia="Times New Roman" w:hAnsi="Arial" w:cs="Arial"/>
                <w:sz w:val="20"/>
                <w:szCs w:val="20"/>
              </w:rPr>
              <w:t>U.S. Treasury bills</w:t>
            </w:r>
            <w:r>
              <w:rPr>
                <w:rFonts w:ascii="Arial" w:eastAsia="Times New Roman" w:hAnsi="Arial" w:cs="Arial"/>
                <w:sz w:val="12"/>
                <w:szCs w:val="12"/>
              </w:rPr>
              <w:t>(a)(b)</w:t>
            </w:r>
            <w:r>
              <w:rPr>
                <w:rFonts w:ascii="Arial" w:eastAsia="Times New Roman" w:hAnsi="Arial" w:cs="Arial"/>
                <w:sz w:val="20"/>
                <w:szCs w:val="20"/>
              </w:rPr>
              <w:t>:</w:t>
            </w:r>
          </w:p>
        </w:tc>
        <w:tc>
          <w:tcPr>
            <w:tcW w:w="0" w:type="auto"/>
            <w:shd w:val="clear" w:color="auto" w:fill="CCEEFF"/>
            <w:vAlign w:val="bottom"/>
            <w:hideMark/>
          </w:tcPr>
          <w:p w14:paraId="5639CA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20A9C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11E52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590229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58BF88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5C9848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EEDAE5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F4733F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0DBC41A" w14:textId="77777777">
        <w:trPr>
          <w:tblCellSpacing w:w="0" w:type="dxa"/>
        </w:trPr>
        <w:tc>
          <w:tcPr>
            <w:tcW w:w="0" w:type="auto"/>
            <w:shd w:val="clear" w:color="auto" w:fill="FFFFFF"/>
            <w:vAlign w:val="bottom"/>
            <w:hideMark/>
          </w:tcPr>
          <w:p w14:paraId="21F542E4"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6</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01/07/2</w:t>
            </w:r>
            <w:r>
              <w:rPr>
                <w:rFonts w:ascii="Arial" w:hAnsi="Arial" w:cs="Arial"/>
                <w:sz w:val="20"/>
                <w:szCs w:val="20"/>
              </w:rPr>
              <w:t>0</w:t>
            </w:r>
          </w:p>
        </w:tc>
        <w:tc>
          <w:tcPr>
            <w:tcW w:w="50" w:type="pct"/>
            <w:shd w:val="clear" w:color="auto" w:fill="FFFFFF"/>
            <w:vAlign w:val="bottom"/>
            <w:hideMark/>
          </w:tcPr>
          <w:p w14:paraId="5913EB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2F798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456CAA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14:paraId="40AA080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602721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6DEF69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22A7588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49,990,521</w:t>
            </w:r>
          </w:p>
        </w:tc>
        <w:tc>
          <w:tcPr>
            <w:tcW w:w="50" w:type="pct"/>
            <w:shd w:val="clear" w:color="auto" w:fill="FFFFFF"/>
            <w:vAlign w:val="bottom"/>
            <w:hideMark/>
          </w:tcPr>
          <w:p w14:paraId="08FBD9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676E53A" w14:textId="77777777">
        <w:trPr>
          <w:tblCellSpacing w:w="0" w:type="dxa"/>
        </w:trPr>
        <w:tc>
          <w:tcPr>
            <w:tcW w:w="0" w:type="auto"/>
            <w:shd w:val="clear" w:color="auto" w:fill="CCEEFF"/>
            <w:vAlign w:val="bottom"/>
            <w:hideMark/>
          </w:tcPr>
          <w:p w14:paraId="49FF00FF"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4</w:t>
            </w:r>
            <w:r>
              <w:rPr>
                <w:rFonts w:ascii="Arial" w:hAnsi="Arial" w:cs="Arial"/>
                <w:sz w:val="20"/>
                <w:szCs w:val="20"/>
              </w:rPr>
              <w:t>% –</w:t>
            </w:r>
            <w:r>
              <w:rPr>
                <w:rFonts w:ascii="Arial" w:hAnsi="Arial" w:cs="Arial"/>
                <w:sz w:val="20"/>
                <w:szCs w:val="20"/>
              </w:rPr>
              <w:t> </w:t>
            </w:r>
            <w:r>
              <w:rPr>
                <w:rFonts w:ascii="Arial" w:hAnsi="Arial" w:cs="Arial"/>
                <w:sz w:val="20"/>
                <w:szCs w:val="20"/>
              </w:rPr>
              <w:t>1.8</w:t>
            </w:r>
            <w:r>
              <w:rPr>
                <w:rFonts w:ascii="Arial" w:hAnsi="Arial" w:cs="Arial"/>
                <w:sz w:val="20"/>
                <w:szCs w:val="20"/>
              </w:rPr>
              <w:t>7</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01/16/2</w:t>
            </w:r>
            <w:r>
              <w:rPr>
                <w:rFonts w:ascii="Arial" w:hAnsi="Arial" w:cs="Arial"/>
                <w:sz w:val="20"/>
                <w:szCs w:val="20"/>
              </w:rPr>
              <w:t>0</w:t>
            </w:r>
          </w:p>
        </w:tc>
        <w:tc>
          <w:tcPr>
            <w:tcW w:w="50" w:type="pct"/>
            <w:shd w:val="clear" w:color="auto" w:fill="CCEEFF"/>
            <w:vAlign w:val="bottom"/>
            <w:hideMark/>
          </w:tcPr>
          <w:p w14:paraId="56D6118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D6B282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2F1592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85,000,000</w:t>
            </w:r>
          </w:p>
        </w:tc>
        <w:tc>
          <w:tcPr>
            <w:tcW w:w="50" w:type="pct"/>
            <w:shd w:val="clear" w:color="auto" w:fill="CCEEFF"/>
            <w:vAlign w:val="bottom"/>
            <w:hideMark/>
          </w:tcPr>
          <w:p w14:paraId="3FF540E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C77F5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6CE08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9EE968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84,953,805</w:t>
            </w:r>
          </w:p>
        </w:tc>
        <w:tc>
          <w:tcPr>
            <w:tcW w:w="50" w:type="pct"/>
            <w:shd w:val="clear" w:color="auto" w:fill="CCEEFF"/>
            <w:vAlign w:val="bottom"/>
            <w:hideMark/>
          </w:tcPr>
          <w:p w14:paraId="711179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DCA925E" w14:textId="77777777">
        <w:trPr>
          <w:tblCellSpacing w:w="0" w:type="dxa"/>
        </w:trPr>
        <w:tc>
          <w:tcPr>
            <w:tcW w:w="0" w:type="auto"/>
            <w:shd w:val="clear" w:color="auto" w:fill="FFFFFF"/>
            <w:vAlign w:val="bottom"/>
            <w:hideMark/>
          </w:tcPr>
          <w:p w14:paraId="5A44BF34"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1.6</w:t>
            </w:r>
            <w:r>
              <w:rPr>
                <w:rFonts w:ascii="Arial" w:hAnsi="Arial" w:cs="Arial"/>
                <w:sz w:val="20"/>
                <w:szCs w:val="20"/>
              </w:rPr>
              <w:t>2</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01/21/2</w:t>
            </w:r>
            <w:r>
              <w:rPr>
                <w:rFonts w:ascii="Arial" w:hAnsi="Arial" w:cs="Arial"/>
                <w:sz w:val="20"/>
                <w:szCs w:val="20"/>
              </w:rPr>
              <w:t>0</w:t>
            </w:r>
          </w:p>
        </w:tc>
        <w:tc>
          <w:tcPr>
            <w:tcW w:w="50" w:type="pct"/>
            <w:shd w:val="clear" w:color="auto" w:fill="FFFFFF"/>
            <w:vAlign w:val="bottom"/>
            <w:hideMark/>
          </w:tcPr>
          <w:p w14:paraId="1A6825A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784F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A7BB81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50,600,000</w:t>
            </w:r>
          </w:p>
        </w:tc>
        <w:tc>
          <w:tcPr>
            <w:tcW w:w="50" w:type="pct"/>
            <w:shd w:val="clear" w:color="auto" w:fill="FFFFFF"/>
            <w:vAlign w:val="bottom"/>
            <w:hideMark/>
          </w:tcPr>
          <w:p w14:paraId="67517B2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BEE87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8D4B8C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3C2372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50,560,743</w:t>
            </w:r>
          </w:p>
        </w:tc>
        <w:tc>
          <w:tcPr>
            <w:tcW w:w="50" w:type="pct"/>
            <w:shd w:val="clear" w:color="auto" w:fill="FFFFFF"/>
            <w:vAlign w:val="bottom"/>
            <w:hideMark/>
          </w:tcPr>
          <w:p w14:paraId="6CCA091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851CB54" w14:textId="77777777">
        <w:trPr>
          <w:tblCellSpacing w:w="0" w:type="dxa"/>
        </w:trPr>
        <w:tc>
          <w:tcPr>
            <w:tcW w:w="0" w:type="auto"/>
            <w:shd w:val="clear" w:color="auto" w:fill="CCEEFF"/>
            <w:vAlign w:val="bottom"/>
            <w:hideMark/>
          </w:tcPr>
          <w:p w14:paraId="7F5DD4D2"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1.8</w:t>
            </w:r>
            <w:r>
              <w:rPr>
                <w:rFonts w:ascii="Arial" w:hAnsi="Arial" w:cs="Arial"/>
                <w:sz w:val="20"/>
                <w:szCs w:val="20"/>
              </w:rPr>
              <w:t>7</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01/23/2</w:t>
            </w:r>
            <w:r>
              <w:rPr>
                <w:rFonts w:ascii="Arial" w:hAnsi="Arial" w:cs="Arial"/>
                <w:sz w:val="20"/>
                <w:szCs w:val="20"/>
              </w:rPr>
              <w:t>0</w:t>
            </w:r>
          </w:p>
        </w:tc>
        <w:tc>
          <w:tcPr>
            <w:tcW w:w="50" w:type="pct"/>
            <w:shd w:val="clear" w:color="auto" w:fill="CCEEFF"/>
            <w:vAlign w:val="bottom"/>
            <w:hideMark/>
          </w:tcPr>
          <w:p w14:paraId="4DBA70B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48373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20220B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CCEEFF"/>
            <w:vAlign w:val="bottom"/>
            <w:hideMark/>
          </w:tcPr>
          <w:p w14:paraId="66ADBE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5F2F0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9C641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2B83E1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49,957,125</w:t>
            </w:r>
          </w:p>
        </w:tc>
        <w:tc>
          <w:tcPr>
            <w:tcW w:w="50" w:type="pct"/>
            <w:shd w:val="clear" w:color="auto" w:fill="CCEEFF"/>
            <w:vAlign w:val="bottom"/>
            <w:hideMark/>
          </w:tcPr>
          <w:p w14:paraId="2133B92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52B17B4" w14:textId="77777777">
        <w:trPr>
          <w:tblCellSpacing w:w="0" w:type="dxa"/>
        </w:trPr>
        <w:tc>
          <w:tcPr>
            <w:tcW w:w="0" w:type="auto"/>
            <w:shd w:val="clear" w:color="auto" w:fill="FFFFFF"/>
            <w:vAlign w:val="bottom"/>
            <w:hideMark/>
          </w:tcPr>
          <w:p w14:paraId="54F23306"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5</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01/30/2</w:t>
            </w:r>
            <w:r>
              <w:rPr>
                <w:rFonts w:ascii="Arial" w:hAnsi="Arial" w:cs="Arial"/>
                <w:sz w:val="20"/>
                <w:szCs w:val="20"/>
              </w:rPr>
              <w:t>0</w:t>
            </w:r>
          </w:p>
        </w:tc>
        <w:tc>
          <w:tcPr>
            <w:tcW w:w="50" w:type="pct"/>
            <w:shd w:val="clear" w:color="auto" w:fill="FFFFFF"/>
            <w:vAlign w:val="bottom"/>
            <w:hideMark/>
          </w:tcPr>
          <w:p w14:paraId="6A9C616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C512EF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1839A5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14:paraId="50C3CE1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C56EA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B335FB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CEB3E1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99,886,820</w:t>
            </w:r>
          </w:p>
        </w:tc>
        <w:tc>
          <w:tcPr>
            <w:tcW w:w="50" w:type="pct"/>
            <w:shd w:val="clear" w:color="auto" w:fill="FFFFFF"/>
            <w:vAlign w:val="bottom"/>
            <w:hideMark/>
          </w:tcPr>
          <w:p w14:paraId="57BA67C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929F61F" w14:textId="77777777">
        <w:trPr>
          <w:tblCellSpacing w:w="0" w:type="dxa"/>
        </w:trPr>
        <w:tc>
          <w:tcPr>
            <w:tcW w:w="0" w:type="auto"/>
            <w:shd w:val="clear" w:color="auto" w:fill="CCEEFF"/>
            <w:vAlign w:val="bottom"/>
            <w:hideMark/>
          </w:tcPr>
          <w:p w14:paraId="01391DE6"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6</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02/04/2</w:t>
            </w:r>
            <w:r>
              <w:rPr>
                <w:rFonts w:ascii="Arial" w:hAnsi="Arial" w:cs="Arial"/>
                <w:sz w:val="20"/>
                <w:szCs w:val="20"/>
              </w:rPr>
              <w:t>0</w:t>
            </w:r>
          </w:p>
        </w:tc>
        <w:tc>
          <w:tcPr>
            <w:tcW w:w="50" w:type="pct"/>
            <w:shd w:val="clear" w:color="auto" w:fill="CCEEFF"/>
            <w:vAlign w:val="bottom"/>
            <w:hideMark/>
          </w:tcPr>
          <w:p w14:paraId="073CBB4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EA3C0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80DFA0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14:paraId="6B3E9F8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C7B2A4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C12BC9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5D9C6E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14,978,480</w:t>
            </w:r>
          </w:p>
        </w:tc>
        <w:tc>
          <w:tcPr>
            <w:tcW w:w="50" w:type="pct"/>
            <w:shd w:val="clear" w:color="auto" w:fill="CCEEFF"/>
            <w:vAlign w:val="bottom"/>
            <w:hideMark/>
          </w:tcPr>
          <w:p w14:paraId="3EB10C1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5AA53E2" w14:textId="77777777">
        <w:trPr>
          <w:tblCellSpacing w:w="0" w:type="dxa"/>
        </w:trPr>
        <w:tc>
          <w:tcPr>
            <w:tcW w:w="0" w:type="auto"/>
            <w:shd w:val="clear" w:color="auto" w:fill="FFFFFF"/>
            <w:vAlign w:val="bottom"/>
            <w:hideMark/>
          </w:tcPr>
          <w:p w14:paraId="49D3D156"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1.8</w:t>
            </w:r>
            <w:r>
              <w:rPr>
                <w:rFonts w:ascii="Arial" w:hAnsi="Arial" w:cs="Arial"/>
                <w:sz w:val="20"/>
                <w:szCs w:val="20"/>
              </w:rPr>
              <w:t>8</w:t>
            </w:r>
            <w:r>
              <w:rPr>
                <w:rFonts w:ascii="Arial" w:hAnsi="Arial" w:cs="Arial"/>
                <w:sz w:val="20"/>
                <w:szCs w:val="20"/>
              </w:rPr>
              <w:t>% –</w:t>
            </w:r>
            <w:r>
              <w:rPr>
                <w:rFonts w:ascii="Arial" w:hAnsi="Arial" w:cs="Arial"/>
                <w:sz w:val="20"/>
                <w:szCs w:val="20"/>
              </w:rPr>
              <w:t> </w:t>
            </w:r>
            <w:r>
              <w:rPr>
                <w:rFonts w:ascii="Arial" w:hAnsi="Arial" w:cs="Arial"/>
                <w:sz w:val="20"/>
                <w:szCs w:val="20"/>
              </w:rPr>
              <w:t>1.9</w:t>
            </w:r>
            <w:r>
              <w:rPr>
                <w:rFonts w:ascii="Arial" w:hAnsi="Arial" w:cs="Arial"/>
                <w:sz w:val="20"/>
                <w:szCs w:val="20"/>
              </w:rPr>
              <w:t>3</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02/06/2</w:t>
            </w:r>
            <w:r>
              <w:rPr>
                <w:rFonts w:ascii="Arial" w:hAnsi="Arial" w:cs="Arial"/>
                <w:sz w:val="20"/>
                <w:szCs w:val="20"/>
              </w:rPr>
              <w:t>0</w:t>
            </w:r>
          </w:p>
        </w:tc>
        <w:tc>
          <w:tcPr>
            <w:tcW w:w="50" w:type="pct"/>
            <w:shd w:val="clear" w:color="auto" w:fill="FFFFFF"/>
            <w:vAlign w:val="bottom"/>
            <w:hideMark/>
          </w:tcPr>
          <w:p w14:paraId="5E12B46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A067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AADAD4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70,000,000</w:t>
            </w:r>
          </w:p>
        </w:tc>
        <w:tc>
          <w:tcPr>
            <w:tcW w:w="50" w:type="pct"/>
            <w:shd w:val="clear" w:color="auto" w:fill="FFFFFF"/>
            <w:vAlign w:val="bottom"/>
            <w:hideMark/>
          </w:tcPr>
          <w:p w14:paraId="33DD31F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D3B5C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F0E78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7EF499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69,898,597</w:t>
            </w:r>
          </w:p>
        </w:tc>
        <w:tc>
          <w:tcPr>
            <w:tcW w:w="50" w:type="pct"/>
            <w:shd w:val="clear" w:color="auto" w:fill="FFFFFF"/>
            <w:vAlign w:val="bottom"/>
            <w:hideMark/>
          </w:tcPr>
          <w:p w14:paraId="31E7D38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1CB4C01" w14:textId="77777777">
        <w:trPr>
          <w:tblCellSpacing w:w="0" w:type="dxa"/>
        </w:trPr>
        <w:tc>
          <w:tcPr>
            <w:tcW w:w="0" w:type="auto"/>
            <w:shd w:val="clear" w:color="auto" w:fill="CCEEFF"/>
            <w:vAlign w:val="bottom"/>
            <w:hideMark/>
          </w:tcPr>
          <w:p w14:paraId="1260D248"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5</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02/13/2</w:t>
            </w:r>
            <w:r>
              <w:rPr>
                <w:rFonts w:ascii="Arial" w:hAnsi="Arial" w:cs="Arial"/>
                <w:sz w:val="20"/>
                <w:szCs w:val="20"/>
              </w:rPr>
              <w:t>0</w:t>
            </w:r>
          </w:p>
        </w:tc>
        <w:tc>
          <w:tcPr>
            <w:tcW w:w="50" w:type="pct"/>
            <w:shd w:val="clear" w:color="auto" w:fill="CCEEFF"/>
            <w:vAlign w:val="bottom"/>
            <w:hideMark/>
          </w:tcPr>
          <w:p w14:paraId="276FCB1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CE9D9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F7FEC0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65,000,000</w:t>
            </w:r>
          </w:p>
        </w:tc>
        <w:tc>
          <w:tcPr>
            <w:tcW w:w="50" w:type="pct"/>
            <w:shd w:val="clear" w:color="auto" w:fill="CCEEFF"/>
            <w:vAlign w:val="bottom"/>
            <w:hideMark/>
          </w:tcPr>
          <w:p w14:paraId="298F1B1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0F2AE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EEC3A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4D5AE2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64,887,198</w:t>
            </w:r>
          </w:p>
        </w:tc>
        <w:tc>
          <w:tcPr>
            <w:tcW w:w="50" w:type="pct"/>
            <w:shd w:val="clear" w:color="auto" w:fill="CCEEFF"/>
            <w:vAlign w:val="bottom"/>
            <w:hideMark/>
          </w:tcPr>
          <w:p w14:paraId="54879E2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869A432" w14:textId="77777777">
        <w:trPr>
          <w:tblCellSpacing w:w="0" w:type="dxa"/>
        </w:trPr>
        <w:tc>
          <w:tcPr>
            <w:tcW w:w="0" w:type="auto"/>
            <w:shd w:val="clear" w:color="auto" w:fill="FFFFFF"/>
            <w:vAlign w:val="bottom"/>
            <w:hideMark/>
          </w:tcPr>
          <w:p w14:paraId="1F2FBCA6"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5</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02/20/2</w:t>
            </w:r>
            <w:r>
              <w:rPr>
                <w:rFonts w:ascii="Arial" w:hAnsi="Arial" w:cs="Arial"/>
                <w:sz w:val="20"/>
                <w:szCs w:val="20"/>
              </w:rPr>
              <w:t>0</w:t>
            </w:r>
          </w:p>
        </w:tc>
        <w:tc>
          <w:tcPr>
            <w:tcW w:w="50" w:type="pct"/>
            <w:shd w:val="clear" w:color="auto" w:fill="FFFFFF"/>
            <w:vAlign w:val="bottom"/>
            <w:hideMark/>
          </w:tcPr>
          <w:p w14:paraId="0564F09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C6DB05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713906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14:paraId="749807E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774EBA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808C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D92653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29,938,138</w:t>
            </w:r>
          </w:p>
        </w:tc>
        <w:tc>
          <w:tcPr>
            <w:tcW w:w="50" w:type="pct"/>
            <w:shd w:val="clear" w:color="auto" w:fill="FFFFFF"/>
            <w:vAlign w:val="bottom"/>
            <w:hideMark/>
          </w:tcPr>
          <w:p w14:paraId="7442F97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3550716" w14:textId="77777777">
        <w:trPr>
          <w:tblCellSpacing w:w="0" w:type="dxa"/>
        </w:trPr>
        <w:tc>
          <w:tcPr>
            <w:tcW w:w="0" w:type="auto"/>
            <w:shd w:val="clear" w:color="auto" w:fill="CCEEFF"/>
            <w:vAlign w:val="bottom"/>
            <w:hideMark/>
          </w:tcPr>
          <w:p w14:paraId="17CCFB24"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1.8</w:t>
            </w:r>
            <w:r>
              <w:rPr>
                <w:rFonts w:ascii="Arial" w:hAnsi="Arial" w:cs="Arial"/>
                <w:sz w:val="20"/>
                <w:szCs w:val="20"/>
              </w:rPr>
              <w:t>1</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02/27/2</w:t>
            </w:r>
            <w:r>
              <w:rPr>
                <w:rFonts w:ascii="Arial" w:hAnsi="Arial" w:cs="Arial"/>
                <w:sz w:val="20"/>
                <w:szCs w:val="20"/>
              </w:rPr>
              <w:t>0</w:t>
            </w:r>
          </w:p>
        </w:tc>
        <w:tc>
          <w:tcPr>
            <w:tcW w:w="50" w:type="pct"/>
            <w:shd w:val="clear" w:color="auto" w:fill="CCEEFF"/>
            <w:vAlign w:val="bottom"/>
            <w:hideMark/>
          </w:tcPr>
          <w:p w14:paraId="2DCB59E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D45249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098E89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CCEEFF"/>
            <w:vAlign w:val="bottom"/>
            <w:hideMark/>
          </w:tcPr>
          <w:p w14:paraId="551F533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C7B8C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08575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50AEB5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14,964,767</w:t>
            </w:r>
          </w:p>
        </w:tc>
        <w:tc>
          <w:tcPr>
            <w:tcW w:w="50" w:type="pct"/>
            <w:shd w:val="clear" w:color="auto" w:fill="CCEEFF"/>
            <w:vAlign w:val="bottom"/>
            <w:hideMark/>
          </w:tcPr>
          <w:p w14:paraId="3EF40AF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4F521D7" w14:textId="77777777">
        <w:trPr>
          <w:tblCellSpacing w:w="0" w:type="dxa"/>
        </w:trPr>
        <w:tc>
          <w:tcPr>
            <w:tcW w:w="0" w:type="auto"/>
            <w:shd w:val="clear" w:color="auto" w:fill="FFFFFF"/>
            <w:vAlign w:val="bottom"/>
            <w:hideMark/>
          </w:tcPr>
          <w:p w14:paraId="5FFDA5AA"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3</w:t>
            </w:r>
            <w:r>
              <w:rPr>
                <w:rFonts w:ascii="Arial" w:hAnsi="Arial" w:cs="Arial"/>
                <w:sz w:val="20"/>
                <w:szCs w:val="20"/>
              </w:rPr>
              <w:t>% –</w:t>
            </w:r>
            <w:r>
              <w:rPr>
                <w:rFonts w:ascii="Arial" w:hAnsi="Arial" w:cs="Arial"/>
                <w:sz w:val="20"/>
                <w:szCs w:val="20"/>
              </w:rPr>
              <w:t> </w:t>
            </w:r>
            <w:r>
              <w:rPr>
                <w:rFonts w:ascii="Arial" w:hAnsi="Arial" w:cs="Arial"/>
                <w:sz w:val="20"/>
                <w:szCs w:val="20"/>
              </w:rPr>
              <w:t>1.6</w:t>
            </w:r>
            <w:r>
              <w:rPr>
                <w:rFonts w:ascii="Arial" w:hAnsi="Arial" w:cs="Arial"/>
                <w:sz w:val="20"/>
                <w:szCs w:val="20"/>
              </w:rPr>
              <w:t>1</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03/12/2</w:t>
            </w:r>
            <w:r>
              <w:rPr>
                <w:rFonts w:ascii="Arial" w:hAnsi="Arial" w:cs="Arial"/>
                <w:sz w:val="20"/>
                <w:szCs w:val="20"/>
              </w:rPr>
              <w:t>0</w:t>
            </w:r>
          </w:p>
        </w:tc>
        <w:tc>
          <w:tcPr>
            <w:tcW w:w="50" w:type="pct"/>
            <w:shd w:val="clear" w:color="auto" w:fill="FFFFFF"/>
            <w:vAlign w:val="bottom"/>
            <w:hideMark/>
          </w:tcPr>
          <w:p w14:paraId="20C9605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81036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86C698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FFFFFF"/>
            <w:vAlign w:val="bottom"/>
            <w:hideMark/>
          </w:tcPr>
          <w:p w14:paraId="321A059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56252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2DB860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AB1C45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74,780,885</w:t>
            </w:r>
          </w:p>
        </w:tc>
        <w:tc>
          <w:tcPr>
            <w:tcW w:w="50" w:type="pct"/>
            <w:shd w:val="clear" w:color="auto" w:fill="FFFFFF"/>
            <w:vAlign w:val="bottom"/>
            <w:hideMark/>
          </w:tcPr>
          <w:p w14:paraId="70C5F28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6847C7F" w14:textId="77777777">
        <w:trPr>
          <w:tblCellSpacing w:w="0" w:type="dxa"/>
        </w:trPr>
        <w:tc>
          <w:tcPr>
            <w:tcW w:w="0" w:type="auto"/>
            <w:shd w:val="clear" w:color="auto" w:fill="CCEEFF"/>
            <w:vAlign w:val="bottom"/>
            <w:hideMark/>
          </w:tcPr>
          <w:p w14:paraId="7B20335B"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5</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03/26/2</w:t>
            </w:r>
            <w:r>
              <w:rPr>
                <w:rFonts w:ascii="Arial" w:hAnsi="Arial" w:cs="Arial"/>
                <w:sz w:val="20"/>
                <w:szCs w:val="20"/>
              </w:rPr>
              <w:t>0</w:t>
            </w:r>
          </w:p>
        </w:tc>
        <w:tc>
          <w:tcPr>
            <w:tcW w:w="50" w:type="pct"/>
            <w:shd w:val="clear" w:color="auto" w:fill="CCEEFF"/>
            <w:vAlign w:val="bottom"/>
            <w:hideMark/>
          </w:tcPr>
          <w:p w14:paraId="1D5F2C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746D9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41A22A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25,000,000</w:t>
            </w:r>
          </w:p>
        </w:tc>
        <w:tc>
          <w:tcPr>
            <w:tcW w:w="50" w:type="pct"/>
            <w:shd w:val="clear" w:color="auto" w:fill="CCEEFF"/>
            <w:vAlign w:val="bottom"/>
            <w:hideMark/>
          </w:tcPr>
          <w:p w14:paraId="19AF77B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8FAF2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3F033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66B610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24,912,048</w:t>
            </w:r>
          </w:p>
        </w:tc>
        <w:tc>
          <w:tcPr>
            <w:tcW w:w="50" w:type="pct"/>
            <w:shd w:val="clear" w:color="auto" w:fill="CCEEFF"/>
            <w:vAlign w:val="bottom"/>
            <w:hideMark/>
          </w:tcPr>
          <w:p w14:paraId="7075E94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F1EAFB0" w14:textId="77777777">
        <w:trPr>
          <w:tblCellSpacing w:w="0" w:type="dxa"/>
        </w:trPr>
        <w:tc>
          <w:tcPr>
            <w:tcW w:w="0" w:type="auto"/>
            <w:shd w:val="clear" w:color="auto" w:fill="FFFFFF"/>
            <w:vAlign w:val="bottom"/>
            <w:hideMark/>
          </w:tcPr>
          <w:p w14:paraId="53A91DA1"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5</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04/16/2</w:t>
            </w:r>
            <w:r>
              <w:rPr>
                <w:rFonts w:ascii="Arial" w:hAnsi="Arial" w:cs="Arial"/>
                <w:sz w:val="20"/>
                <w:szCs w:val="20"/>
              </w:rPr>
              <w:t>0</w:t>
            </w:r>
          </w:p>
        </w:tc>
        <w:tc>
          <w:tcPr>
            <w:tcW w:w="50" w:type="pct"/>
            <w:shd w:val="clear" w:color="auto" w:fill="FFFFFF"/>
            <w:vAlign w:val="bottom"/>
            <w:hideMark/>
          </w:tcPr>
          <w:p w14:paraId="19E28F5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A0EA7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F50DC5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FFFFFF"/>
            <w:vAlign w:val="bottom"/>
            <w:hideMark/>
          </w:tcPr>
          <w:p w14:paraId="0C218C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E1EED5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3830AC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542345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34,845,071</w:t>
            </w:r>
          </w:p>
        </w:tc>
        <w:tc>
          <w:tcPr>
            <w:tcW w:w="50" w:type="pct"/>
            <w:shd w:val="clear" w:color="auto" w:fill="FFFFFF"/>
            <w:vAlign w:val="bottom"/>
            <w:hideMark/>
          </w:tcPr>
          <w:p w14:paraId="67DDB2B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FFEAC29" w14:textId="77777777">
        <w:trPr>
          <w:tblCellSpacing w:w="0" w:type="dxa"/>
        </w:trPr>
        <w:tc>
          <w:tcPr>
            <w:tcW w:w="0" w:type="auto"/>
            <w:shd w:val="clear" w:color="auto" w:fill="CCEEFF"/>
            <w:vAlign w:val="bottom"/>
            <w:hideMark/>
          </w:tcPr>
          <w:p w14:paraId="1746C12A"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5</w:t>
            </w:r>
            <w:r>
              <w:rPr>
                <w:rFonts w:ascii="Arial" w:hAnsi="Arial" w:cs="Arial"/>
                <w:sz w:val="20"/>
                <w:szCs w:val="20"/>
              </w:rPr>
              <w:t>% –</w:t>
            </w:r>
            <w:r>
              <w:rPr>
                <w:rFonts w:ascii="Arial" w:hAnsi="Arial" w:cs="Arial"/>
                <w:sz w:val="20"/>
                <w:szCs w:val="20"/>
              </w:rPr>
              <w:t> </w:t>
            </w:r>
            <w:r>
              <w:rPr>
                <w:rFonts w:ascii="Arial" w:hAnsi="Arial" w:cs="Arial"/>
                <w:sz w:val="20"/>
                <w:szCs w:val="20"/>
              </w:rPr>
              <w:t>1.6</w:t>
            </w:r>
            <w:r>
              <w:rPr>
                <w:rFonts w:ascii="Arial" w:hAnsi="Arial" w:cs="Arial"/>
                <w:sz w:val="20"/>
                <w:szCs w:val="20"/>
              </w:rPr>
              <w:t>1</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04/23/2</w:t>
            </w:r>
            <w:r>
              <w:rPr>
                <w:rFonts w:ascii="Arial" w:hAnsi="Arial" w:cs="Arial"/>
                <w:sz w:val="20"/>
                <w:szCs w:val="20"/>
              </w:rPr>
              <w:t>0</w:t>
            </w:r>
          </w:p>
        </w:tc>
        <w:tc>
          <w:tcPr>
            <w:tcW w:w="50" w:type="pct"/>
            <w:shd w:val="clear" w:color="auto" w:fill="CCEEFF"/>
            <w:vAlign w:val="bottom"/>
            <w:hideMark/>
          </w:tcPr>
          <w:p w14:paraId="106D34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7123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75B240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55,000,000</w:t>
            </w:r>
          </w:p>
        </w:tc>
        <w:tc>
          <w:tcPr>
            <w:tcW w:w="50" w:type="pct"/>
            <w:shd w:val="clear" w:color="auto" w:fill="CCEEFF"/>
            <w:vAlign w:val="bottom"/>
            <w:hideMark/>
          </w:tcPr>
          <w:p w14:paraId="3E8327F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A12AB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9F15F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BF2AFA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54,737,729</w:t>
            </w:r>
          </w:p>
        </w:tc>
        <w:tc>
          <w:tcPr>
            <w:tcW w:w="50" w:type="pct"/>
            <w:shd w:val="clear" w:color="auto" w:fill="CCEEFF"/>
            <w:vAlign w:val="bottom"/>
            <w:hideMark/>
          </w:tcPr>
          <w:p w14:paraId="584952E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1A56E55" w14:textId="77777777">
        <w:trPr>
          <w:tblCellSpacing w:w="0" w:type="dxa"/>
        </w:trPr>
        <w:tc>
          <w:tcPr>
            <w:tcW w:w="0" w:type="auto"/>
            <w:shd w:val="clear" w:color="auto" w:fill="FFFFFF"/>
            <w:vAlign w:val="bottom"/>
            <w:hideMark/>
          </w:tcPr>
          <w:p w14:paraId="381F4982"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1</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05/07/2</w:t>
            </w:r>
            <w:r>
              <w:rPr>
                <w:rFonts w:ascii="Arial" w:hAnsi="Arial" w:cs="Arial"/>
                <w:sz w:val="20"/>
                <w:szCs w:val="20"/>
              </w:rPr>
              <w:t>0</w:t>
            </w:r>
          </w:p>
        </w:tc>
        <w:tc>
          <w:tcPr>
            <w:tcW w:w="50" w:type="pct"/>
            <w:shd w:val="clear" w:color="auto" w:fill="FFFFFF"/>
            <w:vAlign w:val="bottom"/>
            <w:hideMark/>
          </w:tcPr>
          <w:p w14:paraId="2353C4F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B6F4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8C7AC0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FFFFFF"/>
            <w:vAlign w:val="bottom"/>
            <w:hideMark/>
          </w:tcPr>
          <w:p w14:paraId="6F206CC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9F8EF8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E099F3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22D583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14,920,003</w:t>
            </w:r>
          </w:p>
        </w:tc>
        <w:tc>
          <w:tcPr>
            <w:tcW w:w="50" w:type="pct"/>
            <w:shd w:val="clear" w:color="auto" w:fill="FFFFFF"/>
            <w:vAlign w:val="bottom"/>
            <w:hideMark/>
          </w:tcPr>
          <w:p w14:paraId="209E3D6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4AC005F" w14:textId="77777777">
        <w:trPr>
          <w:tblCellSpacing w:w="0" w:type="dxa"/>
        </w:trPr>
        <w:tc>
          <w:tcPr>
            <w:tcW w:w="0" w:type="auto"/>
            <w:shd w:val="clear" w:color="auto" w:fill="CCEEFF"/>
            <w:vAlign w:val="bottom"/>
            <w:hideMark/>
          </w:tcPr>
          <w:p w14:paraId="72869748"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1.5</w:t>
            </w:r>
            <w:r>
              <w:rPr>
                <w:rFonts w:ascii="Arial" w:hAnsi="Arial" w:cs="Arial"/>
                <w:sz w:val="20"/>
                <w:szCs w:val="20"/>
              </w:rPr>
              <w:t>5</w:t>
            </w:r>
            <w:r>
              <w:rPr>
                <w:rFonts w:ascii="Arial" w:hAnsi="Arial" w:cs="Arial"/>
                <w:sz w:val="20"/>
                <w:szCs w:val="20"/>
              </w:rPr>
              <w:t>% due</w:t>
            </w:r>
            <w:r>
              <w:rPr>
                <w:rFonts w:ascii="Arial" w:hAnsi="Arial" w:cs="Arial"/>
                <w:sz w:val="20"/>
                <w:szCs w:val="20"/>
              </w:rPr>
              <w:t xml:space="preserve"> </w:t>
            </w:r>
            <w:r>
              <w:rPr>
                <w:rFonts w:ascii="Arial" w:hAnsi="Arial" w:cs="Arial"/>
                <w:sz w:val="20"/>
                <w:szCs w:val="20"/>
              </w:rPr>
              <w:t>05/14/2</w:t>
            </w:r>
            <w:r>
              <w:rPr>
                <w:rFonts w:ascii="Arial" w:hAnsi="Arial" w:cs="Arial"/>
                <w:sz w:val="20"/>
                <w:szCs w:val="20"/>
              </w:rPr>
              <w:t>0</w:t>
            </w:r>
          </w:p>
        </w:tc>
        <w:tc>
          <w:tcPr>
            <w:tcW w:w="50" w:type="pct"/>
            <w:shd w:val="clear" w:color="auto" w:fill="CCEEFF"/>
            <w:tcMar>
              <w:top w:w="0" w:type="dxa"/>
              <w:left w:w="0" w:type="dxa"/>
              <w:bottom w:w="15" w:type="dxa"/>
              <w:right w:w="0" w:type="dxa"/>
            </w:tcMar>
            <w:vAlign w:val="bottom"/>
            <w:hideMark/>
          </w:tcPr>
          <w:p w14:paraId="30668E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96D340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D70C7A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16,400,000</w:t>
            </w:r>
          </w:p>
        </w:tc>
        <w:tc>
          <w:tcPr>
            <w:tcW w:w="50" w:type="pct"/>
            <w:shd w:val="clear" w:color="auto" w:fill="CCEEFF"/>
            <w:tcMar>
              <w:top w:w="0" w:type="dxa"/>
              <w:left w:w="0" w:type="dxa"/>
              <w:bottom w:w="15" w:type="dxa"/>
              <w:right w:w="0" w:type="dxa"/>
            </w:tcMar>
            <w:vAlign w:val="bottom"/>
            <w:hideMark/>
          </w:tcPr>
          <w:p w14:paraId="0AA841D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3F2855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9F2F35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86F01A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16,307,435</w:t>
            </w:r>
          </w:p>
        </w:tc>
        <w:tc>
          <w:tcPr>
            <w:tcW w:w="50" w:type="pct"/>
            <w:shd w:val="clear" w:color="auto" w:fill="CCEEFF"/>
            <w:tcMar>
              <w:top w:w="0" w:type="dxa"/>
              <w:left w:w="0" w:type="dxa"/>
              <w:bottom w:w="15" w:type="dxa"/>
              <w:right w:w="0" w:type="dxa"/>
            </w:tcMar>
            <w:vAlign w:val="bottom"/>
            <w:hideMark/>
          </w:tcPr>
          <w:p w14:paraId="159EB5A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077F8CD" w14:textId="77777777">
        <w:trPr>
          <w:tblCellSpacing w:w="0" w:type="dxa"/>
        </w:trPr>
        <w:tc>
          <w:tcPr>
            <w:tcW w:w="0" w:type="auto"/>
            <w:shd w:val="clear" w:color="auto" w:fill="FFFFFF"/>
            <w:vAlign w:val="bottom"/>
            <w:hideMark/>
          </w:tcPr>
          <w:p w14:paraId="5596E62C" w14:textId="77777777" w:rsidR="00000000" w:rsidRDefault="00016ED8">
            <w:pPr>
              <w:rPr>
                <w:rFonts w:ascii="Arial" w:eastAsia="Times New Roman" w:hAnsi="Arial" w:cs="Arial"/>
                <w:sz w:val="20"/>
                <w:szCs w:val="20"/>
              </w:rPr>
            </w:pPr>
            <w:r>
              <w:rPr>
                <w:rFonts w:ascii="Arial" w:eastAsia="Times New Roman" w:hAnsi="Arial" w:cs="Arial"/>
                <w:sz w:val="20"/>
                <w:szCs w:val="20"/>
              </w:rPr>
              <w:t xml:space="preserve">Total U.S. Treasury bills (Cost: </w:t>
            </w:r>
            <w:r>
              <w:rPr>
                <w:rFonts w:ascii="Arial" w:eastAsia="Times New Roman" w:hAnsi="Arial" w:cs="Arial"/>
                <w:sz w:val="20"/>
                <w:szCs w:val="20"/>
              </w:rPr>
              <w:t>$</w:t>
            </w:r>
            <w:r>
              <w:rPr>
                <w:rFonts w:ascii="Arial" w:eastAsia="Times New Roman" w:hAnsi="Arial" w:cs="Arial"/>
                <w:sz w:val="20"/>
                <w:szCs w:val="20"/>
              </w:rPr>
              <w:t>750,419,24</w:t>
            </w:r>
            <w:r>
              <w:rPr>
                <w:rFonts w:ascii="Arial" w:eastAsia="Times New Roman" w:hAnsi="Arial" w:cs="Arial"/>
                <w:sz w:val="20"/>
                <w:szCs w:val="20"/>
              </w:rPr>
              <w:t>2</w:t>
            </w:r>
            <w:r>
              <w:rPr>
                <w:rFonts w:ascii="Arial" w:eastAsia="Times New Roman" w:hAnsi="Arial" w:cs="Arial"/>
                <w:sz w:val="20"/>
                <w:szCs w:val="20"/>
              </w:rPr>
              <w:t>)</w:t>
            </w:r>
          </w:p>
        </w:tc>
        <w:tc>
          <w:tcPr>
            <w:tcW w:w="0" w:type="auto"/>
            <w:shd w:val="clear" w:color="auto" w:fill="FFFFFF"/>
            <w:vAlign w:val="bottom"/>
            <w:hideMark/>
          </w:tcPr>
          <w:p w14:paraId="1908FF8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93F93D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71788FA" w14:textId="77777777" w:rsidR="00000000" w:rsidRDefault="00016ED8">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0CEED1E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F7B17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960B3B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DDB733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FFFFFF"/>
            <w:tcMar>
              <w:top w:w="0" w:type="dxa"/>
              <w:left w:w="0" w:type="dxa"/>
              <w:bottom w:w="15" w:type="dxa"/>
              <w:right w:w="0" w:type="dxa"/>
            </w:tcMar>
            <w:vAlign w:val="bottom"/>
            <w:hideMark/>
          </w:tcPr>
          <w:p w14:paraId="36E0931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64002EF" w14:textId="77777777">
        <w:trPr>
          <w:tblCellSpacing w:w="0" w:type="dxa"/>
        </w:trPr>
        <w:tc>
          <w:tcPr>
            <w:tcW w:w="0" w:type="auto"/>
            <w:shd w:val="clear" w:color="auto" w:fill="CCEEFF"/>
            <w:vAlign w:val="bottom"/>
            <w:hideMark/>
          </w:tcPr>
          <w:p w14:paraId="7590BE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CF06D8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A7D81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81A060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967322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6FC18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3282C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D116F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C69E9E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EE81ADF" w14:textId="77777777">
        <w:trPr>
          <w:tblCellSpacing w:w="0" w:type="dxa"/>
        </w:trPr>
        <w:tc>
          <w:tcPr>
            <w:tcW w:w="0" w:type="auto"/>
            <w:shd w:val="clear" w:color="auto" w:fill="FFFFFF"/>
            <w:vAlign w:val="bottom"/>
            <w:hideMark/>
          </w:tcPr>
          <w:p w14:paraId="10BD82DD" w14:textId="77777777" w:rsidR="00000000" w:rsidRDefault="00016ED8">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96.8</w:t>
            </w:r>
            <w:r>
              <w:rPr>
                <w:rFonts w:ascii="Arial" w:eastAsia="Times New Roman" w:hAnsi="Arial" w:cs="Arial"/>
                <w:sz w:val="20"/>
                <w:szCs w:val="20"/>
              </w:rPr>
              <w:t>0</w:t>
            </w:r>
            <w:r>
              <w:rPr>
                <w:rFonts w:ascii="Arial" w:eastAsia="Times New Roman" w:hAnsi="Arial" w:cs="Arial"/>
                <w:sz w:val="20"/>
                <w:szCs w:val="20"/>
              </w:rPr>
              <w:t>%</w:t>
            </w:r>
          </w:p>
        </w:tc>
        <w:tc>
          <w:tcPr>
            <w:tcW w:w="0" w:type="auto"/>
            <w:shd w:val="clear" w:color="auto" w:fill="FFFFFF"/>
            <w:vAlign w:val="bottom"/>
            <w:hideMark/>
          </w:tcPr>
          <w:p w14:paraId="51520B7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38E8A0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E52186B" w14:textId="77777777" w:rsidR="00000000" w:rsidRDefault="00016ED8">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14:paraId="4E7F8D9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68006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E500E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A609DA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FFFFFF"/>
            <w:vAlign w:val="bottom"/>
            <w:hideMark/>
          </w:tcPr>
          <w:p w14:paraId="478D9D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D4DCBB0" w14:textId="77777777">
        <w:trPr>
          <w:tblCellSpacing w:w="0" w:type="dxa"/>
        </w:trPr>
        <w:tc>
          <w:tcPr>
            <w:tcW w:w="0" w:type="auto"/>
            <w:shd w:val="clear" w:color="auto" w:fill="CCEEFF"/>
            <w:vAlign w:val="bottom"/>
            <w:hideMark/>
          </w:tcPr>
          <w:p w14:paraId="495BA8FD" w14:textId="77777777" w:rsidR="00000000" w:rsidRDefault="00016ED8">
            <w:pPr>
              <w:rPr>
                <w:rFonts w:ascii="Arial" w:eastAsia="Times New Roman" w:hAnsi="Arial" w:cs="Arial"/>
                <w:sz w:val="20"/>
                <w:szCs w:val="20"/>
              </w:rPr>
            </w:pPr>
            <w:r>
              <w:rPr>
                <w:rFonts w:ascii="Arial" w:eastAsia="Times New Roman" w:hAnsi="Arial" w:cs="Arial"/>
                <w:sz w:val="20"/>
                <w:szCs w:val="20"/>
              </w:rPr>
              <w:t>Other Assets, Less Liabilities –</w:t>
            </w:r>
            <w:r>
              <w:rPr>
                <w:rFonts w:ascii="Arial" w:eastAsia="Times New Roman" w:hAnsi="Arial" w:cs="Arial"/>
                <w:sz w:val="20"/>
                <w:szCs w:val="20"/>
              </w:rPr>
              <w:t xml:space="preserve"> </w:t>
            </w:r>
            <w:r>
              <w:rPr>
                <w:rFonts w:ascii="Arial" w:eastAsia="Times New Roman" w:hAnsi="Arial" w:cs="Arial"/>
                <w:sz w:val="20"/>
                <w:szCs w:val="20"/>
              </w:rPr>
              <w:t>3.2</w:t>
            </w:r>
            <w:r>
              <w:rPr>
                <w:rFonts w:ascii="Arial" w:eastAsia="Times New Roman" w:hAnsi="Arial" w:cs="Arial"/>
                <w:sz w:val="20"/>
                <w:szCs w:val="20"/>
              </w:rPr>
              <w:t>0</w:t>
            </w:r>
            <w:r>
              <w:rPr>
                <w:rFonts w:ascii="Arial" w:eastAsia="Times New Roman" w:hAnsi="Arial" w:cs="Arial"/>
                <w:sz w:val="20"/>
                <w:szCs w:val="20"/>
              </w:rPr>
              <w:t>%</w:t>
            </w:r>
          </w:p>
        </w:tc>
        <w:tc>
          <w:tcPr>
            <w:tcW w:w="0" w:type="auto"/>
            <w:shd w:val="clear" w:color="auto" w:fill="CCEEFF"/>
            <w:tcMar>
              <w:top w:w="0" w:type="dxa"/>
              <w:left w:w="0" w:type="dxa"/>
              <w:bottom w:w="15" w:type="dxa"/>
              <w:right w:w="0" w:type="dxa"/>
            </w:tcMar>
            <w:vAlign w:val="bottom"/>
            <w:hideMark/>
          </w:tcPr>
          <w:p w14:paraId="5C6ED2C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2998A4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75A2858" w14:textId="77777777" w:rsidR="00000000" w:rsidRDefault="00016ED8">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58CAA96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71D1FB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FA1E6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11C507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24,823,740</w:t>
            </w:r>
          </w:p>
        </w:tc>
        <w:tc>
          <w:tcPr>
            <w:tcW w:w="50" w:type="pct"/>
            <w:shd w:val="clear" w:color="auto" w:fill="CCEEFF"/>
            <w:tcMar>
              <w:top w:w="0" w:type="dxa"/>
              <w:left w:w="0" w:type="dxa"/>
              <w:bottom w:w="15" w:type="dxa"/>
              <w:right w:w="0" w:type="dxa"/>
            </w:tcMar>
            <w:vAlign w:val="bottom"/>
            <w:hideMark/>
          </w:tcPr>
          <w:p w14:paraId="5647031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E116DED" w14:textId="77777777">
        <w:trPr>
          <w:tblCellSpacing w:w="0" w:type="dxa"/>
        </w:trPr>
        <w:tc>
          <w:tcPr>
            <w:tcW w:w="0" w:type="auto"/>
            <w:shd w:val="clear" w:color="auto" w:fill="FFFFFF"/>
            <w:vAlign w:val="bottom"/>
            <w:hideMark/>
          </w:tcPr>
          <w:p w14:paraId="2C8C0C56" w14:textId="77777777" w:rsidR="00000000" w:rsidRDefault="00016ED8">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w:t>
            </w:r>
            <w:r>
              <w:rPr>
                <w:rFonts w:ascii="Arial" w:eastAsia="Times New Roman" w:hAnsi="Arial" w:cs="Arial"/>
                <w:sz w:val="20"/>
                <w:szCs w:val="20"/>
              </w:rPr>
              <w:t>0</w:t>
            </w:r>
            <w:r>
              <w:rPr>
                <w:rFonts w:ascii="Arial" w:eastAsia="Times New Roman" w:hAnsi="Arial" w:cs="Arial"/>
                <w:sz w:val="20"/>
                <w:szCs w:val="20"/>
              </w:rPr>
              <w:t>%</w:t>
            </w:r>
          </w:p>
        </w:tc>
        <w:tc>
          <w:tcPr>
            <w:tcW w:w="0" w:type="auto"/>
            <w:shd w:val="clear" w:color="auto" w:fill="FFFFFF"/>
            <w:tcMar>
              <w:top w:w="0" w:type="dxa"/>
              <w:left w:w="0" w:type="dxa"/>
              <w:bottom w:w="45" w:type="dxa"/>
              <w:right w:w="0" w:type="dxa"/>
            </w:tcMar>
            <w:vAlign w:val="bottom"/>
            <w:hideMark/>
          </w:tcPr>
          <w:p w14:paraId="13C1FA3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3A8C19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C175469" w14:textId="77777777" w:rsidR="00000000" w:rsidRDefault="00016ED8">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45" w:type="dxa"/>
              <w:right w:w="0" w:type="dxa"/>
            </w:tcMar>
            <w:vAlign w:val="bottom"/>
            <w:hideMark/>
          </w:tcPr>
          <w:p w14:paraId="360E0D7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54279FD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F2AEBFF"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7CAC4BA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tcMar>
              <w:top w:w="0" w:type="dxa"/>
              <w:left w:w="0" w:type="dxa"/>
              <w:bottom w:w="45" w:type="dxa"/>
              <w:right w:w="0" w:type="dxa"/>
            </w:tcMar>
            <w:vAlign w:val="bottom"/>
            <w:hideMark/>
          </w:tcPr>
          <w:p w14:paraId="78DF6AC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6DB2F82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5E624CB" w14:textId="77777777" w:rsidR="00000000" w:rsidRDefault="00016ED8">
      <w:pPr>
        <w:spacing w:after="60"/>
        <w:rPr>
          <w:rFonts w:ascii="Arial" w:eastAsia="Times New Roman" w:hAnsi="Arial" w:cs="Arial"/>
          <w:sz w:val="20"/>
          <w:szCs w:val="20"/>
        </w:rPr>
      </w:pPr>
      <w:r>
        <w:rPr>
          <w:rFonts w:ascii="Arial" w:eastAsia="Times New Roman" w:hAnsi="Arial" w:cs="Arial"/>
          <w:sz w:val="20"/>
          <w:szCs w:val="20"/>
        </w:rPr>
        <w:pict w14:anchorId="61B9036B">
          <v:rect id="_x0000_i1045"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D64C252" w14:textId="77777777">
        <w:trPr>
          <w:tblCellSpacing w:w="0" w:type="dxa"/>
        </w:trPr>
        <w:tc>
          <w:tcPr>
            <w:tcW w:w="360" w:type="dxa"/>
            <w:hideMark/>
          </w:tcPr>
          <w:p w14:paraId="691E3DB6"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(a)</w:t>
            </w:r>
            <w:r>
              <w:rPr>
                <w:rFonts w:ascii="Arial" w:hAnsi="Arial" w:cs="Arial"/>
                <w:sz w:val="20"/>
                <w:szCs w:val="20"/>
              </w:rPr>
              <w:t> </w:t>
            </w:r>
          </w:p>
        </w:tc>
        <w:tc>
          <w:tcPr>
            <w:tcW w:w="0" w:type="auto"/>
            <w:hideMark/>
          </w:tcPr>
          <w:p w14:paraId="48325146" w14:textId="77777777" w:rsidR="00000000" w:rsidRDefault="00016ED8">
            <w:pPr>
              <w:pStyle w:val="a3"/>
              <w:spacing w:before="0" w:beforeAutospacing="0" w:after="0" w:afterAutospacing="0"/>
              <w:rPr>
                <w:rFonts w:ascii="Arial" w:hAnsi="Arial" w:cs="Arial"/>
                <w:sz w:val="20"/>
                <w:szCs w:val="20"/>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14:paraId="2D7FA01A"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15A6E6F" w14:textId="77777777">
        <w:trPr>
          <w:tblCellSpacing w:w="0" w:type="dxa"/>
        </w:trPr>
        <w:tc>
          <w:tcPr>
            <w:tcW w:w="360" w:type="dxa"/>
            <w:hideMark/>
          </w:tcPr>
          <w:p w14:paraId="142DD6E5"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(b)</w:t>
            </w:r>
            <w:r>
              <w:rPr>
                <w:rFonts w:ascii="Arial" w:hAnsi="Arial" w:cs="Arial"/>
                <w:sz w:val="20"/>
                <w:szCs w:val="20"/>
              </w:rPr>
              <w:t> </w:t>
            </w:r>
          </w:p>
        </w:tc>
        <w:tc>
          <w:tcPr>
            <w:tcW w:w="0" w:type="auto"/>
            <w:hideMark/>
          </w:tcPr>
          <w:p w14:paraId="3D99D3AD" w14:textId="77777777" w:rsidR="00000000" w:rsidRDefault="00016ED8">
            <w:pPr>
              <w:pStyle w:val="a3"/>
              <w:spacing w:before="0" w:beforeAutospacing="0" w:after="0" w:afterAutospacing="0"/>
              <w:rPr>
                <w:rFonts w:ascii="Arial" w:hAnsi="Arial" w:cs="Arial"/>
                <w:sz w:val="20"/>
                <w:szCs w:val="20"/>
              </w:rPr>
            </w:pPr>
            <w:r>
              <w:rPr>
                <w:rFonts w:ascii="Arial" w:hAnsi="Arial" w:cs="Arial"/>
                <w:sz w:val="16"/>
                <w:szCs w:val="16"/>
              </w:rPr>
              <w:t>Rates shown are discount rates paid at the time of purchase.</w:t>
            </w:r>
          </w:p>
        </w:tc>
      </w:tr>
    </w:tbl>
    <w:p w14:paraId="154B895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DDFBEF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2019, </w:t>
      </w:r>
      <w:r>
        <w:rPr>
          <w:rFonts w:ascii="Arial" w:hAnsi="Arial" w:cs="Arial"/>
          <w:sz w:val="20"/>
          <w:szCs w:val="20"/>
        </w:rPr>
        <w:t>the open S&amp;P GSCI-ER futures contracts were as follows:</w:t>
      </w:r>
    </w:p>
    <w:p w14:paraId="5BAE021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14:paraId="550D7594" w14:textId="77777777">
        <w:trPr>
          <w:tblCellSpacing w:w="0" w:type="dxa"/>
        </w:trPr>
        <w:tc>
          <w:tcPr>
            <w:tcW w:w="1150" w:type="pct"/>
            <w:tcBorders>
              <w:bottom w:val="single" w:sz="6" w:space="0" w:color="000000"/>
            </w:tcBorders>
            <w:vAlign w:val="bottom"/>
            <w:hideMark/>
          </w:tcPr>
          <w:p w14:paraId="3D921513"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100" w:type="pct"/>
            <w:vAlign w:val="center"/>
            <w:hideMark/>
          </w:tcPr>
          <w:p w14:paraId="283F5E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14:paraId="22063FFB"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center"/>
            <w:hideMark/>
          </w:tcPr>
          <w:p w14:paraId="64D13E1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4A473A17"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vAlign w:val="center"/>
            <w:hideMark/>
          </w:tcPr>
          <w:p w14:paraId="298C60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959D21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55DD6AF6"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14:paraId="2A5D3875"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50" w:type="pct"/>
            <w:vAlign w:val="center"/>
            <w:hideMark/>
          </w:tcPr>
          <w:p w14:paraId="554BB93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010508B" w14:textId="77777777">
        <w:trPr>
          <w:tblCellSpacing w:w="0" w:type="dxa"/>
        </w:trPr>
        <w:tc>
          <w:tcPr>
            <w:tcW w:w="1150" w:type="pct"/>
            <w:shd w:val="clear" w:color="auto" w:fill="CCEEFF"/>
            <w:vAlign w:val="center"/>
            <w:hideMark/>
          </w:tcPr>
          <w:p w14:paraId="00649F9D"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32,510</w:t>
            </w:r>
          </w:p>
        </w:tc>
        <w:tc>
          <w:tcPr>
            <w:tcW w:w="100" w:type="pct"/>
            <w:shd w:val="clear" w:color="auto" w:fill="CCEEFF"/>
            <w:vAlign w:val="center"/>
            <w:hideMark/>
          </w:tcPr>
          <w:p w14:paraId="2F4BEC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center"/>
            <w:hideMark/>
          </w:tcPr>
          <w:p w14:paraId="0EB43A03"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March 16, 2020</w:t>
            </w:r>
          </w:p>
        </w:tc>
        <w:tc>
          <w:tcPr>
            <w:tcW w:w="50" w:type="pct"/>
            <w:shd w:val="clear" w:color="auto" w:fill="CCEEFF"/>
            <w:vAlign w:val="center"/>
            <w:hideMark/>
          </w:tcPr>
          <w:p w14:paraId="33223B4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43485FB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center"/>
            <w:hideMark/>
          </w:tcPr>
          <w:p w14:paraId="4A8BE7C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773,217,840</w:t>
            </w:r>
          </w:p>
        </w:tc>
        <w:tc>
          <w:tcPr>
            <w:tcW w:w="50" w:type="pct"/>
            <w:shd w:val="clear" w:color="auto" w:fill="CCEEFF"/>
            <w:vAlign w:val="center"/>
            <w:hideMark/>
          </w:tcPr>
          <w:p w14:paraId="7447E5B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05451D5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14:paraId="478437F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center"/>
            <w:hideMark/>
          </w:tcPr>
          <w:p w14:paraId="366343D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shd w:val="clear" w:color="auto" w:fill="CCEEFF"/>
            <w:vAlign w:val="center"/>
            <w:hideMark/>
          </w:tcPr>
          <w:p w14:paraId="192E4B6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2CEEA3F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A14E86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F25E2E2"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1B7DDBE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66A2B06" w14:textId="77777777" w:rsidR="00000000" w:rsidRDefault="00016ED8">
      <w:pPr>
        <w:jc w:val="center"/>
        <w:divId w:val="1234777783"/>
        <w:rPr>
          <w:rFonts w:ascii="Arial" w:eastAsia="Times New Roman" w:hAnsi="Arial" w:cs="Arial"/>
          <w:sz w:val="20"/>
          <w:szCs w:val="20"/>
        </w:rPr>
      </w:pPr>
      <w:r>
        <w:rPr>
          <w:rStyle w:val="a6"/>
          <w:rFonts w:ascii="Arial" w:eastAsia="Times New Roman" w:hAnsi="Arial" w:cs="Arial"/>
          <w:sz w:val="20"/>
          <w:szCs w:val="20"/>
        </w:rPr>
        <w:t>6</w:t>
      </w:r>
      <w:r>
        <w:rPr>
          <w:rFonts w:ascii="Arial" w:eastAsia="Times New Roman" w:hAnsi="Arial" w:cs="Arial"/>
          <w:sz w:val="20"/>
          <w:szCs w:val="20"/>
        </w:rPr>
        <w:t xml:space="preserve"> </w:t>
      </w:r>
    </w:p>
    <w:p w14:paraId="7201538D" w14:textId="77777777" w:rsidR="00000000" w:rsidRDefault="00016ED8">
      <w:pPr>
        <w:divId w:val="1506507556"/>
        <w:rPr>
          <w:rFonts w:ascii="Arial" w:eastAsia="Times New Roman" w:hAnsi="Arial" w:cs="Arial"/>
          <w:sz w:val="20"/>
          <w:szCs w:val="20"/>
        </w:rPr>
      </w:pPr>
      <w:r>
        <w:rPr>
          <w:rFonts w:ascii="Arial" w:eastAsia="Times New Roman" w:hAnsi="Arial" w:cs="Arial"/>
          <w:sz w:val="20"/>
          <w:szCs w:val="20"/>
        </w:rPr>
        <w:pict w14:anchorId="11C51776">
          <v:rect id="_x0000_i1046" style="width:415.3pt;height:1.5pt" o:hralign="center" o:hrstd="t" o:hrnoshade="t" o:hr="t" fillcolor="black" stroked="f"/>
        </w:pict>
      </w:r>
    </w:p>
    <w:p w14:paraId="37EF4847" w14:textId="77777777" w:rsidR="00000000" w:rsidRDefault="00016ED8">
      <w:pPr>
        <w:divId w:val="46231242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1B48F9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6F5EF8C"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14:paraId="13F39738"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Notes to Financial Statements (Unaudited)</w:t>
      </w:r>
    </w:p>
    <w:p w14:paraId="02FCEC28" w14:textId="77777777" w:rsidR="00000000" w:rsidRDefault="00016ED8">
      <w:pPr>
        <w:pStyle w:val="a3"/>
        <w:spacing w:before="0" w:beforeAutospacing="0" w:after="0" w:afterAutospacing="0"/>
        <w:jc w:val="center"/>
        <w:rPr>
          <w:rFonts w:ascii="Arial" w:hAnsi="Arial" w:cs="Arial"/>
          <w:sz w:val="20"/>
          <w:szCs w:val="20"/>
        </w:rPr>
      </w:pPr>
      <w:r>
        <w:rPr>
          <w:rStyle w:val="a6"/>
          <w:rFonts w:ascii="Arial" w:hAnsi="Arial" w:cs="Arial"/>
          <w:sz w:val="20"/>
          <w:szCs w:val="20"/>
        </w:rPr>
        <w:t>June 30, 2020</w:t>
      </w:r>
    </w:p>
    <w:p w14:paraId="3BFC5F7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BE76D7D" w14:textId="77777777" w:rsidR="00000000" w:rsidRDefault="00016ED8">
      <w:pPr>
        <w:divId w:val="901520796"/>
        <w:rPr>
          <w:rFonts w:ascii="Arial" w:eastAsia="Times New Roman" w:hAnsi="Arial" w:cs="Arial"/>
          <w:sz w:val="20"/>
          <w:szCs w:val="20"/>
        </w:rPr>
      </w:pPr>
      <w:r>
        <w:rPr>
          <w:rFonts w:ascii="Arial" w:eastAsia="Times New Roman" w:hAnsi="Arial" w:cs="Arial"/>
          <w:sz w:val="20"/>
          <w:szCs w:val="20"/>
        </w:rPr>
        <w:t xml:space="preserve">  </w:t>
      </w:r>
    </w:p>
    <w:p w14:paraId="58603EA8"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xml:space="preserve"> - Organization</w:t>
      </w:r>
    </w:p>
    <w:p w14:paraId="7F50A299"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537AB32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Commodity-Indexed Trust (the “Trust”)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and commenc</w:t>
      </w:r>
      <w:r>
        <w:rPr>
          <w:rFonts w:ascii="Arial" w:hAnsi="Arial" w:cs="Arial"/>
          <w:sz w:val="20"/>
          <w:szCs w:val="20"/>
        </w:rPr>
        <w:t xml:space="preserve">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limited liability company, is the sponsor of the Trust (the “Sponsor”). The sole member and manager of the Sponsor is BlackRock Asset Management International Inc., a Delaware c</w:t>
      </w:r>
      <w:r>
        <w:rPr>
          <w:rFonts w:ascii="Arial" w:hAnsi="Arial" w:cs="Arial"/>
          <w:sz w:val="20"/>
          <w:szCs w:val="20"/>
        </w:rPr>
        <w:t>orporation.</w:t>
      </w:r>
    </w:p>
    <w:p w14:paraId="2538BF4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D0E0EC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BlackRock Institutional Trust Company, N.A. is the trustee of the Trust (the “Trustee”). The Trust is governed by the Third Amended and Restated Trust Agreement, dated as of </w:t>
      </w:r>
      <w:r>
        <w:rPr>
          <w:rStyle w:val="a6"/>
          <w:rFonts w:ascii="Arial" w:hAnsi="Arial" w:cs="Arial"/>
          <w:sz w:val="20"/>
          <w:szCs w:val="20"/>
        </w:rPr>
        <w:t>December 31, 2013 (</w:t>
      </w:r>
      <w:r>
        <w:rPr>
          <w:rFonts w:ascii="Arial" w:hAnsi="Arial" w:cs="Arial"/>
          <w:sz w:val="20"/>
          <w:szCs w:val="20"/>
        </w:rPr>
        <w:t>the “Trust Agreement”), among the Sponsor, the Tr</w:t>
      </w:r>
      <w:r>
        <w:rPr>
          <w:rFonts w:ascii="Arial" w:hAnsi="Arial" w:cs="Arial"/>
          <w:sz w:val="20"/>
          <w:szCs w:val="20"/>
        </w:rPr>
        <w:t>ustee and Wilmington Trust Company (the “Delaware Trustee”). The Trust issues units of beneficial interest (“Shares”) representing fractional undivided beneficial interests in its net assets.</w:t>
      </w:r>
    </w:p>
    <w:p w14:paraId="6F5902C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4CBEE5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w:t>
      </w:r>
      <w:r>
        <w:rPr>
          <w:rFonts w:ascii="Arial" w:hAnsi="Arial" w:cs="Arial"/>
          <w:sz w:val="20"/>
          <w:szCs w:val="20"/>
        </w:rPr>
        <w:t>s contracts of various expirations (“Index Futures”) on the S&amp;P GSCI™ Excess Return Index (“S&amp;P GSCI-ER”). In order to collateralize its Index Futures positions and to reflect the U.S. Treasury component of the S&amp;P GSCI™ Total Return Index (the “Index”), t</w:t>
      </w:r>
      <w:r>
        <w:rPr>
          <w:rFonts w:ascii="Arial" w:hAnsi="Arial" w:cs="Arial"/>
          <w:sz w:val="20"/>
          <w:szCs w:val="20"/>
        </w:rPr>
        <w:t>he Trust also holds “Collateral Assets,” which consist of cash, U.S. Treasury securities or other short-term securities and similar securities that are eligible as margin deposits for those Index Futures positions. The Index Futures held by the Trust are l</w:t>
      </w:r>
      <w:r>
        <w:rPr>
          <w:rFonts w:ascii="Arial" w:hAnsi="Arial" w:cs="Arial"/>
          <w:sz w:val="20"/>
          <w:szCs w:val="20"/>
        </w:rPr>
        <w:t>isted on the Chicago Mercantile Exchange (the “CME”).</w:t>
      </w:r>
    </w:p>
    <w:p w14:paraId="5E82A6D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546706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commodities futures. The Trust seeks to track the investme</w:t>
      </w:r>
      <w:r>
        <w:rPr>
          <w:rFonts w:ascii="Arial" w:hAnsi="Arial" w:cs="Arial"/>
          <w:sz w:val="20"/>
          <w:szCs w:val="20"/>
        </w:rPr>
        <w:t>nt returns of the Index before payment of the Trust’s expenses and liabilities.</w:t>
      </w:r>
    </w:p>
    <w:p w14:paraId="0A52D60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6EA276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is a commodity pool, as defined in the Commodity Exchange Act (the “CEA”) and the applicable regulations of the Commodity Futures Trading Commission (the “CFTC”), a</w:t>
      </w:r>
      <w:r>
        <w:rPr>
          <w:rFonts w:ascii="Arial" w:hAnsi="Arial" w:cs="Arial"/>
          <w:sz w:val="20"/>
          <w:szCs w:val="20"/>
        </w:rPr>
        <w:t xml:space="preserve">nd is operated by the Sponsor, a commodity pool operator registered with the CFTC. The Sponsor is an indirect subsidiary of BlackRock, Inc (“BlackRock”). BlackRock Fund Advisors (the “Advisor”), an indirect subsidiary of BlackRock, serves as the commodity </w:t>
      </w:r>
      <w:r>
        <w:rPr>
          <w:rFonts w:ascii="Arial" w:hAnsi="Arial" w:cs="Arial"/>
          <w:sz w:val="20"/>
          <w:szCs w:val="20"/>
        </w:rPr>
        <w:t>trading advisor of the Trust and is registered with the CFTC.</w:t>
      </w:r>
    </w:p>
    <w:p w14:paraId="7FF7931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7D26A9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accompanying unaudited financial statements were prepared in accordance with generally accepted accounting principles in the United States of America (“U.S. GAAP”) for interim financial in</w:t>
      </w:r>
      <w:r>
        <w:rPr>
          <w:rFonts w:ascii="Arial" w:hAnsi="Arial" w:cs="Arial"/>
          <w:sz w:val="20"/>
          <w:szCs w:val="20"/>
        </w:rPr>
        <w:t xml:space="preserve">formation and with the instructions for Form </w:t>
      </w:r>
      <w:r>
        <w:rPr>
          <w:rStyle w:val="a6"/>
          <w:rFonts w:ascii="Arial" w:hAnsi="Arial" w:cs="Arial"/>
          <w:sz w:val="20"/>
          <w:szCs w:val="20"/>
        </w:rPr>
        <w:t>10</w:t>
      </w:r>
      <w:r>
        <w:rPr>
          <w:rFonts w:ascii="Arial" w:hAnsi="Arial" w:cs="Arial"/>
          <w:sz w:val="20"/>
          <w:szCs w:val="20"/>
        </w:rPr>
        <w:t>-Q and the rules and regulations of the U.S. Securities and Exchange Commission (the “SEC”). In the opinion of management, all material adjustments, consisting only of normal recurring adjustments considered n</w:t>
      </w:r>
      <w:r>
        <w:rPr>
          <w:rFonts w:ascii="Arial" w:hAnsi="Arial" w:cs="Arial"/>
          <w:sz w:val="20"/>
          <w:szCs w:val="20"/>
        </w:rPr>
        <w:t xml:space="preserve">ecessary for a fair statement of the interim period financial statements have been made. Interim period results are </w:t>
      </w:r>
      <w:r>
        <w:rPr>
          <w:rStyle w:val="a6"/>
          <w:rFonts w:ascii="Arial" w:hAnsi="Arial" w:cs="Arial"/>
          <w:sz w:val="20"/>
          <w:szCs w:val="20"/>
        </w:rPr>
        <w:t>not</w:t>
      </w:r>
      <w:r>
        <w:rPr>
          <w:rFonts w:ascii="Arial" w:hAnsi="Arial" w:cs="Arial"/>
          <w:sz w:val="20"/>
          <w:szCs w:val="20"/>
        </w:rPr>
        <w:t xml:space="preserve"> necessarily indicative of results for a full-year period. These financial statements and the notes thereto should be read in conjunction</w:t>
      </w:r>
      <w:r>
        <w:rPr>
          <w:rFonts w:ascii="Arial" w:hAnsi="Arial" w:cs="Arial"/>
          <w:sz w:val="20"/>
          <w:szCs w:val="20"/>
        </w:rPr>
        <w:t xml:space="preserve"> with the Trust’s financial statements included in its Annual Report on Form </w:t>
      </w:r>
      <w:r>
        <w:rPr>
          <w:rStyle w:val="a6"/>
          <w:rFonts w:ascii="Arial" w:hAnsi="Arial" w:cs="Arial"/>
          <w:sz w:val="20"/>
          <w:szCs w:val="20"/>
        </w:rPr>
        <w:t>10</w:t>
      </w:r>
      <w:r>
        <w:rPr>
          <w:rStyle w:val="a6"/>
          <w:rFonts w:ascii="Arial" w:hAnsi="Arial" w:cs="Arial"/>
          <w:sz w:val="20"/>
          <w:szCs w:val="20"/>
        </w:rPr>
        <w:noBreakHyphen/>
        <w:t>K</w:t>
      </w:r>
      <w:r>
        <w:rPr>
          <w:rFonts w:ascii="Arial" w:hAnsi="Arial" w:cs="Arial"/>
          <w:sz w:val="20"/>
          <w:szCs w:val="20"/>
        </w:rPr>
        <w:t xml:space="preserve"> for the year ended </w:t>
      </w:r>
      <w:r>
        <w:rPr>
          <w:rStyle w:val="a6"/>
          <w:rFonts w:ascii="Arial" w:hAnsi="Arial" w:cs="Arial"/>
          <w:sz w:val="20"/>
          <w:szCs w:val="20"/>
        </w:rPr>
        <w:t xml:space="preserve">December 31, 2019, </w:t>
      </w:r>
      <w:r>
        <w:rPr>
          <w:rFonts w:ascii="Arial" w:hAnsi="Arial" w:cs="Arial"/>
          <w:sz w:val="20"/>
          <w:szCs w:val="20"/>
        </w:rPr>
        <w:t xml:space="preserve">as filed with the SEC on </w:t>
      </w:r>
      <w:r>
        <w:rPr>
          <w:rStyle w:val="a6"/>
          <w:rFonts w:ascii="Arial" w:hAnsi="Arial" w:cs="Arial"/>
          <w:sz w:val="20"/>
          <w:szCs w:val="20"/>
        </w:rPr>
        <w:t>February 27, 2020.</w:t>
      </w:r>
    </w:p>
    <w:p w14:paraId="3E4FF44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C5C18D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solely for accounting purposes and follows th</w:t>
      </w:r>
      <w:r>
        <w:rPr>
          <w:rFonts w:ascii="Arial" w:hAnsi="Arial" w:cs="Arial"/>
          <w:sz w:val="20"/>
          <w:szCs w:val="20"/>
        </w:rPr>
        <w:t xml:space="preserve">e accounting and reporting guidance under the Financial Accounting Standards Board (“FASB”) Accounting Standards Codification Topic </w:t>
      </w:r>
      <w:r>
        <w:rPr>
          <w:rStyle w:val="a6"/>
          <w:rFonts w:ascii="Arial" w:hAnsi="Arial" w:cs="Arial"/>
          <w:sz w:val="20"/>
          <w:szCs w:val="20"/>
        </w:rPr>
        <w:t>946,</w:t>
      </w:r>
      <w:r>
        <w:rPr>
          <w:rFonts w:ascii="Arial" w:hAnsi="Arial" w:cs="Arial"/>
          <w:sz w:val="20"/>
          <w:szCs w:val="20"/>
        </w:rPr>
        <w:t xml:space="preserve"> </w:t>
      </w:r>
      <w:r>
        <w:rPr>
          <w:rFonts w:ascii="Arial" w:hAnsi="Arial" w:cs="Arial"/>
          <w:i/>
          <w:iCs/>
          <w:sz w:val="20"/>
          <w:szCs w:val="20"/>
        </w:rPr>
        <w:t>Financial Services – Investment Companies</w:t>
      </w:r>
      <w:r>
        <w:rPr>
          <w:rFonts w:ascii="Arial" w:hAnsi="Arial" w:cs="Arial"/>
          <w:sz w:val="20"/>
          <w:szCs w:val="20"/>
        </w:rPr>
        <w:t xml:space="preserve">,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required to be registered, as an investmen</w:t>
      </w:r>
      <w:r>
        <w:rPr>
          <w:rFonts w:ascii="Arial" w:hAnsi="Arial" w:cs="Arial"/>
          <w:sz w:val="20"/>
          <w:szCs w:val="20"/>
        </w:rPr>
        <w:t xml:space="preserve">t company under the Investment Company Act of </w:t>
      </w:r>
      <w:r>
        <w:rPr>
          <w:rStyle w:val="a6"/>
          <w:rFonts w:ascii="Arial" w:hAnsi="Arial" w:cs="Arial"/>
          <w:sz w:val="20"/>
          <w:szCs w:val="20"/>
        </w:rPr>
        <w:t>1940,</w:t>
      </w:r>
      <w:r>
        <w:rPr>
          <w:rFonts w:ascii="Arial" w:hAnsi="Arial" w:cs="Arial"/>
          <w:sz w:val="20"/>
          <w:szCs w:val="20"/>
        </w:rPr>
        <w:t xml:space="preserve"> as amended.</w:t>
      </w:r>
    </w:p>
    <w:p w14:paraId="14310AE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87B245E" w14:textId="77777777" w:rsidR="00000000" w:rsidRDefault="00016ED8">
      <w:pPr>
        <w:divId w:val="2064793081"/>
        <w:rPr>
          <w:rFonts w:ascii="Arial" w:eastAsia="Times New Roman" w:hAnsi="Arial" w:cs="Arial"/>
          <w:sz w:val="20"/>
          <w:szCs w:val="20"/>
        </w:rPr>
      </w:pPr>
      <w:r>
        <w:rPr>
          <w:rFonts w:ascii="Arial" w:eastAsia="Times New Roman" w:hAnsi="Arial" w:cs="Arial"/>
          <w:sz w:val="20"/>
          <w:szCs w:val="20"/>
        </w:rPr>
        <w:t xml:space="preserve">  </w:t>
      </w:r>
    </w:p>
    <w:p w14:paraId="672F00B0"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 Significant Accounting Policies</w:t>
      </w:r>
    </w:p>
    <w:p w14:paraId="113A584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99F2E9F" w14:textId="77777777">
        <w:trPr>
          <w:tblCellSpacing w:w="0" w:type="dxa"/>
        </w:trPr>
        <w:tc>
          <w:tcPr>
            <w:tcW w:w="360" w:type="dxa"/>
            <w:hideMark/>
          </w:tcPr>
          <w:p w14:paraId="06594455" w14:textId="77777777" w:rsidR="00000000" w:rsidRDefault="00016ED8">
            <w:pPr>
              <w:rPr>
                <w:rFonts w:ascii="Arial" w:hAnsi="Arial" w:cs="Arial"/>
                <w:sz w:val="20"/>
                <w:szCs w:val="20"/>
              </w:rPr>
            </w:pPr>
          </w:p>
        </w:tc>
      </w:tr>
    </w:tbl>
    <w:p w14:paraId="5ACC5703"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FD4DB9E" w14:textId="77777777">
        <w:trPr>
          <w:tblCellSpacing w:w="0" w:type="dxa"/>
        </w:trPr>
        <w:tc>
          <w:tcPr>
            <w:tcW w:w="360" w:type="dxa"/>
            <w:hideMark/>
          </w:tcPr>
          <w:p w14:paraId="6C32F257"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0" w:type="auto"/>
            <w:hideMark/>
          </w:tcPr>
          <w:p w14:paraId="7987F527"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14:paraId="53FA1F61"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3D92A42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w:t>
      </w:r>
    </w:p>
    <w:p w14:paraId="3DAF624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C5AF56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periods have been changed to conform to the current financial statement presentation.</w:t>
      </w:r>
    </w:p>
    <w:p w14:paraId="1885F4B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B4B99F4" w14:textId="77777777">
        <w:trPr>
          <w:tblCellSpacing w:w="0" w:type="dxa"/>
        </w:trPr>
        <w:tc>
          <w:tcPr>
            <w:tcW w:w="360" w:type="dxa"/>
            <w:hideMark/>
          </w:tcPr>
          <w:p w14:paraId="660A116E" w14:textId="77777777" w:rsidR="00000000" w:rsidRDefault="00016ED8">
            <w:pPr>
              <w:rPr>
                <w:rFonts w:ascii="Arial" w:hAnsi="Arial" w:cs="Arial"/>
                <w:sz w:val="20"/>
                <w:szCs w:val="20"/>
              </w:rPr>
            </w:pPr>
          </w:p>
        </w:tc>
      </w:tr>
    </w:tbl>
    <w:p w14:paraId="0E5DFC30"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2DE8814" w14:textId="77777777">
        <w:trPr>
          <w:tblCellSpacing w:w="0" w:type="dxa"/>
        </w:trPr>
        <w:tc>
          <w:tcPr>
            <w:tcW w:w="360" w:type="dxa"/>
            <w:hideMark/>
          </w:tcPr>
          <w:p w14:paraId="46A0690C"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0" w:type="auto"/>
            <w:hideMark/>
          </w:tcPr>
          <w:p w14:paraId="12EAC043"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Investment in Index Futur</w:t>
            </w:r>
            <w:r>
              <w:rPr>
                <w:rFonts w:ascii="Arial" w:hAnsi="Arial" w:cs="Arial"/>
                <w:i/>
                <w:iCs/>
                <w:sz w:val="20"/>
                <w:szCs w:val="20"/>
              </w:rPr>
              <w:t>es</w:t>
            </w:r>
          </w:p>
        </w:tc>
      </w:tr>
    </w:tbl>
    <w:p w14:paraId="3E175AE1"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21064DF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commodities futures, including energy commodities, precious and industrial metal commodities, agricultural c</w:t>
      </w:r>
      <w:r>
        <w:rPr>
          <w:rFonts w:ascii="Arial" w:hAnsi="Arial" w:cs="Arial"/>
          <w:sz w:val="20"/>
          <w:szCs w:val="20"/>
        </w:rPr>
        <w:t>ommodities and livestock commodities. The Trust seeks to track the investment returns of the Index before payment of the Trust’s expenses and liabilities.</w:t>
      </w:r>
    </w:p>
    <w:p w14:paraId="09EAE47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34B5EE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w:t>
      </w:r>
      <w:r>
        <w:rPr>
          <w:rFonts w:ascii="Arial" w:hAnsi="Arial" w:cs="Arial"/>
          <w:sz w:val="20"/>
          <w:szCs w:val="20"/>
        </w:rPr>
        <w:t>y applicable margin requirements for those Index Futures positions. Index Futures are exchange-traded index futures contracts on the S&amp;P GSCI-ER, and are expected to include contracts of different terms and expirations. The Trust is expected to roll out of</w:t>
      </w:r>
      <w:r>
        <w:rPr>
          <w:rFonts w:ascii="Arial" w:hAnsi="Arial" w:cs="Arial"/>
          <w:sz w:val="20"/>
          <w:szCs w:val="20"/>
        </w:rPr>
        <w:t xml:space="preserve"> existing positions in Index Futures and establish new positions in Index Futures on an ongoing basis. When establishing positions in Index Futures, the Trust is required to deposit cash or other Collateral Assets with the broker as “initial margin.” On a </w:t>
      </w:r>
      <w:r>
        <w:rPr>
          <w:rFonts w:ascii="Arial" w:hAnsi="Arial" w:cs="Arial"/>
          <w:sz w:val="20"/>
          <w:szCs w:val="20"/>
        </w:rPr>
        <w:t>daily basis, the Trust is obligated to pay, or entitled to receive, cash in an amount equal to the change in the daily settlement level of its Index Futures positions. Such payments or receipts are known as variation margin. Variation margin is recorded as</w:t>
      </w:r>
      <w:r>
        <w:rPr>
          <w:rFonts w:ascii="Arial" w:hAnsi="Arial" w:cs="Arial"/>
          <w:sz w:val="20"/>
          <w:szCs w:val="20"/>
        </w:rPr>
        <w:t xml:space="preserve"> unrealized appreciation (depreciation) and, if any, shown as variation margin receivable (or payable) on futures contracts in the Statements of Assets and Liabilities. When an Index Futures contract is closed, the Trust records a realized gain or loss bas</w:t>
      </w:r>
      <w:r>
        <w:rPr>
          <w:rFonts w:ascii="Arial" w:hAnsi="Arial" w:cs="Arial"/>
          <w:sz w:val="20"/>
          <w:szCs w:val="20"/>
        </w:rPr>
        <w:t>ed on the difference between the value of the Index Futures contract at the time it was opened and the value at the time it was closed.</w:t>
      </w:r>
    </w:p>
    <w:p w14:paraId="4D83B9A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176F6D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Index Futures are derivative instruments valued at fair value, which the Trustee has determined to be that day’s announced settlement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w:t>
      </w:r>
      <w:r>
        <w:rPr>
          <w:rFonts w:ascii="Arial" w:hAnsi="Arial" w:cs="Arial"/>
          <w:sz w:val="20"/>
          <w:szCs w:val="20"/>
        </w:rPr>
        <w:t>ement price for a particular Index Futures contract on that day, the Trustee will use the most recently announced settlement price unless the Trustee, in consultation with the Sponsor, determines that such price is inappropriate as a basis for valuation. T</w:t>
      </w:r>
      <w:r>
        <w:rPr>
          <w:rFonts w:ascii="Arial" w:hAnsi="Arial" w:cs="Arial"/>
          <w:sz w:val="20"/>
          <w:szCs w:val="20"/>
        </w:rPr>
        <w:t xml:space="preserve">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operations.</w:t>
      </w:r>
    </w:p>
    <w:p w14:paraId="5BE7890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C80372B" w14:textId="77777777" w:rsidR="00000000" w:rsidRDefault="00016ED8">
      <w:pPr>
        <w:jc w:val="center"/>
        <w:divId w:val="283851985"/>
        <w:rPr>
          <w:rFonts w:ascii="Arial" w:eastAsia="Times New Roman" w:hAnsi="Arial" w:cs="Arial"/>
          <w:sz w:val="20"/>
          <w:szCs w:val="20"/>
        </w:rPr>
      </w:pPr>
      <w:r>
        <w:rPr>
          <w:rStyle w:val="a6"/>
          <w:rFonts w:ascii="Arial" w:eastAsia="Times New Roman" w:hAnsi="Arial" w:cs="Arial"/>
          <w:sz w:val="20"/>
          <w:szCs w:val="20"/>
        </w:rPr>
        <w:t>7</w:t>
      </w:r>
      <w:r>
        <w:rPr>
          <w:rFonts w:ascii="Arial" w:eastAsia="Times New Roman" w:hAnsi="Arial" w:cs="Arial"/>
          <w:sz w:val="20"/>
          <w:szCs w:val="20"/>
        </w:rPr>
        <w:t xml:space="preserve"> </w:t>
      </w:r>
    </w:p>
    <w:p w14:paraId="3DD148DC"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5121B972">
          <v:rect id="_x0000_i1047" style="width:415.3pt;height:1.5pt" o:hralign="center" o:hrstd="t" o:hrnoshade="t" o:hr="t" fillcolor="black" stroked="f"/>
        </w:pict>
      </w:r>
    </w:p>
    <w:p w14:paraId="20E4EA67" w14:textId="77777777" w:rsidR="00000000" w:rsidRDefault="00016ED8">
      <w:pPr>
        <w:divId w:val="111656306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9013A07" w14:textId="77777777" w:rsidR="00000000" w:rsidRDefault="00016ED8">
      <w:pPr>
        <w:rPr>
          <w:rFonts w:ascii="Arial" w:eastAsia="Times New Roman" w:hAnsi="Arial" w:cs="Arial"/>
          <w:sz w:val="20"/>
          <w:szCs w:val="20"/>
        </w:rPr>
      </w:pPr>
      <w:r>
        <w:rPr>
          <w:rFonts w:ascii="Arial" w:eastAsia="Times New Roman" w:hAnsi="Arial" w:cs="Arial"/>
          <w:sz w:val="20"/>
          <w:szCs w:val="20"/>
        </w:rPr>
        <w:t xml:space="preserve">  </w:t>
      </w:r>
    </w:p>
    <w:p w14:paraId="0F1BD26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For futures contracts, counterparty credit risk is mitigated because futures contracts are exchange-traded and the exchange’</w:t>
      </w:r>
      <w:r>
        <w:rPr>
          <w:rFonts w:ascii="Arial" w:hAnsi="Arial" w:cs="Arial"/>
          <w:sz w:val="20"/>
          <w:szCs w:val="20"/>
        </w:rPr>
        <w:t>s clearing house acts as central counterparty to all exchange-traded futures contracts (although customers continue to have credit exposure to the clearing member who holds their account).</w:t>
      </w:r>
    </w:p>
    <w:p w14:paraId="39633AD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ED5354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w:t>
      </w:r>
      <w:r>
        <w:rPr>
          <w:rFonts w:ascii="Arial" w:hAnsi="Arial" w:cs="Arial"/>
          <w:sz w:val="20"/>
          <w:szCs w:val="20"/>
        </w:rPr>
        <w:t>rust’s investments in futures contracts.</w:t>
      </w:r>
    </w:p>
    <w:p w14:paraId="4468CEB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6BE5E2B" w14:textId="77777777">
        <w:trPr>
          <w:tblCellSpacing w:w="0" w:type="dxa"/>
        </w:trPr>
        <w:tc>
          <w:tcPr>
            <w:tcW w:w="360" w:type="dxa"/>
            <w:hideMark/>
          </w:tcPr>
          <w:p w14:paraId="03CEFCA1" w14:textId="77777777" w:rsidR="00000000" w:rsidRDefault="00016ED8">
            <w:pPr>
              <w:rPr>
                <w:rFonts w:ascii="Arial" w:hAnsi="Arial" w:cs="Arial"/>
                <w:sz w:val="20"/>
                <w:szCs w:val="20"/>
              </w:rPr>
            </w:pPr>
          </w:p>
        </w:tc>
      </w:tr>
    </w:tbl>
    <w:p w14:paraId="402F5B82"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DA8D77E" w14:textId="77777777">
        <w:trPr>
          <w:tblCellSpacing w:w="0" w:type="dxa"/>
        </w:trPr>
        <w:tc>
          <w:tcPr>
            <w:tcW w:w="360" w:type="dxa"/>
            <w:hideMark/>
          </w:tcPr>
          <w:p w14:paraId="73D6536E"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0" w:type="auto"/>
            <w:hideMark/>
          </w:tcPr>
          <w:p w14:paraId="004B8E90"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14:paraId="015FEAEC"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57C4220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account. Cash is presented on the Statements of Cash Flows as unrestricted cash.</w:t>
      </w:r>
    </w:p>
    <w:p w14:paraId="1A5AF6B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843A004" w14:textId="77777777">
        <w:trPr>
          <w:tblCellSpacing w:w="0" w:type="dxa"/>
        </w:trPr>
        <w:tc>
          <w:tcPr>
            <w:tcW w:w="360" w:type="dxa"/>
            <w:hideMark/>
          </w:tcPr>
          <w:p w14:paraId="2EB67217" w14:textId="77777777" w:rsidR="00000000" w:rsidRDefault="00016ED8">
            <w:pPr>
              <w:rPr>
                <w:rFonts w:ascii="Arial" w:hAnsi="Arial" w:cs="Arial"/>
                <w:sz w:val="20"/>
                <w:szCs w:val="20"/>
              </w:rPr>
            </w:pPr>
          </w:p>
        </w:tc>
      </w:tr>
    </w:tbl>
    <w:p w14:paraId="455E941E"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331264C" w14:textId="77777777">
        <w:trPr>
          <w:tblCellSpacing w:w="0" w:type="dxa"/>
        </w:trPr>
        <w:tc>
          <w:tcPr>
            <w:tcW w:w="360" w:type="dxa"/>
            <w:hideMark/>
          </w:tcPr>
          <w:p w14:paraId="5865147F"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0" w:type="auto"/>
            <w:hideMark/>
          </w:tcPr>
          <w:p w14:paraId="38D01E8F"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14:paraId="2F96FCFD"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4E74456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Short-term investments on the statements of assets and liabilities consist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14:paraId="5D979C4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C52D5B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June 30, 2020 </w:t>
      </w:r>
      <w:r>
        <w:rPr>
          <w:rFonts w:ascii="Arial" w:hAnsi="Arial" w:cs="Arial"/>
          <w:sz w:val="20"/>
          <w:szCs w:val="20"/>
        </w:rPr>
        <w:t xml:space="preserve">and </w:t>
      </w:r>
      <w:r>
        <w:rPr>
          <w:rStyle w:val="a6"/>
          <w:rFonts w:ascii="Arial" w:hAnsi="Arial" w:cs="Arial"/>
          <w:sz w:val="20"/>
          <w:szCs w:val="20"/>
        </w:rPr>
        <w:t>December 31, 20</w:t>
      </w:r>
      <w:r>
        <w:rPr>
          <w:rStyle w:val="a6"/>
          <w:rFonts w:ascii="Arial" w:hAnsi="Arial" w:cs="Arial"/>
          <w:sz w:val="20"/>
          <w:szCs w:val="20"/>
        </w:rPr>
        <w:t xml:space="preserve">19, </w:t>
      </w:r>
      <w:r>
        <w:rPr>
          <w:rFonts w:ascii="Arial" w:hAnsi="Arial" w:cs="Arial"/>
          <w:sz w:val="20"/>
          <w:szCs w:val="20"/>
        </w:rPr>
        <w:t>the Trust had restricted short-term investments held at the broker of $55,726,170 and $29,438,936, respectively, which were posted as margin for the Trust’s Index Futures positions.</w:t>
      </w:r>
    </w:p>
    <w:p w14:paraId="30DD8E5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6FAB8AA" w14:textId="77777777">
        <w:trPr>
          <w:tblCellSpacing w:w="0" w:type="dxa"/>
        </w:trPr>
        <w:tc>
          <w:tcPr>
            <w:tcW w:w="360" w:type="dxa"/>
            <w:hideMark/>
          </w:tcPr>
          <w:p w14:paraId="3EAB9187" w14:textId="77777777" w:rsidR="00000000" w:rsidRDefault="00016ED8">
            <w:pPr>
              <w:rPr>
                <w:rFonts w:ascii="Arial" w:hAnsi="Arial" w:cs="Arial"/>
                <w:sz w:val="20"/>
                <w:szCs w:val="20"/>
              </w:rPr>
            </w:pPr>
          </w:p>
        </w:tc>
      </w:tr>
    </w:tbl>
    <w:p w14:paraId="6B8B3CAE"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50CCB90" w14:textId="77777777">
        <w:trPr>
          <w:tblCellSpacing w:w="0" w:type="dxa"/>
        </w:trPr>
        <w:tc>
          <w:tcPr>
            <w:tcW w:w="360" w:type="dxa"/>
            <w:hideMark/>
          </w:tcPr>
          <w:p w14:paraId="57A3C0C4"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0" w:type="auto"/>
            <w:hideMark/>
          </w:tcPr>
          <w:p w14:paraId="40270C39"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14:paraId="46EA1985"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1DE1E4B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Securities t</w:t>
      </w:r>
      <w:r>
        <w:rPr>
          <w:rFonts w:ascii="Arial" w:hAnsi="Arial" w:cs="Arial"/>
          <w:sz w:val="20"/>
          <w:szCs w:val="20"/>
        </w:rPr>
        <w:t>ransactions are accounted for on the trade date. Realized gains and losses on investment transactions are determined using the specific identification method. Interest income, including amortization and accretion of premiums and discounts on debt securitie</w:t>
      </w:r>
      <w:r>
        <w:rPr>
          <w:rFonts w:ascii="Arial" w:hAnsi="Arial" w:cs="Arial"/>
          <w:sz w:val="20"/>
          <w:szCs w:val="20"/>
        </w:rPr>
        <w:t>s, is recognized daily on an accrual basis.</w:t>
      </w:r>
    </w:p>
    <w:p w14:paraId="7E106C2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5717202" w14:textId="77777777">
        <w:trPr>
          <w:tblCellSpacing w:w="0" w:type="dxa"/>
        </w:trPr>
        <w:tc>
          <w:tcPr>
            <w:tcW w:w="360" w:type="dxa"/>
            <w:hideMark/>
          </w:tcPr>
          <w:p w14:paraId="5711803C" w14:textId="77777777" w:rsidR="00000000" w:rsidRDefault="00016ED8">
            <w:pPr>
              <w:rPr>
                <w:rFonts w:ascii="Arial" w:hAnsi="Arial" w:cs="Arial"/>
                <w:sz w:val="20"/>
                <w:szCs w:val="20"/>
              </w:rPr>
            </w:pPr>
          </w:p>
        </w:tc>
      </w:tr>
    </w:tbl>
    <w:p w14:paraId="7C2FAC5C"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72A7188" w14:textId="77777777">
        <w:trPr>
          <w:tblCellSpacing w:w="0" w:type="dxa"/>
        </w:trPr>
        <w:tc>
          <w:tcPr>
            <w:tcW w:w="360" w:type="dxa"/>
            <w:hideMark/>
          </w:tcPr>
          <w:p w14:paraId="4BF44C5E"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0" w:type="auto"/>
            <w:hideMark/>
          </w:tcPr>
          <w:p w14:paraId="7622913B"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14:paraId="225233DE"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469C8DB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14:paraId="7EF6471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911A5AE"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 xml:space="preserve">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Shareholders are individually responsible for their own tax payments on their proportionate share </w:t>
      </w:r>
      <w:r>
        <w:rPr>
          <w:rFonts w:ascii="Arial" w:hAnsi="Arial" w:cs="Arial"/>
          <w:sz w:val="20"/>
          <w:szCs w:val="20"/>
        </w:rPr>
        <w:t>of income, gain, loss, deduction, expense and credit.</w:t>
      </w:r>
    </w:p>
    <w:p w14:paraId="450DCEC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DC204C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June 30, 2020, </w:t>
      </w:r>
      <w:r>
        <w:rPr>
          <w:rFonts w:ascii="Arial" w:hAnsi="Arial" w:cs="Arial"/>
          <w:sz w:val="20"/>
          <w:szCs w:val="20"/>
        </w:rPr>
        <w:t xml:space="preserve">inclusive of the open tax 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a ta</w:t>
      </w:r>
      <w:r>
        <w:rPr>
          <w:rFonts w:ascii="Arial" w:hAnsi="Arial" w:cs="Arial"/>
          <w:sz w:val="20"/>
          <w:szCs w:val="20"/>
        </w:rPr>
        <w:t>x liability.</w:t>
      </w:r>
    </w:p>
    <w:p w14:paraId="573E1C6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CF23309" w14:textId="77777777">
        <w:trPr>
          <w:tblCellSpacing w:w="0" w:type="dxa"/>
        </w:trPr>
        <w:tc>
          <w:tcPr>
            <w:tcW w:w="360" w:type="dxa"/>
            <w:hideMark/>
          </w:tcPr>
          <w:p w14:paraId="04D3D07E" w14:textId="77777777" w:rsidR="00000000" w:rsidRDefault="00016ED8">
            <w:pPr>
              <w:rPr>
                <w:rFonts w:ascii="Arial" w:hAnsi="Arial" w:cs="Arial"/>
                <w:sz w:val="20"/>
                <w:szCs w:val="20"/>
              </w:rPr>
            </w:pPr>
          </w:p>
        </w:tc>
      </w:tr>
    </w:tbl>
    <w:p w14:paraId="029CC221"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A9C5AD8" w14:textId="77777777">
        <w:trPr>
          <w:tblCellSpacing w:w="0" w:type="dxa"/>
        </w:trPr>
        <w:tc>
          <w:tcPr>
            <w:tcW w:w="360" w:type="dxa"/>
            <w:hideMark/>
          </w:tcPr>
          <w:p w14:paraId="52D02801"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0" w:type="auto"/>
            <w:hideMark/>
          </w:tcPr>
          <w:p w14:paraId="169B9B2A"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14:paraId="0B560057"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7D57C45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 and</w:t>
      </w:r>
      <w:r>
        <w:rPr>
          <w:rFonts w:ascii="Arial" w:hAnsi="Arial" w:cs="Arial"/>
          <w:sz w:val="20"/>
          <w:szCs w:val="20"/>
        </w:rPr>
        <w:t xml:space="preserve"> Collateral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York time) that day. The Trustee determines the net asset value per Share (the “NAV”) by dividing the net asset</w:t>
      </w:r>
      <w:r>
        <w:rPr>
          <w:rFonts w:ascii="Arial" w:hAnsi="Arial" w:cs="Arial"/>
          <w:sz w:val="20"/>
          <w:szCs w:val="20"/>
        </w:rPr>
        <w:t xml:space="preserve"> value of the Trust on a given day by the number of Shares outstanding at the time the calculation is made. The NAV is calculated each business day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w:t>
      </w:r>
      <w:r>
        <w:rPr>
          <w:rFonts w:ascii="Arial" w:hAnsi="Arial" w:cs="Arial"/>
          <w:sz w:val="20"/>
          <w:szCs w:val="20"/>
        </w:rPr>
        <w:t>p.m. (New York time).</w:t>
      </w:r>
    </w:p>
    <w:p w14:paraId="2B1473C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8D8988C" w14:textId="77777777">
        <w:trPr>
          <w:tblCellSpacing w:w="0" w:type="dxa"/>
        </w:trPr>
        <w:tc>
          <w:tcPr>
            <w:tcW w:w="360" w:type="dxa"/>
            <w:hideMark/>
          </w:tcPr>
          <w:p w14:paraId="4AA9A2D5" w14:textId="77777777" w:rsidR="00000000" w:rsidRDefault="00016ED8">
            <w:pPr>
              <w:rPr>
                <w:rFonts w:ascii="Arial" w:hAnsi="Arial" w:cs="Arial"/>
                <w:sz w:val="20"/>
                <w:szCs w:val="20"/>
              </w:rPr>
            </w:pPr>
          </w:p>
        </w:tc>
      </w:tr>
    </w:tbl>
    <w:p w14:paraId="58612486"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652F393" w14:textId="77777777">
        <w:trPr>
          <w:tblCellSpacing w:w="0" w:type="dxa"/>
        </w:trPr>
        <w:tc>
          <w:tcPr>
            <w:tcW w:w="360" w:type="dxa"/>
            <w:hideMark/>
          </w:tcPr>
          <w:p w14:paraId="21C31793"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0" w:type="auto"/>
            <w:hideMark/>
          </w:tcPr>
          <w:p w14:paraId="546C35A6"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14:paraId="4757392D"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783946F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 xml:space="preserve">be used to acquire additional Index Futures and Collateral Assets or, in the discretion of the Sponsor, distributed to shareholders. The Trust is under </w:t>
      </w:r>
      <w:r>
        <w:rPr>
          <w:rStyle w:val="a6"/>
          <w:rFonts w:ascii="Arial" w:hAnsi="Arial" w:cs="Arial"/>
          <w:sz w:val="20"/>
          <w:szCs w:val="20"/>
        </w:rPr>
        <w:t>no</w:t>
      </w:r>
      <w:r>
        <w:rPr>
          <w:rFonts w:ascii="Arial" w:hAnsi="Arial" w:cs="Arial"/>
          <w:sz w:val="20"/>
          <w:szCs w:val="20"/>
        </w:rPr>
        <w:t xml:space="preserve"> obligation to make periodic distributions to shareholders.</w:t>
      </w:r>
    </w:p>
    <w:p w14:paraId="486466D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ECA42B6" w14:textId="77777777" w:rsidR="00000000" w:rsidRDefault="00016ED8">
      <w:pPr>
        <w:divId w:val="1507788922"/>
        <w:rPr>
          <w:rFonts w:ascii="Arial" w:eastAsia="Times New Roman" w:hAnsi="Arial" w:cs="Arial"/>
          <w:sz w:val="20"/>
          <w:szCs w:val="20"/>
        </w:rPr>
      </w:pPr>
      <w:r>
        <w:rPr>
          <w:rFonts w:ascii="Arial" w:eastAsia="Times New Roman" w:hAnsi="Arial" w:cs="Arial"/>
          <w:sz w:val="20"/>
          <w:szCs w:val="20"/>
        </w:rPr>
        <w:t xml:space="preserve">  </w:t>
      </w:r>
    </w:p>
    <w:p w14:paraId="406E1C94"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 Offering of the Shares</w:t>
      </w:r>
    </w:p>
    <w:p w14:paraId="5B4B392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6FDC496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Shares a</w:t>
      </w:r>
      <w:r>
        <w:rPr>
          <w:rFonts w:ascii="Arial" w:hAnsi="Arial" w:cs="Arial"/>
          <w:sz w:val="20"/>
          <w:szCs w:val="20"/>
        </w:rPr>
        <w:t xml:space="preserve">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 in exchange for Index Futures and cash (or, in the discretion of the Sponsor, other Collateral Assets in lieu of cash). Only registered broker-dealers who have enter</w:t>
      </w:r>
      <w:r>
        <w:rPr>
          <w:rFonts w:ascii="Arial" w:hAnsi="Arial" w:cs="Arial"/>
          <w:sz w:val="20"/>
          <w:szCs w:val="20"/>
        </w:rPr>
        <w:t xml:space="preserve">ed into an authorized participant agreement with the Trust (each, an “Authorized Participant”)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direct transactions with the Trust.</w:t>
      </w:r>
      <w:r>
        <w:rPr>
          <w:rFonts w:ascii="Arial" w:hAnsi="Arial" w:cs="Arial"/>
          <w:sz w:val="20"/>
          <w:szCs w:val="20"/>
        </w:rPr>
        <w:t xml:space="preserve"> Authorized Participants </w:t>
      </w:r>
      <w:r>
        <w:rPr>
          <w:rStyle w:val="a6"/>
          <w:rFonts w:ascii="Arial" w:hAnsi="Arial" w:cs="Arial"/>
          <w:sz w:val="20"/>
          <w:szCs w:val="20"/>
        </w:rPr>
        <w:t xml:space="preserve">may </w:t>
      </w:r>
      <w:r>
        <w:rPr>
          <w:rFonts w:ascii="Arial" w:hAnsi="Arial" w:cs="Arial"/>
          <w:sz w:val="20"/>
          <w:szCs w:val="20"/>
        </w:rPr>
        <w:t xml:space="preserve">redeem their Shares (as well as Shares on behalf of other investors)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for baskets of Index Futures and ca</w:t>
      </w:r>
      <w:r>
        <w:rPr>
          <w:rFonts w:ascii="Arial" w:hAnsi="Arial" w:cs="Arial"/>
          <w:sz w:val="20"/>
          <w:szCs w:val="20"/>
        </w:rPr>
        <w:t>sh (or, in the discretion of the Sponsor, other Collateral Assets in lieu of cash) are treated as sales for financial statement purposes.</w:t>
      </w:r>
    </w:p>
    <w:p w14:paraId="70F91C7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FC684B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It is possible that, from time to time, BlackRock and/or funds or other accounts managed by the Trustee or an affili</w:t>
      </w:r>
      <w:r>
        <w:rPr>
          <w:rFonts w:ascii="Arial" w:hAnsi="Arial" w:cs="Arial"/>
          <w:sz w:val="20"/>
          <w:szCs w:val="20"/>
        </w:rPr>
        <w:t xml:space="preserve">ate (collectively, “Affiliates”) </w:t>
      </w:r>
      <w:r>
        <w:rPr>
          <w:rStyle w:val="a6"/>
          <w:rFonts w:ascii="Arial" w:hAnsi="Arial" w:cs="Arial"/>
          <w:sz w:val="20"/>
          <w:szCs w:val="20"/>
        </w:rPr>
        <w:t xml:space="preserve">may </w:t>
      </w:r>
      <w:r>
        <w:rPr>
          <w:rFonts w:ascii="Arial" w:hAnsi="Arial" w:cs="Arial"/>
          <w:sz w:val="20"/>
          <w:szCs w:val="20"/>
        </w:rPr>
        <w:t>purchase and hold Shares of the Trust. Affiliates reserve the right, subject to compliance with applicable law, to sell into the market or redeem in Baskets through an Authorized Participant at any time some or all of t</w:t>
      </w:r>
      <w:r>
        <w:rPr>
          <w:rFonts w:ascii="Arial" w:hAnsi="Arial" w:cs="Arial"/>
          <w:sz w:val="20"/>
          <w:szCs w:val="20"/>
        </w:rPr>
        <w:t>he Shares of the Trust acquired for their own accounts. A large sale or redemption of Shares of the Trust by Affiliates could significantly reduce the asset size of the Trust, which might have an adverse effect on the Trust and the Shares that remain outst</w:t>
      </w:r>
      <w:r>
        <w:rPr>
          <w:rFonts w:ascii="Arial" w:hAnsi="Arial" w:cs="Arial"/>
          <w:sz w:val="20"/>
          <w:szCs w:val="20"/>
        </w:rPr>
        <w:t>anding.</w:t>
      </w:r>
    </w:p>
    <w:p w14:paraId="1DDDEE7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6133056" w14:textId="77777777" w:rsidR="00000000" w:rsidRDefault="00016ED8">
      <w:pPr>
        <w:jc w:val="center"/>
        <w:divId w:val="749622997"/>
        <w:rPr>
          <w:rFonts w:ascii="Arial" w:eastAsia="Times New Roman" w:hAnsi="Arial" w:cs="Arial"/>
          <w:sz w:val="20"/>
          <w:szCs w:val="20"/>
        </w:rPr>
      </w:pPr>
      <w:r>
        <w:rPr>
          <w:rStyle w:val="a6"/>
          <w:rFonts w:ascii="Arial" w:eastAsia="Times New Roman" w:hAnsi="Arial" w:cs="Arial"/>
          <w:sz w:val="20"/>
          <w:szCs w:val="20"/>
        </w:rPr>
        <w:t>8</w:t>
      </w:r>
      <w:r>
        <w:rPr>
          <w:rFonts w:ascii="Arial" w:eastAsia="Times New Roman" w:hAnsi="Arial" w:cs="Arial"/>
          <w:sz w:val="20"/>
          <w:szCs w:val="20"/>
        </w:rPr>
        <w:t xml:space="preserve"> </w:t>
      </w:r>
    </w:p>
    <w:p w14:paraId="093247E9"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15D4315E">
          <v:rect id="_x0000_i1048" style="width:0;height:1.5pt" o:hralign="center" o:hrstd="t" o:hr="t" fillcolor="#a0a0a0" stroked="f"/>
        </w:pict>
      </w:r>
    </w:p>
    <w:p w14:paraId="68FD6200" w14:textId="77777777" w:rsidR="00000000" w:rsidRDefault="00016ED8">
      <w:pPr>
        <w:divId w:val="147155922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BA5883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867AD99" w14:textId="77777777" w:rsidR="00000000" w:rsidRDefault="00016ED8">
      <w:pPr>
        <w:divId w:val="912158562"/>
        <w:rPr>
          <w:rFonts w:ascii="Arial" w:eastAsia="Times New Roman" w:hAnsi="Arial" w:cs="Arial"/>
          <w:sz w:val="20"/>
          <w:szCs w:val="20"/>
        </w:rPr>
      </w:pPr>
      <w:r>
        <w:rPr>
          <w:rFonts w:ascii="Arial" w:eastAsia="Times New Roman" w:hAnsi="Arial" w:cs="Arial"/>
          <w:sz w:val="20"/>
          <w:szCs w:val="20"/>
        </w:rPr>
        <w:t xml:space="preserve">  </w:t>
      </w:r>
    </w:p>
    <w:p w14:paraId="3C7BBDF1"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 Trust Expenses</w:t>
      </w:r>
    </w:p>
    <w:p w14:paraId="7232AE0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1D4B167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 in connection with the roll of Index Futures held by the Trust. These expenses are recorded as brokerage commissions and fees in the sta</w:t>
      </w:r>
      <w:r>
        <w:rPr>
          <w:rFonts w:ascii="Arial" w:hAnsi="Arial" w:cs="Arial"/>
          <w:sz w:val="20"/>
          <w:szCs w:val="20"/>
        </w:rPr>
        <w:t>tements of operations as incurred.</w:t>
      </w:r>
    </w:p>
    <w:p w14:paraId="64A9977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925827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Sponsor pays the amounts that would otherwise be considered the ordinary operating expenses, if any, of the Trust. In return, the Sponsor receives a fee from the Trust that accrues daily and is paid monthly in arrea</w:t>
      </w:r>
      <w:r>
        <w:rPr>
          <w:rFonts w:ascii="Arial" w:hAnsi="Arial" w:cs="Arial"/>
          <w:sz w:val="20"/>
          <w:szCs w:val="20"/>
        </w:rPr>
        <w:t>rs at an annualized rate equal to 0.75% of the net asset value of the Trust, as calculated before deducting fees and expenses based on the value of the Trust’s assets.</w:t>
      </w:r>
    </w:p>
    <w:p w14:paraId="0F0A998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4AF728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agreed under the Trust Agreement to pay the following administrative, </w:t>
      </w:r>
      <w:r>
        <w:rPr>
          <w:rFonts w:ascii="Arial" w:hAnsi="Arial" w:cs="Arial"/>
          <w:sz w:val="20"/>
          <w:szCs w:val="20"/>
        </w:rPr>
        <w:t>operational and marketing expenses: (</w:t>
      </w:r>
      <w:r>
        <w:rPr>
          <w:rStyle w:val="a6"/>
          <w:rFonts w:ascii="Arial" w:hAnsi="Arial" w:cs="Arial"/>
          <w:sz w:val="20"/>
          <w:szCs w:val="20"/>
        </w:rPr>
        <w:t>1</w:t>
      </w:r>
      <w:r>
        <w:rPr>
          <w:rFonts w:ascii="Arial" w:hAnsi="Arial" w:cs="Arial"/>
          <w:sz w:val="20"/>
          <w:szCs w:val="20"/>
        </w:rPr>
        <w:t>) the fees of 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w:t>
      </w:r>
      <w:r>
        <w:rPr>
          <w:rFonts w:ascii="Arial" w:hAnsi="Arial" w:cs="Arial"/>
          <w:sz w:val="20"/>
          <w:szCs w:val="20"/>
        </w:rPr>
        <w:t>ees for registration of the Shares with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legal expenses relating to the Trust of up to $100,000 annually.</w:t>
      </w:r>
    </w:p>
    <w:p w14:paraId="79CA8E1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ABB219D" w14:textId="77777777" w:rsidR="00000000" w:rsidRDefault="00016ED8">
      <w:pPr>
        <w:divId w:val="955867533"/>
        <w:rPr>
          <w:rFonts w:ascii="Arial" w:eastAsia="Times New Roman" w:hAnsi="Arial" w:cs="Arial"/>
          <w:sz w:val="20"/>
          <w:szCs w:val="20"/>
        </w:rPr>
      </w:pPr>
      <w:r>
        <w:rPr>
          <w:rFonts w:ascii="Arial" w:eastAsia="Times New Roman" w:hAnsi="Arial" w:cs="Arial"/>
          <w:sz w:val="20"/>
          <w:szCs w:val="20"/>
        </w:rPr>
        <w:t xml:space="preserve">  </w:t>
      </w:r>
    </w:p>
    <w:p w14:paraId="280562AC"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 Related Parties</w:t>
      </w:r>
    </w:p>
    <w:p w14:paraId="71A723C4"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34141AC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Sponsor, the Trustee and the Advisor are considered to be rel</w:t>
      </w:r>
      <w:r>
        <w:rPr>
          <w:rFonts w:ascii="Arial" w:hAnsi="Arial" w:cs="Arial"/>
          <w:sz w:val="20"/>
          <w:szCs w:val="20"/>
        </w:rPr>
        <w:t xml:space="preserve">ated parties to the Trust. The 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14:paraId="02531E0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9B3CA0F" w14:textId="77777777" w:rsidR="00000000" w:rsidRDefault="00016ED8">
      <w:pPr>
        <w:divId w:val="305623262"/>
        <w:rPr>
          <w:rFonts w:ascii="Arial" w:eastAsia="Times New Roman" w:hAnsi="Arial" w:cs="Arial"/>
          <w:sz w:val="20"/>
          <w:szCs w:val="20"/>
        </w:rPr>
      </w:pPr>
      <w:r>
        <w:rPr>
          <w:rFonts w:ascii="Arial" w:eastAsia="Times New Roman" w:hAnsi="Arial" w:cs="Arial"/>
          <w:sz w:val="20"/>
          <w:szCs w:val="20"/>
        </w:rPr>
        <w:t xml:space="preserve">  </w:t>
      </w:r>
    </w:p>
    <w:p w14:paraId="115B814A"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 Indemnification</w:t>
      </w:r>
    </w:p>
    <w:p w14:paraId="7E7BA435"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68578B8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Trustee shall indemnify the Sponsor, its directors, employees, delegees and agents against, and hold each of them harmless from, any loss, liability, claim, cost, expense or judgment of any kind whatsoever (including r</w:t>
      </w:r>
      <w:r>
        <w:rPr>
          <w:rFonts w:ascii="Arial" w:hAnsi="Arial" w:cs="Arial"/>
          <w:sz w:val="20"/>
          <w:szCs w:val="20"/>
        </w:rPr>
        <w:t>easonable fees and expenses of counsel) (i) caused by the negligence or bad faith of the Trustee or (ii) arising out of any information furnished in writing to the Sponsor by the Trustee expressly for use in the registration statement, or any amendment the</w:t>
      </w:r>
      <w:r>
        <w:rPr>
          <w:rFonts w:ascii="Arial" w:hAnsi="Arial" w:cs="Arial"/>
          <w:sz w:val="20"/>
          <w:szCs w:val="20"/>
        </w:rPr>
        <w:t xml:space="preserve">reto or periodic report, filed with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14:paraId="019080B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FA637E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Sponsor and its shareholders, directors, officers, employees, affiliates (as such term is defined unde</w:t>
      </w:r>
      <w:r>
        <w:rPr>
          <w:rFonts w:ascii="Arial" w:hAnsi="Arial" w:cs="Arial"/>
          <w:sz w:val="20"/>
          <w:szCs w:val="20"/>
        </w:rPr>
        <w:t xml:space="preserve">r the Securities Act of </w:t>
      </w:r>
      <w:r>
        <w:rPr>
          <w:rStyle w:val="a6"/>
          <w:rFonts w:ascii="Arial" w:hAnsi="Arial" w:cs="Arial"/>
          <w:sz w:val="20"/>
          <w:szCs w:val="20"/>
        </w:rPr>
        <w:t>1933,</w:t>
      </w:r>
      <w:r>
        <w:rPr>
          <w:rFonts w:ascii="Arial" w:hAnsi="Arial" w:cs="Arial"/>
          <w:sz w:val="20"/>
          <w:szCs w:val="20"/>
        </w:rPr>
        <w:t xml:space="preserve"> as amended) and subsidiaries and agents shall be indemnified from the Trust and held harmless against any loss, liability, claim, cost, expense or judgment of any kind whatsoever (including the reasonable fees and expenses of </w:t>
      </w:r>
      <w:r>
        <w:rPr>
          <w:rFonts w:ascii="Arial" w:hAnsi="Arial" w:cs="Arial"/>
          <w:sz w:val="20"/>
          <w:szCs w:val="20"/>
        </w:rPr>
        <w:t>counsel) arising out of or in connection with the performance of their obligations under the Trust Agreement or any actions taken in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w:t>
      </w:r>
      <w:r>
        <w:rPr>
          <w:rFonts w:ascii="Arial" w:hAnsi="Arial" w:cs="Arial"/>
          <w:sz w:val="20"/>
          <w:szCs w:val="20"/>
        </w:rPr>
        <w:t>nduct or (</w:t>
      </w:r>
      <w:r>
        <w:rPr>
          <w:rStyle w:val="a6"/>
          <w:rFonts w:ascii="Arial" w:hAnsi="Arial" w:cs="Arial"/>
          <w:sz w:val="20"/>
          <w:szCs w:val="20"/>
        </w:rPr>
        <w:t>2</w:t>
      </w:r>
      <w:r>
        <w:rPr>
          <w:rFonts w:ascii="Arial" w:hAnsi="Arial" w:cs="Arial"/>
          <w:sz w:val="20"/>
          <w:szCs w:val="20"/>
        </w:rPr>
        <w:t>) reckless disregard of their obligations and duties under the Trust Agreement.</w:t>
      </w:r>
    </w:p>
    <w:p w14:paraId="46BA9F4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07E869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 between the Sponsor and the Advisor provides that the Advisor and its shareholders, directors, officer</w:t>
      </w:r>
      <w:r>
        <w:rPr>
          <w:rFonts w:ascii="Arial" w:hAnsi="Arial" w:cs="Arial"/>
          <w:sz w:val="20"/>
          <w:szCs w:val="20"/>
        </w:rPr>
        <w:t xml:space="preserve">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 from the Trust and held harmless against any loss, liability, cost, expense or judgment (including the reasonable fees and</w:t>
      </w:r>
      <w:r>
        <w:rPr>
          <w:rFonts w:ascii="Arial" w:hAnsi="Arial" w:cs="Arial"/>
          <w:sz w:val="20"/>
          <w:szCs w:val="20"/>
        </w:rPr>
        <w:t xml:space="preserve"> expenses of counsel) arising out of or in connection with the performance of their obligations under the Advisory Agreement or any actions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w:t>
      </w:r>
      <w:r>
        <w:rPr>
          <w:rFonts w:ascii="Arial" w:hAnsi="Arial" w:cs="Arial"/>
          <w:sz w:val="20"/>
          <w:szCs w:val="20"/>
        </w:rPr>
        <w:t>th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14:paraId="10FED5D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B5EFB78" w14:textId="77777777" w:rsidR="00000000" w:rsidRDefault="00016ED8">
      <w:pPr>
        <w:divId w:val="672152165"/>
        <w:rPr>
          <w:rFonts w:ascii="Arial" w:eastAsia="Times New Roman" w:hAnsi="Arial" w:cs="Arial"/>
          <w:sz w:val="20"/>
          <w:szCs w:val="20"/>
        </w:rPr>
      </w:pPr>
      <w:r>
        <w:rPr>
          <w:rFonts w:ascii="Arial" w:eastAsia="Times New Roman" w:hAnsi="Arial" w:cs="Arial"/>
          <w:sz w:val="20"/>
          <w:szCs w:val="20"/>
        </w:rPr>
        <w:t xml:space="preserve">  </w:t>
      </w:r>
    </w:p>
    <w:p w14:paraId="25E1DF75"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 Commitments and Contingent Liabilities</w:t>
      </w:r>
    </w:p>
    <w:p w14:paraId="654657D1"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56A3D9F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enter into contracts with service providers t</w:t>
      </w:r>
      <w:r>
        <w:rPr>
          <w:rFonts w:ascii="Arial" w:hAnsi="Arial" w:cs="Arial"/>
          <w:sz w:val="20"/>
          <w:szCs w:val="20"/>
        </w:rPr>
        <w:t xml:space="preserve">hat contain general indemnification clauses. The Trust’s maximum exposure under these arrangements is unknown as this 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14:paraId="66EE6DA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3F1F9C8" w14:textId="77777777" w:rsidR="00000000" w:rsidRDefault="00016ED8">
      <w:pPr>
        <w:divId w:val="1483623536"/>
        <w:rPr>
          <w:rFonts w:ascii="Arial" w:eastAsia="Times New Roman" w:hAnsi="Arial" w:cs="Arial"/>
          <w:sz w:val="20"/>
          <w:szCs w:val="20"/>
        </w:rPr>
      </w:pPr>
      <w:r>
        <w:rPr>
          <w:rFonts w:ascii="Arial" w:eastAsia="Times New Roman" w:hAnsi="Arial" w:cs="Arial"/>
          <w:sz w:val="20"/>
          <w:szCs w:val="20"/>
        </w:rPr>
        <w:t xml:space="preserve">  </w:t>
      </w:r>
    </w:p>
    <w:p w14:paraId="5508647E"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w:t>
      </w:r>
      <w:r>
        <w:rPr>
          <w:rFonts w:ascii="Arial" w:hAnsi="Arial" w:cs="Arial"/>
          <w:b/>
          <w:bCs/>
          <w:sz w:val="20"/>
          <w:szCs w:val="20"/>
        </w:rPr>
        <w:t>- Financial Highlights</w:t>
      </w:r>
    </w:p>
    <w:p w14:paraId="3E0412C3"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3D50864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six</w:t>
      </w:r>
      <w:r>
        <w:rPr>
          <w:rFonts w:ascii="Arial" w:hAnsi="Arial" w:cs="Arial"/>
          <w:sz w:val="20"/>
          <w:szCs w:val="20"/>
        </w:rPr>
        <w:t xml:space="preserve"> months ended </w:t>
      </w:r>
      <w:r>
        <w:rPr>
          <w:rStyle w:val="a6"/>
          <w:rFonts w:ascii="Arial" w:hAnsi="Arial" w:cs="Arial"/>
          <w:sz w:val="20"/>
          <w:szCs w:val="20"/>
        </w:rPr>
        <w:t xml:space="preserve">June 30, 2020 </w:t>
      </w:r>
      <w:r>
        <w:rPr>
          <w:rFonts w:ascii="Arial" w:hAnsi="Arial" w:cs="Arial"/>
          <w:sz w:val="20"/>
          <w:szCs w:val="20"/>
        </w:rPr>
        <w:t xml:space="preserve">and </w:t>
      </w:r>
      <w:r>
        <w:rPr>
          <w:rStyle w:val="a6"/>
          <w:rFonts w:ascii="Arial" w:hAnsi="Arial" w:cs="Arial"/>
          <w:sz w:val="20"/>
          <w:szCs w:val="20"/>
        </w:rPr>
        <w:t>2019.</w:t>
      </w:r>
    </w:p>
    <w:p w14:paraId="553C178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20"/>
        <w:gridCol w:w="56"/>
        <w:gridCol w:w="112"/>
        <w:gridCol w:w="675"/>
        <w:gridCol w:w="245"/>
        <w:gridCol w:w="56"/>
        <w:gridCol w:w="112"/>
        <w:gridCol w:w="675"/>
        <w:gridCol w:w="245"/>
        <w:gridCol w:w="56"/>
        <w:gridCol w:w="112"/>
        <w:gridCol w:w="675"/>
        <w:gridCol w:w="245"/>
        <w:gridCol w:w="56"/>
        <w:gridCol w:w="112"/>
        <w:gridCol w:w="676"/>
        <w:gridCol w:w="178"/>
      </w:tblGrid>
      <w:tr w:rsidR="00000000" w14:paraId="64CB6DC3" w14:textId="77777777">
        <w:trPr>
          <w:tblCellSpacing w:w="0" w:type="dxa"/>
        </w:trPr>
        <w:tc>
          <w:tcPr>
            <w:tcW w:w="2450" w:type="pct"/>
            <w:vAlign w:val="bottom"/>
            <w:hideMark/>
          </w:tcPr>
          <w:p w14:paraId="7D605A2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74708E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14:paraId="1D12AF80"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tc>
        <w:tc>
          <w:tcPr>
            <w:tcW w:w="100" w:type="pct"/>
            <w:vAlign w:val="bottom"/>
            <w:hideMark/>
          </w:tcPr>
          <w:p w14:paraId="70E385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37290D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14:paraId="3D2A7BC4"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p>
        </w:tc>
        <w:tc>
          <w:tcPr>
            <w:tcW w:w="50" w:type="pct"/>
            <w:vAlign w:val="bottom"/>
            <w:hideMark/>
          </w:tcPr>
          <w:p w14:paraId="21DADFE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7515D23" w14:textId="77777777">
        <w:trPr>
          <w:tblCellSpacing w:w="0" w:type="dxa"/>
        </w:trPr>
        <w:tc>
          <w:tcPr>
            <w:tcW w:w="2450" w:type="pct"/>
            <w:vAlign w:val="bottom"/>
            <w:hideMark/>
          </w:tcPr>
          <w:p w14:paraId="6B3EC66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24F35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14:paraId="13CC7989"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100" w:type="pct"/>
            <w:tcMar>
              <w:top w:w="0" w:type="dxa"/>
              <w:left w:w="0" w:type="dxa"/>
              <w:bottom w:w="15" w:type="dxa"/>
              <w:right w:w="0" w:type="dxa"/>
            </w:tcMar>
            <w:vAlign w:val="bottom"/>
            <w:hideMark/>
          </w:tcPr>
          <w:p w14:paraId="265F3E4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2EE43A6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14:paraId="04A04AE6"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50" w:type="pct"/>
            <w:tcMar>
              <w:top w:w="0" w:type="dxa"/>
              <w:left w:w="0" w:type="dxa"/>
              <w:bottom w:w="15" w:type="dxa"/>
              <w:right w:w="0" w:type="dxa"/>
            </w:tcMar>
            <w:vAlign w:val="bottom"/>
            <w:hideMark/>
          </w:tcPr>
          <w:p w14:paraId="1465FAC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0745D7F" w14:textId="77777777">
        <w:trPr>
          <w:tblCellSpacing w:w="0" w:type="dxa"/>
        </w:trPr>
        <w:tc>
          <w:tcPr>
            <w:tcW w:w="2450" w:type="pct"/>
            <w:vAlign w:val="bottom"/>
            <w:hideMark/>
          </w:tcPr>
          <w:p w14:paraId="776EC2D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F354B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A95E431"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100" w:type="pct"/>
            <w:tcMar>
              <w:top w:w="0" w:type="dxa"/>
              <w:left w:w="0" w:type="dxa"/>
              <w:bottom w:w="15" w:type="dxa"/>
              <w:right w:w="0" w:type="dxa"/>
            </w:tcMar>
            <w:vAlign w:val="bottom"/>
            <w:hideMark/>
          </w:tcPr>
          <w:p w14:paraId="136020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69C4883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3AA4FB7"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100" w:type="pct"/>
            <w:tcMar>
              <w:top w:w="0" w:type="dxa"/>
              <w:left w:w="0" w:type="dxa"/>
              <w:bottom w:w="15" w:type="dxa"/>
              <w:right w:w="0" w:type="dxa"/>
            </w:tcMar>
            <w:vAlign w:val="bottom"/>
            <w:hideMark/>
          </w:tcPr>
          <w:p w14:paraId="27C0FFF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322964F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7912A886"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2020</w:t>
            </w:r>
          </w:p>
        </w:tc>
        <w:tc>
          <w:tcPr>
            <w:tcW w:w="100" w:type="pct"/>
            <w:tcMar>
              <w:top w:w="0" w:type="dxa"/>
              <w:left w:w="0" w:type="dxa"/>
              <w:bottom w:w="15" w:type="dxa"/>
              <w:right w:w="0" w:type="dxa"/>
            </w:tcMar>
            <w:vAlign w:val="bottom"/>
            <w:hideMark/>
          </w:tcPr>
          <w:p w14:paraId="5BD80C3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0A5AB89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55672076"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14:paraId="705538E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BBA017A" w14:textId="77777777">
        <w:trPr>
          <w:tblCellSpacing w:w="0" w:type="dxa"/>
        </w:trPr>
        <w:tc>
          <w:tcPr>
            <w:tcW w:w="2450" w:type="pct"/>
            <w:shd w:val="clear" w:color="auto" w:fill="CCEEFF"/>
            <w:vAlign w:val="bottom"/>
            <w:hideMark/>
          </w:tcPr>
          <w:p w14:paraId="5B337C8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period</w:t>
            </w:r>
          </w:p>
        </w:tc>
        <w:tc>
          <w:tcPr>
            <w:tcW w:w="50" w:type="pct"/>
            <w:shd w:val="clear" w:color="auto" w:fill="CCEEFF"/>
            <w:tcMar>
              <w:top w:w="0" w:type="dxa"/>
              <w:left w:w="0" w:type="dxa"/>
              <w:bottom w:w="15" w:type="dxa"/>
              <w:right w:w="0" w:type="dxa"/>
            </w:tcMar>
            <w:vAlign w:val="bottom"/>
            <w:hideMark/>
          </w:tcPr>
          <w:p w14:paraId="613CDAA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69DE8F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14:paraId="22FEA4C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9.37</w:t>
            </w:r>
          </w:p>
        </w:tc>
        <w:tc>
          <w:tcPr>
            <w:tcW w:w="100" w:type="pct"/>
            <w:shd w:val="clear" w:color="auto" w:fill="CCEEFF"/>
            <w:tcMar>
              <w:top w:w="0" w:type="dxa"/>
              <w:left w:w="0" w:type="dxa"/>
              <w:bottom w:w="15" w:type="dxa"/>
              <w:right w:w="0" w:type="dxa"/>
            </w:tcMar>
            <w:vAlign w:val="bottom"/>
            <w:hideMark/>
          </w:tcPr>
          <w:p w14:paraId="1E03E2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1602CC7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46A7AE6"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14:paraId="03F98D9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15.98</w:t>
            </w:r>
          </w:p>
        </w:tc>
        <w:tc>
          <w:tcPr>
            <w:tcW w:w="100" w:type="pct"/>
            <w:shd w:val="clear" w:color="auto" w:fill="CCEEFF"/>
            <w:tcMar>
              <w:top w:w="0" w:type="dxa"/>
              <w:left w:w="0" w:type="dxa"/>
              <w:bottom w:w="15" w:type="dxa"/>
              <w:right w:w="0" w:type="dxa"/>
            </w:tcMar>
            <w:vAlign w:val="bottom"/>
            <w:hideMark/>
          </w:tcPr>
          <w:p w14:paraId="17B9B10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49C809F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A342992"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14:paraId="5E2B86C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16.24</w:t>
            </w:r>
          </w:p>
        </w:tc>
        <w:tc>
          <w:tcPr>
            <w:tcW w:w="100" w:type="pct"/>
            <w:shd w:val="clear" w:color="auto" w:fill="CCEEFF"/>
            <w:tcMar>
              <w:top w:w="0" w:type="dxa"/>
              <w:left w:w="0" w:type="dxa"/>
              <w:bottom w:w="15" w:type="dxa"/>
              <w:right w:w="0" w:type="dxa"/>
            </w:tcMar>
            <w:vAlign w:val="bottom"/>
            <w:hideMark/>
          </w:tcPr>
          <w:p w14:paraId="46DE57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5AD8A02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3852F1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14:paraId="676B87C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13.99</w:t>
            </w:r>
          </w:p>
        </w:tc>
        <w:tc>
          <w:tcPr>
            <w:tcW w:w="50" w:type="pct"/>
            <w:shd w:val="clear" w:color="auto" w:fill="CCEEFF"/>
            <w:tcMar>
              <w:top w:w="0" w:type="dxa"/>
              <w:left w:w="0" w:type="dxa"/>
              <w:bottom w:w="15" w:type="dxa"/>
              <w:right w:w="0" w:type="dxa"/>
            </w:tcMar>
            <w:vAlign w:val="bottom"/>
            <w:hideMark/>
          </w:tcPr>
          <w:p w14:paraId="2344A6A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491B427" w14:textId="77777777">
        <w:trPr>
          <w:tblCellSpacing w:w="0" w:type="dxa"/>
        </w:trPr>
        <w:tc>
          <w:tcPr>
            <w:tcW w:w="2450" w:type="pct"/>
            <w:shd w:val="clear" w:color="auto" w:fill="FFFFFF"/>
            <w:vAlign w:val="bottom"/>
            <w:hideMark/>
          </w:tcPr>
          <w:p w14:paraId="49D7709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90872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4236A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5DB0F81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6929689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49E16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FC325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2C7A37C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67BA106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13193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BBA48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1CA4B74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7618C50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4BCFB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6CC3F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09A60FA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B3535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5D5F121" w14:textId="77777777">
        <w:trPr>
          <w:tblCellSpacing w:w="0" w:type="dxa"/>
        </w:trPr>
        <w:tc>
          <w:tcPr>
            <w:tcW w:w="2450" w:type="pct"/>
            <w:shd w:val="clear" w:color="auto" w:fill="CCEEFF"/>
            <w:vAlign w:val="bottom"/>
            <w:hideMark/>
          </w:tcPr>
          <w:p w14:paraId="14B9442A"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(a)</w:t>
            </w:r>
          </w:p>
        </w:tc>
        <w:tc>
          <w:tcPr>
            <w:tcW w:w="50" w:type="pct"/>
            <w:shd w:val="clear" w:color="auto" w:fill="CCEEFF"/>
            <w:vAlign w:val="bottom"/>
            <w:hideMark/>
          </w:tcPr>
          <w:p w14:paraId="2278CC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55FAF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7089A06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(0.01</w:t>
            </w:r>
          </w:p>
        </w:tc>
        <w:tc>
          <w:tcPr>
            <w:tcW w:w="100" w:type="pct"/>
            <w:shd w:val="clear" w:color="auto" w:fill="CCEEFF"/>
            <w:vAlign w:val="bottom"/>
            <w:hideMark/>
          </w:tcPr>
          <w:p w14:paraId="6ADC9FD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CECA2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D26709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16B9523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0.06</w:t>
            </w:r>
          </w:p>
        </w:tc>
        <w:tc>
          <w:tcPr>
            <w:tcW w:w="100" w:type="pct"/>
            <w:shd w:val="clear" w:color="auto" w:fill="CCEEFF"/>
            <w:vAlign w:val="bottom"/>
            <w:hideMark/>
          </w:tcPr>
          <w:p w14:paraId="5E9455F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B27E8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AC074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7A04F1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0.01</w:t>
            </w:r>
          </w:p>
        </w:tc>
        <w:tc>
          <w:tcPr>
            <w:tcW w:w="100" w:type="pct"/>
            <w:shd w:val="clear" w:color="auto" w:fill="CCEEFF"/>
            <w:vAlign w:val="bottom"/>
            <w:hideMark/>
          </w:tcPr>
          <w:p w14:paraId="4C0606F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45BF4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4C8755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94B57D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0.11</w:t>
            </w:r>
          </w:p>
        </w:tc>
        <w:tc>
          <w:tcPr>
            <w:tcW w:w="50" w:type="pct"/>
            <w:shd w:val="clear" w:color="auto" w:fill="CCEEFF"/>
            <w:vAlign w:val="bottom"/>
            <w:hideMark/>
          </w:tcPr>
          <w:p w14:paraId="6A7497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9D43C4C" w14:textId="77777777">
        <w:trPr>
          <w:tblCellSpacing w:w="0" w:type="dxa"/>
        </w:trPr>
        <w:tc>
          <w:tcPr>
            <w:tcW w:w="2450" w:type="pct"/>
            <w:shd w:val="clear" w:color="auto" w:fill="FFFFFF"/>
            <w:vAlign w:val="bottom"/>
            <w:hideMark/>
          </w:tcPr>
          <w:p w14:paraId="4B903E4D"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FFFFFF"/>
            <w:tcMar>
              <w:top w:w="0" w:type="dxa"/>
              <w:left w:w="0" w:type="dxa"/>
              <w:bottom w:w="15" w:type="dxa"/>
              <w:right w:w="0" w:type="dxa"/>
            </w:tcMar>
            <w:vAlign w:val="bottom"/>
            <w:hideMark/>
          </w:tcPr>
          <w:p w14:paraId="77B2FC7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88C620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2C99B00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0.97</w:t>
            </w:r>
          </w:p>
        </w:tc>
        <w:tc>
          <w:tcPr>
            <w:tcW w:w="100" w:type="pct"/>
            <w:shd w:val="clear" w:color="auto" w:fill="FFFFFF"/>
            <w:tcMar>
              <w:top w:w="0" w:type="dxa"/>
              <w:left w:w="0" w:type="dxa"/>
              <w:bottom w:w="15" w:type="dxa"/>
              <w:right w:w="0" w:type="dxa"/>
            </w:tcMar>
            <w:vAlign w:val="bottom"/>
            <w:hideMark/>
          </w:tcPr>
          <w:p w14:paraId="1F032F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582FC6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BD68E7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31249B6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(0.32</w:t>
            </w:r>
          </w:p>
        </w:tc>
        <w:tc>
          <w:tcPr>
            <w:tcW w:w="100" w:type="pct"/>
            <w:shd w:val="clear" w:color="auto" w:fill="FFFFFF"/>
            <w:tcMar>
              <w:top w:w="0" w:type="dxa"/>
              <w:left w:w="0" w:type="dxa"/>
              <w:bottom w:w="15" w:type="dxa"/>
              <w:right w:w="0" w:type="dxa"/>
            </w:tcMar>
            <w:vAlign w:val="bottom"/>
            <w:hideMark/>
          </w:tcPr>
          <w:p w14:paraId="646A003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5197940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F178E8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05C4197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(5.92</w:t>
            </w:r>
          </w:p>
        </w:tc>
        <w:tc>
          <w:tcPr>
            <w:tcW w:w="100" w:type="pct"/>
            <w:shd w:val="clear" w:color="auto" w:fill="FFFFFF"/>
            <w:tcMar>
              <w:top w:w="0" w:type="dxa"/>
              <w:left w:w="0" w:type="dxa"/>
              <w:bottom w:w="15" w:type="dxa"/>
              <w:right w:w="0" w:type="dxa"/>
            </w:tcMar>
            <w:vAlign w:val="bottom"/>
            <w:hideMark/>
          </w:tcPr>
          <w:p w14:paraId="4F1232E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083718F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4C48D4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436D7BD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1.62</w:t>
            </w:r>
          </w:p>
        </w:tc>
        <w:tc>
          <w:tcPr>
            <w:tcW w:w="50" w:type="pct"/>
            <w:shd w:val="clear" w:color="auto" w:fill="FFFFFF"/>
            <w:tcMar>
              <w:top w:w="0" w:type="dxa"/>
              <w:left w:w="0" w:type="dxa"/>
              <w:bottom w:w="15" w:type="dxa"/>
              <w:right w:w="0" w:type="dxa"/>
            </w:tcMar>
            <w:vAlign w:val="bottom"/>
            <w:hideMark/>
          </w:tcPr>
          <w:p w14:paraId="5A34E22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AA9CAC6" w14:textId="77777777">
        <w:trPr>
          <w:tblCellSpacing w:w="0" w:type="dxa"/>
        </w:trPr>
        <w:tc>
          <w:tcPr>
            <w:tcW w:w="2450" w:type="pct"/>
            <w:shd w:val="clear" w:color="auto" w:fill="CCEEFF"/>
            <w:vAlign w:val="bottom"/>
            <w:hideMark/>
          </w:tcPr>
          <w:p w14:paraId="1E19F27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tcMar>
              <w:top w:w="0" w:type="dxa"/>
              <w:left w:w="0" w:type="dxa"/>
              <w:bottom w:w="15" w:type="dxa"/>
              <w:right w:w="0" w:type="dxa"/>
            </w:tcMar>
            <w:vAlign w:val="bottom"/>
            <w:hideMark/>
          </w:tcPr>
          <w:p w14:paraId="6476DA2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E9BE2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7D56149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0.96</w:t>
            </w:r>
          </w:p>
        </w:tc>
        <w:tc>
          <w:tcPr>
            <w:tcW w:w="100" w:type="pct"/>
            <w:shd w:val="clear" w:color="auto" w:fill="CCEEFF"/>
            <w:tcMar>
              <w:top w:w="0" w:type="dxa"/>
              <w:left w:w="0" w:type="dxa"/>
              <w:bottom w:w="15" w:type="dxa"/>
              <w:right w:w="0" w:type="dxa"/>
            </w:tcMar>
            <w:vAlign w:val="bottom"/>
            <w:hideMark/>
          </w:tcPr>
          <w:p w14:paraId="6A61044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26EEEC3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6E7F50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7BB1117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(0.26</w:t>
            </w:r>
          </w:p>
        </w:tc>
        <w:tc>
          <w:tcPr>
            <w:tcW w:w="100" w:type="pct"/>
            <w:shd w:val="clear" w:color="auto" w:fill="CCEEFF"/>
            <w:tcMar>
              <w:top w:w="0" w:type="dxa"/>
              <w:left w:w="0" w:type="dxa"/>
              <w:bottom w:w="15" w:type="dxa"/>
              <w:right w:w="0" w:type="dxa"/>
            </w:tcMar>
            <w:vAlign w:val="bottom"/>
            <w:hideMark/>
          </w:tcPr>
          <w:p w14:paraId="52F729D0"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6F0C03E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AFD971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2D9B45B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(5.91</w:t>
            </w:r>
          </w:p>
        </w:tc>
        <w:tc>
          <w:tcPr>
            <w:tcW w:w="100" w:type="pct"/>
            <w:shd w:val="clear" w:color="auto" w:fill="CCEEFF"/>
            <w:tcMar>
              <w:top w:w="0" w:type="dxa"/>
              <w:left w:w="0" w:type="dxa"/>
              <w:bottom w:w="15" w:type="dxa"/>
              <w:right w:w="0" w:type="dxa"/>
            </w:tcMar>
            <w:vAlign w:val="bottom"/>
            <w:hideMark/>
          </w:tcPr>
          <w:p w14:paraId="38CE8C4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66E8FB0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2F316F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12C47F9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1.73</w:t>
            </w:r>
          </w:p>
        </w:tc>
        <w:tc>
          <w:tcPr>
            <w:tcW w:w="50" w:type="pct"/>
            <w:shd w:val="clear" w:color="auto" w:fill="CCEEFF"/>
            <w:tcMar>
              <w:top w:w="0" w:type="dxa"/>
              <w:left w:w="0" w:type="dxa"/>
              <w:bottom w:w="15" w:type="dxa"/>
              <w:right w:w="0" w:type="dxa"/>
            </w:tcMar>
            <w:vAlign w:val="bottom"/>
            <w:hideMark/>
          </w:tcPr>
          <w:p w14:paraId="175E608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A5BC947" w14:textId="77777777">
        <w:trPr>
          <w:tblCellSpacing w:w="0" w:type="dxa"/>
        </w:trPr>
        <w:tc>
          <w:tcPr>
            <w:tcW w:w="2450" w:type="pct"/>
            <w:shd w:val="clear" w:color="auto" w:fill="FFFFFF"/>
            <w:vAlign w:val="bottom"/>
            <w:hideMark/>
          </w:tcPr>
          <w:p w14:paraId="7ED4DC7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FFFFFF"/>
            <w:vAlign w:val="bottom"/>
            <w:hideMark/>
          </w:tcPr>
          <w:p w14:paraId="471A35C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38D8222"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14:paraId="76C63BB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10.33</w:t>
            </w:r>
          </w:p>
        </w:tc>
        <w:tc>
          <w:tcPr>
            <w:tcW w:w="100" w:type="pct"/>
            <w:shd w:val="clear" w:color="auto" w:fill="FFFFFF"/>
            <w:tcMar>
              <w:top w:w="0" w:type="dxa"/>
              <w:left w:w="0" w:type="dxa"/>
              <w:bottom w:w="45" w:type="dxa"/>
              <w:right w:w="0" w:type="dxa"/>
            </w:tcMar>
            <w:vAlign w:val="bottom"/>
            <w:hideMark/>
          </w:tcPr>
          <w:p w14:paraId="2DED2A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E8C0BC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DAD1A66"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14:paraId="54DAA8F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15.72</w:t>
            </w:r>
          </w:p>
        </w:tc>
        <w:tc>
          <w:tcPr>
            <w:tcW w:w="100" w:type="pct"/>
            <w:shd w:val="clear" w:color="auto" w:fill="FFFFFF"/>
            <w:tcMar>
              <w:top w:w="0" w:type="dxa"/>
              <w:left w:w="0" w:type="dxa"/>
              <w:bottom w:w="45" w:type="dxa"/>
              <w:right w:w="0" w:type="dxa"/>
            </w:tcMar>
            <w:vAlign w:val="bottom"/>
            <w:hideMark/>
          </w:tcPr>
          <w:p w14:paraId="6391443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6F2605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B68026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14:paraId="5031778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10.33</w:t>
            </w:r>
          </w:p>
        </w:tc>
        <w:tc>
          <w:tcPr>
            <w:tcW w:w="100" w:type="pct"/>
            <w:shd w:val="clear" w:color="auto" w:fill="FFFFFF"/>
            <w:tcMar>
              <w:top w:w="0" w:type="dxa"/>
              <w:left w:w="0" w:type="dxa"/>
              <w:bottom w:w="45" w:type="dxa"/>
              <w:right w:w="0" w:type="dxa"/>
            </w:tcMar>
            <w:vAlign w:val="bottom"/>
            <w:hideMark/>
          </w:tcPr>
          <w:p w14:paraId="14C403F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ED7CC0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77BA1694"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14:paraId="3901324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15.72</w:t>
            </w:r>
          </w:p>
        </w:tc>
        <w:tc>
          <w:tcPr>
            <w:tcW w:w="50" w:type="pct"/>
            <w:shd w:val="clear" w:color="auto" w:fill="FFFFFF"/>
            <w:tcMar>
              <w:top w:w="0" w:type="dxa"/>
              <w:left w:w="0" w:type="dxa"/>
              <w:bottom w:w="45" w:type="dxa"/>
              <w:right w:w="0" w:type="dxa"/>
            </w:tcMar>
            <w:vAlign w:val="bottom"/>
            <w:hideMark/>
          </w:tcPr>
          <w:p w14:paraId="7DF20FF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B04529E" w14:textId="77777777">
        <w:trPr>
          <w:tblCellSpacing w:w="0" w:type="dxa"/>
        </w:trPr>
        <w:tc>
          <w:tcPr>
            <w:tcW w:w="2450" w:type="pct"/>
            <w:shd w:val="clear" w:color="auto" w:fill="CCEEFF"/>
            <w:vAlign w:val="bottom"/>
            <w:hideMark/>
          </w:tcPr>
          <w:p w14:paraId="3E45928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12B7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F0768E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A4FC3C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41157D2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070452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198A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4EF167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733DC9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610C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27AAD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1ED2A94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12B46C6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AF3E9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01609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13E3D8C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00F6A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A77EA09" w14:textId="77777777">
        <w:trPr>
          <w:tblCellSpacing w:w="0" w:type="dxa"/>
        </w:trPr>
        <w:tc>
          <w:tcPr>
            <w:tcW w:w="2450" w:type="pct"/>
            <w:shd w:val="clear" w:color="auto" w:fill="FFFFFF"/>
            <w:vAlign w:val="bottom"/>
            <w:hideMark/>
          </w:tcPr>
          <w:p w14:paraId="1FE2565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shd w:val="clear" w:color="auto" w:fill="FFFFFF"/>
            <w:vAlign w:val="bottom"/>
            <w:hideMark/>
          </w:tcPr>
          <w:p w14:paraId="4916DA1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CBA5F3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64E3317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10.25</w:t>
            </w:r>
          </w:p>
        </w:tc>
        <w:tc>
          <w:tcPr>
            <w:tcW w:w="100" w:type="pct"/>
            <w:shd w:val="clear" w:color="auto" w:fill="FFFFFF"/>
            <w:vAlign w:val="bottom"/>
            <w:hideMark/>
          </w:tcPr>
          <w:p w14:paraId="7AEDB1C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0BCA937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88D4A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1D54393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(1.63</w:t>
            </w:r>
          </w:p>
        </w:tc>
        <w:tc>
          <w:tcPr>
            <w:tcW w:w="100" w:type="pct"/>
            <w:shd w:val="clear" w:color="auto" w:fill="FFFFFF"/>
            <w:vAlign w:val="bottom"/>
            <w:hideMark/>
          </w:tcPr>
          <w:p w14:paraId="4323750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424C7D8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B789F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2D9B1E1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(36.39</w:t>
            </w:r>
          </w:p>
        </w:tc>
        <w:tc>
          <w:tcPr>
            <w:tcW w:w="100" w:type="pct"/>
            <w:shd w:val="clear" w:color="auto" w:fill="FFFFFF"/>
            <w:vAlign w:val="bottom"/>
            <w:hideMark/>
          </w:tcPr>
          <w:p w14:paraId="32DD07A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647C7D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D6F3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4F511EC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12.37</w:t>
            </w:r>
          </w:p>
        </w:tc>
        <w:tc>
          <w:tcPr>
            <w:tcW w:w="50" w:type="pct"/>
            <w:shd w:val="clear" w:color="auto" w:fill="FFFFFF"/>
            <w:vAlign w:val="bottom"/>
            <w:hideMark/>
          </w:tcPr>
          <w:p w14:paraId="7615B97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14:paraId="59C7D045" w14:textId="77777777">
        <w:trPr>
          <w:tblCellSpacing w:w="0" w:type="dxa"/>
        </w:trPr>
        <w:tc>
          <w:tcPr>
            <w:tcW w:w="2450" w:type="pct"/>
            <w:shd w:val="clear" w:color="auto" w:fill="CCEEFF"/>
            <w:vAlign w:val="bottom"/>
            <w:hideMark/>
          </w:tcPr>
          <w:p w14:paraId="255A27E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EBA5B9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591F1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C0B01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2D43DD9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F99B06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610DCC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FF34A3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2373CE9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CA4FA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85F763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3147EC8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2F4B011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B75B2B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D55C46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7E5CD7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ABD433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256FBA6" w14:textId="77777777">
        <w:trPr>
          <w:tblCellSpacing w:w="0" w:type="dxa"/>
        </w:trPr>
        <w:tc>
          <w:tcPr>
            <w:tcW w:w="2450" w:type="pct"/>
            <w:shd w:val="clear" w:color="auto" w:fill="FFFFFF"/>
            <w:vAlign w:val="bottom"/>
            <w:hideMark/>
          </w:tcPr>
          <w:p w14:paraId="618DD19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50" w:type="pct"/>
            <w:shd w:val="clear" w:color="auto" w:fill="FFFFFF"/>
            <w:vAlign w:val="bottom"/>
            <w:hideMark/>
          </w:tcPr>
          <w:p w14:paraId="18AF591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FA88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3B591D5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64C7BF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E0633E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02C15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17C03A4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4489033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74E63F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5E2A5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388C02A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6E4DDA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BC00A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5F476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4F4447F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8A868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471BE2B" w14:textId="77777777">
        <w:trPr>
          <w:tblCellSpacing w:w="0" w:type="dxa"/>
        </w:trPr>
        <w:tc>
          <w:tcPr>
            <w:tcW w:w="2450" w:type="pct"/>
            <w:shd w:val="clear" w:color="auto" w:fill="CCEEFF"/>
            <w:vAlign w:val="bottom"/>
            <w:hideMark/>
          </w:tcPr>
          <w:p w14:paraId="7E00E1A6"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(e)</w:t>
            </w:r>
          </w:p>
        </w:tc>
        <w:tc>
          <w:tcPr>
            <w:tcW w:w="50" w:type="pct"/>
            <w:shd w:val="clear" w:color="auto" w:fill="CCEEFF"/>
            <w:vAlign w:val="bottom"/>
            <w:hideMark/>
          </w:tcPr>
          <w:p w14:paraId="02DD8F0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C58F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1E0C1CC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(0.32</w:t>
            </w:r>
          </w:p>
        </w:tc>
        <w:tc>
          <w:tcPr>
            <w:tcW w:w="100" w:type="pct"/>
            <w:shd w:val="clear" w:color="auto" w:fill="CCEEFF"/>
            <w:vAlign w:val="bottom"/>
            <w:hideMark/>
          </w:tcPr>
          <w:p w14:paraId="51B952C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14:paraId="4DA9925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60074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6804B37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1.52</w:t>
            </w:r>
          </w:p>
        </w:tc>
        <w:tc>
          <w:tcPr>
            <w:tcW w:w="100" w:type="pct"/>
            <w:shd w:val="clear" w:color="auto" w:fill="CCEEFF"/>
            <w:vAlign w:val="bottom"/>
            <w:hideMark/>
          </w:tcPr>
          <w:p w14:paraId="1765D9B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14:paraId="395EE4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76AEF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C22FA7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0.20</w:t>
            </w:r>
          </w:p>
        </w:tc>
        <w:tc>
          <w:tcPr>
            <w:tcW w:w="100" w:type="pct"/>
            <w:shd w:val="clear" w:color="auto" w:fill="CCEEFF"/>
            <w:vAlign w:val="bottom"/>
            <w:hideMark/>
          </w:tcPr>
          <w:p w14:paraId="74EFA50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CCEEFF"/>
            <w:vAlign w:val="bottom"/>
            <w:hideMark/>
          </w:tcPr>
          <w:p w14:paraId="289B232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9FB9A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4A2F20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1.46</w:t>
            </w:r>
          </w:p>
        </w:tc>
        <w:tc>
          <w:tcPr>
            <w:tcW w:w="50" w:type="pct"/>
            <w:shd w:val="clear" w:color="auto" w:fill="CCEEFF"/>
            <w:vAlign w:val="bottom"/>
            <w:hideMark/>
          </w:tcPr>
          <w:p w14:paraId="1A2B914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14:paraId="758EDC02" w14:textId="77777777">
        <w:trPr>
          <w:tblCellSpacing w:w="0" w:type="dxa"/>
        </w:trPr>
        <w:tc>
          <w:tcPr>
            <w:tcW w:w="2450" w:type="pct"/>
            <w:shd w:val="clear" w:color="auto" w:fill="FFFFFF"/>
            <w:vAlign w:val="bottom"/>
            <w:hideMark/>
          </w:tcPr>
          <w:p w14:paraId="6A993BE1" w14:textId="77777777" w:rsidR="00000000" w:rsidRDefault="00016ED8">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FFFFFF"/>
            <w:vAlign w:val="bottom"/>
            <w:hideMark/>
          </w:tcPr>
          <w:p w14:paraId="139B12C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2C80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2937C88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0.93</w:t>
            </w:r>
          </w:p>
        </w:tc>
        <w:tc>
          <w:tcPr>
            <w:tcW w:w="100" w:type="pct"/>
            <w:shd w:val="clear" w:color="auto" w:fill="FFFFFF"/>
            <w:vAlign w:val="bottom"/>
            <w:hideMark/>
          </w:tcPr>
          <w:p w14:paraId="5C13FFC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0647C23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F1B04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1804BC3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FFFFFF"/>
            <w:vAlign w:val="bottom"/>
            <w:hideMark/>
          </w:tcPr>
          <w:p w14:paraId="08B609D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4AA5226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24947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6260800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0.90</w:t>
            </w:r>
          </w:p>
        </w:tc>
        <w:tc>
          <w:tcPr>
            <w:tcW w:w="100" w:type="pct"/>
            <w:shd w:val="clear" w:color="auto" w:fill="FFFFFF"/>
            <w:vAlign w:val="bottom"/>
            <w:hideMark/>
          </w:tcPr>
          <w:p w14:paraId="2B1C94D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50" w:type="pct"/>
            <w:shd w:val="clear" w:color="auto" w:fill="FFFFFF"/>
            <w:vAlign w:val="bottom"/>
            <w:hideMark/>
          </w:tcPr>
          <w:p w14:paraId="0286BF1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65DBE0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14:paraId="5550093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0.85</w:t>
            </w:r>
          </w:p>
        </w:tc>
        <w:tc>
          <w:tcPr>
            <w:tcW w:w="50" w:type="pct"/>
            <w:shd w:val="clear" w:color="auto" w:fill="FFFFFF"/>
            <w:vAlign w:val="bottom"/>
            <w:hideMark/>
          </w:tcPr>
          <w:p w14:paraId="7A7F027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r>
    </w:tbl>
    <w:p w14:paraId="049B22E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E96BA3B"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0876ACA8">
          <v:rect id="_x0000_i104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224A84B9" w14:textId="77777777">
        <w:trPr>
          <w:tblCellSpacing w:w="0" w:type="dxa"/>
        </w:trPr>
        <w:tc>
          <w:tcPr>
            <w:tcW w:w="360" w:type="dxa"/>
            <w:hideMark/>
          </w:tcPr>
          <w:p w14:paraId="077339C3"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(a)</w:t>
            </w:r>
            <w:r>
              <w:rPr>
                <w:rFonts w:ascii="Arial" w:hAnsi="Arial" w:cs="Arial"/>
                <w:sz w:val="20"/>
                <w:szCs w:val="20"/>
              </w:rPr>
              <w:t> </w:t>
            </w:r>
          </w:p>
        </w:tc>
        <w:tc>
          <w:tcPr>
            <w:tcW w:w="0" w:type="auto"/>
            <w:hideMark/>
          </w:tcPr>
          <w:p w14:paraId="6A7B9686"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14:paraId="1FD27238"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8D02677" w14:textId="77777777">
        <w:trPr>
          <w:tblCellSpacing w:w="0" w:type="dxa"/>
        </w:trPr>
        <w:tc>
          <w:tcPr>
            <w:tcW w:w="360" w:type="dxa"/>
            <w:hideMark/>
          </w:tcPr>
          <w:p w14:paraId="67748CFB"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(b)</w:t>
            </w:r>
            <w:r>
              <w:rPr>
                <w:rFonts w:ascii="Arial" w:hAnsi="Arial" w:cs="Arial"/>
                <w:sz w:val="20"/>
                <w:szCs w:val="20"/>
              </w:rPr>
              <w:t> </w:t>
            </w:r>
          </w:p>
        </w:tc>
        <w:tc>
          <w:tcPr>
            <w:tcW w:w="0" w:type="auto"/>
            <w:hideMark/>
          </w:tcPr>
          <w:p w14:paraId="7D5173B0" w14:textId="77777777" w:rsidR="00000000" w:rsidRDefault="00016ED8">
            <w:pPr>
              <w:pStyle w:val="a3"/>
              <w:spacing w:before="0" w:beforeAutospacing="0" w:after="0" w:afterAutospacing="0"/>
              <w:rPr>
                <w:rFonts w:ascii="Arial" w:hAnsi="Arial" w:cs="Arial"/>
                <w:sz w:val="20"/>
                <w:szCs w:val="20"/>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w:t>
            </w:r>
            <w:r>
              <w:rPr>
                <w:rFonts w:ascii="Arial" w:hAnsi="Arial" w:cs="Arial"/>
                <w:sz w:val="16"/>
                <w:szCs w:val="16"/>
              </w:rPr>
              <w:t>accord with the change in aggregate gains and losses on investments for each period due to the timing of Trust Share transactions in relation to the fluctuating fair values of the Trust’s underlying investments.</w:t>
            </w:r>
          </w:p>
        </w:tc>
      </w:tr>
    </w:tbl>
    <w:p w14:paraId="24608311"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374CD2C" w14:textId="77777777">
        <w:trPr>
          <w:tblCellSpacing w:w="0" w:type="dxa"/>
        </w:trPr>
        <w:tc>
          <w:tcPr>
            <w:tcW w:w="360" w:type="dxa"/>
            <w:hideMark/>
          </w:tcPr>
          <w:p w14:paraId="2590E2DE"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(c)</w:t>
            </w:r>
            <w:r>
              <w:rPr>
                <w:rFonts w:ascii="Arial" w:hAnsi="Arial" w:cs="Arial"/>
                <w:sz w:val="20"/>
                <w:szCs w:val="20"/>
              </w:rPr>
              <w:t> </w:t>
            </w:r>
          </w:p>
        </w:tc>
        <w:tc>
          <w:tcPr>
            <w:tcW w:w="0" w:type="auto"/>
            <w:hideMark/>
          </w:tcPr>
          <w:p w14:paraId="425C2143"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w:t>
            </w:r>
            <w:r>
              <w:rPr>
                <w:rFonts w:ascii="Arial" w:hAnsi="Arial" w:cs="Arial"/>
                <w:sz w:val="16"/>
                <w:szCs w:val="16"/>
              </w:rPr>
              <w:t>e of a Share during the period.</w:t>
            </w:r>
          </w:p>
        </w:tc>
      </w:tr>
    </w:tbl>
    <w:p w14:paraId="12EFF5EA"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C5907BA" w14:textId="77777777">
        <w:trPr>
          <w:tblCellSpacing w:w="0" w:type="dxa"/>
        </w:trPr>
        <w:tc>
          <w:tcPr>
            <w:tcW w:w="360" w:type="dxa"/>
            <w:hideMark/>
          </w:tcPr>
          <w:p w14:paraId="1AB9DF30"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(d)</w:t>
            </w:r>
            <w:r>
              <w:rPr>
                <w:rFonts w:ascii="Arial" w:hAnsi="Arial" w:cs="Arial"/>
                <w:sz w:val="20"/>
                <w:szCs w:val="20"/>
              </w:rPr>
              <w:t> </w:t>
            </w:r>
          </w:p>
        </w:tc>
        <w:tc>
          <w:tcPr>
            <w:tcW w:w="0" w:type="auto"/>
            <w:hideMark/>
          </w:tcPr>
          <w:p w14:paraId="67B3EB5C"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 xml:space="preserve">Percentage is </w:t>
            </w:r>
            <w:r>
              <w:rPr>
                <w:rStyle w:val="a6"/>
                <w:rFonts w:ascii="Arial" w:hAnsi="Arial" w:cs="Arial"/>
                <w:sz w:val="16"/>
                <w:szCs w:val="16"/>
              </w:rPr>
              <w:t>not</w:t>
            </w:r>
            <w:r>
              <w:rPr>
                <w:rFonts w:ascii="Arial" w:hAnsi="Arial" w:cs="Arial"/>
                <w:sz w:val="16"/>
                <w:szCs w:val="16"/>
              </w:rPr>
              <w:t xml:space="preserve"> annualized.</w:t>
            </w:r>
          </w:p>
        </w:tc>
      </w:tr>
    </w:tbl>
    <w:p w14:paraId="7E8A6C91"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8EED018" w14:textId="77777777">
        <w:trPr>
          <w:tblCellSpacing w:w="0" w:type="dxa"/>
        </w:trPr>
        <w:tc>
          <w:tcPr>
            <w:tcW w:w="360" w:type="dxa"/>
            <w:hideMark/>
          </w:tcPr>
          <w:p w14:paraId="1F73FC93"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(e)</w:t>
            </w:r>
            <w:r>
              <w:rPr>
                <w:rFonts w:ascii="Arial" w:hAnsi="Arial" w:cs="Arial"/>
                <w:sz w:val="20"/>
                <w:szCs w:val="20"/>
              </w:rPr>
              <w:t> </w:t>
            </w:r>
          </w:p>
        </w:tc>
        <w:tc>
          <w:tcPr>
            <w:tcW w:w="0" w:type="auto"/>
            <w:hideMark/>
          </w:tcPr>
          <w:p w14:paraId="3FAD5DA8"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14:paraId="7CB20F4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601A3B6" w14:textId="77777777" w:rsidR="00000000" w:rsidRDefault="00016ED8">
      <w:pPr>
        <w:jc w:val="center"/>
        <w:divId w:val="1376395294"/>
        <w:rPr>
          <w:rFonts w:ascii="Arial" w:eastAsia="Times New Roman" w:hAnsi="Arial" w:cs="Arial"/>
          <w:sz w:val="20"/>
          <w:szCs w:val="20"/>
        </w:rPr>
      </w:pPr>
      <w:r>
        <w:rPr>
          <w:rStyle w:val="a6"/>
          <w:rFonts w:ascii="Arial" w:eastAsia="Times New Roman" w:hAnsi="Arial" w:cs="Arial"/>
          <w:sz w:val="20"/>
          <w:szCs w:val="20"/>
        </w:rPr>
        <w:t>9</w:t>
      </w:r>
      <w:r>
        <w:rPr>
          <w:rFonts w:ascii="Arial" w:eastAsia="Times New Roman" w:hAnsi="Arial" w:cs="Arial"/>
          <w:sz w:val="20"/>
          <w:szCs w:val="20"/>
        </w:rPr>
        <w:t xml:space="preserve"> </w:t>
      </w:r>
    </w:p>
    <w:p w14:paraId="17F25383"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4BCA63C6">
          <v:rect id="_x0000_i1050" style="width:0;height:1.5pt" o:hralign="center" o:hrstd="t" o:hr="t" fillcolor="#a0a0a0" stroked="f"/>
        </w:pict>
      </w:r>
    </w:p>
    <w:p w14:paraId="467A8CA0" w14:textId="77777777" w:rsidR="00000000" w:rsidRDefault="00016ED8">
      <w:pPr>
        <w:divId w:val="84000747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671AD4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210ED0F" w14:textId="77777777" w:rsidR="00000000" w:rsidRDefault="00016ED8">
      <w:pPr>
        <w:divId w:val="1101028424"/>
        <w:rPr>
          <w:rFonts w:ascii="Arial" w:eastAsia="Times New Roman" w:hAnsi="Arial" w:cs="Arial"/>
          <w:sz w:val="20"/>
          <w:szCs w:val="20"/>
        </w:rPr>
      </w:pPr>
      <w:r>
        <w:rPr>
          <w:rFonts w:ascii="Arial" w:eastAsia="Times New Roman" w:hAnsi="Arial" w:cs="Arial"/>
          <w:sz w:val="20"/>
          <w:szCs w:val="20"/>
        </w:rPr>
        <w:t xml:space="preserve">  </w:t>
      </w:r>
    </w:p>
    <w:p w14:paraId="4E632CBE"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xml:space="preserve"> - Investing in Index Futures</w:t>
      </w:r>
    </w:p>
    <w:p w14:paraId="4DB85C2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4B30F1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Substantially all of the Trust’s assets are invested in Index Futures. The Index Futures’ settlement value at expiration is based on the value of the S&amp;P GSCI</w:t>
      </w:r>
      <w:r>
        <w:rPr>
          <w:rFonts w:ascii="Arial" w:hAnsi="Arial" w:cs="Arial"/>
          <w:sz w:val="20"/>
          <w:szCs w:val="20"/>
        </w:rPr>
        <w:noBreakHyphen/>
        <w:t>ER at that time. Therefore, the value of the Trust will fluctuate based upon the value of the S&amp;P</w:t>
      </w:r>
      <w:r>
        <w:rPr>
          <w:rFonts w:ascii="Arial" w:hAnsi="Arial" w:cs="Arial"/>
          <w:sz w:val="20"/>
          <w:szCs w:val="20"/>
        </w:rPr>
        <w:t xml:space="preserve"> GSCI-ER and the prices of futures contracts and commodities underlying the S&amp;P GSCI-ER. The commodities markets have historically been extremely volatile. For the </w:t>
      </w:r>
      <w:r>
        <w:rPr>
          <w:rStyle w:val="a6"/>
          <w:rFonts w:ascii="Arial" w:hAnsi="Arial" w:cs="Arial"/>
          <w:sz w:val="20"/>
          <w:szCs w:val="20"/>
        </w:rPr>
        <w:t>six</w:t>
      </w:r>
      <w:r>
        <w:rPr>
          <w:rFonts w:ascii="Arial" w:hAnsi="Arial" w:cs="Arial"/>
          <w:sz w:val="20"/>
          <w:szCs w:val="20"/>
        </w:rPr>
        <w:t xml:space="preserve"> months ended </w:t>
      </w:r>
      <w:r>
        <w:rPr>
          <w:rStyle w:val="a6"/>
          <w:rFonts w:ascii="Arial" w:hAnsi="Arial" w:cs="Arial"/>
          <w:sz w:val="20"/>
          <w:szCs w:val="20"/>
        </w:rPr>
        <w:t xml:space="preserve">June 30, 2020 </w:t>
      </w:r>
      <w:r>
        <w:rPr>
          <w:rFonts w:ascii="Arial" w:hAnsi="Arial" w:cs="Arial"/>
          <w:sz w:val="20"/>
          <w:szCs w:val="20"/>
        </w:rPr>
        <w:t xml:space="preserve">and the year ended </w:t>
      </w:r>
      <w:r>
        <w:rPr>
          <w:rStyle w:val="a6"/>
          <w:rFonts w:ascii="Arial" w:hAnsi="Arial" w:cs="Arial"/>
          <w:sz w:val="20"/>
          <w:szCs w:val="20"/>
        </w:rPr>
        <w:t xml:space="preserve">December 31, 2019, </w:t>
      </w:r>
      <w:r>
        <w:rPr>
          <w:rFonts w:ascii="Arial" w:hAnsi="Arial" w:cs="Arial"/>
          <w:sz w:val="20"/>
          <w:szCs w:val="20"/>
        </w:rPr>
        <w:t>the average month-end n</w:t>
      </w:r>
      <w:r>
        <w:rPr>
          <w:rFonts w:ascii="Arial" w:hAnsi="Arial" w:cs="Arial"/>
          <w:sz w:val="20"/>
          <w:szCs w:val="20"/>
        </w:rPr>
        <w:t>otional amounts of open Index Futures were $615,128,927 and $960,422,151, respectively.</w:t>
      </w:r>
    </w:p>
    <w:p w14:paraId="5455D80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C4DE1C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liabilities as of </w:t>
      </w:r>
      <w:r>
        <w:rPr>
          <w:rStyle w:val="a6"/>
          <w:rFonts w:ascii="Arial" w:hAnsi="Arial" w:cs="Arial"/>
          <w:sz w:val="20"/>
          <w:szCs w:val="20"/>
        </w:rPr>
        <w:t>June 30,</w:t>
      </w:r>
      <w:r>
        <w:rPr>
          <w:rFonts w:ascii="Arial" w:hAnsi="Arial" w:cs="Arial"/>
          <w:sz w:val="20"/>
          <w:szCs w:val="20"/>
        </w:rPr>
        <w:t> </w:t>
      </w:r>
      <w:r>
        <w:rPr>
          <w:rStyle w:val="a6"/>
          <w:rFonts w:ascii="Arial" w:hAnsi="Arial" w:cs="Arial"/>
          <w:sz w:val="20"/>
          <w:szCs w:val="20"/>
        </w:rPr>
        <w:t>2020</w:t>
      </w:r>
      <w:r>
        <w:rPr>
          <w:rFonts w:ascii="Arial" w:hAnsi="Arial" w:cs="Arial"/>
          <w:sz w:val="20"/>
          <w:szCs w:val="20"/>
        </w:rPr>
        <w:t xml:space="preserve"> a</w:t>
      </w:r>
      <w:r>
        <w:rPr>
          <w:rFonts w:ascii="Arial" w:hAnsi="Arial" w:cs="Arial"/>
          <w:sz w:val="20"/>
          <w:szCs w:val="20"/>
        </w:rPr>
        <w:t xml:space="preserve">nd </w:t>
      </w:r>
      <w:r>
        <w:rPr>
          <w:rStyle w:val="a6"/>
          <w:rFonts w:ascii="Arial" w:hAnsi="Arial" w:cs="Arial"/>
          <w:sz w:val="20"/>
          <w:szCs w:val="20"/>
        </w:rPr>
        <w:t>December 31, 2019:</w:t>
      </w:r>
    </w:p>
    <w:p w14:paraId="52DC846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49"/>
        <w:gridCol w:w="186"/>
        <w:gridCol w:w="1237"/>
        <w:gridCol w:w="74"/>
        <w:gridCol w:w="112"/>
        <w:gridCol w:w="1237"/>
        <w:gridCol w:w="74"/>
        <w:gridCol w:w="1237"/>
        <w:gridCol w:w="75"/>
        <w:gridCol w:w="112"/>
        <w:gridCol w:w="1238"/>
        <w:gridCol w:w="75"/>
      </w:tblGrid>
      <w:tr w:rsidR="00000000" w14:paraId="763D7B73" w14:textId="77777777">
        <w:trPr>
          <w:tblCellSpacing w:w="0" w:type="dxa"/>
        </w:trPr>
        <w:tc>
          <w:tcPr>
            <w:tcW w:w="1600" w:type="pct"/>
            <w:vAlign w:val="bottom"/>
            <w:hideMark/>
          </w:tcPr>
          <w:p w14:paraId="70D1860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14:paraId="3110272B"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14:paraId="53BB6813"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Asset Derivatives</w:t>
            </w:r>
          </w:p>
        </w:tc>
        <w:tc>
          <w:tcPr>
            <w:tcW w:w="50" w:type="pct"/>
            <w:vAlign w:val="bottom"/>
            <w:hideMark/>
          </w:tcPr>
          <w:p w14:paraId="579477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75B44283"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vAlign w:val="bottom"/>
            <w:hideMark/>
          </w:tcPr>
          <w:p w14:paraId="1F6894F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14:paraId="0A27F831"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Liability Derivatives</w:t>
            </w:r>
          </w:p>
        </w:tc>
        <w:tc>
          <w:tcPr>
            <w:tcW w:w="50" w:type="pct"/>
            <w:vAlign w:val="bottom"/>
            <w:hideMark/>
          </w:tcPr>
          <w:p w14:paraId="3A691A3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D1F5C1C"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vAlign w:val="bottom"/>
            <w:hideMark/>
          </w:tcPr>
          <w:p w14:paraId="671D9DD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1B6EA57" w14:textId="77777777">
        <w:trPr>
          <w:tblCellSpacing w:w="0" w:type="dxa"/>
        </w:trPr>
        <w:tc>
          <w:tcPr>
            <w:tcW w:w="1600" w:type="pct"/>
            <w:shd w:val="clear" w:color="auto" w:fill="CCEEFF"/>
            <w:vAlign w:val="bottom"/>
            <w:hideMark/>
          </w:tcPr>
          <w:p w14:paraId="2FB5E104" w14:textId="77777777" w:rsidR="00000000" w:rsidRDefault="00016ED8">
            <w:pPr>
              <w:rPr>
                <w:rFonts w:ascii="Arial" w:eastAsia="Times New Roman" w:hAnsi="Arial" w:cs="Arial"/>
                <w:sz w:val="20"/>
                <w:szCs w:val="20"/>
              </w:rPr>
            </w:pPr>
            <w:r>
              <w:rPr>
                <w:rFonts w:ascii="Arial" w:eastAsia="Times New Roman" w:hAnsi="Arial" w:cs="Arial"/>
                <w:b/>
                <w:bCs/>
                <w:sz w:val="20"/>
                <w:szCs w:val="20"/>
                <w:u w:val="single"/>
              </w:rPr>
              <w:t>June 30, 2020</w:t>
            </w:r>
          </w:p>
        </w:tc>
        <w:tc>
          <w:tcPr>
            <w:tcW w:w="100" w:type="pct"/>
            <w:shd w:val="clear" w:color="auto" w:fill="CCEEFF"/>
            <w:vAlign w:val="bottom"/>
            <w:hideMark/>
          </w:tcPr>
          <w:p w14:paraId="6F86223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07DB173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17137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529EB0"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5F9E937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618CFC2C"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78B3150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3B713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73D8A6"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14:paraId="1F4B279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13A395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601C0493" w14:textId="77777777">
        <w:trPr>
          <w:tblCellSpacing w:w="0" w:type="dxa"/>
        </w:trPr>
        <w:tc>
          <w:tcPr>
            <w:tcW w:w="1600" w:type="pct"/>
            <w:shd w:val="clear" w:color="auto" w:fill="FFFFFF"/>
            <w:hideMark/>
          </w:tcPr>
          <w:p w14:paraId="7148F1BB" w14:textId="77777777" w:rsidR="00000000" w:rsidRDefault="00016ED8">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tcMar>
              <w:top w:w="0" w:type="dxa"/>
              <w:left w:w="180" w:type="dxa"/>
              <w:bottom w:w="0" w:type="dxa"/>
              <w:right w:w="0" w:type="dxa"/>
            </w:tcMar>
            <w:vAlign w:val="bottom"/>
            <w:hideMark/>
          </w:tcPr>
          <w:p w14:paraId="166E82E1" w14:textId="77777777" w:rsidR="00000000" w:rsidRDefault="00016ED8">
            <w:pPr>
              <w:ind w:hanging="180"/>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14:paraId="289FB39A" w14:textId="77777777" w:rsidR="00000000" w:rsidRDefault="00016ED8">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FFFFFF"/>
            <w:vAlign w:val="bottom"/>
            <w:hideMark/>
          </w:tcPr>
          <w:p w14:paraId="11B9E7D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FF4B1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13EF949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3,964,473</w:t>
            </w:r>
          </w:p>
        </w:tc>
        <w:tc>
          <w:tcPr>
            <w:tcW w:w="50" w:type="pct"/>
            <w:shd w:val="clear" w:color="auto" w:fill="FFFFFF"/>
            <w:vAlign w:val="bottom"/>
            <w:hideMark/>
          </w:tcPr>
          <w:p w14:paraId="6924D8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14:paraId="45907AF6" w14:textId="77777777" w:rsidR="00000000" w:rsidRDefault="00016ED8">
            <w:pPr>
              <w:ind w:hanging="180"/>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FFFFFF"/>
            <w:vAlign w:val="bottom"/>
            <w:hideMark/>
          </w:tcPr>
          <w:p w14:paraId="52C9F84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466528"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0CA36D3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4A103C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FEFFDE9" w14:textId="77777777">
        <w:trPr>
          <w:tblCellSpacing w:w="0" w:type="dxa"/>
        </w:trPr>
        <w:tc>
          <w:tcPr>
            <w:tcW w:w="1600" w:type="pct"/>
            <w:shd w:val="clear" w:color="auto" w:fill="CCEEFF"/>
            <w:vAlign w:val="bottom"/>
            <w:hideMark/>
          </w:tcPr>
          <w:p w14:paraId="2DE8564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45433B6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F4A0B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695B8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D99F7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1FC8101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1E3D7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7828C26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EB7419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75BF2A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4D79D93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68F3BA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62587A7" w14:textId="77777777">
        <w:trPr>
          <w:tblCellSpacing w:w="0" w:type="dxa"/>
        </w:trPr>
        <w:tc>
          <w:tcPr>
            <w:tcW w:w="1600" w:type="pct"/>
            <w:shd w:val="clear" w:color="auto" w:fill="FFFFFF"/>
            <w:vAlign w:val="bottom"/>
            <w:hideMark/>
          </w:tcPr>
          <w:p w14:paraId="44ECACBC" w14:textId="77777777" w:rsidR="00000000" w:rsidRDefault="00016ED8">
            <w:pPr>
              <w:rPr>
                <w:rFonts w:ascii="Arial" w:eastAsia="Times New Roman" w:hAnsi="Arial" w:cs="Arial"/>
                <w:sz w:val="20"/>
                <w:szCs w:val="20"/>
              </w:rPr>
            </w:pPr>
            <w:r>
              <w:rPr>
                <w:rFonts w:ascii="Arial" w:eastAsia="Times New Roman" w:hAnsi="Arial" w:cs="Arial"/>
                <w:b/>
                <w:bCs/>
                <w:sz w:val="20"/>
                <w:szCs w:val="20"/>
                <w:u w:val="single"/>
              </w:rPr>
              <w:t>December 31, 2019</w:t>
            </w:r>
          </w:p>
        </w:tc>
        <w:tc>
          <w:tcPr>
            <w:tcW w:w="100" w:type="pct"/>
            <w:shd w:val="clear" w:color="auto" w:fill="FFFFFF"/>
            <w:vAlign w:val="bottom"/>
            <w:hideMark/>
          </w:tcPr>
          <w:p w14:paraId="46AB81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14:paraId="3C812C5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8E5CF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A926B3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0E2903B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568137CF"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3646EB5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9BF856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6EAD78"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14:paraId="6801ACA2"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2348AD1A"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7DFA2FBC" w14:textId="77777777">
        <w:trPr>
          <w:tblCellSpacing w:w="0" w:type="dxa"/>
        </w:trPr>
        <w:tc>
          <w:tcPr>
            <w:tcW w:w="1600" w:type="pct"/>
            <w:shd w:val="clear" w:color="auto" w:fill="CCEEFF"/>
            <w:hideMark/>
          </w:tcPr>
          <w:p w14:paraId="58D1D6E7" w14:textId="77777777" w:rsidR="00000000" w:rsidRDefault="00016ED8">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CCEEFF"/>
            <w:tcMar>
              <w:top w:w="0" w:type="dxa"/>
              <w:left w:w="180" w:type="dxa"/>
              <w:bottom w:w="0" w:type="dxa"/>
              <w:right w:w="0" w:type="dxa"/>
            </w:tcMar>
            <w:vAlign w:val="bottom"/>
            <w:hideMark/>
          </w:tcPr>
          <w:p w14:paraId="052E2F78" w14:textId="77777777" w:rsidR="00000000" w:rsidRDefault="00016ED8">
            <w:pPr>
              <w:ind w:hanging="180"/>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14:paraId="57DFB003" w14:textId="77777777" w:rsidR="00000000" w:rsidRDefault="00016ED8">
            <w:pPr>
              <w:ind w:hanging="180"/>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CCEEFF"/>
            <w:vAlign w:val="bottom"/>
            <w:hideMark/>
          </w:tcPr>
          <w:p w14:paraId="3B703D6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EF875B"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14:paraId="0F28951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2EC3D7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14:paraId="5BFEDB37" w14:textId="77777777" w:rsidR="00000000" w:rsidRDefault="00016ED8">
            <w:pPr>
              <w:ind w:hanging="180"/>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CCEEFF"/>
            <w:vAlign w:val="bottom"/>
            <w:hideMark/>
          </w:tcPr>
          <w:p w14:paraId="5B2CB6C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D6CDC6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450AC7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14:paraId="15F548E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0206487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617D3B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w:t>
      </w:r>
      <w:r>
        <w:rPr>
          <w:rStyle w:val="a6"/>
          <w:rFonts w:ascii="Arial" w:hAnsi="Arial" w:cs="Arial"/>
          <w:sz w:val="20"/>
          <w:szCs w:val="20"/>
        </w:rPr>
        <w:t>three</w:t>
      </w:r>
      <w:r>
        <w:rPr>
          <w:rFonts w:ascii="Arial" w:hAnsi="Arial" w:cs="Arial"/>
          <w:sz w:val="20"/>
          <w:szCs w:val="20"/>
        </w:rPr>
        <w:t xml:space="preserve"> months and </w:t>
      </w:r>
      <w:r>
        <w:rPr>
          <w:rStyle w:val="a6"/>
          <w:rFonts w:ascii="Arial" w:hAnsi="Arial" w:cs="Arial"/>
          <w:sz w:val="20"/>
          <w:szCs w:val="20"/>
        </w:rPr>
        <w:t>six</w:t>
      </w:r>
      <w:r>
        <w:rPr>
          <w:rFonts w:ascii="Arial" w:hAnsi="Arial" w:cs="Arial"/>
          <w:sz w:val="20"/>
          <w:szCs w:val="20"/>
        </w:rPr>
        <w:t xml:space="preserve"> ended </w:t>
      </w:r>
      <w:r>
        <w:rPr>
          <w:rStyle w:val="a6"/>
          <w:rFonts w:ascii="Arial" w:hAnsi="Arial" w:cs="Arial"/>
          <w:sz w:val="20"/>
          <w:szCs w:val="20"/>
        </w:rPr>
        <w:t xml:space="preserve">June 30, 2020 </w:t>
      </w:r>
      <w:r>
        <w:rPr>
          <w:rFonts w:ascii="Arial" w:hAnsi="Arial" w:cs="Arial"/>
          <w:sz w:val="20"/>
          <w:szCs w:val="20"/>
        </w:rPr>
        <w:t xml:space="preserve">and </w:t>
      </w:r>
      <w:r>
        <w:rPr>
          <w:rStyle w:val="a6"/>
          <w:rFonts w:ascii="Arial" w:hAnsi="Arial" w:cs="Arial"/>
          <w:sz w:val="20"/>
          <w:szCs w:val="20"/>
        </w:rPr>
        <w:t>2019:</w:t>
      </w:r>
    </w:p>
    <w:p w14:paraId="1B226B2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8"/>
        <w:gridCol w:w="56"/>
        <w:gridCol w:w="2415"/>
        <w:gridCol w:w="56"/>
        <w:gridCol w:w="112"/>
        <w:gridCol w:w="1179"/>
        <w:gridCol w:w="67"/>
        <w:gridCol w:w="56"/>
        <w:gridCol w:w="119"/>
        <w:gridCol w:w="2371"/>
        <w:gridCol w:w="67"/>
      </w:tblGrid>
      <w:tr w:rsidR="00000000" w14:paraId="13EDE6C9" w14:textId="77777777">
        <w:trPr>
          <w:tblCellSpacing w:w="0" w:type="dxa"/>
        </w:trPr>
        <w:tc>
          <w:tcPr>
            <w:tcW w:w="1600" w:type="pct"/>
            <w:vAlign w:val="bottom"/>
            <w:hideMark/>
          </w:tcPr>
          <w:p w14:paraId="1274925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14:paraId="1D1E62F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14:paraId="31C7EF15"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r>
              <w:rPr>
                <w:rFonts w:ascii="Arial" w:hAnsi="Arial" w:cs="Arial"/>
                <w:b/>
                <w:bCs/>
                <w:sz w:val="20"/>
                <w:szCs w:val="20"/>
              </w:rPr>
              <w:br/>
              <w:t>Operations Location</w:t>
            </w:r>
          </w:p>
        </w:tc>
        <w:tc>
          <w:tcPr>
            <w:tcW w:w="50" w:type="pct"/>
            <w:vAlign w:val="bottom"/>
            <w:hideMark/>
          </w:tcPr>
          <w:p w14:paraId="5E2BBF6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4F5BF81D"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Realized </w:t>
            </w:r>
          </w:p>
          <w:p w14:paraId="164A54DE"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tcMar>
              <w:top w:w="0" w:type="dxa"/>
              <w:left w:w="0" w:type="dxa"/>
              <w:bottom w:w="15" w:type="dxa"/>
              <w:right w:w="0" w:type="dxa"/>
            </w:tcMar>
            <w:vAlign w:val="bottom"/>
            <w:hideMark/>
          </w:tcPr>
          <w:p w14:paraId="3CA6847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5B33BAF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6A978BDC"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r>
              <w:rPr>
                <w:rFonts w:ascii="Arial" w:hAnsi="Arial" w:cs="Arial"/>
                <w:b/>
                <w:bCs/>
                <w:sz w:val="20"/>
                <w:szCs w:val="20"/>
              </w:rPr>
              <w:br/>
              <w:t>Appreciation/Depreciation</w:t>
            </w:r>
          </w:p>
        </w:tc>
        <w:tc>
          <w:tcPr>
            <w:tcW w:w="50" w:type="pct"/>
            <w:tcMar>
              <w:top w:w="0" w:type="dxa"/>
              <w:left w:w="0" w:type="dxa"/>
              <w:bottom w:w="15" w:type="dxa"/>
              <w:right w:w="0" w:type="dxa"/>
            </w:tcMar>
            <w:vAlign w:val="bottom"/>
            <w:hideMark/>
          </w:tcPr>
          <w:p w14:paraId="52DD6EB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DC649B9" w14:textId="77777777">
        <w:trPr>
          <w:tblCellSpacing w:w="0" w:type="dxa"/>
        </w:trPr>
        <w:tc>
          <w:tcPr>
            <w:tcW w:w="1600" w:type="pct"/>
            <w:shd w:val="clear" w:color="auto" w:fill="CCEEFF"/>
            <w:vAlign w:val="bottom"/>
            <w:hideMark/>
          </w:tcPr>
          <w:p w14:paraId="28BB613F"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u w:val="single"/>
              </w:rPr>
              <w:t>Three Months Ended June 30, 2020</w:t>
            </w:r>
          </w:p>
        </w:tc>
        <w:tc>
          <w:tcPr>
            <w:tcW w:w="100" w:type="pct"/>
            <w:shd w:val="clear" w:color="auto" w:fill="CCEEFF"/>
            <w:vAlign w:val="bottom"/>
            <w:hideMark/>
          </w:tcPr>
          <w:p w14:paraId="378E788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6FB236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E1781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C9993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5707EB62"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65DDF9F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FCBAA7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3574504"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15FF5D42"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0A9664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52511CF2" w14:textId="77777777">
        <w:trPr>
          <w:tblCellSpacing w:w="0" w:type="dxa"/>
        </w:trPr>
        <w:tc>
          <w:tcPr>
            <w:tcW w:w="1600" w:type="pct"/>
            <w:shd w:val="clear" w:color="auto" w:fill="FFFFFF"/>
            <w:vAlign w:val="bottom"/>
            <w:hideMark/>
          </w:tcPr>
          <w:p w14:paraId="3B072F6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1DB3394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7FA9E422" w14:textId="77777777" w:rsidR="00000000" w:rsidRDefault="00016ED8">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14:paraId="33A1F02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686CF1F"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5CC4D8F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(82,733,584</w:t>
            </w:r>
          </w:p>
        </w:tc>
        <w:tc>
          <w:tcPr>
            <w:tcW w:w="50" w:type="pct"/>
            <w:shd w:val="clear" w:color="auto" w:fill="FFFFFF"/>
            <w:vAlign w:val="bottom"/>
            <w:hideMark/>
          </w:tcPr>
          <w:p w14:paraId="06C53E00"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7E8428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44D9F59"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30E6CC6F" w14:textId="77777777" w:rsidR="00000000" w:rsidRDefault="00016ED8">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213D938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311F4BB" w14:textId="77777777">
        <w:trPr>
          <w:tblCellSpacing w:w="0" w:type="dxa"/>
        </w:trPr>
        <w:tc>
          <w:tcPr>
            <w:tcW w:w="1600" w:type="pct"/>
            <w:shd w:val="clear" w:color="auto" w:fill="CCEEFF"/>
            <w:vAlign w:val="bottom"/>
            <w:hideMark/>
          </w:tcPr>
          <w:p w14:paraId="0CD062A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316497D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7B22461B" w14:textId="77777777" w:rsidR="00000000" w:rsidRDefault="00016ED8">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14:paraId="6CE877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447AC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726BDB2" w14:textId="77777777" w:rsidR="00000000" w:rsidRDefault="00016ED8">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64481F3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DE3759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2353E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1855F51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141,549,159</w:t>
            </w:r>
          </w:p>
        </w:tc>
        <w:tc>
          <w:tcPr>
            <w:tcW w:w="50" w:type="pct"/>
            <w:shd w:val="clear" w:color="auto" w:fill="CCEEFF"/>
            <w:vAlign w:val="bottom"/>
            <w:hideMark/>
          </w:tcPr>
          <w:p w14:paraId="34A96EF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0CAA3E9" w14:textId="77777777">
        <w:trPr>
          <w:tblCellSpacing w:w="0" w:type="dxa"/>
        </w:trPr>
        <w:tc>
          <w:tcPr>
            <w:tcW w:w="1600" w:type="pct"/>
            <w:shd w:val="clear" w:color="auto" w:fill="FFFFFF"/>
            <w:vAlign w:val="bottom"/>
            <w:hideMark/>
          </w:tcPr>
          <w:p w14:paraId="42E69A5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23BB4DA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639FB26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08CCB8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467C76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0C5A062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4AAC09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5AAA4A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7B636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2EA20E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0EB1E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24150B9" w14:textId="77777777">
        <w:trPr>
          <w:tblCellSpacing w:w="0" w:type="dxa"/>
        </w:trPr>
        <w:tc>
          <w:tcPr>
            <w:tcW w:w="1600" w:type="pct"/>
            <w:shd w:val="clear" w:color="auto" w:fill="CCEEFF"/>
            <w:vAlign w:val="bottom"/>
            <w:hideMark/>
          </w:tcPr>
          <w:p w14:paraId="38FEEAB3"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u w:val="single"/>
              </w:rPr>
              <w:t>Three Months Ended June 30, 201</w:t>
            </w:r>
            <w:r>
              <w:rPr>
                <w:rFonts w:ascii="Arial" w:hAnsi="Arial" w:cs="Arial"/>
                <w:b/>
                <w:bCs/>
                <w:sz w:val="20"/>
                <w:szCs w:val="20"/>
              </w:rPr>
              <w:t>9</w:t>
            </w:r>
          </w:p>
        </w:tc>
        <w:tc>
          <w:tcPr>
            <w:tcW w:w="100" w:type="pct"/>
            <w:shd w:val="clear" w:color="auto" w:fill="CCEEFF"/>
            <w:vAlign w:val="bottom"/>
            <w:hideMark/>
          </w:tcPr>
          <w:p w14:paraId="267EB2B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6599E5B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C0ED79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721047"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72E74BC2"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E5234C2"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2BEC3E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6D5A92"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7D383F9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1ED938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6CC603E2" w14:textId="77777777">
        <w:trPr>
          <w:tblCellSpacing w:w="0" w:type="dxa"/>
        </w:trPr>
        <w:tc>
          <w:tcPr>
            <w:tcW w:w="1600" w:type="pct"/>
            <w:shd w:val="clear" w:color="auto" w:fill="FFFFFF"/>
            <w:vAlign w:val="bottom"/>
            <w:hideMark/>
          </w:tcPr>
          <w:p w14:paraId="5EC2A95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6CE74A2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00152C1E" w14:textId="77777777" w:rsidR="00000000" w:rsidRDefault="00016ED8">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14:paraId="474A1BF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11ECA5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154622C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(12,341,801</w:t>
            </w:r>
          </w:p>
        </w:tc>
        <w:tc>
          <w:tcPr>
            <w:tcW w:w="50" w:type="pct"/>
            <w:shd w:val="clear" w:color="auto" w:fill="FFFFFF"/>
            <w:vAlign w:val="bottom"/>
            <w:hideMark/>
          </w:tcPr>
          <w:p w14:paraId="3EB13A0F"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00D29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40D59FD"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0F41F4F0" w14:textId="77777777" w:rsidR="00000000" w:rsidRDefault="00016ED8">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705E4D3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5F4BD5B" w14:textId="77777777">
        <w:trPr>
          <w:tblCellSpacing w:w="0" w:type="dxa"/>
        </w:trPr>
        <w:tc>
          <w:tcPr>
            <w:tcW w:w="1600" w:type="pct"/>
            <w:shd w:val="clear" w:color="auto" w:fill="CCEEFF"/>
            <w:vAlign w:val="bottom"/>
            <w:hideMark/>
          </w:tcPr>
          <w:p w14:paraId="038FF68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44F081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9923B3C" w14:textId="77777777" w:rsidR="00000000" w:rsidRDefault="00016ED8">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14:paraId="59F7634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A7BB7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77D05C16" w14:textId="77777777" w:rsidR="00000000" w:rsidRDefault="00016ED8">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0F69A23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28204C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0FF3C5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4ABA7F7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(7,677,541</w:t>
            </w:r>
          </w:p>
        </w:tc>
        <w:tc>
          <w:tcPr>
            <w:tcW w:w="50" w:type="pct"/>
            <w:shd w:val="clear" w:color="auto" w:fill="CCEEFF"/>
            <w:vAlign w:val="bottom"/>
            <w:hideMark/>
          </w:tcPr>
          <w:p w14:paraId="6FB9CCD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42DE91A0" w14:textId="77777777">
        <w:trPr>
          <w:tblCellSpacing w:w="0" w:type="dxa"/>
        </w:trPr>
        <w:tc>
          <w:tcPr>
            <w:tcW w:w="1600" w:type="pct"/>
            <w:shd w:val="clear" w:color="auto" w:fill="FFFFFF"/>
            <w:vAlign w:val="bottom"/>
            <w:hideMark/>
          </w:tcPr>
          <w:p w14:paraId="59113721"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u w:val="single"/>
              </w:rPr>
              <w:t>Six Months Ended June 30, 20</w:t>
            </w:r>
            <w:r>
              <w:rPr>
                <w:rFonts w:ascii="Arial" w:hAnsi="Arial" w:cs="Arial"/>
                <w:b/>
                <w:bCs/>
                <w:sz w:val="20"/>
                <w:szCs w:val="20"/>
              </w:rPr>
              <w:t>20</w:t>
            </w:r>
          </w:p>
        </w:tc>
        <w:tc>
          <w:tcPr>
            <w:tcW w:w="100" w:type="pct"/>
            <w:shd w:val="clear" w:color="auto" w:fill="FFFFFF"/>
            <w:vAlign w:val="bottom"/>
            <w:hideMark/>
          </w:tcPr>
          <w:p w14:paraId="047CDC7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45233F5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440B7B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1D54856"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FFFFFF"/>
            <w:vAlign w:val="bottom"/>
            <w:hideMark/>
          </w:tcPr>
          <w:p w14:paraId="1E450F7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5A701F2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1A68E95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5CCD9A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FFFFFF"/>
            <w:vAlign w:val="bottom"/>
            <w:hideMark/>
          </w:tcPr>
          <w:p w14:paraId="5EC742E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1D5E39D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2E226B62" w14:textId="77777777">
        <w:trPr>
          <w:tblCellSpacing w:w="0" w:type="dxa"/>
        </w:trPr>
        <w:tc>
          <w:tcPr>
            <w:tcW w:w="1600" w:type="pct"/>
            <w:shd w:val="clear" w:color="auto" w:fill="CCEEFF"/>
            <w:vAlign w:val="bottom"/>
            <w:hideMark/>
          </w:tcPr>
          <w:p w14:paraId="6F8585C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CCEEFF"/>
            <w:vAlign w:val="bottom"/>
            <w:hideMark/>
          </w:tcPr>
          <w:p w14:paraId="70694D1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12C0A2F6" w14:textId="77777777" w:rsidR="00000000" w:rsidRDefault="00016ED8">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CCEEFF"/>
            <w:vAlign w:val="bottom"/>
            <w:hideMark/>
          </w:tcPr>
          <w:p w14:paraId="0338853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5B849F"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14:paraId="13FB81F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(306,932,849</w:t>
            </w:r>
          </w:p>
        </w:tc>
        <w:tc>
          <w:tcPr>
            <w:tcW w:w="50" w:type="pct"/>
            <w:shd w:val="clear" w:color="auto" w:fill="CCEEFF"/>
            <w:vAlign w:val="bottom"/>
            <w:hideMark/>
          </w:tcPr>
          <w:p w14:paraId="32B67032"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BFB0B3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EA7A7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CCEEFF"/>
            <w:vAlign w:val="bottom"/>
            <w:hideMark/>
          </w:tcPr>
          <w:p w14:paraId="26695BF6" w14:textId="77777777" w:rsidR="00000000" w:rsidRDefault="00016ED8">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32F9A45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CCD52E4" w14:textId="77777777">
        <w:trPr>
          <w:tblCellSpacing w:w="0" w:type="dxa"/>
        </w:trPr>
        <w:tc>
          <w:tcPr>
            <w:tcW w:w="1600" w:type="pct"/>
            <w:shd w:val="clear" w:color="auto" w:fill="FFFFFF"/>
            <w:vAlign w:val="bottom"/>
            <w:hideMark/>
          </w:tcPr>
          <w:p w14:paraId="797E56E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14:paraId="7ED8E6F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6222302E" w14:textId="77777777" w:rsidR="00000000" w:rsidRDefault="00016ED8">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FFFFFF"/>
            <w:vAlign w:val="bottom"/>
            <w:hideMark/>
          </w:tcPr>
          <w:p w14:paraId="549F3E6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2B0D7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1AB0E367" w14:textId="77777777" w:rsidR="00000000" w:rsidRDefault="00016ED8">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0F10B76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F5944E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EB56B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40ED94F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(4,043,305</w:t>
            </w:r>
          </w:p>
        </w:tc>
        <w:tc>
          <w:tcPr>
            <w:tcW w:w="50" w:type="pct"/>
            <w:shd w:val="clear" w:color="auto" w:fill="FFFFFF"/>
            <w:vAlign w:val="bottom"/>
            <w:hideMark/>
          </w:tcPr>
          <w:p w14:paraId="75788D30"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r>
      <w:tr w:rsidR="00000000" w14:paraId="66165EE3" w14:textId="77777777">
        <w:trPr>
          <w:tblCellSpacing w:w="0" w:type="dxa"/>
        </w:trPr>
        <w:tc>
          <w:tcPr>
            <w:tcW w:w="1600" w:type="pct"/>
            <w:shd w:val="clear" w:color="auto" w:fill="CCEEFF"/>
            <w:vAlign w:val="bottom"/>
            <w:hideMark/>
          </w:tcPr>
          <w:p w14:paraId="5BF1B065"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u w:val="single"/>
              </w:rPr>
              <w:t>Six Months Ended June 30, 201</w:t>
            </w:r>
            <w:r>
              <w:rPr>
                <w:rFonts w:ascii="Arial" w:hAnsi="Arial" w:cs="Arial"/>
                <w:b/>
                <w:bCs/>
                <w:sz w:val="20"/>
                <w:szCs w:val="20"/>
              </w:rPr>
              <w:t>9</w:t>
            </w:r>
          </w:p>
        </w:tc>
        <w:tc>
          <w:tcPr>
            <w:tcW w:w="100" w:type="pct"/>
            <w:shd w:val="clear" w:color="auto" w:fill="CCEEFF"/>
            <w:vAlign w:val="bottom"/>
            <w:hideMark/>
          </w:tcPr>
          <w:p w14:paraId="6208FC0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0DB9F45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DE4B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7F0F43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31D6471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472E88C"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4750018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3565FA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03A0161C"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F7CE97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43628334" w14:textId="77777777">
        <w:trPr>
          <w:tblCellSpacing w:w="0" w:type="dxa"/>
        </w:trPr>
        <w:tc>
          <w:tcPr>
            <w:tcW w:w="1600" w:type="pct"/>
            <w:shd w:val="clear" w:color="auto" w:fill="FFFFFF"/>
            <w:vAlign w:val="bottom"/>
            <w:hideMark/>
          </w:tcPr>
          <w:p w14:paraId="03431BA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14:paraId="4089CDA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01A39202" w14:textId="77777777" w:rsidR="00000000" w:rsidRDefault="00016ED8">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realized gain (loss) from futures contracts</w:t>
            </w:r>
          </w:p>
        </w:tc>
        <w:tc>
          <w:tcPr>
            <w:tcW w:w="50" w:type="pct"/>
            <w:shd w:val="clear" w:color="auto" w:fill="FFFFFF"/>
            <w:vAlign w:val="bottom"/>
            <w:hideMark/>
          </w:tcPr>
          <w:p w14:paraId="7B2517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8FF27CD"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4FA6CBF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(10,416,570</w:t>
            </w:r>
          </w:p>
        </w:tc>
        <w:tc>
          <w:tcPr>
            <w:tcW w:w="50" w:type="pct"/>
            <w:shd w:val="clear" w:color="auto" w:fill="FFFFFF"/>
            <w:vAlign w:val="bottom"/>
            <w:hideMark/>
          </w:tcPr>
          <w:p w14:paraId="4CECDE6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61C534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7B2D5E7"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14:paraId="22C4F156" w14:textId="77777777" w:rsidR="00000000" w:rsidRDefault="00016ED8">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786B31C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4C99D61" w14:textId="77777777">
        <w:trPr>
          <w:tblCellSpacing w:w="0" w:type="dxa"/>
        </w:trPr>
        <w:tc>
          <w:tcPr>
            <w:tcW w:w="1600" w:type="pct"/>
            <w:shd w:val="clear" w:color="auto" w:fill="CCEEFF"/>
            <w:vAlign w:val="bottom"/>
            <w:hideMark/>
          </w:tcPr>
          <w:p w14:paraId="355033F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14:paraId="60E5540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58D67D11" w14:textId="77777777" w:rsidR="00000000" w:rsidRDefault="00016ED8">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Net change in unrealized appreciation/depreciation on futures contracts</w:t>
            </w:r>
          </w:p>
        </w:tc>
        <w:tc>
          <w:tcPr>
            <w:tcW w:w="50" w:type="pct"/>
            <w:shd w:val="clear" w:color="auto" w:fill="CCEEFF"/>
            <w:vAlign w:val="bottom"/>
            <w:hideMark/>
          </w:tcPr>
          <w:p w14:paraId="3788E92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65D0F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4F0F66DB" w14:textId="77777777" w:rsidR="00000000" w:rsidRDefault="00016ED8">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1CE9BD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E1588B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B2BC20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48C0758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156,080,822</w:t>
            </w:r>
          </w:p>
        </w:tc>
        <w:tc>
          <w:tcPr>
            <w:tcW w:w="50" w:type="pct"/>
            <w:shd w:val="clear" w:color="auto" w:fill="CCEEFF"/>
            <w:vAlign w:val="bottom"/>
            <w:hideMark/>
          </w:tcPr>
          <w:p w14:paraId="1A6A22E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75A78B8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7A156B2" w14:textId="77777777" w:rsidR="00000000" w:rsidRDefault="00016ED8">
      <w:pPr>
        <w:jc w:val="center"/>
        <w:divId w:val="403375943"/>
        <w:rPr>
          <w:rFonts w:ascii="Arial" w:eastAsia="Times New Roman" w:hAnsi="Arial" w:cs="Arial"/>
          <w:sz w:val="20"/>
          <w:szCs w:val="20"/>
        </w:rPr>
      </w:pPr>
      <w:r>
        <w:rPr>
          <w:rStyle w:val="a6"/>
          <w:rFonts w:ascii="Arial" w:eastAsia="Times New Roman" w:hAnsi="Arial" w:cs="Arial"/>
          <w:sz w:val="20"/>
          <w:szCs w:val="20"/>
        </w:rPr>
        <w:t>10</w:t>
      </w:r>
      <w:r>
        <w:rPr>
          <w:rFonts w:ascii="Arial" w:eastAsia="Times New Roman" w:hAnsi="Arial" w:cs="Arial"/>
          <w:sz w:val="20"/>
          <w:szCs w:val="20"/>
        </w:rPr>
        <w:t xml:space="preserve"> </w:t>
      </w:r>
    </w:p>
    <w:p w14:paraId="4387C69A"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2E628C5B">
          <v:rect id="_x0000_i1051" style="width:0;height:1.5pt" o:hralign="center" o:hrstd="t" o:hr="t" fillcolor="#a0a0a0" stroked="f"/>
        </w:pict>
      </w:r>
    </w:p>
    <w:p w14:paraId="4ADAD6EA" w14:textId="77777777" w:rsidR="00000000" w:rsidRDefault="00016ED8">
      <w:pPr>
        <w:divId w:val="103003140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873A81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8049FCD" w14:textId="77777777" w:rsidR="00000000" w:rsidRDefault="00016ED8">
      <w:pPr>
        <w:divId w:val="1511334066"/>
        <w:rPr>
          <w:rFonts w:ascii="Arial" w:eastAsia="Times New Roman" w:hAnsi="Arial" w:cs="Arial"/>
          <w:sz w:val="20"/>
          <w:szCs w:val="20"/>
        </w:rPr>
      </w:pPr>
      <w:r>
        <w:rPr>
          <w:rFonts w:ascii="Arial" w:eastAsia="Times New Roman" w:hAnsi="Arial" w:cs="Arial"/>
          <w:sz w:val="20"/>
          <w:szCs w:val="20"/>
        </w:rPr>
        <w:t xml:space="preserve">  </w:t>
      </w:r>
    </w:p>
    <w:p w14:paraId="0473315A" w14:textId="77777777" w:rsidR="00000000" w:rsidRDefault="00016ED8">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xml:space="preserve"> - Investment Valuation</w:t>
      </w:r>
    </w:p>
    <w:p w14:paraId="5238EDCF"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6D080D2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defines fair value as the price the Trust would receive to sell an asset or pay to transfer a liability in an orderly transaction between market participants at the measurement date. The Trust’s policy is to value its investments at fair value.</w:t>
      </w:r>
    </w:p>
    <w:p w14:paraId="68EE04D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E3C53E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Investm</w:t>
      </w:r>
      <w:r>
        <w:rPr>
          <w:rFonts w:ascii="Arial" w:hAnsi="Arial" w:cs="Arial"/>
          <w:sz w:val="20"/>
          <w:szCs w:val="20"/>
        </w:rPr>
        <w:t xml:space="preserve">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a Business Day, the</w:t>
      </w:r>
      <w:r>
        <w:rPr>
          <w:rFonts w:ascii="Arial" w:hAnsi="Arial" w:cs="Arial"/>
          <w:sz w:val="20"/>
          <w:szCs w:val="20"/>
        </w:rPr>
        <w:t xml:space="preserve"> Trustee uses the most recently announced settlement price unless the Trustee, in consultation with the Sponsor, determines that such price is inappropriate as a basis for valuation. </w:t>
      </w:r>
    </w:p>
    <w:p w14:paraId="3B6B3CF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C0F12E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available bid price receive</w:t>
      </w:r>
      <w:r>
        <w:rPr>
          <w:rFonts w:ascii="Arial" w:hAnsi="Arial" w:cs="Arial"/>
          <w:sz w:val="20"/>
          <w:szCs w:val="20"/>
        </w:rPr>
        <w:t xml:space="preserve">d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 such investments, quotations from dealers, pricing matrixes, market transactions in com</w:t>
      </w:r>
      <w:r>
        <w:rPr>
          <w:rFonts w:ascii="Arial" w:hAnsi="Arial" w:cs="Arial"/>
          <w:sz w:val="20"/>
          <w:szCs w:val="20"/>
        </w:rPr>
        <w:t>parable investments, various relationships observed in the market between investments and calculated yield measures.</w:t>
      </w:r>
    </w:p>
    <w:p w14:paraId="0955A1E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5300CC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value of financial instruments. Inputs </w:t>
      </w:r>
      <w:r>
        <w:rPr>
          <w:rStyle w:val="a6"/>
          <w:rFonts w:ascii="Arial" w:hAnsi="Arial" w:cs="Arial"/>
          <w:sz w:val="20"/>
          <w:szCs w:val="20"/>
        </w:rPr>
        <w:t xml:space="preserve">may </w:t>
      </w:r>
      <w:r>
        <w:rPr>
          <w:rFonts w:ascii="Arial" w:hAnsi="Arial" w:cs="Arial"/>
          <w:sz w:val="20"/>
          <w:szCs w:val="20"/>
        </w:rPr>
        <w:t>be based on independent market data (“observab</w:t>
      </w:r>
      <w:r>
        <w:rPr>
          <w:rFonts w:ascii="Arial" w:hAnsi="Arial" w:cs="Arial"/>
          <w:sz w:val="20"/>
          <w:szCs w:val="20"/>
        </w:rPr>
        <w:t xml:space="preserve">le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financial reporting purposes. The level of a value determined for a financial instrument </w:t>
      </w:r>
      <w:r>
        <w:rPr>
          <w:rFonts w:ascii="Arial" w:hAnsi="Arial" w:cs="Arial"/>
          <w:sz w:val="20"/>
          <w:szCs w:val="20"/>
        </w:rPr>
        <w:t xml:space="preserve">within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fair value hierarchy are as follows:</w:t>
      </w:r>
    </w:p>
    <w:p w14:paraId="0F67188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188FE9C5" w14:textId="77777777">
        <w:trPr>
          <w:tblCellSpacing w:w="0" w:type="dxa"/>
        </w:trPr>
        <w:tc>
          <w:tcPr>
            <w:tcW w:w="540" w:type="dxa"/>
            <w:hideMark/>
          </w:tcPr>
          <w:p w14:paraId="012555B5" w14:textId="77777777" w:rsidR="00000000" w:rsidRDefault="00016ED8">
            <w:pPr>
              <w:rPr>
                <w:rFonts w:eastAsia="Times New Roman"/>
              </w:rPr>
            </w:pPr>
            <w:r>
              <w:rPr>
                <w:rFonts w:eastAsia="Times New Roman"/>
              </w:rPr>
              <w:t> </w:t>
            </w:r>
          </w:p>
        </w:tc>
        <w:tc>
          <w:tcPr>
            <w:tcW w:w="900" w:type="dxa"/>
            <w:hideMark/>
          </w:tcPr>
          <w:p w14:paraId="10559FA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w:t>
            </w:r>
          </w:p>
        </w:tc>
        <w:tc>
          <w:tcPr>
            <w:tcW w:w="0" w:type="auto"/>
            <w:hideMark/>
          </w:tcPr>
          <w:p w14:paraId="3FD990A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 marke</w:t>
            </w:r>
            <w:r>
              <w:rPr>
                <w:rFonts w:ascii="Arial" w:hAnsi="Arial" w:cs="Arial"/>
                <w:sz w:val="20"/>
                <w:szCs w:val="20"/>
              </w:rPr>
              <w:t>ts for identical assets or liabilities</w:t>
            </w:r>
            <w:r>
              <w:rPr>
                <w:rFonts w:ascii="Arial" w:hAnsi="Arial" w:cs="Arial"/>
                <w:sz w:val="20"/>
                <w:szCs w:val="20"/>
              </w:rPr>
              <w:t>;</w:t>
            </w:r>
          </w:p>
        </w:tc>
      </w:tr>
    </w:tbl>
    <w:p w14:paraId="6407ED1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78401BD8" w14:textId="77777777">
        <w:trPr>
          <w:tblCellSpacing w:w="0" w:type="dxa"/>
        </w:trPr>
        <w:tc>
          <w:tcPr>
            <w:tcW w:w="540" w:type="dxa"/>
            <w:hideMark/>
          </w:tcPr>
          <w:p w14:paraId="1F1FE3AD" w14:textId="77777777" w:rsidR="00000000" w:rsidRDefault="00016ED8">
            <w:pPr>
              <w:rPr>
                <w:rFonts w:eastAsia="Times New Roman"/>
              </w:rPr>
            </w:pPr>
            <w:r>
              <w:rPr>
                <w:rFonts w:eastAsia="Times New Roman"/>
              </w:rPr>
              <w:t> </w:t>
            </w:r>
          </w:p>
        </w:tc>
        <w:tc>
          <w:tcPr>
            <w:tcW w:w="900" w:type="dxa"/>
            <w:hideMark/>
          </w:tcPr>
          <w:p w14:paraId="256E268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w:t>
            </w:r>
          </w:p>
        </w:tc>
        <w:tc>
          <w:tcPr>
            <w:tcW w:w="0" w:type="auto"/>
            <w:hideMark/>
          </w:tcPr>
          <w:p w14:paraId="0DC9229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Inputs other than quoted prices included within Level </w:t>
            </w:r>
            <w:r>
              <w:rPr>
                <w:rStyle w:val="a6"/>
                <w:rFonts w:ascii="Arial" w:hAnsi="Arial" w:cs="Arial"/>
                <w:sz w:val="20"/>
                <w:szCs w:val="20"/>
              </w:rPr>
              <w:t>1</w:t>
            </w:r>
            <w:r>
              <w:rPr>
                <w:rFonts w:ascii="Arial" w:hAnsi="Arial" w:cs="Arial"/>
                <w:sz w:val="20"/>
                <w:szCs w:val="20"/>
              </w:rPr>
              <w:t xml:space="preserve"> that are observable for the asset or liability either directly or indirectly, including quoted prices for similar assets or liabilities in active</w:t>
            </w:r>
            <w:r>
              <w:rPr>
                <w:rFonts w:ascii="Arial" w:hAnsi="Arial" w:cs="Arial"/>
                <w:sz w:val="20"/>
                <w:szCs w:val="20"/>
              </w:rPr>
              <w:t xml:space="preserve"> 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inputs other than quoted prices that are observable for the asset or liability, and inputs that are derived principally from or corrobor</w:t>
            </w:r>
            <w:r>
              <w:rPr>
                <w:rFonts w:ascii="Arial" w:hAnsi="Arial" w:cs="Arial"/>
                <w:sz w:val="20"/>
                <w:szCs w:val="20"/>
              </w:rPr>
              <w:t>ated by observable market data by correlation or other means</w:t>
            </w:r>
            <w:r>
              <w:rPr>
                <w:rFonts w:ascii="Arial" w:hAnsi="Arial" w:cs="Arial"/>
                <w:sz w:val="20"/>
                <w:szCs w:val="20"/>
              </w:rPr>
              <w:t>;</w:t>
            </w:r>
            <w:r>
              <w:rPr>
                <w:rFonts w:ascii="Arial" w:hAnsi="Arial" w:cs="Arial"/>
                <w:sz w:val="20"/>
                <w:szCs w:val="20"/>
              </w:rPr>
              <w:t xml:space="preserve"> and</w:t>
            </w:r>
          </w:p>
        </w:tc>
      </w:tr>
    </w:tbl>
    <w:p w14:paraId="4E79216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14:paraId="626523CE" w14:textId="77777777">
        <w:trPr>
          <w:tblCellSpacing w:w="0" w:type="dxa"/>
        </w:trPr>
        <w:tc>
          <w:tcPr>
            <w:tcW w:w="540" w:type="dxa"/>
            <w:hideMark/>
          </w:tcPr>
          <w:p w14:paraId="18028671" w14:textId="77777777" w:rsidR="00000000" w:rsidRDefault="00016ED8">
            <w:pPr>
              <w:rPr>
                <w:rFonts w:eastAsia="Times New Roman"/>
              </w:rPr>
            </w:pPr>
            <w:r>
              <w:rPr>
                <w:rFonts w:eastAsia="Times New Roman"/>
              </w:rPr>
              <w:t> </w:t>
            </w:r>
          </w:p>
        </w:tc>
        <w:tc>
          <w:tcPr>
            <w:tcW w:w="900" w:type="dxa"/>
            <w:hideMark/>
          </w:tcPr>
          <w:p w14:paraId="33EC6EB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w:t>
            </w:r>
          </w:p>
        </w:tc>
        <w:tc>
          <w:tcPr>
            <w:tcW w:w="0" w:type="auto"/>
            <w:hideMark/>
          </w:tcPr>
          <w:p w14:paraId="1060889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value of investments.</w:t>
            </w:r>
          </w:p>
        </w:tc>
      </w:tr>
    </w:tbl>
    <w:p w14:paraId="5D1B87F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43B679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w:t>
      </w:r>
      <w:r>
        <w:rPr>
          <w:rFonts w:ascii="Arial" w:hAnsi="Arial" w:cs="Arial"/>
          <w:sz w:val="20"/>
          <w:szCs w:val="20"/>
        </w:rPr>
        <w:t>et asset value and the prices used by the Trust’s underlying index, which in turn could result in a difference between the Trust’s performance and the performance of the Trust’s underlying index.</w:t>
      </w:r>
    </w:p>
    <w:p w14:paraId="7602F94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B2213A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value of each of the Tr</w:t>
      </w:r>
      <w:r>
        <w:rPr>
          <w:rFonts w:ascii="Arial" w:hAnsi="Arial" w:cs="Arial"/>
          <w:sz w:val="20"/>
          <w:szCs w:val="20"/>
        </w:rPr>
        <w:t xml:space="preserve">ust’s investments by the fair value hierarchy levels as of </w:t>
      </w:r>
      <w:r>
        <w:rPr>
          <w:rStyle w:val="a6"/>
          <w:rFonts w:ascii="Arial" w:hAnsi="Arial" w:cs="Arial"/>
          <w:sz w:val="20"/>
          <w:szCs w:val="20"/>
        </w:rPr>
        <w:t xml:space="preserve">June 30, 2020 </w:t>
      </w:r>
      <w:r>
        <w:rPr>
          <w:rFonts w:ascii="Arial" w:hAnsi="Arial" w:cs="Arial"/>
          <w:sz w:val="20"/>
          <w:szCs w:val="20"/>
        </w:rPr>
        <w:t xml:space="preserve">and </w:t>
      </w:r>
      <w:r>
        <w:rPr>
          <w:rStyle w:val="a6"/>
          <w:rFonts w:ascii="Arial" w:hAnsi="Arial" w:cs="Arial"/>
          <w:sz w:val="20"/>
          <w:szCs w:val="20"/>
        </w:rPr>
        <w:t>December 31, 2019:</w:t>
      </w:r>
    </w:p>
    <w:p w14:paraId="1559A97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17"/>
        <w:gridCol w:w="56"/>
        <w:gridCol w:w="112"/>
        <w:gridCol w:w="1001"/>
        <w:gridCol w:w="56"/>
        <w:gridCol w:w="56"/>
        <w:gridCol w:w="112"/>
        <w:gridCol w:w="1113"/>
        <w:gridCol w:w="56"/>
        <w:gridCol w:w="56"/>
        <w:gridCol w:w="113"/>
        <w:gridCol w:w="465"/>
        <w:gridCol w:w="56"/>
        <w:gridCol w:w="56"/>
        <w:gridCol w:w="112"/>
        <w:gridCol w:w="1113"/>
        <w:gridCol w:w="56"/>
      </w:tblGrid>
      <w:tr w:rsidR="00000000" w14:paraId="12509F75" w14:textId="77777777">
        <w:trPr>
          <w:tblCellSpacing w:w="0" w:type="dxa"/>
        </w:trPr>
        <w:tc>
          <w:tcPr>
            <w:tcW w:w="0" w:type="auto"/>
            <w:vAlign w:val="bottom"/>
            <w:hideMark/>
          </w:tcPr>
          <w:p w14:paraId="2BC811E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564920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E43FE92"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Level 1</w:t>
            </w:r>
          </w:p>
        </w:tc>
        <w:tc>
          <w:tcPr>
            <w:tcW w:w="0" w:type="auto"/>
            <w:tcMar>
              <w:top w:w="0" w:type="dxa"/>
              <w:left w:w="0" w:type="dxa"/>
              <w:bottom w:w="15" w:type="dxa"/>
              <w:right w:w="0" w:type="dxa"/>
            </w:tcMar>
            <w:vAlign w:val="bottom"/>
            <w:hideMark/>
          </w:tcPr>
          <w:p w14:paraId="418A1EE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AD1358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70038B0"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Level 2</w:t>
            </w:r>
          </w:p>
        </w:tc>
        <w:tc>
          <w:tcPr>
            <w:tcW w:w="0" w:type="auto"/>
            <w:tcMar>
              <w:top w:w="0" w:type="dxa"/>
              <w:left w:w="0" w:type="dxa"/>
              <w:bottom w:w="15" w:type="dxa"/>
              <w:right w:w="0" w:type="dxa"/>
            </w:tcMar>
            <w:vAlign w:val="bottom"/>
            <w:hideMark/>
          </w:tcPr>
          <w:p w14:paraId="5E8BA97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EF0A82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1708270"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Level 3</w:t>
            </w:r>
          </w:p>
        </w:tc>
        <w:tc>
          <w:tcPr>
            <w:tcW w:w="0" w:type="auto"/>
            <w:tcMar>
              <w:top w:w="0" w:type="dxa"/>
              <w:left w:w="0" w:type="dxa"/>
              <w:bottom w:w="15" w:type="dxa"/>
              <w:right w:w="0" w:type="dxa"/>
            </w:tcMar>
            <w:vAlign w:val="bottom"/>
            <w:hideMark/>
          </w:tcPr>
          <w:p w14:paraId="3448F674"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vAlign w:val="bottom"/>
            <w:hideMark/>
          </w:tcPr>
          <w:p w14:paraId="6E238BF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4BD7C0A"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Total</w:t>
            </w:r>
          </w:p>
        </w:tc>
        <w:tc>
          <w:tcPr>
            <w:tcW w:w="0" w:type="auto"/>
            <w:tcMar>
              <w:top w:w="0" w:type="dxa"/>
              <w:left w:w="0" w:type="dxa"/>
              <w:bottom w:w="15" w:type="dxa"/>
              <w:right w:w="0" w:type="dxa"/>
            </w:tcMar>
            <w:vAlign w:val="bottom"/>
            <w:hideMark/>
          </w:tcPr>
          <w:p w14:paraId="544C687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6302CB8" w14:textId="77777777">
        <w:trPr>
          <w:tblCellSpacing w:w="0" w:type="dxa"/>
        </w:trPr>
        <w:tc>
          <w:tcPr>
            <w:tcW w:w="2400" w:type="pct"/>
            <w:shd w:val="clear" w:color="auto" w:fill="CCEEFF"/>
            <w:vAlign w:val="bottom"/>
            <w:hideMark/>
          </w:tcPr>
          <w:p w14:paraId="3A021981"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u w:val="single"/>
              </w:rPr>
              <w:t>June 30, 2020</w:t>
            </w:r>
          </w:p>
        </w:tc>
        <w:tc>
          <w:tcPr>
            <w:tcW w:w="0" w:type="auto"/>
            <w:shd w:val="clear" w:color="auto" w:fill="CCEEFF"/>
            <w:vAlign w:val="bottom"/>
            <w:hideMark/>
          </w:tcPr>
          <w:p w14:paraId="7D99471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487C3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3D3365C"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8D9272F"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DC1260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5DC4F88"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FE3D35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22FC6F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DF1A09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9AAA209"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21723A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CBFF5E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B4A04F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1ACC12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B7BF8EC"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E094F33"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39CC03FA" w14:textId="77777777">
        <w:trPr>
          <w:tblCellSpacing w:w="0" w:type="dxa"/>
        </w:trPr>
        <w:tc>
          <w:tcPr>
            <w:tcW w:w="0" w:type="auto"/>
            <w:tcBorders>
              <w:bottom w:val="nil"/>
            </w:tcBorders>
            <w:shd w:val="clear" w:color="auto" w:fill="FFFFFF"/>
            <w:vAlign w:val="bottom"/>
            <w:hideMark/>
          </w:tcPr>
          <w:p w14:paraId="61307CD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tcBorders>
              <w:bottom w:val="nil"/>
            </w:tcBorders>
            <w:shd w:val="clear" w:color="auto" w:fill="FFFFFF"/>
            <w:vAlign w:val="bottom"/>
            <w:hideMark/>
          </w:tcPr>
          <w:p w14:paraId="1C32107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7AE35DD"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0155459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15,591,346</w:t>
            </w:r>
          </w:p>
        </w:tc>
        <w:tc>
          <w:tcPr>
            <w:tcW w:w="50" w:type="pct"/>
            <w:tcBorders>
              <w:bottom w:val="nil"/>
            </w:tcBorders>
            <w:shd w:val="clear" w:color="auto" w:fill="FFFFFF"/>
            <w:vAlign w:val="bottom"/>
            <w:hideMark/>
          </w:tcPr>
          <w:p w14:paraId="3F5A7CD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D73B0D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2A54665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02E7454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7D5A035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140250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4D9ACC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7DC708D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57AB19A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5A04E3E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08A8F26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54677A09"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15,591,346</w:t>
            </w:r>
          </w:p>
        </w:tc>
        <w:tc>
          <w:tcPr>
            <w:tcW w:w="50" w:type="pct"/>
            <w:tcBorders>
              <w:bottom w:val="nil"/>
            </w:tcBorders>
            <w:shd w:val="clear" w:color="auto" w:fill="FFFFFF"/>
            <w:vAlign w:val="bottom"/>
            <w:hideMark/>
          </w:tcPr>
          <w:p w14:paraId="20C17C5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22F4AA9" w14:textId="77777777">
        <w:trPr>
          <w:tblCellSpacing w:w="0" w:type="dxa"/>
        </w:trPr>
        <w:tc>
          <w:tcPr>
            <w:tcW w:w="0" w:type="auto"/>
            <w:shd w:val="clear" w:color="auto" w:fill="CCEEFF"/>
            <w:vAlign w:val="bottom"/>
            <w:hideMark/>
          </w:tcPr>
          <w:p w14:paraId="62C156A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14:paraId="2E260D6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4DDD0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4C902BD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51EFF5E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B9B4B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85614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79647FD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563,852,258</w:t>
            </w:r>
          </w:p>
        </w:tc>
        <w:tc>
          <w:tcPr>
            <w:tcW w:w="50" w:type="pct"/>
            <w:shd w:val="clear" w:color="auto" w:fill="CCEEFF"/>
            <w:vAlign w:val="bottom"/>
            <w:hideMark/>
          </w:tcPr>
          <w:p w14:paraId="1F8A895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C3CE3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CAADE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047E714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1CC7C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BEB3B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02576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03DF803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563,852,258</w:t>
            </w:r>
          </w:p>
        </w:tc>
        <w:tc>
          <w:tcPr>
            <w:tcW w:w="50" w:type="pct"/>
            <w:shd w:val="clear" w:color="auto" w:fill="CCEEFF"/>
            <w:vAlign w:val="bottom"/>
            <w:hideMark/>
          </w:tcPr>
          <w:p w14:paraId="3047164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85AFEAE" w14:textId="77777777">
        <w:trPr>
          <w:tblCellSpacing w:w="0" w:type="dxa"/>
        </w:trPr>
        <w:tc>
          <w:tcPr>
            <w:tcW w:w="0" w:type="auto"/>
            <w:shd w:val="clear" w:color="auto" w:fill="FFFFFF"/>
            <w:vAlign w:val="bottom"/>
            <w:hideMark/>
          </w:tcPr>
          <w:p w14:paraId="5B50023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77118F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8D7D60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39E47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6FF807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2F0A5D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516AA3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18D68B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F6C85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E706A4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9A8FF6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359F5D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D383B0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13C544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27AFDF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36EC1F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B138ED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56B4873" w14:textId="77777777">
        <w:trPr>
          <w:tblCellSpacing w:w="0" w:type="dxa"/>
        </w:trPr>
        <w:tc>
          <w:tcPr>
            <w:tcW w:w="0" w:type="auto"/>
            <w:shd w:val="clear" w:color="auto" w:fill="CCEEFF"/>
            <w:vAlign w:val="bottom"/>
            <w:hideMark/>
          </w:tcPr>
          <w:p w14:paraId="05E944BD"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2019</w:t>
            </w:r>
          </w:p>
        </w:tc>
        <w:tc>
          <w:tcPr>
            <w:tcW w:w="0" w:type="auto"/>
            <w:shd w:val="clear" w:color="auto" w:fill="CCEEFF"/>
            <w:vAlign w:val="bottom"/>
            <w:hideMark/>
          </w:tcPr>
          <w:p w14:paraId="60FEACD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53AD948"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DAE52B5"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3A7C266"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5D971F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1F5B8F8"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AC5CA54"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0EFAFE4"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63B7A3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2CC9F9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F14522E"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9A18A20"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53CB82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5728C48"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67CA29D"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6772FA3" w14:textId="77777777" w:rsidR="00000000" w:rsidRDefault="00016ED8">
            <w:pPr>
              <w:rPr>
                <w:rFonts w:ascii="Arial" w:eastAsia="Times New Roman" w:hAnsi="Arial" w:cs="Arial"/>
                <w:sz w:val="20"/>
                <w:szCs w:val="20"/>
              </w:rPr>
            </w:pPr>
            <w:r>
              <w:rPr>
                <w:rFonts w:ascii="Arial" w:eastAsia="Times New Roman" w:hAnsi="Arial" w:cs="Arial"/>
                <w:b/>
                <w:bCs/>
                <w:sz w:val="20"/>
                <w:szCs w:val="20"/>
              </w:rPr>
              <w:t> </w:t>
            </w:r>
          </w:p>
        </w:tc>
      </w:tr>
      <w:tr w:rsidR="00000000" w14:paraId="4824C45C" w14:textId="77777777">
        <w:trPr>
          <w:tblCellSpacing w:w="0" w:type="dxa"/>
        </w:trPr>
        <w:tc>
          <w:tcPr>
            <w:tcW w:w="0" w:type="auto"/>
            <w:tcBorders>
              <w:bottom w:val="nil"/>
            </w:tcBorders>
            <w:shd w:val="clear" w:color="auto" w:fill="FFFFFF"/>
            <w:vAlign w:val="bottom"/>
            <w:hideMark/>
          </w:tcPr>
          <w:p w14:paraId="4FC71B2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tcBorders>
              <w:bottom w:val="nil"/>
            </w:tcBorders>
            <w:shd w:val="clear" w:color="auto" w:fill="FFFFFF"/>
            <w:vAlign w:val="bottom"/>
            <w:hideMark/>
          </w:tcPr>
          <w:p w14:paraId="2469639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A1D4E38"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514EC26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tcBorders>
              <w:bottom w:val="nil"/>
            </w:tcBorders>
            <w:shd w:val="clear" w:color="auto" w:fill="FFFFFF"/>
            <w:vAlign w:val="bottom"/>
            <w:hideMark/>
          </w:tcPr>
          <w:p w14:paraId="558530F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1B3CF5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A2525A1"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1E2144D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7D59C9A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789A3A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FB0EC18"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515E2E8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tcBorders>
              <w:bottom w:val="nil"/>
            </w:tcBorders>
            <w:shd w:val="clear" w:color="auto" w:fill="FFFFFF"/>
            <w:vAlign w:val="bottom"/>
            <w:hideMark/>
          </w:tcPr>
          <w:p w14:paraId="252CF59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48D7AE2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14:paraId="1540DC65"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nil"/>
            </w:tcBorders>
            <w:shd w:val="clear" w:color="auto" w:fill="FFFFFF"/>
            <w:vAlign w:val="bottom"/>
            <w:hideMark/>
          </w:tcPr>
          <w:p w14:paraId="7453DA7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19,634,651</w:t>
            </w:r>
          </w:p>
        </w:tc>
        <w:tc>
          <w:tcPr>
            <w:tcW w:w="50" w:type="pct"/>
            <w:tcBorders>
              <w:bottom w:val="nil"/>
            </w:tcBorders>
            <w:shd w:val="clear" w:color="auto" w:fill="FFFFFF"/>
            <w:vAlign w:val="bottom"/>
            <w:hideMark/>
          </w:tcPr>
          <w:p w14:paraId="4FF0136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3F847A5" w14:textId="77777777">
        <w:trPr>
          <w:tblCellSpacing w:w="0" w:type="dxa"/>
        </w:trPr>
        <w:tc>
          <w:tcPr>
            <w:tcW w:w="0" w:type="auto"/>
            <w:shd w:val="clear" w:color="auto" w:fill="CCEEFF"/>
            <w:vAlign w:val="bottom"/>
            <w:hideMark/>
          </w:tcPr>
          <w:p w14:paraId="458DDFE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14:paraId="6ED2882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DBD98E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0D9FCF3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6DDC0D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43B804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9B4CF8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688B310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14:paraId="3EE5E85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50E13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7FE2A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4C9F008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AE3CE1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0658DF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304E9A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14:paraId="5E842466"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750,519,365</w:t>
            </w:r>
          </w:p>
        </w:tc>
        <w:tc>
          <w:tcPr>
            <w:tcW w:w="50" w:type="pct"/>
            <w:shd w:val="clear" w:color="auto" w:fill="CCEEFF"/>
            <w:vAlign w:val="bottom"/>
            <w:hideMark/>
          </w:tcPr>
          <w:p w14:paraId="0E75458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26E1605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F3A4D9D"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15AF4857">
          <v:rect id="_x0000_i1052"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3A6D2BB" w14:textId="77777777">
        <w:trPr>
          <w:tblCellSpacing w:w="0" w:type="dxa"/>
        </w:trPr>
        <w:tc>
          <w:tcPr>
            <w:tcW w:w="360" w:type="dxa"/>
            <w:hideMark/>
          </w:tcPr>
          <w:p w14:paraId="6AC04F9B" w14:textId="77777777" w:rsidR="00000000" w:rsidRDefault="00016ED8">
            <w:pPr>
              <w:pStyle w:val="a3"/>
              <w:spacing w:before="0" w:beforeAutospacing="0" w:after="0" w:afterAutospacing="0"/>
              <w:rPr>
                <w:rFonts w:ascii="Arial" w:hAnsi="Arial" w:cs="Arial"/>
                <w:sz w:val="20"/>
                <w:szCs w:val="20"/>
              </w:rPr>
            </w:pPr>
            <w:r>
              <w:rPr>
                <w:rFonts w:ascii="Arial" w:hAnsi="Arial" w:cs="Arial"/>
                <w:sz w:val="12"/>
                <w:szCs w:val="12"/>
              </w:rPr>
              <w:t>(a)</w:t>
            </w:r>
            <w:r>
              <w:rPr>
                <w:rFonts w:ascii="Arial" w:hAnsi="Arial" w:cs="Arial"/>
                <w:sz w:val="20"/>
                <w:szCs w:val="20"/>
              </w:rPr>
              <w:t> </w:t>
            </w:r>
          </w:p>
        </w:tc>
        <w:tc>
          <w:tcPr>
            <w:tcW w:w="0" w:type="auto"/>
            <w:hideMark/>
          </w:tcPr>
          <w:p w14:paraId="6EBAE9C3" w14:textId="77777777" w:rsidR="00000000" w:rsidRDefault="00016ED8">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14:paraId="01EF113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B738D05" w14:textId="77777777" w:rsidR="00000000" w:rsidRDefault="00016ED8">
      <w:pPr>
        <w:jc w:val="center"/>
        <w:divId w:val="2018577875"/>
        <w:rPr>
          <w:rFonts w:ascii="Arial" w:eastAsia="Times New Roman" w:hAnsi="Arial" w:cs="Arial"/>
          <w:sz w:val="20"/>
          <w:szCs w:val="20"/>
        </w:rPr>
      </w:pPr>
      <w:r>
        <w:rPr>
          <w:rStyle w:val="a6"/>
          <w:rFonts w:ascii="Arial" w:eastAsia="Times New Roman" w:hAnsi="Arial" w:cs="Arial"/>
          <w:sz w:val="20"/>
          <w:szCs w:val="20"/>
        </w:rPr>
        <w:t>11</w:t>
      </w:r>
      <w:r>
        <w:rPr>
          <w:rFonts w:ascii="Arial" w:eastAsia="Times New Roman" w:hAnsi="Arial" w:cs="Arial"/>
          <w:sz w:val="20"/>
          <w:szCs w:val="20"/>
        </w:rPr>
        <w:t xml:space="preserve"> </w:t>
      </w:r>
    </w:p>
    <w:p w14:paraId="2AF5DB34"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0076FDD0">
          <v:rect id="_x0000_i1053" style="width:0;height:1.5pt" o:hralign="center" o:hrstd="t" o:hr="t" fillcolor="#a0a0a0" stroked="f"/>
        </w:pict>
      </w:r>
    </w:p>
    <w:p w14:paraId="34E710F7" w14:textId="77777777" w:rsidR="00000000" w:rsidRDefault="00016ED8">
      <w:pPr>
        <w:divId w:val="191551214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F829A9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0724C6D" w14:textId="77777777" w:rsidR="00000000" w:rsidRDefault="00016ED8">
      <w:pPr>
        <w:divId w:val="1665717"/>
        <w:rPr>
          <w:rFonts w:ascii="Arial" w:eastAsia="Times New Roman" w:hAnsi="Arial" w:cs="Arial"/>
          <w:sz w:val="20"/>
          <w:szCs w:val="20"/>
        </w:rPr>
      </w:pPr>
      <w:r>
        <w:rPr>
          <w:rFonts w:ascii="Arial" w:eastAsia="Times New Roman" w:hAnsi="Arial" w:cs="Arial"/>
          <w:sz w:val="20"/>
          <w:szCs w:val="20"/>
        </w:rPr>
        <w:t xml:space="preserve">  </w:t>
      </w:r>
    </w:p>
    <w:p w14:paraId="6BEAF82B"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2. Management’</w:t>
      </w:r>
      <w:r>
        <w:rPr>
          <w:rFonts w:ascii="Arial" w:hAnsi="Arial" w:cs="Arial"/>
          <w:b/>
          <w:bCs/>
          <w:sz w:val="20"/>
          <w:szCs w:val="20"/>
        </w:rPr>
        <w:t>s Discussion and Analysis of Financial Condition and Results of Operations</w:t>
      </w:r>
    </w:p>
    <w:p w14:paraId="303F6C27"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0C24E89E"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in Item 1 of Part I of this Form 10</w:t>
      </w:r>
      <w:r>
        <w:rPr>
          <w:rFonts w:ascii="Arial" w:hAnsi="Arial" w:cs="Arial"/>
          <w:i/>
          <w:iCs/>
          <w:sz w:val="20"/>
          <w:szCs w:val="20"/>
        </w:rPr>
        <w:noBreakHyphen/>
        <w:t>Q. The discussion and a</w:t>
      </w:r>
      <w:r>
        <w:rPr>
          <w:rFonts w:ascii="Arial" w:hAnsi="Arial" w:cs="Arial"/>
          <w:i/>
          <w:iCs/>
          <w:sz w:val="20"/>
          <w:szCs w:val="20"/>
        </w:rPr>
        <w:t>nalysis that follows may contain statements that relate to future events or future performance. In some cases, such forward</w:t>
      </w:r>
      <w:r>
        <w:rPr>
          <w:rFonts w:ascii="Arial" w:hAnsi="Arial" w:cs="Arial"/>
          <w:i/>
          <w:iCs/>
          <w:sz w:val="20"/>
          <w:szCs w:val="20"/>
        </w:rPr>
        <w:noBreakHyphen/>
        <w:t>looking statements can be identified by terminology such as “may,” “should,” “could,” “expect,” “plan,” “anticipate,” “believe,” “es</w:t>
      </w:r>
      <w:r>
        <w:rPr>
          <w:rFonts w:ascii="Arial" w:hAnsi="Arial" w:cs="Arial"/>
          <w:i/>
          <w:iCs/>
          <w:sz w:val="20"/>
          <w:szCs w:val="20"/>
        </w:rPr>
        <w:t xml:space="preserve">timate,” “predict,” “potential” or the negative of these terms or other comparable terminology. These statements are only predictions. Actual events or results may differ materially. These statements are based upon certain assumptions and analyses made by </w:t>
      </w:r>
      <w:r>
        <w:rPr>
          <w:rFonts w:ascii="Arial" w:hAnsi="Arial" w:cs="Arial"/>
          <w:i/>
          <w:iCs/>
          <w:sz w:val="20"/>
          <w:szCs w:val="20"/>
        </w:rPr>
        <w:t xml:space="preserve">the Sponsor on the basis of its perception of historical trends, current conditions and expected future developments, as well as other factors it believes are appropriate in the circumstances. Whether or not actual results and developments will conform to </w:t>
      </w:r>
      <w:r>
        <w:rPr>
          <w:rFonts w:ascii="Arial" w:hAnsi="Arial" w:cs="Arial"/>
          <w:i/>
          <w:iCs/>
          <w:sz w:val="20"/>
          <w:szCs w:val="20"/>
        </w:rPr>
        <w:t xml:space="preserve">the Sponsor’s expectations and predictions, however, is subject to a number of risks and uncertainties, including the special considerations discussed below, general economic, market and business conditions, changes in laws or regulations, including those </w:t>
      </w:r>
      <w:r>
        <w:rPr>
          <w:rFonts w:ascii="Arial" w:hAnsi="Arial" w:cs="Arial"/>
          <w:i/>
          <w:iCs/>
          <w:sz w:val="20"/>
          <w:szCs w:val="20"/>
        </w:rPr>
        <w:t>concerning taxes, made by governmental authorities or regulatory bodies, and other world economic and political developments. Although the Sponsor does not make forward looking statements unless it believes it has a reasonable basis for doing so, the Spons</w:t>
      </w:r>
      <w:r>
        <w:rPr>
          <w:rFonts w:ascii="Arial" w:hAnsi="Arial" w:cs="Arial"/>
          <w:i/>
          <w:iCs/>
          <w:sz w:val="20"/>
          <w:szCs w:val="20"/>
        </w:rPr>
        <w:t>or cannot guarantee their accuracy. Except as required by applicable disclosure laws, none of the Trust, the Sponsor, the Advisor, the Trustee or the Delaware Trustee is under a duty to update any of the forward</w:t>
      </w:r>
      <w:r>
        <w:rPr>
          <w:rFonts w:ascii="Arial" w:hAnsi="Arial" w:cs="Arial"/>
          <w:i/>
          <w:iCs/>
          <w:sz w:val="20"/>
          <w:szCs w:val="20"/>
        </w:rPr>
        <w:noBreakHyphen/>
        <w:t>looking statements to conform such statement</w:t>
      </w:r>
      <w:r>
        <w:rPr>
          <w:rFonts w:ascii="Arial" w:hAnsi="Arial" w:cs="Arial"/>
          <w:i/>
          <w:iCs/>
          <w:sz w:val="20"/>
          <w:szCs w:val="20"/>
        </w:rPr>
        <w:t>s to actual results or to a change in expectations or predictions.</w:t>
      </w:r>
    </w:p>
    <w:p w14:paraId="7EFC9DB5"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3C3B1E51"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Introduction</w:t>
      </w:r>
    </w:p>
    <w:p w14:paraId="4306E31D"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7A43B9A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issues units of beneficial interest (“Shares”) representing fractional undivi</w:t>
      </w:r>
      <w:r>
        <w:rPr>
          <w:rFonts w:ascii="Arial" w:hAnsi="Arial" w:cs="Arial"/>
          <w:sz w:val="20"/>
          <w:szCs w:val="20"/>
        </w:rPr>
        <w:t>ded beneficial interests in its net assets. The Trust holds long positions in exchange-traded index futures contracts of various expirations, (“Index Futures”) on the S&amp;P GSCI™ Excess Return Index (the “S&amp;P GSCI-ER”), together with cash, U.S. Treasury secu</w:t>
      </w:r>
      <w:r>
        <w:rPr>
          <w:rFonts w:ascii="Arial" w:hAnsi="Arial" w:cs="Arial"/>
          <w:sz w:val="20"/>
          <w:szCs w:val="20"/>
        </w:rPr>
        <w:t>rities or other short-term securities and similar securities that are eligible as margin deposits for the Trust’s Index Futures positions, referred to as “Collateral Assets.” The Index Futures held by the Trust are listed on the Chicago Mercantile Exchange</w:t>
      </w:r>
      <w:r>
        <w:rPr>
          <w:rFonts w:ascii="Arial" w:hAnsi="Arial" w:cs="Arial"/>
          <w:sz w:val="20"/>
          <w:szCs w:val="20"/>
        </w:rPr>
        <w:t xml:space="preserve"> (the “CME”). The Trust seeks to track the results of a fully collateralized investment in futures contracts on an index composed of a diversified group of commodities futures. The Trust seeks to track the investment returns of the S&amp;P GSCI™ Total Return I</w:t>
      </w:r>
      <w:r>
        <w:rPr>
          <w:rFonts w:ascii="Arial" w:hAnsi="Arial" w:cs="Arial"/>
          <w:sz w:val="20"/>
          <w:szCs w:val="20"/>
        </w:rPr>
        <w:t>ndex (the “Index”) before payment of the Trust’s expenses and liabilities.</w:t>
      </w:r>
    </w:p>
    <w:p w14:paraId="13355D7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1502B9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BlackRock Institutional Trust Company, N.A. is the “Trustee”</w:t>
      </w:r>
      <w:r>
        <w:rPr>
          <w:rFonts w:ascii="Arial" w:hAnsi="Arial" w:cs="Arial"/>
          <w:sz w:val="20"/>
          <w:szCs w:val="20"/>
        </w:rPr>
        <w:t xml:space="preserve"> of the Trust. The Trust is a commodity pool, as defined in the Commodity Exchange Act (the “CEA”) and the applicable regulations of the Commodity Futures Trading Commission (the “CFTC”), and is operated by the Sponsor, a commodity pool operator registered</w:t>
      </w:r>
      <w:r>
        <w:rPr>
          <w:rFonts w:ascii="Arial" w:hAnsi="Arial" w:cs="Arial"/>
          <w:sz w:val="20"/>
          <w:szCs w:val="20"/>
        </w:rPr>
        <w:t xml:space="preserve"> with the CFTC. BlackRock Fund Advisors (the “Advisor”), an indirect subsidiary of BlackRock, Inc., serves as the commodity trading advisor of the Trust and is registered with the CFTC. The Trust is not an investment company registered under the Investment</w:t>
      </w:r>
      <w:r>
        <w:rPr>
          <w:rFonts w:ascii="Arial" w:hAnsi="Arial" w:cs="Arial"/>
          <w:sz w:val="20"/>
          <w:szCs w:val="20"/>
        </w:rPr>
        <w:t xml:space="preserve"> Company Act of 1940, as amended. The Trust has delegated day-to-day administration of the Trust to the Trustee. The Trustee has delegated certain day-to-day administrative functions of the Trustee to State Street Bank and Trust Company (the “Trust Adminis</w:t>
      </w:r>
      <w:r>
        <w:rPr>
          <w:rFonts w:ascii="Arial" w:hAnsi="Arial" w:cs="Arial"/>
          <w:sz w:val="20"/>
          <w:szCs w:val="20"/>
        </w:rPr>
        <w:t>trator”). Wilmington Trust Company, a Delaware trust company, serves as the “Delaware Trustee” of the Trust.</w:t>
      </w:r>
    </w:p>
    <w:p w14:paraId="7BA5665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3542F0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The Trust issues and redeems Shares only in one or more blocks of 50,000 Shares (“Basket</w:t>
      </w:r>
      <w:r>
        <w:rPr>
          <w:rFonts w:ascii="Arial" w:hAnsi="Arial" w:cs="Arial"/>
          <w:sz w:val="20"/>
          <w:szCs w:val="20"/>
        </w:rPr>
        <w:t>s”). Only institutions that enter into an agreement with the Trust to become “Authorized Participants” may purchase or redeem Baskets, in exchange for Index Futures and Collateral Assets with an aggregate value equal to the net asset value per Share, or “N</w:t>
      </w:r>
      <w:r>
        <w:rPr>
          <w:rFonts w:ascii="Arial" w:hAnsi="Arial" w:cs="Arial"/>
          <w:sz w:val="20"/>
          <w:szCs w:val="20"/>
        </w:rPr>
        <w:t>AV” of the Shares being purchased or redeemed.</w:t>
      </w:r>
    </w:p>
    <w:p w14:paraId="1F9D556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1E1D77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Owners of beneficial interests in Shares (“Shareholders”) who are not Authorized Participants have no right to redeem their Shares. In order to liquidate their investment in the Shares, Shareholders who are </w:t>
      </w:r>
      <w:r>
        <w:rPr>
          <w:rFonts w:ascii="Arial" w:hAnsi="Arial" w:cs="Arial"/>
          <w:sz w:val="20"/>
          <w:szCs w:val="20"/>
        </w:rPr>
        <w:t>not Authorized Participants must generally sell their Shares in the secondary market, assuming that demand for their Shares exists. The price obtained by the Shareholders for the Shares may be less than the NAV of those Shares.</w:t>
      </w:r>
    </w:p>
    <w:p w14:paraId="0013A68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CE9639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Shares of the Trust trade </w:t>
      </w:r>
      <w:r>
        <w:rPr>
          <w:rFonts w:ascii="Arial" w:hAnsi="Arial" w:cs="Arial"/>
          <w:sz w:val="20"/>
          <w:szCs w:val="20"/>
        </w:rPr>
        <w:t>on NYSE Arca, Inc. (“NYSE Arca”) under the ticker symbol GSG.</w:t>
      </w:r>
    </w:p>
    <w:p w14:paraId="709E4EB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43E3564"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b/>
          <w:bCs/>
          <w:sz w:val="20"/>
          <w:szCs w:val="20"/>
        </w:rPr>
        <w:t>;</w:t>
      </w:r>
      <w:r>
        <w:rPr>
          <w:rFonts w:ascii="Arial" w:hAnsi="Arial" w:cs="Arial"/>
          <w:b/>
          <w:bCs/>
          <w:sz w:val="20"/>
          <w:szCs w:val="20"/>
        </w:rPr>
        <w:t xml:space="preserve"> Computation of the Trust’s Net Asset Value</w:t>
      </w:r>
    </w:p>
    <w:p w14:paraId="6192F140"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5D3E1FB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w:t>
      </w:r>
      <w:r>
        <w:rPr>
          <w:rFonts w:ascii="Arial" w:hAnsi="Arial" w:cs="Arial"/>
          <w:sz w:val="20"/>
          <w:szCs w:val="20"/>
        </w:rPr>
        <w:t>ed to the Trustee under the Trust Agreement. The Trustee determines the net asset value of the Trust and the NAV as of 4:00 p.m. (New York time), on each Business Day on which NYSE Arca is open for regular trading, as soon as practicable after that time. A</w:t>
      </w:r>
      <w:r>
        <w:rPr>
          <w:rFonts w:ascii="Arial" w:hAnsi="Arial" w:cs="Arial"/>
          <w:sz w:val="20"/>
          <w:szCs w:val="20"/>
        </w:rPr>
        <w:t xml:space="preserve"> “Business Day” is a day (1) on which none of the following occurs: (a) NYSE Arca is closed for regular trading, (b) the Exchange is closed for regular trading or (c) the Federal Reserve wire transfer system is closed for cash wire transfers, or (2) that t</w:t>
      </w:r>
      <w:r>
        <w:rPr>
          <w:rFonts w:ascii="Arial" w:hAnsi="Arial" w:cs="Arial"/>
          <w:sz w:val="20"/>
          <w:szCs w:val="20"/>
        </w:rPr>
        <w:t>he Trustee determines that it is able to conduct business.</w:t>
      </w:r>
    </w:p>
    <w:p w14:paraId="33542FF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FC0C0D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Trustee values the Trust’s long positions in Index Futures on the basis of that day’s settlement prices for the Index Futures held by the Trust as announced by the applicable Exchange. The va</w:t>
      </w:r>
      <w:r>
        <w:rPr>
          <w:rFonts w:ascii="Arial" w:hAnsi="Arial" w:cs="Arial"/>
          <w:sz w:val="20"/>
          <w:szCs w:val="20"/>
        </w:rPr>
        <w:t>lue of the Trust’s positions in any particular Index Futures contract equals the product of (1) the number of such Index Futures contracts owned by the Trust, (2) the settlement price of such Index Futures contract on the date of calculation and (3) the mu</w:t>
      </w:r>
      <w:r>
        <w:rPr>
          <w:rFonts w:ascii="Arial" w:hAnsi="Arial" w:cs="Arial"/>
          <w:sz w:val="20"/>
          <w:szCs w:val="20"/>
        </w:rPr>
        <w:t>ltiplier of such Index Futures contract. If there is no announced settlement price for a particular Index Futures contract on a Business Day, the Trustee uses the most recently announced settlement price unless the Trustee, in consultation with the Sponsor</w:t>
      </w:r>
      <w:r>
        <w:rPr>
          <w:rFonts w:ascii="Arial" w:hAnsi="Arial" w:cs="Arial"/>
          <w:sz w:val="20"/>
          <w:szCs w:val="20"/>
        </w:rPr>
        <w:t>, determines that such price is inappropriate as a basis for valuation. The daily settlement price for each Index Futures contract currently held by the Trust is established on each trading day, generally at 2:40 p.m. (New York time), by the CME Group Inc.</w:t>
      </w:r>
      <w:r>
        <w:rPr>
          <w:rFonts w:ascii="Arial" w:hAnsi="Arial" w:cs="Arial"/>
          <w:sz w:val="20"/>
          <w:szCs w:val="20"/>
        </w:rPr>
        <w:t>, and its designed contract markets, including the CME, CBOT (Board of Trade of the City of Chicago, Inc.), NYMEX (New York Mercantile Exchange), COMEX and KCBT (the “CME Group”) staff.</w:t>
      </w:r>
    </w:p>
    <w:p w14:paraId="60B2D51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7A5BD2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w:t>
      </w:r>
      <w:r>
        <w:rPr>
          <w:rFonts w:ascii="Arial" w:hAnsi="Arial" w:cs="Arial"/>
          <w:sz w:val="20"/>
          <w:szCs w:val="20"/>
        </w:rPr>
        <w:t>t market value, if quotations for such property are readily available or (2) its fair value, as reasonably determined by the Trustee, if the current market value cannot be determined.</w:t>
      </w:r>
    </w:p>
    <w:p w14:paraId="3C566D4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AAB8DD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Once the value of the Index Futures, Collateral Assets of the Trust and interest earned on the Trust’s Collateral Assets has been determined, the Trustee subtracts all accrued expenses and liabilities of the Trust as of the time of calculation in order to </w:t>
      </w:r>
      <w:r>
        <w:rPr>
          <w:rFonts w:ascii="Arial" w:hAnsi="Arial" w:cs="Arial"/>
          <w:sz w:val="20"/>
          <w:szCs w:val="20"/>
        </w:rPr>
        <w:t>calculate the net asset value of the Trust.</w:t>
      </w:r>
    </w:p>
    <w:p w14:paraId="026D68C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A59041D" w14:textId="77777777" w:rsidR="00000000" w:rsidRDefault="00016ED8">
      <w:pPr>
        <w:jc w:val="center"/>
        <w:divId w:val="1452284585"/>
        <w:rPr>
          <w:rFonts w:ascii="Arial" w:eastAsia="Times New Roman" w:hAnsi="Arial" w:cs="Arial"/>
          <w:sz w:val="20"/>
          <w:szCs w:val="20"/>
        </w:rPr>
      </w:pPr>
      <w:r>
        <w:rPr>
          <w:rFonts w:ascii="Arial" w:eastAsia="Times New Roman" w:hAnsi="Arial" w:cs="Arial"/>
          <w:sz w:val="20"/>
          <w:szCs w:val="20"/>
        </w:rPr>
        <w:t xml:space="preserve">12 </w:t>
      </w:r>
    </w:p>
    <w:p w14:paraId="03FFAF5F" w14:textId="77777777" w:rsidR="00000000" w:rsidRDefault="00016ED8">
      <w:pPr>
        <w:divId w:val="351107031"/>
        <w:rPr>
          <w:rFonts w:ascii="Arial" w:eastAsia="Times New Roman" w:hAnsi="Arial" w:cs="Arial"/>
          <w:sz w:val="20"/>
          <w:szCs w:val="20"/>
        </w:rPr>
      </w:pPr>
      <w:r>
        <w:rPr>
          <w:rFonts w:ascii="Arial" w:eastAsia="Times New Roman" w:hAnsi="Arial" w:cs="Arial"/>
          <w:sz w:val="20"/>
          <w:szCs w:val="20"/>
        </w:rPr>
        <w:pict w14:anchorId="6FF3BD9F">
          <v:rect id="_x0000_i1054" style="width:0;height:1.5pt" o:hralign="center" o:hrstd="t" o:hr="t" fillcolor="#a0a0a0" stroked="f"/>
        </w:pict>
      </w:r>
    </w:p>
    <w:p w14:paraId="02F78A09" w14:textId="77777777" w:rsidR="00000000" w:rsidRDefault="00016ED8">
      <w:pPr>
        <w:divId w:val="140255475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D77296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F7D103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Trustee determines the NAV by dividing the net asset value o</w:t>
      </w:r>
      <w:r>
        <w:rPr>
          <w:rFonts w:ascii="Arial" w:hAnsi="Arial" w:cs="Arial"/>
          <w:sz w:val="20"/>
          <w:szCs w:val="20"/>
        </w:rPr>
        <w:t>f the Trust by the number of Shares outstanding at the time the calculation is made. Any changes to the NAV that may result from creation and redemption activity are not reflected in the NAV calculations for purposes of the Trust’s operations until the Bus</w:t>
      </w:r>
      <w:r>
        <w:rPr>
          <w:rFonts w:ascii="Arial" w:hAnsi="Arial" w:cs="Arial"/>
          <w:sz w:val="20"/>
          <w:szCs w:val="20"/>
        </w:rPr>
        <w:t>iness Day following the Business Day on which they occur, but are reflected in the Trust’s financial statements as of such first Business Day. Creation and redemption orders received after 2:40 p.m. (New York time) are not deemed to be received, and the re</w:t>
      </w:r>
      <w:r>
        <w:rPr>
          <w:rFonts w:ascii="Arial" w:hAnsi="Arial" w:cs="Arial"/>
          <w:sz w:val="20"/>
          <w:szCs w:val="20"/>
        </w:rPr>
        <w:t>lated creation or redemption will not be deemed to occur, until the following Business Day. Subject to the approval of the Trustee, Baskets may be created solely for cash, but the related creation orders will be deemed received as of the following Business</w:t>
      </w:r>
      <w:r>
        <w:rPr>
          <w:rFonts w:ascii="Arial" w:hAnsi="Arial" w:cs="Arial"/>
          <w:sz w:val="20"/>
          <w:szCs w:val="20"/>
        </w:rPr>
        <w:t xml:space="preserve"> Day unless received by 10:00 a.m. (New York time). Orders are expected to settle by 11:00 a.m. (New York time) on the Business Day following the Business Day on which such orders are deemed to be received.</w:t>
      </w:r>
    </w:p>
    <w:p w14:paraId="4BE4FC9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ABB973C"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14:paraId="79A592DD"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60001FB8"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xml:space="preserve">The Quarter Ended June </w:t>
      </w:r>
      <w:r>
        <w:rPr>
          <w:rFonts w:ascii="Arial" w:hAnsi="Arial" w:cs="Arial"/>
          <w:i/>
          <w:iCs/>
          <w:sz w:val="20"/>
          <w:szCs w:val="20"/>
        </w:rPr>
        <w:t>30, 2020</w:t>
      </w:r>
    </w:p>
    <w:p w14:paraId="7FCDC45C"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13F2FA8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$501,546,756 at March 31, 2020 to $609,244,207 at June 30, 2020. The increase in the Trust’s net asset value resulted primarily from a net increase in net assets resulting from operations. The Trust’s n</w:t>
      </w:r>
      <w:r>
        <w:rPr>
          <w:rFonts w:ascii="Arial" w:hAnsi="Arial" w:cs="Arial"/>
          <w:sz w:val="20"/>
          <w:szCs w:val="20"/>
        </w:rPr>
        <w:t>et asset value also benefitted from an increase in the number of outstanding Shares, which rose from 53,500,000 Shares at March 31, 2020 to 59,000,000 Shares at June 30, 2020, a consequence of 7,650,000 Shares (153 Baskets) being created and 2,150,000 Shar</w:t>
      </w:r>
      <w:r>
        <w:rPr>
          <w:rFonts w:ascii="Arial" w:hAnsi="Arial" w:cs="Arial"/>
          <w:sz w:val="20"/>
          <w:szCs w:val="20"/>
        </w:rPr>
        <w:t>es (43 Baskets) being redeemed during the quarter.</w:t>
      </w:r>
    </w:p>
    <w:p w14:paraId="6B82DA3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5FB99B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10.25% increase in the Trust’s NAV from $9.37 at March 31, 2020 to $10.33 at June 30, 2020 is directly related to the 10.43% increase in the settlement price for the Index Futures. The Trust’s NAV in</w:t>
      </w:r>
      <w:r>
        <w:rPr>
          <w:rFonts w:ascii="Arial" w:hAnsi="Arial" w:cs="Arial"/>
          <w:sz w:val="20"/>
          <w:szCs w:val="20"/>
        </w:rPr>
        <w:t>creased slightly less than the settlement price for the Index Futures on a percentage basis due to the Sponsor’s fees and brokerage commissions.</w:t>
      </w:r>
    </w:p>
    <w:p w14:paraId="70452B5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89CA05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 for the quarter ended June 30, 2020 was $57,709,585, res</w:t>
      </w:r>
      <w:r>
        <w:rPr>
          <w:rFonts w:ascii="Arial" w:hAnsi="Arial" w:cs="Arial"/>
          <w:sz w:val="20"/>
          <w:szCs w:val="20"/>
        </w:rPr>
        <w:t>ulting from a net investment loss of $419,416 and a net realized and unrealized gain of $58,129,001. For the quarter ended June 30, 2020, the Trust had a net realized and unrealized loss of $686,574 on short-term investments and a net realized and unrealiz</w:t>
      </w:r>
      <w:r>
        <w:rPr>
          <w:rFonts w:ascii="Arial" w:hAnsi="Arial" w:cs="Arial"/>
          <w:sz w:val="20"/>
          <w:szCs w:val="20"/>
        </w:rPr>
        <w:t>ed gain of $58,815,575 on futures contracts. Other than the Sponsor’s fees of $984,873 and brokerage commissions and fees of $237,503, the Trust had no expenses during the quarter.</w:t>
      </w:r>
    </w:p>
    <w:p w14:paraId="1BC00DA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1D7EC80"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The Six-Month Period Ended June 30, 2020</w:t>
      </w:r>
    </w:p>
    <w:p w14:paraId="4398AC8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31EF86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Trust’s net asset value de</w:t>
      </w:r>
      <w:r>
        <w:rPr>
          <w:rFonts w:ascii="Arial" w:hAnsi="Arial" w:cs="Arial"/>
          <w:sz w:val="20"/>
          <w:szCs w:val="20"/>
        </w:rPr>
        <w:t>creased from $775,343,105 at December 31, 2019 to $609,244,207 at June 30, 2020. The decrease in the Trust’s net asset value resulted primarily from a net decrease in net assets resulting from operations. The decrease in the Trust’s net asset value was par</w:t>
      </w:r>
      <w:r>
        <w:rPr>
          <w:rFonts w:ascii="Arial" w:hAnsi="Arial" w:cs="Arial"/>
          <w:sz w:val="20"/>
          <w:szCs w:val="20"/>
        </w:rPr>
        <w:t>tially offset by an increase in the number of outstanding Shares, which rose from 47,750,000 Shares at December 31, 2019 to 59,000,000 Shares at June 30, 2020, a consequence of 17,100,000 Shares (342 Baskets) being created and 5,850,000 Shares (117 Baskets</w:t>
      </w:r>
      <w:r>
        <w:rPr>
          <w:rFonts w:ascii="Arial" w:hAnsi="Arial" w:cs="Arial"/>
          <w:sz w:val="20"/>
          <w:szCs w:val="20"/>
        </w:rPr>
        <w:t>) being redeemed during the period.</w:t>
      </w:r>
    </w:p>
    <w:p w14:paraId="662C66F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07668D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36.39% decrease in the Trust’s NAV from $ 16.24 at December 31, 2019 to $ 10.33 at June 30, 2020 is directly related to the 36.52% decrease in the settlement price for the Index Futures. The Trust’s NAV decreased s</w:t>
      </w:r>
      <w:r>
        <w:rPr>
          <w:rFonts w:ascii="Arial" w:hAnsi="Arial" w:cs="Arial"/>
          <w:sz w:val="20"/>
          <w:szCs w:val="20"/>
        </w:rPr>
        <w:t>lightly less than the settlement price for the Index Futures on a percentage basis due to interest income from Treasury bills.</w:t>
      </w:r>
    </w:p>
    <w:p w14:paraId="69A0136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D14814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 for the period was $310,391,805, resulting from a net investment income of</w:t>
      </w:r>
      <w:r>
        <w:rPr>
          <w:rFonts w:ascii="Arial" w:hAnsi="Arial" w:cs="Arial"/>
          <w:sz w:val="20"/>
          <w:szCs w:val="20"/>
        </w:rPr>
        <w:t xml:space="preserve"> $608,839 and a net realized and unrealized loss of $311,000,644. For the six months ended June 30, 2020, the Trust had a net realized and unrealized loss of $24,490 on short-term investments and a net realized and unrealized loss of $310,976,154 on future</w:t>
      </w:r>
      <w:r>
        <w:rPr>
          <w:rFonts w:ascii="Arial" w:hAnsi="Arial" w:cs="Arial"/>
          <w:sz w:val="20"/>
          <w:szCs w:val="20"/>
        </w:rPr>
        <w:t>s contracts. Other than the Sponsor’s fees of $2,300,279 and brokerage commissions and fees of $467,129, the Trust had no expenses during the period.</w:t>
      </w:r>
    </w:p>
    <w:p w14:paraId="56B133A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71653FE"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14:paraId="5EA1336E"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693EDBF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assets as of June 30, 2020 consist of Index Futures and Collateral Assets used to satisfy applicable margin requirements for those Index Futures positions. The Trust does not anticipate any further need for liquidity, because creations and redemptions of</w:t>
      </w:r>
      <w:r>
        <w:rPr>
          <w:rFonts w:ascii="Arial" w:hAnsi="Arial" w:cs="Arial"/>
          <w:sz w:val="20"/>
          <w:szCs w:val="20"/>
        </w:rPr>
        <w:t xml:space="preserve"> Shares generally occur in-kind and ordinary expenses are met by cash on hand. Interest earned on the assets posted as collateral is paid to the Trust and is used to pay the Sponsor’s fees and purchase additional Index Futures and Collateral Assets, or, in</w:t>
      </w:r>
      <w:r>
        <w:rPr>
          <w:rFonts w:ascii="Arial" w:hAnsi="Arial" w:cs="Arial"/>
          <w:sz w:val="20"/>
          <w:szCs w:val="20"/>
        </w:rPr>
        <w:t xml:space="preserve"> the discretion of the Sponsor, distributed to Shareholders. In exchange for a fee based on the net asset value of the Trust, the Sponsor has assumed most of the ordinary expenses incurred by the Trust. In the case of an extraordinary expense and/or insuff</w:t>
      </w:r>
      <w:r>
        <w:rPr>
          <w:rFonts w:ascii="Arial" w:hAnsi="Arial" w:cs="Arial"/>
          <w:sz w:val="20"/>
          <w:szCs w:val="20"/>
        </w:rPr>
        <w:t>icient interest income to cover ordinary expenses, however, the Trust could be forced to liquidate its positions in Index Futures and Collateral Assets to pay such expenses. As of June 30, 2020, the market for Index Futures had not developed significant li</w:t>
      </w:r>
      <w:r>
        <w:rPr>
          <w:rFonts w:ascii="Arial" w:hAnsi="Arial" w:cs="Arial"/>
          <w:sz w:val="20"/>
          <w:szCs w:val="20"/>
        </w:rPr>
        <w:t>quidity and the Trust represented substantially all of the long-side open interest in Index Futures. In addition, it is expected that Goldman Sachs &amp; Co. LLC or its accountholders may represent, directly or indirectly, a substantial portion of the short-si</w:t>
      </w:r>
      <w:r>
        <w:rPr>
          <w:rFonts w:ascii="Arial" w:hAnsi="Arial" w:cs="Arial"/>
          <w:sz w:val="20"/>
          <w:szCs w:val="20"/>
        </w:rPr>
        <w:t>de interest in such market. The existence of such a limited number of market participants could cause or exacerbate losses to the Trust if the Trust were required to liquidate its Index Futures positions.</w:t>
      </w:r>
    </w:p>
    <w:p w14:paraId="2B89D79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21FB60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w:t>
      </w:r>
      <w:r>
        <w:rPr>
          <w:rFonts w:ascii="Arial" w:hAnsi="Arial" w:cs="Arial"/>
          <w:sz w:val="20"/>
          <w:szCs w:val="20"/>
        </w:rPr>
        <w:t>ds, conditions or events that are reasonably likely to result in material changes to the Trust’s liquidity needs.</w:t>
      </w:r>
    </w:p>
    <w:p w14:paraId="7597415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6B3CC0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risk</w:t>
      </w:r>
      <w:r>
        <w:rPr>
          <w:rFonts w:ascii="Arial" w:hAnsi="Arial" w:cs="Arial"/>
          <w:sz w:val="20"/>
          <w:szCs w:val="20"/>
        </w:rPr>
        <w:t>) or the inability of counterparties to perform (credit risk).</w:t>
      </w:r>
    </w:p>
    <w:p w14:paraId="7AA60AD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EF9E691"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Market Risk</w:t>
      </w:r>
    </w:p>
    <w:p w14:paraId="640F1F37"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332D795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diversification</w:t>
      </w:r>
      <w:r>
        <w:rPr>
          <w:rFonts w:ascii="Arial" w:hAnsi="Arial" w:cs="Arial"/>
          <w:sz w:val="20"/>
          <w:szCs w:val="20"/>
        </w:rPr>
        <w:t xml:space="preserve"> of the Trust’s assets, fluctuations in the value of the Index Futures are expected to directly affect the value of the Shares. The value of the Index Futures is expected to track generally the S&amp;P GSCI-ER, although this correlation may not be exact. The S</w:t>
      </w:r>
      <w:r>
        <w:rPr>
          <w:rFonts w:ascii="Arial" w:hAnsi="Arial" w:cs="Arial"/>
          <w:sz w:val="20"/>
          <w:szCs w:val="20"/>
        </w:rPr>
        <w:t>&amp;P GSCI-ER, in turn, reflects the value of a diversified group of commodities. The Trust’s exposure to market risk will be influenced by a number of factors, including the lack of liquidity of the Index Futures market and activities of other market partici</w:t>
      </w:r>
      <w:r>
        <w:rPr>
          <w:rFonts w:ascii="Arial" w:hAnsi="Arial" w:cs="Arial"/>
          <w:sz w:val="20"/>
          <w:szCs w:val="20"/>
        </w:rPr>
        <w:t>pants.</w:t>
      </w:r>
    </w:p>
    <w:p w14:paraId="7293E75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F1E3F42" w14:textId="77777777" w:rsidR="00000000" w:rsidRDefault="00016ED8">
      <w:pPr>
        <w:jc w:val="center"/>
        <w:divId w:val="600990691"/>
        <w:rPr>
          <w:rFonts w:ascii="Arial" w:eastAsia="Times New Roman" w:hAnsi="Arial" w:cs="Arial"/>
          <w:sz w:val="20"/>
          <w:szCs w:val="20"/>
        </w:rPr>
      </w:pPr>
      <w:r>
        <w:rPr>
          <w:rFonts w:ascii="Arial" w:eastAsia="Times New Roman" w:hAnsi="Arial" w:cs="Arial"/>
          <w:sz w:val="20"/>
          <w:szCs w:val="20"/>
        </w:rPr>
        <w:t xml:space="preserve">13 </w:t>
      </w:r>
    </w:p>
    <w:p w14:paraId="366D943B" w14:textId="77777777" w:rsidR="00000000" w:rsidRDefault="00016ED8">
      <w:pPr>
        <w:divId w:val="1868248629"/>
        <w:rPr>
          <w:rFonts w:ascii="Arial" w:eastAsia="Times New Roman" w:hAnsi="Arial" w:cs="Arial"/>
          <w:sz w:val="20"/>
          <w:szCs w:val="20"/>
        </w:rPr>
      </w:pPr>
      <w:r>
        <w:rPr>
          <w:rFonts w:ascii="Arial" w:eastAsia="Times New Roman" w:hAnsi="Arial" w:cs="Arial"/>
          <w:sz w:val="20"/>
          <w:szCs w:val="20"/>
        </w:rPr>
        <w:pict w14:anchorId="74BE6B47">
          <v:rect id="_x0000_i1055" style="width:0;height:1.5pt" o:hralign="center" o:hrstd="t" o:hr="t" fillcolor="#a0a0a0" stroked="f"/>
        </w:pict>
      </w:r>
    </w:p>
    <w:p w14:paraId="24DC5954" w14:textId="77777777" w:rsidR="00000000" w:rsidRDefault="00016ED8">
      <w:pPr>
        <w:divId w:val="27715288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45BA05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A23059E"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Credit Risk</w:t>
      </w:r>
    </w:p>
    <w:p w14:paraId="6C9B5A55"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1EE56A3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 counterparty to each Index Futures position, and of a default by its clearing futures commission merchant, or Cl</w:t>
      </w:r>
      <w:r>
        <w:rPr>
          <w:rFonts w:ascii="Arial" w:hAnsi="Arial" w:cs="Arial"/>
          <w:sz w:val="20"/>
          <w:szCs w:val="20"/>
        </w:rPr>
        <w:t>earing FCM. In the case of such a default, the Trust may be unable to recover amounts due to it on its Index Futures positions and Collateral Assets posted as margin. The Trust is also exposed to credit risk as a result of its ownership of U.S. Treasury bi</w:t>
      </w:r>
      <w:r>
        <w:rPr>
          <w:rFonts w:ascii="Arial" w:hAnsi="Arial" w:cs="Arial"/>
          <w:sz w:val="20"/>
          <w:szCs w:val="20"/>
        </w:rPr>
        <w:t>lls.</w:t>
      </w:r>
    </w:p>
    <w:p w14:paraId="622872D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4CB223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Obligations</w:t>
      </w:r>
    </w:p>
    <w:p w14:paraId="3FEC459D"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6637634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Trust does not use and is not expected to use special purpose entities to facilitate off-balance sheet financing arrangements. The Trust does not have and is not expected to have loan </w:t>
      </w:r>
      <w:r>
        <w:rPr>
          <w:rFonts w:ascii="Arial" w:hAnsi="Arial" w:cs="Arial"/>
          <w:sz w:val="20"/>
          <w:szCs w:val="20"/>
        </w:rPr>
        <w:t xml:space="preserve">guarantee arrangements or other off-balance sheet arrangements of any kind other than agreements entered into in the normal course of business, which may include indemnification provisions related to certain risks service providers undertake in performing </w:t>
      </w:r>
      <w:r>
        <w:rPr>
          <w:rFonts w:ascii="Arial" w:hAnsi="Arial" w:cs="Arial"/>
          <w:sz w:val="20"/>
          <w:szCs w:val="20"/>
        </w:rPr>
        <w:t>services that are in the interest of the Trust. While the Trust’s exposure under such indemnification provisions cannot be estimated, these general business indemnifications are not expected to have a material impact on the Trust’s financial position.</w:t>
      </w:r>
    </w:p>
    <w:p w14:paraId="75E7E94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CECAD11"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Cr</w:t>
      </w:r>
      <w:r>
        <w:rPr>
          <w:rFonts w:ascii="Arial" w:hAnsi="Arial" w:cs="Arial"/>
          <w:b/>
          <w:bCs/>
          <w:sz w:val="20"/>
          <w:szCs w:val="20"/>
        </w:rPr>
        <w:t>itical Accounting Policies</w:t>
      </w:r>
    </w:p>
    <w:p w14:paraId="7EB85D95"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01EB195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financial statements relies on estimates and ass</w:t>
      </w:r>
      <w:r>
        <w:rPr>
          <w:rFonts w:ascii="Arial" w:hAnsi="Arial" w:cs="Arial"/>
          <w:sz w:val="20"/>
          <w:szCs w:val="20"/>
        </w:rPr>
        <w:t>umptions that impact the Trust’s financial position and results of operations. These estimates and assumptions affect the Trust’s application of accounting policies. In addition, please refer to Note 2 to the financial statements of the Trust for further d</w:t>
      </w:r>
      <w:r>
        <w:rPr>
          <w:rFonts w:ascii="Arial" w:hAnsi="Arial" w:cs="Arial"/>
          <w:sz w:val="20"/>
          <w:szCs w:val="20"/>
        </w:rPr>
        <w:t>iscussion of the Trust’s accounting policies.</w:t>
      </w:r>
    </w:p>
    <w:p w14:paraId="3338BE8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2F3292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57E864C"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14:paraId="41F2F63D"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20DD59D4"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14:paraId="66CBE16C"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3693CA0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Trust is exposed to commodity price risk through the Trust’s holdings of Index Futures. The following table provides information about the Trust’s futures contract positions, which are sensitive to changes in commodity prices. As of June 30, 2020, the </w:t>
      </w:r>
      <w:r>
        <w:rPr>
          <w:rFonts w:ascii="Arial" w:hAnsi="Arial" w:cs="Arial"/>
          <w:sz w:val="20"/>
          <w:szCs w:val="20"/>
        </w:rPr>
        <w:t>Trust’s open Index Futures positions (long) were as follows:</w:t>
      </w:r>
    </w:p>
    <w:p w14:paraId="5EBAF1B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554"/>
        <w:gridCol w:w="56"/>
        <w:gridCol w:w="112"/>
        <w:gridCol w:w="1113"/>
        <w:gridCol w:w="56"/>
      </w:tblGrid>
      <w:tr w:rsidR="00000000" w14:paraId="0CEE16E4" w14:textId="77777777">
        <w:trPr>
          <w:tblCellSpacing w:w="0" w:type="dxa"/>
        </w:trPr>
        <w:tc>
          <w:tcPr>
            <w:tcW w:w="4250" w:type="pct"/>
            <w:shd w:val="clear" w:color="auto" w:fill="CCEEFF"/>
            <w:vAlign w:val="bottom"/>
            <w:hideMark/>
          </w:tcPr>
          <w:p w14:paraId="44D804F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14:paraId="2E448CB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6D73FC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AB622A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40,295</w:t>
            </w:r>
          </w:p>
        </w:tc>
        <w:tc>
          <w:tcPr>
            <w:tcW w:w="50" w:type="pct"/>
            <w:shd w:val="clear" w:color="auto" w:fill="CCEEFF"/>
            <w:vAlign w:val="bottom"/>
            <w:hideMark/>
          </w:tcPr>
          <w:p w14:paraId="185B984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36B508B" w14:textId="77777777">
        <w:trPr>
          <w:tblCellSpacing w:w="0" w:type="dxa"/>
        </w:trPr>
        <w:tc>
          <w:tcPr>
            <w:tcW w:w="4250" w:type="pct"/>
            <w:shd w:val="clear" w:color="auto" w:fill="FFFFFF"/>
            <w:vAlign w:val="bottom"/>
            <w:hideMark/>
          </w:tcPr>
          <w:p w14:paraId="24F0F1A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50" w:type="pct"/>
            <w:shd w:val="clear" w:color="auto" w:fill="FFFFFF"/>
            <w:vAlign w:val="bottom"/>
            <w:hideMark/>
          </w:tcPr>
          <w:p w14:paraId="4A73A92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gridSpan w:val="2"/>
            <w:shd w:val="clear" w:color="auto" w:fill="FFFFFF"/>
            <w:vAlign w:val="bottom"/>
            <w:hideMark/>
          </w:tcPr>
          <w:p w14:paraId="522CFEF4" w14:textId="77777777" w:rsidR="00000000" w:rsidRDefault="00016ED8">
            <w:pPr>
              <w:pStyle w:val="a3"/>
              <w:spacing w:before="0" w:beforeAutospacing="0" w:after="0" w:afterAutospacing="0"/>
              <w:jc w:val="right"/>
              <w:rPr>
                <w:rFonts w:ascii="Arial" w:hAnsi="Arial" w:cs="Arial"/>
                <w:sz w:val="20"/>
                <w:szCs w:val="20"/>
              </w:rPr>
            </w:pPr>
            <w:r>
              <w:rPr>
                <w:rFonts w:ascii="Arial" w:hAnsi="Arial" w:cs="Arial"/>
                <w:sz w:val="20"/>
                <w:szCs w:val="20"/>
              </w:rPr>
              <w:t>September 2020</w:t>
            </w:r>
          </w:p>
        </w:tc>
        <w:tc>
          <w:tcPr>
            <w:tcW w:w="50" w:type="pct"/>
            <w:shd w:val="clear" w:color="auto" w:fill="FFFFFF"/>
            <w:vAlign w:val="bottom"/>
            <w:hideMark/>
          </w:tcPr>
          <w:p w14:paraId="233DC2E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905C794" w14:textId="77777777">
        <w:trPr>
          <w:tblCellSpacing w:w="0" w:type="dxa"/>
        </w:trPr>
        <w:tc>
          <w:tcPr>
            <w:tcW w:w="4250" w:type="pct"/>
            <w:shd w:val="clear" w:color="auto" w:fill="CCEEFF"/>
            <w:vAlign w:val="bottom"/>
            <w:hideMark/>
          </w:tcPr>
          <w:p w14:paraId="16FDAD8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14:paraId="1CF7D7E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B21D4E3"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CCEEFF"/>
            <w:vAlign w:val="bottom"/>
            <w:hideMark/>
          </w:tcPr>
          <w:p w14:paraId="0BF0F5D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147.10</w:t>
            </w:r>
          </w:p>
        </w:tc>
        <w:tc>
          <w:tcPr>
            <w:tcW w:w="50" w:type="pct"/>
            <w:shd w:val="clear" w:color="auto" w:fill="CCEEFF"/>
            <w:vAlign w:val="bottom"/>
            <w:hideMark/>
          </w:tcPr>
          <w:p w14:paraId="3614DA4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54F30B7" w14:textId="77777777">
        <w:trPr>
          <w:tblCellSpacing w:w="0" w:type="dxa"/>
        </w:trPr>
        <w:tc>
          <w:tcPr>
            <w:tcW w:w="4250" w:type="pct"/>
            <w:shd w:val="clear" w:color="auto" w:fill="FFFFFF"/>
            <w:vAlign w:val="bottom"/>
            <w:hideMark/>
          </w:tcPr>
          <w:p w14:paraId="4DC65C0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14:paraId="4DC605A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D4F5CC"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44E66A2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608,341,674</w:t>
            </w:r>
          </w:p>
        </w:tc>
        <w:tc>
          <w:tcPr>
            <w:tcW w:w="50" w:type="pct"/>
            <w:shd w:val="clear" w:color="auto" w:fill="FFFFFF"/>
            <w:vAlign w:val="bottom"/>
            <w:hideMark/>
          </w:tcPr>
          <w:p w14:paraId="56841CB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6A0C9CD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0E9E57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June 30, 2020, which was $150.97 per contract, and the $100 multiplier applicable under the contract terms.</w:t>
      </w:r>
    </w:p>
    <w:p w14:paraId="28139A6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318564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result</w:t>
      </w:r>
      <w:r>
        <w:rPr>
          <w:rFonts w:ascii="Arial" w:hAnsi="Arial" w:cs="Arial"/>
          <w:sz w:val="20"/>
          <w:szCs w:val="20"/>
        </w:rPr>
        <w:t xml:space="preserve"> of investing in short-term U.S. Treasury bills and such market risk is expected to be immaterial.</w:t>
      </w:r>
    </w:p>
    <w:p w14:paraId="27B227B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8A956E0"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14:paraId="1376BFF5" w14:textId="77777777" w:rsidR="00000000" w:rsidRDefault="00016ED8">
      <w:pPr>
        <w:pStyle w:val="a3"/>
        <w:spacing w:before="0" w:beforeAutospacing="0" w:after="0" w:afterAutospacing="0"/>
        <w:rPr>
          <w:rFonts w:ascii="Arial" w:hAnsi="Arial" w:cs="Arial"/>
          <w:sz w:val="20"/>
          <w:szCs w:val="20"/>
        </w:rPr>
      </w:pPr>
      <w:r>
        <w:rPr>
          <w:rFonts w:ascii="Arial" w:hAnsi="Arial" w:cs="Arial"/>
          <w:i/>
          <w:iCs/>
          <w:sz w:val="20"/>
          <w:szCs w:val="20"/>
        </w:rPr>
        <w:t> </w:t>
      </w:r>
    </w:p>
    <w:p w14:paraId="4DAEDD8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index co</w:t>
      </w:r>
      <w:r>
        <w:rPr>
          <w:rFonts w:ascii="Arial" w:hAnsi="Arial" w:cs="Arial"/>
          <w:sz w:val="20"/>
          <w:szCs w:val="20"/>
        </w:rPr>
        <w:t>mposed of a diversified group of commodities futures. The Trust seeks to track the investment returns of the Index before payment of the Trust’s expenses and liabilities. The Index itself is intended to reflect the performance of a diversified group of phy</w:t>
      </w:r>
      <w:r>
        <w:rPr>
          <w:rFonts w:ascii="Arial" w:hAnsi="Arial" w:cs="Arial"/>
          <w:sz w:val="20"/>
          <w:szCs w:val="20"/>
        </w:rPr>
        <w:t>sical commodities, including energy commodities, precious and industrial metal commodities, agricultural commodities and livestock commodities. The Trust obtains this exposure to commodity prices through the Trust’s Index Futures positions. As a result, fl</w:t>
      </w:r>
      <w:r>
        <w:rPr>
          <w:rFonts w:ascii="Arial" w:hAnsi="Arial" w:cs="Arial"/>
          <w:sz w:val="20"/>
          <w:szCs w:val="20"/>
        </w:rPr>
        <w:t>uctuations in the value of the Trust’s Index Futures are expected to directly affect the value of the Shares.</w:t>
      </w:r>
    </w:p>
    <w:p w14:paraId="4874DDA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669360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Trust will not engage in any activities designed to obtain a profit from, or ameliorate losses caused by, changes in the level of the Index </w:t>
      </w:r>
      <w:r>
        <w:rPr>
          <w:rFonts w:ascii="Arial" w:hAnsi="Arial" w:cs="Arial"/>
          <w:sz w:val="20"/>
          <w:szCs w:val="20"/>
        </w:rPr>
        <w:t>or the 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14:paraId="4D4B626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00A961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12C71DB"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14:paraId="7118AA4F"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5A4A8B0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The duly authorized officers of the Sponsor performing functions equivalent to those a principal executive officer and principal financial officer of the Trust would perform if the Trust had any </w:t>
      </w:r>
      <w:r>
        <w:rPr>
          <w:rFonts w:ascii="Arial" w:hAnsi="Arial" w:cs="Arial"/>
          <w:sz w:val="20"/>
          <w:szCs w:val="20"/>
        </w:rPr>
        <w:t>officers, with the participation of the Trustee, have evaluated the effectiveness of the Trust’s disclosure controls and procedures, and have concluded that the disclosure controls and procedures of the Trust were effective as of the end of the period cove</w:t>
      </w:r>
      <w:r>
        <w:rPr>
          <w:rFonts w:ascii="Arial" w:hAnsi="Arial" w:cs="Arial"/>
          <w:sz w:val="20"/>
          <w:szCs w:val="20"/>
        </w:rPr>
        <w:t>red by this report to provide reasonable assurance that information required to be disclosed in the reports that the Trust files or submits under the Securities Exchange Act of 1934, as amended, is recorded, processed, summarized and reported, within the t</w:t>
      </w:r>
      <w:r>
        <w:rPr>
          <w:rFonts w:ascii="Arial" w:hAnsi="Arial" w:cs="Arial"/>
          <w:sz w:val="20"/>
          <w:szCs w:val="20"/>
        </w:rPr>
        <w:t>ime periods specified in the applicable rules and forms, and that it is accumulated and communicated to the duly authorized officers of the Sponsor performing functions equivalent to those a principal executive officer and principal financial officer of th</w:t>
      </w:r>
      <w:r>
        <w:rPr>
          <w:rFonts w:ascii="Arial" w:hAnsi="Arial" w:cs="Arial"/>
          <w:sz w:val="20"/>
          <w:szCs w:val="20"/>
        </w:rPr>
        <w:t>e Trust would perform if the Trust had any officers, as appropriate to allow timely decisions regarding required disclosure.</w:t>
      </w:r>
    </w:p>
    <w:p w14:paraId="78C4DFA9"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3C55F3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w:t>
      </w:r>
      <w:r>
        <w:rPr>
          <w:rFonts w:ascii="Arial" w:hAnsi="Arial" w:cs="Arial"/>
          <w:sz w:val="20"/>
          <w:szCs w:val="20"/>
        </w:rPr>
        <w:t>y of human error and the circumvention or overriding of the controls and procedures.</w:t>
      </w:r>
    </w:p>
    <w:p w14:paraId="35E28E8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F82D12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over financial reporting that occurred during the period covered by this report that have materially affected, or a</w:t>
      </w:r>
      <w:r>
        <w:rPr>
          <w:rFonts w:ascii="Arial" w:hAnsi="Arial" w:cs="Arial"/>
          <w:sz w:val="20"/>
          <w:szCs w:val="20"/>
        </w:rPr>
        <w:t>re reasonably likely to materially affect, the Trust’s internal control over financial reporting.</w:t>
      </w:r>
    </w:p>
    <w:p w14:paraId="689F4FB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2C0F073" w14:textId="77777777" w:rsidR="00000000" w:rsidRDefault="00016ED8">
      <w:pPr>
        <w:jc w:val="center"/>
        <w:divId w:val="1954826579"/>
        <w:rPr>
          <w:rFonts w:ascii="Arial" w:eastAsia="Times New Roman" w:hAnsi="Arial" w:cs="Arial"/>
          <w:sz w:val="20"/>
          <w:szCs w:val="20"/>
        </w:rPr>
      </w:pPr>
      <w:r>
        <w:rPr>
          <w:rFonts w:ascii="Arial" w:eastAsia="Times New Roman" w:hAnsi="Arial" w:cs="Arial"/>
          <w:sz w:val="20"/>
          <w:szCs w:val="20"/>
        </w:rPr>
        <w:t xml:space="preserve">14 </w:t>
      </w:r>
    </w:p>
    <w:p w14:paraId="7ED539A0" w14:textId="77777777" w:rsidR="00000000" w:rsidRDefault="00016ED8">
      <w:pPr>
        <w:divId w:val="1047800872"/>
        <w:rPr>
          <w:rFonts w:ascii="Arial" w:eastAsia="Times New Roman" w:hAnsi="Arial" w:cs="Arial"/>
          <w:sz w:val="20"/>
          <w:szCs w:val="20"/>
        </w:rPr>
      </w:pPr>
      <w:r>
        <w:rPr>
          <w:rFonts w:ascii="Arial" w:eastAsia="Times New Roman" w:hAnsi="Arial" w:cs="Arial"/>
          <w:sz w:val="20"/>
          <w:szCs w:val="20"/>
        </w:rPr>
        <w:pict w14:anchorId="48268B89">
          <v:rect id="_x0000_i1056" style="width:0;height:1.5pt" o:hralign="center" o:hrstd="t" o:hr="t" fillcolor="#a0a0a0" stroked="f"/>
        </w:pict>
      </w:r>
    </w:p>
    <w:p w14:paraId="5510A4C3" w14:textId="77777777" w:rsidR="00000000" w:rsidRDefault="00016ED8">
      <w:pPr>
        <w:divId w:val="31962637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A8DAD9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848A6FD"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PART II – OTHER INFORMATION</w:t>
      </w:r>
    </w:p>
    <w:p w14:paraId="063AEF9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1E05FF6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14:paraId="67239E7B"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5C83B7E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On June 16, 2016, the Advisor and certain principals of the Advisor and the Sponsor were named as defendants in a purported class action lawsuit filed in California state court. The lawsuit was filed by investors in certain iShares ETFs, and alleges the de</w:t>
      </w:r>
      <w:r>
        <w:rPr>
          <w:rFonts w:ascii="Arial" w:hAnsi="Arial" w:cs="Arial"/>
          <w:sz w:val="20"/>
          <w:szCs w:val="20"/>
        </w:rPr>
        <w:t>fendants violated the federal securities laws by failing to adequately disclose in prospectuses issued by the ETFs the risks to the ETFs’ shareholders in the event of a “flash crash.” Plaintiffs seek unspecified monetary and rescission damages. The plainti</w:t>
      </w:r>
      <w:r>
        <w:rPr>
          <w:rFonts w:ascii="Arial" w:hAnsi="Arial" w:cs="Arial"/>
          <w:sz w:val="20"/>
          <w:szCs w:val="20"/>
        </w:rPr>
        <w:t xml:space="preserve">ffs’ complaint was dismissed in December 2016 and on January 6, 2017, plaintiffs filed an amended complaint. On April 27, 2017, the court partially granted the defendants’ motion for judgment on the pleadings, dismissing certain of the plaintiffs’ claims. </w:t>
      </w:r>
      <w:r>
        <w:rPr>
          <w:rFonts w:ascii="Arial" w:hAnsi="Arial" w:cs="Arial"/>
          <w:sz w:val="20"/>
          <w:szCs w:val="20"/>
        </w:rPr>
        <w:t>On September 18, 2017, the court issued a decision dismissing the remainder of the lawsuit after a one-day bench trial. On October 11, 2017, the court entered final judgment dismissing all of plaintiffs’ claims with prejudice. In an opinion dated January 2</w:t>
      </w:r>
      <w:r>
        <w:rPr>
          <w:rFonts w:ascii="Arial" w:hAnsi="Arial" w:cs="Arial"/>
          <w:sz w:val="20"/>
          <w:szCs w:val="20"/>
        </w:rPr>
        <w:t>3, 2020, the California Court of Appeal affirmed the dismissal of plaintiffs’ claims. On March 3, 2020, plaintiffs filed a petition for review by the California Supreme Court. On May 27, 2020, the California Supreme Court denied plaintiffs' petition for re</w:t>
      </w:r>
      <w:r>
        <w:rPr>
          <w:rFonts w:ascii="Arial" w:hAnsi="Arial" w:cs="Arial"/>
          <w:sz w:val="20"/>
          <w:szCs w:val="20"/>
        </w:rPr>
        <w:t>view. Plaintiffs may choose to petition the U.S. Supreme Court for further review.</w:t>
      </w:r>
    </w:p>
    <w:p w14:paraId="44326C3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D6D366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1CD7D90"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14:paraId="0356DD3A"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36719A5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There have been no material changes to the Risk Factors last reported under Part I, Item 1A of the registrants’ Annua</w:t>
      </w:r>
      <w:r>
        <w:rPr>
          <w:rFonts w:ascii="Arial" w:hAnsi="Arial" w:cs="Arial"/>
          <w:sz w:val="20"/>
          <w:szCs w:val="20"/>
        </w:rPr>
        <w:t>l Report on Form 10-K for the year ended December 31, 2019, filed with the Securities and Exchange Commission on February 27, 2020, except for the following:</w:t>
      </w:r>
    </w:p>
    <w:p w14:paraId="3F3BC6A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34047C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(1)     The risk factor entitled “The value of the Shares depends on the value of Index Futures,</w:t>
      </w:r>
      <w:r>
        <w:rPr>
          <w:rFonts w:ascii="Arial" w:hAnsi="Arial" w:cs="Arial"/>
          <w:sz w:val="20"/>
          <w:szCs w:val="20"/>
        </w:rPr>
        <w:t xml:space="preserve"> which fluctuates based on the prices of commodity futures contracts reflected in the S&amp;P GSCI-ER. These prices may be volatile, thereby creating the potential for losses regardless of the length of time you intend to hold your Shares,” is modified to read</w:t>
      </w:r>
      <w:r>
        <w:rPr>
          <w:rFonts w:ascii="Arial" w:hAnsi="Arial" w:cs="Arial"/>
          <w:sz w:val="20"/>
          <w:szCs w:val="20"/>
        </w:rPr>
        <w:t xml:space="preserve"> as follows:</w:t>
      </w:r>
    </w:p>
    <w:p w14:paraId="040ECB6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69EF388"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Because the price of the Shares depends on the value of the Index Futures held by the Trust, the value of the Shares fluctuates based on the prices of commodity futures contracts reflected in the S&amp;P GSCI-ER. Commodity prices may be volatile</w:t>
      </w:r>
      <w:r>
        <w:rPr>
          <w:rFonts w:ascii="Arial" w:hAnsi="Arial" w:cs="Arial"/>
          <w:sz w:val="20"/>
          <w:szCs w:val="20"/>
        </w:rPr>
        <w:t>. Commodity prices are generally affected by, among other factors, the cost of producing, transporting and storing commodities, changes in consumer or commercial demand for commodities, the hedging and trading strategies of producers and consumers of commo</w:t>
      </w:r>
      <w:r>
        <w:rPr>
          <w:rFonts w:ascii="Arial" w:hAnsi="Arial" w:cs="Arial"/>
          <w:sz w:val="20"/>
          <w:szCs w:val="20"/>
        </w:rPr>
        <w:t xml:space="preserve">dities, speculative trading in commodities by commodity pools and other market participants, disruptions in commodity supply, weather, political and other global events, global economic factors and government intervention in or regulation of the commodity </w:t>
      </w:r>
      <w:r>
        <w:rPr>
          <w:rFonts w:ascii="Arial" w:hAnsi="Arial" w:cs="Arial"/>
          <w:sz w:val="20"/>
          <w:szCs w:val="20"/>
        </w:rPr>
        <w:t>or commodity futures markets. These factors cannot be controlled by the Trust. Accordingly, the price of the Shares could change substantially and in a rapid and unpredictable manner. This exposes you to a potential loss on your investment in the Shares, r</w:t>
      </w:r>
      <w:r>
        <w:rPr>
          <w:rFonts w:ascii="Arial" w:hAnsi="Arial" w:cs="Arial"/>
          <w:sz w:val="20"/>
          <w:szCs w:val="20"/>
        </w:rPr>
        <w:t>egardless of the length of time you intend to hold your Shares.</w:t>
      </w:r>
    </w:p>
    <w:p w14:paraId="5AF1879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EEA935F"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With regard to oil, a variety of factors can affect the price of oil and in turn the related Index Futures, including sudden and significant increases or decreases in production or available</w:t>
      </w:r>
      <w:r>
        <w:rPr>
          <w:rFonts w:ascii="Arial" w:hAnsi="Arial" w:cs="Arial"/>
          <w:sz w:val="20"/>
          <w:szCs w:val="20"/>
        </w:rPr>
        <w:t xml:space="preserve"> supply or significant increases or decreases in demand due to natural factors, epidemics, technological factors, tension and competition between oil exporting nations, civil unrest and sabotage, fluctuations in the reserve capacity, large purchases by gov</w:t>
      </w:r>
      <w:r>
        <w:rPr>
          <w:rFonts w:ascii="Arial" w:hAnsi="Arial" w:cs="Arial"/>
          <w:sz w:val="20"/>
          <w:szCs w:val="20"/>
        </w:rPr>
        <w:t>ernmental entities and competition from other energy sectors. Such risks historically and recently have led, and in the future could lead, to significant market volatility, which could impact the Index Futures held by the Trust and negatively impact the pr</w:t>
      </w:r>
      <w:r>
        <w:rPr>
          <w:rFonts w:ascii="Arial" w:hAnsi="Arial" w:cs="Arial"/>
          <w:sz w:val="20"/>
          <w:szCs w:val="20"/>
        </w:rPr>
        <w:t>ice of the Shares. Such risks may be exacerbated as a result of the COVID-19 pandemic and other factors.</w:t>
      </w:r>
    </w:p>
    <w:p w14:paraId="0824B194"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 </w:t>
      </w:r>
    </w:p>
    <w:p w14:paraId="02BD3D3B"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In April 2020, the collapse of demand for fuel as a result of economic conditions relating to COVID-19 and other factors created an oversupply of cru</w:t>
      </w:r>
      <w:r>
        <w:rPr>
          <w:rFonts w:ascii="Arial" w:hAnsi="Arial" w:cs="Arial"/>
          <w:sz w:val="20"/>
          <w:szCs w:val="20"/>
        </w:rPr>
        <w:t>de oil that rapidly filled most available oil storage facilities. As a result, market participants that had agreed to take delivery of crude oil under the May 2020 WTI crude oil futures contract were at risk of default. In response, certain market particip</w:t>
      </w:r>
      <w:r>
        <w:rPr>
          <w:rFonts w:ascii="Arial" w:hAnsi="Arial" w:cs="Arial"/>
          <w:sz w:val="20"/>
          <w:szCs w:val="20"/>
        </w:rPr>
        <w:t>ants took the extreme measure of selling their futures contracts at a negative price. This caused the May 2020 WTI crude oil futures contract to trade at a negative price. If all or a significant portion of the futures contracts reflected in the S&amp;P GSCI E</w:t>
      </w:r>
      <w:r>
        <w:rPr>
          <w:rFonts w:ascii="Arial" w:hAnsi="Arial" w:cs="Arial"/>
          <w:sz w:val="20"/>
          <w:szCs w:val="20"/>
        </w:rPr>
        <w:t>R were to reach a negative price, you could lose your entire investment.</w:t>
      </w:r>
    </w:p>
    <w:p w14:paraId="30E2B85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4C65BB1"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The following events, among others, would generally result in a decline in the price of the Shares:</w:t>
      </w:r>
    </w:p>
    <w:p w14:paraId="48B8525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00"/>
        <w:gridCol w:w="720"/>
        <w:gridCol w:w="6686"/>
      </w:tblGrid>
      <w:tr w:rsidR="00000000" w14:paraId="18DB7966" w14:textId="77777777">
        <w:trPr>
          <w:tblCellSpacing w:w="0" w:type="dxa"/>
        </w:trPr>
        <w:tc>
          <w:tcPr>
            <w:tcW w:w="900" w:type="dxa"/>
            <w:hideMark/>
          </w:tcPr>
          <w:p w14:paraId="623CBB69" w14:textId="77777777" w:rsidR="00000000" w:rsidRDefault="00016ED8">
            <w:pPr>
              <w:rPr>
                <w:rFonts w:eastAsia="Times New Roman"/>
              </w:rPr>
            </w:pPr>
            <w:r>
              <w:rPr>
                <w:rFonts w:eastAsia="Times New Roman"/>
              </w:rPr>
              <w:t> </w:t>
            </w:r>
          </w:p>
        </w:tc>
        <w:tc>
          <w:tcPr>
            <w:tcW w:w="720" w:type="dxa"/>
            <w:hideMark/>
          </w:tcPr>
          <w:p w14:paraId="4EEE8E2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30CF397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A significant increase in hedging activity by producers of the underlying c</w:t>
            </w:r>
            <w:r>
              <w:rPr>
                <w:rFonts w:ascii="Arial" w:hAnsi="Arial" w:cs="Arial"/>
                <w:sz w:val="20"/>
                <w:szCs w:val="20"/>
              </w:rPr>
              <w:t>ommodities. Should producers of the commodities underlying the S&amp;P GSCI-ER increase their hedging of their future production through forward sales or other short positions, this increased selling pressure could depress the price of one or more of the under</w:t>
            </w:r>
            <w:r>
              <w:rPr>
                <w:rFonts w:ascii="Arial" w:hAnsi="Arial" w:cs="Arial"/>
                <w:sz w:val="20"/>
                <w:szCs w:val="20"/>
              </w:rPr>
              <w:t>lying commodities, which could adversely affect the price of the Shares.</w:t>
            </w:r>
          </w:p>
        </w:tc>
      </w:tr>
    </w:tbl>
    <w:p w14:paraId="36CCED43"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900"/>
        <w:gridCol w:w="720"/>
        <w:gridCol w:w="6686"/>
      </w:tblGrid>
      <w:tr w:rsidR="00000000" w14:paraId="0E0342C6" w14:textId="77777777">
        <w:trPr>
          <w:tblCellSpacing w:w="0" w:type="dxa"/>
        </w:trPr>
        <w:tc>
          <w:tcPr>
            <w:tcW w:w="900" w:type="dxa"/>
            <w:hideMark/>
          </w:tcPr>
          <w:p w14:paraId="6EB6E7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20" w:type="dxa"/>
            <w:hideMark/>
          </w:tcPr>
          <w:p w14:paraId="79DA04E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3BFA57B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A significant change in the attitude of speculators and investors toward the futures contracts or commodities underlying the S&amp;P GSCI</w:t>
            </w:r>
            <w:r>
              <w:rPr>
                <w:rFonts w:ascii="Arial" w:hAnsi="Arial" w:cs="Arial"/>
                <w:sz w:val="20"/>
                <w:szCs w:val="20"/>
              </w:rPr>
              <w:noBreakHyphen/>
              <w:t>ER. Should the speculative community take a negative view towards one or more of the underlying futures contracts or commo</w:t>
            </w:r>
            <w:r>
              <w:rPr>
                <w:rFonts w:ascii="Arial" w:hAnsi="Arial" w:cs="Arial"/>
                <w:sz w:val="20"/>
                <w:szCs w:val="20"/>
              </w:rPr>
              <w:t>dities, it could cause a decline in the price of the Index Futures, which may reduce the price of the Shares.</w:t>
            </w:r>
          </w:p>
        </w:tc>
      </w:tr>
      <w:tr w:rsidR="00000000" w14:paraId="5AF317D9" w14:textId="77777777">
        <w:trPr>
          <w:tblCellSpacing w:w="0" w:type="dxa"/>
        </w:trPr>
        <w:tc>
          <w:tcPr>
            <w:tcW w:w="900" w:type="dxa"/>
            <w:vAlign w:val="center"/>
            <w:hideMark/>
          </w:tcPr>
          <w:p w14:paraId="2E256A1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720" w:type="dxa"/>
            <w:hideMark/>
          </w:tcPr>
          <w:p w14:paraId="6C64BF9C"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0" w:type="auto"/>
            <w:vAlign w:val="center"/>
            <w:hideMark/>
          </w:tcPr>
          <w:p w14:paraId="7017C525" w14:textId="77777777" w:rsidR="00000000" w:rsidRDefault="00016ED8">
            <w:pPr>
              <w:rPr>
                <w:rFonts w:ascii="Arial" w:eastAsia="Times New Roman" w:hAnsi="Arial" w:cs="Arial"/>
                <w:sz w:val="20"/>
                <w:szCs w:val="20"/>
              </w:rPr>
            </w:pPr>
            <w:r>
              <w:rPr>
                <w:rFonts w:ascii="Arial" w:eastAsia="Times New Roman" w:hAnsi="Arial" w:cs="Arial"/>
                <w:sz w:val="20"/>
                <w:szCs w:val="20"/>
              </w:rPr>
              <w:t>Based on market conditions, futures contracts underlying the S&amp;P GSCI-ER may trade or settle at or below zero, and the zero or negative value</w:t>
            </w:r>
            <w:r>
              <w:rPr>
                <w:rFonts w:ascii="Arial" w:eastAsia="Times New Roman" w:hAnsi="Arial" w:cs="Arial"/>
                <w:sz w:val="20"/>
                <w:szCs w:val="20"/>
              </w:rPr>
              <w:t xml:space="preserve"> will be used in calculation of impacted indices, including the S&amp;P GSCI-ER. A zero or negative value in respect of one or more underlying futures contracts may result in a zero or negative value in respect of the S&amp;P GSCI-ER, and, consequently, the Index </w:t>
            </w:r>
            <w:r>
              <w:rPr>
                <w:rFonts w:ascii="Arial" w:eastAsia="Times New Roman" w:hAnsi="Arial" w:cs="Arial"/>
                <w:sz w:val="20"/>
                <w:szCs w:val="20"/>
              </w:rPr>
              <w:t>Futures.</w:t>
            </w:r>
          </w:p>
        </w:tc>
      </w:tr>
    </w:tbl>
    <w:p w14:paraId="3AE6BFF7" w14:textId="77777777" w:rsidR="00000000" w:rsidRDefault="00016ED8">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900"/>
        <w:gridCol w:w="720"/>
        <w:gridCol w:w="6686"/>
      </w:tblGrid>
      <w:tr w:rsidR="00000000" w14:paraId="63ACC31D" w14:textId="77777777">
        <w:trPr>
          <w:tblCellSpacing w:w="0" w:type="dxa"/>
        </w:trPr>
        <w:tc>
          <w:tcPr>
            <w:tcW w:w="900" w:type="dxa"/>
            <w:hideMark/>
          </w:tcPr>
          <w:p w14:paraId="415F424B" w14:textId="77777777" w:rsidR="00000000" w:rsidRDefault="00016ED8">
            <w:pPr>
              <w:rPr>
                <w:rFonts w:eastAsia="Times New Roman"/>
              </w:rPr>
            </w:pPr>
            <w:r>
              <w:rPr>
                <w:rFonts w:eastAsia="Times New Roman"/>
              </w:rPr>
              <w:t> </w:t>
            </w:r>
          </w:p>
        </w:tc>
        <w:tc>
          <w:tcPr>
            <w:tcW w:w="720" w:type="dxa"/>
            <w:hideMark/>
          </w:tcPr>
          <w:p w14:paraId="7E7F0FB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w:t>
            </w:r>
          </w:p>
        </w:tc>
        <w:tc>
          <w:tcPr>
            <w:tcW w:w="0" w:type="auto"/>
            <w:hideMark/>
          </w:tcPr>
          <w:p w14:paraId="6B8B8CF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Significant reductions in the size of positions permitted to be owned by the Trust or others in Index Futures or in the futures contracts and/or commodities comprising the S&amp;P GSCI-ER, for example, as a result of more restrictive position limits or positio</w:t>
            </w:r>
            <w:r>
              <w:rPr>
                <w:rFonts w:ascii="Arial" w:hAnsi="Arial" w:cs="Arial"/>
                <w:sz w:val="20"/>
                <w:szCs w:val="20"/>
              </w:rPr>
              <w:t>n limit exemptions or more expansive position aggregation requirements, could reduce liquidity and depress the price of the S&amp;P GSCI-ER and/or the underlying futures contracts or commodities, adversely affecting the value of your Shares.</w:t>
            </w:r>
          </w:p>
        </w:tc>
      </w:tr>
    </w:tbl>
    <w:p w14:paraId="75C61D7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C64D6E3"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Conversely, sev</w:t>
      </w:r>
      <w:r>
        <w:rPr>
          <w:rFonts w:ascii="Arial" w:hAnsi="Arial" w:cs="Arial"/>
          <w:sz w:val="20"/>
          <w:szCs w:val="20"/>
        </w:rPr>
        <w:t>eral factors could trigger a temporary increase in the price of the futures contracts or commodities underlying the S&amp;P GSCI-ER and, consequently, the Index Futures. In that case, you could buy Shares at prices affected by the temporarily high commodity pr</w:t>
      </w:r>
      <w:r>
        <w:rPr>
          <w:rFonts w:ascii="Arial" w:hAnsi="Arial" w:cs="Arial"/>
          <w:sz w:val="20"/>
          <w:szCs w:val="20"/>
        </w:rPr>
        <w:t>ices, and you could subsequently incur losses when the causes for the temporary increase disappear.</w:t>
      </w:r>
    </w:p>
    <w:p w14:paraId="5394A418" w14:textId="77777777" w:rsidR="00000000" w:rsidRDefault="00016ED8">
      <w:pPr>
        <w:pStyle w:val="a3"/>
        <w:spacing w:before="0" w:beforeAutospacing="0" w:after="0" w:afterAutospacing="0"/>
        <w:ind w:left="144" w:right="144"/>
        <w:rPr>
          <w:sz w:val="20"/>
          <w:szCs w:val="20"/>
        </w:rPr>
      </w:pPr>
      <w:r>
        <w:rPr>
          <w:sz w:val="20"/>
          <w:szCs w:val="20"/>
        </w:rPr>
        <w:t> </w:t>
      </w:r>
    </w:p>
    <w:p w14:paraId="08682090" w14:textId="77777777" w:rsidR="00000000" w:rsidRDefault="00016ED8">
      <w:pPr>
        <w:jc w:val="center"/>
        <w:divId w:val="2022318130"/>
        <w:rPr>
          <w:rFonts w:ascii="Arial" w:eastAsia="Times New Roman" w:hAnsi="Arial" w:cs="Arial"/>
          <w:sz w:val="20"/>
          <w:szCs w:val="20"/>
        </w:rPr>
      </w:pPr>
      <w:r>
        <w:rPr>
          <w:rFonts w:ascii="Arial" w:eastAsia="Times New Roman" w:hAnsi="Arial" w:cs="Arial"/>
          <w:sz w:val="20"/>
          <w:szCs w:val="20"/>
        </w:rPr>
        <w:t xml:space="preserve">15 </w:t>
      </w:r>
    </w:p>
    <w:p w14:paraId="1DB5E0BF" w14:textId="77777777" w:rsidR="00000000" w:rsidRDefault="00016ED8">
      <w:pPr>
        <w:divId w:val="48458203"/>
        <w:rPr>
          <w:rFonts w:ascii="Arial" w:eastAsia="Times New Roman" w:hAnsi="Arial" w:cs="Arial"/>
          <w:sz w:val="20"/>
          <w:szCs w:val="20"/>
        </w:rPr>
      </w:pPr>
      <w:r>
        <w:rPr>
          <w:rFonts w:ascii="Arial" w:eastAsia="Times New Roman" w:hAnsi="Arial" w:cs="Arial"/>
          <w:sz w:val="20"/>
          <w:szCs w:val="20"/>
        </w:rPr>
        <w:pict w14:anchorId="09C3F3A5">
          <v:rect id="_x0000_i1057" style="width:0;height:1.5pt" o:hralign="center" o:hrstd="t" o:hr="t" fillcolor="#a0a0a0" stroked="f"/>
        </w:pict>
      </w:r>
    </w:p>
    <w:p w14:paraId="657BCE36" w14:textId="77777777" w:rsidR="00000000" w:rsidRDefault="00016ED8">
      <w:pPr>
        <w:divId w:val="109277621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9A2CAC0" w14:textId="77777777" w:rsidR="00000000" w:rsidRDefault="00016ED8">
      <w:pPr>
        <w:pStyle w:val="a3"/>
        <w:spacing w:before="0" w:beforeAutospacing="0" w:after="0" w:afterAutospacing="0"/>
        <w:rPr>
          <w:sz w:val="20"/>
          <w:szCs w:val="20"/>
        </w:rPr>
      </w:pPr>
      <w:r>
        <w:rPr>
          <w:sz w:val="20"/>
          <w:szCs w:val="20"/>
        </w:rPr>
        <w:t> </w:t>
      </w:r>
    </w:p>
    <w:p w14:paraId="55491F7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(2)     The risk factor entitled “During a period when commodity prices are fairly stationary, an absence of “backwardation” in the prices of the commodities included in the</w:t>
      </w:r>
      <w:r>
        <w:rPr>
          <w:rFonts w:ascii="Arial" w:hAnsi="Arial" w:cs="Arial"/>
          <w:sz w:val="20"/>
          <w:szCs w:val="20"/>
        </w:rPr>
        <w:t xml:space="preserve"> S&amp;P GSCI-ER may cause the price of your Shares to decrease" is modified to read as follows:</w:t>
      </w:r>
    </w:p>
    <w:p w14:paraId="7149BBE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4BB51CF" w14:textId="77777777" w:rsidR="00000000" w:rsidRDefault="00016ED8">
      <w:pPr>
        <w:pStyle w:val="a3"/>
        <w:spacing w:before="0" w:beforeAutospacing="0" w:after="0" w:afterAutospacing="0"/>
        <w:ind w:left="144" w:right="144"/>
        <w:rPr>
          <w:rFonts w:ascii="Arial" w:hAnsi="Arial" w:cs="Arial"/>
          <w:sz w:val="20"/>
          <w:szCs w:val="20"/>
        </w:rPr>
      </w:pPr>
      <w:r>
        <w:rPr>
          <w:rFonts w:ascii="Arial" w:hAnsi="Arial" w:cs="Arial"/>
          <w:i/>
          <w:iCs/>
          <w:sz w:val="20"/>
          <w:szCs w:val="20"/>
        </w:rPr>
        <w:t>The absence of “backwardation” or the existence of "contango" in the prices of the commodities included in the S&amp;P GSCI-ER may adversely affect the value of your</w:t>
      </w:r>
      <w:r>
        <w:rPr>
          <w:rFonts w:ascii="Arial" w:hAnsi="Arial" w:cs="Arial"/>
          <w:i/>
          <w:iCs/>
          <w:sz w:val="20"/>
          <w:szCs w:val="20"/>
        </w:rPr>
        <w:t xml:space="preserve"> Shares.</w:t>
      </w:r>
    </w:p>
    <w:p w14:paraId="113E3C7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BA20835" w14:textId="77777777" w:rsidR="00000000" w:rsidRDefault="00016ED8">
      <w:pPr>
        <w:pStyle w:val="a3"/>
        <w:spacing w:before="0" w:beforeAutospacing="0" w:after="0" w:afterAutospacing="0"/>
        <w:ind w:left="144" w:right="144"/>
        <w:rPr>
          <w:rFonts w:ascii="Arial" w:hAnsi="Arial" w:cs="Arial"/>
          <w:sz w:val="20"/>
          <w:szCs w:val="20"/>
        </w:rPr>
      </w:pPr>
      <w:r>
        <w:rPr>
          <w:rFonts w:ascii="Arial" w:hAnsi="Arial" w:cs="Arial"/>
          <w:sz w:val="20"/>
          <w:szCs w:val="20"/>
        </w:rPr>
        <w:t>As the futures contracts that underlie the S&amp;P GSCI-ER near expiration, they are replaced by contracts that have a later expiration. Thus, for example, a contract purchased in March may specify a June expiration. As that contract nears expiratio</w:t>
      </w:r>
      <w:r>
        <w:rPr>
          <w:rFonts w:ascii="Arial" w:hAnsi="Arial" w:cs="Arial"/>
          <w:sz w:val="20"/>
          <w:szCs w:val="20"/>
        </w:rPr>
        <w:t>n, it may be replaced by selling the June contract and purchasing the contract expiring in September. This process is referred to as “rolling.” Historically, the prices of some futures contracts (generally those relating to commodities that are typically c</w:t>
      </w:r>
      <w:r>
        <w:rPr>
          <w:rFonts w:ascii="Arial" w:hAnsi="Arial" w:cs="Arial"/>
          <w:sz w:val="20"/>
          <w:szCs w:val="20"/>
        </w:rPr>
        <w:t>onsumed immediately rather than stored) have frequently been higher for contracts with shorter-term expirations than for contracts with longer-term expirations, which is referred to as “backwardation.” In these circumstances, absent other factors, the sale</w:t>
      </w:r>
      <w:r>
        <w:rPr>
          <w:rFonts w:ascii="Arial" w:hAnsi="Arial" w:cs="Arial"/>
          <w:sz w:val="20"/>
          <w:szCs w:val="20"/>
        </w:rPr>
        <w:t xml:space="preserve"> of the earlier contract would take place at a price that is higher than the price at which the later contract is purchased, thereby allowing the contract holder to purchase a greater quantity of the later contract. While some of the contracts included in </w:t>
      </w:r>
      <w:r>
        <w:rPr>
          <w:rFonts w:ascii="Arial" w:hAnsi="Arial" w:cs="Arial"/>
          <w:sz w:val="20"/>
          <w:szCs w:val="20"/>
        </w:rPr>
        <w:t>the S&amp;P GSCI-ER have historically exhibited periods of backwardation, backwardation will likely not exist at all times. Moreover, some of the commodities reflected in the S&amp;P GSCI-ER have historically exhibited  characteristics typical of “contango” market</w:t>
      </w:r>
      <w:r>
        <w:rPr>
          <w:rFonts w:ascii="Arial" w:hAnsi="Arial" w:cs="Arial"/>
          <w:sz w:val="20"/>
          <w:szCs w:val="20"/>
        </w:rPr>
        <w:t>s rather than backwardation. Contango markets are those in which the prices of contracts are higher in the distant delivery months than in the nearer delivery months due to the costs of long-term storage of a physical commodity prior to delivery or other f</w:t>
      </w:r>
      <w:r>
        <w:rPr>
          <w:rFonts w:ascii="Arial" w:hAnsi="Arial" w:cs="Arial"/>
          <w:sz w:val="20"/>
          <w:szCs w:val="20"/>
        </w:rPr>
        <w:t>actors. The forward price of a commodity futures contract may also fluctuate between backwardation and contango.</w:t>
      </w:r>
    </w:p>
    <w:p w14:paraId="32219978" w14:textId="77777777" w:rsidR="00000000" w:rsidRDefault="00016ED8">
      <w:pPr>
        <w:pStyle w:val="a3"/>
        <w:spacing w:before="0" w:beforeAutospacing="0" w:after="0" w:afterAutospacing="0"/>
        <w:rPr>
          <w:sz w:val="20"/>
          <w:szCs w:val="20"/>
        </w:rPr>
      </w:pPr>
      <w:r>
        <w:rPr>
          <w:sz w:val="20"/>
          <w:szCs w:val="20"/>
        </w:rPr>
        <w:t> </w:t>
      </w:r>
    </w:p>
    <w:p w14:paraId="4E095D9F" w14:textId="77777777" w:rsidR="00000000" w:rsidRDefault="00016ED8">
      <w:pPr>
        <w:pStyle w:val="a3"/>
        <w:spacing w:before="0" w:beforeAutospacing="0" w:after="0" w:afterAutospacing="0"/>
        <w:ind w:left="144" w:right="144"/>
        <w:rPr>
          <w:rFonts w:ascii="Arial" w:hAnsi="Arial" w:cs="Arial"/>
          <w:sz w:val="20"/>
          <w:szCs w:val="20"/>
        </w:rPr>
      </w:pPr>
      <w:r>
        <w:rPr>
          <w:rFonts w:ascii="Arial" w:hAnsi="Arial" w:cs="Arial"/>
          <w:sz w:val="20"/>
          <w:szCs w:val="20"/>
        </w:rPr>
        <w:t>The absence of backwardation or the existence of contango in the commodity markets could result in losses, which could adversely affect the v</w:t>
      </w:r>
      <w:r>
        <w:rPr>
          <w:rFonts w:ascii="Arial" w:hAnsi="Arial" w:cs="Arial"/>
          <w:sz w:val="20"/>
          <w:szCs w:val="20"/>
        </w:rPr>
        <w:t>alue of the S&amp;P GSCI-ER and accordingly, decrease the value of your Shares. Moreover, because the Trust must pay certain ongoing fees and expenses, the value of the Shares may decrease even in periods where commodity prices are otherwise stationary.</w:t>
      </w:r>
    </w:p>
    <w:p w14:paraId="58596C1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99555B8" w14:textId="77777777" w:rsidR="00000000" w:rsidRDefault="00016ED8">
      <w:pPr>
        <w:pStyle w:val="a3"/>
        <w:spacing w:before="0" w:beforeAutospacing="0" w:after="0" w:afterAutospacing="0"/>
        <w:ind w:left="144" w:right="144"/>
        <w:rPr>
          <w:rFonts w:ascii="Arial" w:hAnsi="Arial" w:cs="Arial"/>
          <w:sz w:val="20"/>
          <w:szCs w:val="20"/>
        </w:rPr>
      </w:pPr>
      <w:r>
        <w:rPr>
          <w:rFonts w:ascii="Arial" w:hAnsi="Arial" w:cs="Arial"/>
          <w:sz w:val="20"/>
          <w:szCs w:val="20"/>
        </w:rPr>
        <w:t>Whil</w:t>
      </w:r>
      <w:r>
        <w:rPr>
          <w:rFonts w:ascii="Arial" w:hAnsi="Arial" w:cs="Arial"/>
          <w:sz w:val="20"/>
          <w:szCs w:val="20"/>
        </w:rPr>
        <w:t>e contango and backwardation are consistently present in trading in the commodity markets, such conditions can be exacerbated by market forces. For example, following the onset of the COVID-19 pandemic, as a result of an excess supply of crude oil and weak</w:t>
      </w:r>
      <w:r>
        <w:rPr>
          <w:rFonts w:ascii="Arial" w:hAnsi="Arial" w:cs="Arial"/>
          <w:sz w:val="20"/>
          <w:szCs w:val="20"/>
        </w:rPr>
        <w:t xml:space="preserve"> demand as well as disputes among oil-producing countries regarding limitations on oil production, the crude oil futures markets experienced extraordinarily high levels of contango in the first half of 2020, resulting in a negative price in the May 2020 WT</w:t>
      </w:r>
      <w:r>
        <w:rPr>
          <w:rFonts w:ascii="Arial" w:hAnsi="Arial" w:cs="Arial"/>
          <w:sz w:val="20"/>
          <w:szCs w:val="20"/>
        </w:rPr>
        <w:t>I crude oil futures contract on April 20, 2020.</w:t>
      </w:r>
    </w:p>
    <w:p w14:paraId="7106751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FC7004C" w14:textId="77777777" w:rsidR="00000000" w:rsidRDefault="00016ED8">
      <w:pPr>
        <w:pStyle w:val="a3"/>
        <w:spacing w:before="0" w:beforeAutospacing="0" w:after="0" w:afterAutospacing="0"/>
        <w:ind w:left="144" w:right="144"/>
        <w:rPr>
          <w:rFonts w:ascii="Arial" w:hAnsi="Arial" w:cs="Arial"/>
          <w:sz w:val="20"/>
          <w:szCs w:val="20"/>
        </w:rPr>
      </w:pPr>
      <w:r>
        <w:rPr>
          <w:rFonts w:ascii="Arial" w:hAnsi="Arial" w:cs="Arial"/>
          <w:sz w:val="20"/>
          <w:szCs w:val="20"/>
        </w:rPr>
        <w:t xml:space="preserve">The effects of rolling futures contracts under such conditions generally are more severe than rolling futures contracts in the absence of such conditions. Such conditions may continue to exist, which could </w:t>
      </w:r>
      <w:r>
        <w:rPr>
          <w:rFonts w:ascii="Arial" w:hAnsi="Arial" w:cs="Arial"/>
          <w:sz w:val="20"/>
          <w:szCs w:val="20"/>
        </w:rPr>
        <w:t>adversely affect the value of the S&amp;P GSCI-ER and the Index Futures, and accordingly, adversely affect the value of your Shares.</w:t>
      </w:r>
    </w:p>
    <w:p w14:paraId="306330B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8508C6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(3)     The risk factor entitled “Regulatory developments with respect to the futures and over-the-counter derivatives market</w:t>
      </w:r>
      <w:r>
        <w:rPr>
          <w:rFonts w:ascii="Arial" w:hAnsi="Arial" w:cs="Arial"/>
          <w:sz w:val="20"/>
          <w:szCs w:val="20"/>
        </w:rPr>
        <w:t>s, and in particular, with respect to speculative trading in futures contracts and over-the-counter derivatives involving commodities and commodity indices, could adversely affect the value of your Shares,” is modified to read as follows:</w:t>
      </w:r>
    </w:p>
    <w:p w14:paraId="752861C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93B0461"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Many bills have</w:t>
      </w:r>
      <w:r>
        <w:rPr>
          <w:rFonts w:ascii="Arial" w:hAnsi="Arial" w:cs="Arial"/>
          <w:sz w:val="20"/>
          <w:szCs w:val="20"/>
        </w:rPr>
        <w:t xml:space="preserve"> been introduced in the U.S. Congress targeting excessive speculation in commodities and commodity indices, including by institutional index funds, on regulated futures markets and in the over-the-counter (“OTC”) derivatives markets. Many of these legislat</w:t>
      </w:r>
      <w:r>
        <w:rPr>
          <w:rFonts w:ascii="Arial" w:hAnsi="Arial" w:cs="Arial"/>
          <w:sz w:val="20"/>
          <w:szCs w:val="20"/>
        </w:rPr>
        <w:t>ive proposals have not been enacted but could be in the future.</w:t>
      </w:r>
    </w:p>
    <w:p w14:paraId="5823BA01"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 </w:t>
      </w:r>
    </w:p>
    <w:p w14:paraId="6DA39E1D"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In 2010, Congress adopted certain anti-speculative proposals in the Dodd-Frank Wall Street Reform and Consumer Protection Act, or the “Dodd-Frank Act.” These provisions of the Dodd-Frank Act</w:t>
      </w:r>
      <w:r>
        <w:rPr>
          <w:rFonts w:ascii="Arial" w:hAnsi="Arial" w:cs="Arial"/>
          <w:sz w:val="20"/>
          <w:szCs w:val="20"/>
        </w:rPr>
        <w:t xml:space="preserve"> have been interpreted by the CFTC to require the CFTC to expand its existing speculative position limits regime that is applicable to certain agricultural commodity futures (and options thereon), as appropriate, to a wider range of listed futures and opti</w:t>
      </w:r>
      <w:r>
        <w:rPr>
          <w:rFonts w:ascii="Arial" w:hAnsi="Arial" w:cs="Arial"/>
          <w:sz w:val="20"/>
          <w:szCs w:val="20"/>
        </w:rPr>
        <w:t>ons on physical commodities (including certain energy, metals and agricultural products) as well as to economically equivalent swaps.</w:t>
      </w:r>
    </w:p>
    <w:p w14:paraId="38F5B20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4BA8064"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Pursuant to the provisions of the Dodd-Frank Act described above, the CFTC proposed regulations in January 2020 (withdra</w:t>
      </w:r>
      <w:r>
        <w:rPr>
          <w:rFonts w:ascii="Arial" w:hAnsi="Arial" w:cs="Arial"/>
          <w:sz w:val="20"/>
          <w:szCs w:val="20"/>
        </w:rPr>
        <w:t>wing previous proposals from 2013 and 2016), referred to in this report as the “Proposed Position Limits Rules,” that would impose new spot month federal position limits on futures and options on certain energy, metal, and agricultural commodities and econ</w:t>
      </w:r>
      <w:r>
        <w:rPr>
          <w:rFonts w:ascii="Arial" w:hAnsi="Arial" w:cs="Arial"/>
          <w:sz w:val="20"/>
          <w:szCs w:val="20"/>
        </w:rPr>
        <w:t>omically equivalent swaps (collectively, “referenced contracts”). Previously in December 2016, the CFTC adopted final position aggregation requirements.</w:t>
      </w:r>
    </w:p>
    <w:p w14:paraId="41DC66B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F5DC4B6"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The Proposed Position Limits Rules would include as referenced contracts a number of the futures contracts included in the S&amp;P GSCI-ER, and as of the date of this report such contracts represent a substantial portion of the weight of the S&amp;P GSCI-ER. Conse</w:t>
      </w:r>
      <w:r>
        <w:rPr>
          <w:rFonts w:ascii="Arial" w:hAnsi="Arial" w:cs="Arial"/>
          <w:sz w:val="20"/>
          <w:szCs w:val="20"/>
        </w:rPr>
        <w:t>quently, if the Proposed Position Limits Rules are adopted as proposed, the maximum positions that market participants can hold for the spot month in the referenced contracts that underlie the S&amp;P GSCI-ER may be limited, which could reduce the liquidity of</w:t>
      </w:r>
      <w:r>
        <w:rPr>
          <w:rFonts w:ascii="Arial" w:hAnsi="Arial" w:cs="Arial"/>
          <w:sz w:val="20"/>
          <w:szCs w:val="20"/>
        </w:rPr>
        <w:t xml:space="preserve"> such referenced contracts and adversely affect the performance of the S&amp;P GSCI-ER and the value of your Shares. Moreover, because the relative weights of the commodities in the S&amp;P GSCI-ER are largely determined based on the trading volume of the futures </w:t>
      </w:r>
      <w:r>
        <w:rPr>
          <w:rFonts w:ascii="Arial" w:hAnsi="Arial" w:cs="Arial"/>
          <w:sz w:val="20"/>
          <w:szCs w:val="20"/>
        </w:rPr>
        <w:t>contracts designated for such commodities, a reduction in the trading volume of such futures contracts could significantly alter the weights of the futures contracts underlying the S&amp;P GSCI-ER, which could have further adverse effects on the level of the S</w:t>
      </w:r>
      <w:r>
        <w:rPr>
          <w:rFonts w:ascii="Arial" w:hAnsi="Arial" w:cs="Arial"/>
          <w:sz w:val="20"/>
          <w:szCs w:val="20"/>
        </w:rPr>
        <w:t>&amp;P GSCI-ER and the value of your Shares. The risks presented by the Proposed Position Limits Rules also arise with respect to existing federal limits on certain agricultural commodity futures contracts, which include futures contracts underlying the S&amp;P GS</w:t>
      </w:r>
      <w:r>
        <w:rPr>
          <w:rFonts w:ascii="Arial" w:hAnsi="Arial" w:cs="Arial"/>
          <w:sz w:val="20"/>
          <w:szCs w:val="20"/>
        </w:rPr>
        <w:t>CI-ER.</w:t>
      </w:r>
    </w:p>
    <w:p w14:paraId="0B505D7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51EBF41"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The Proposed Position Limits Rules would expand the current list of enumerated bona fide hedging activities that are exempt from position limits rules and provide more flexibility for market participants to apply for additional bona fide hedge exe</w:t>
      </w:r>
      <w:r>
        <w:rPr>
          <w:rFonts w:ascii="Arial" w:hAnsi="Arial" w:cs="Arial"/>
          <w:sz w:val="20"/>
          <w:szCs w:val="20"/>
        </w:rPr>
        <w:t>mptions. If adopted as proposed, the expansion of bona fide hedge exemptions may affect the hedging and investing activities of participants in the markets for the Index Futures and the futures contracts and commodities underlying the S&amp;P GSCI-ER, which in</w:t>
      </w:r>
      <w:r>
        <w:rPr>
          <w:rFonts w:ascii="Arial" w:hAnsi="Arial" w:cs="Arial"/>
          <w:sz w:val="20"/>
          <w:szCs w:val="20"/>
        </w:rPr>
        <w:t xml:space="preserve"> turn could reduce the liquidity and adversely affect the pricing of the Index Futures and such futures contracts and commodities. Any of these effects could increase volatility in and otherwise adversely affect the price of the Shares. The public comment </w:t>
      </w:r>
      <w:r>
        <w:rPr>
          <w:rFonts w:ascii="Arial" w:hAnsi="Arial" w:cs="Arial"/>
          <w:sz w:val="20"/>
          <w:szCs w:val="20"/>
        </w:rPr>
        <w:t>period on the Proposed Position Limits Rules closed on May 15, 2020. The CFTC had specifically solicited, among other things, comments on issues affecting position limits for physical commodity derivatives that could directly affect the value of the Trust’</w:t>
      </w:r>
      <w:r>
        <w:rPr>
          <w:rFonts w:ascii="Arial" w:hAnsi="Arial" w:cs="Arial"/>
          <w:sz w:val="20"/>
          <w:szCs w:val="20"/>
        </w:rPr>
        <w:t>s position in Index Futures going forward.</w:t>
      </w:r>
    </w:p>
    <w:p w14:paraId="279BE15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2211124" w14:textId="77777777" w:rsidR="00000000" w:rsidRDefault="00016ED8">
      <w:pPr>
        <w:jc w:val="center"/>
        <w:divId w:val="784663841"/>
        <w:rPr>
          <w:rFonts w:ascii="Arial" w:eastAsia="Times New Roman" w:hAnsi="Arial" w:cs="Arial"/>
          <w:sz w:val="20"/>
          <w:szCs w:val="20"/>
        </w:rPr>
      </w:pPr>
      <w:r>
        <w:rPr>
          <w:rFonts w:ascii="Arial" w:eastAsia="Times New Roman" w:hAnsi="Arial" w:cs="Arial"/>
          <w:sz w:val="20"/>
          <w:szCs w:val="20"/>
        </w:rPr>
        <w:t xml:space="preserve">16 </w:t>
      </w:r>
    </w:p>
    <w:p w14:paraId="699B4494" w14:textId="77777777" w:rsidR="00000000" w:rsidRDefault="00016ED8">
      <w:pPr>
        <w:divId w:val="1217551907"/>
        <w:rPr>
          <w:rFonts w:ascii="Arial" w:eastAsia="Times New Roman" w:hAnsi="Arial" w:cs="Arial"/>
          <w:sz w:val="20"/>
          <w:szCs w:val="20"/>
        </w:rPr>
      </w:pPr>
      <w:r>
        <w:rPr>
          <w:rFonts w:ascii="Arial" w:eastAsia="Times New Roman" w:hAnsi="Arial" w:cs="Arial"/>
          <w:sz w:val="20"/>
          <w:szCs w:val="20"/>
        </w:rPr>
        <w:pict w14:anchorId="3D66B17F">
          <v:rect id="_x0000_i1058" style="width:0;height:1.5pt" o:hralign="center" o:hrstd="t" o:hr="t" fillcolor="#a0a0a0" stroked="f"/>
        </w:pict>
      </w:r>
    </w:p>
    <w:p w14:paraId="04A2CBF1" w14:textId="77777777" w:rsidR="00000000" w:rsidRDefault="00016ED8">
      <w:pPr>
        <w:divId w:val="121092174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4769EC9" w14:textId="77777777" w:rsidR="00000000" w:rsidRDefault="00016ED8">
      <w:pPr>
        <w:pStyle w:val="a3"/>
        <w:spacing w:before="0" w:beforeAutospacing="0" w:after="0" w:afterAutospacing="0"/>
        <w:rPr>
          <w:sz w:val="20"/>
          <w:szCs w:val="20"/>
        </w:rPr>
      </w:pPr>
      <w:r>
        <w:rPr>
          <w:sz w:val="20"/>
          <w:szCs w:val="20"/>
        </w:rPr>
        <w:t> </w:t>
      </w:r>
    </w:p>
    <w:p w14:paraId="05B674BE"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With respect to the position aggregation rules adopted by the CFTC in December 2016, those final rules, which became effect</w:t>
      </w:r>
      <w:r>
        <w:rPr>
          <w:rFonts w:ascii="Arial" w:hAnsi="Arial" w:cs="Arial"/>
          <w:sz w:val="20"/>
          <w:szCs w:val="20"/>
        </w:rPr>
        <w:t>ive on February 14, 2017, expand the circumstances requiring persons to aggregate referenced contracts that are owned or controlled by such persons. Specifically, the final aggregation rules require a person holding positions in multiple commodity pools wi</w:t>
      </w:r>
      <w:r>
        <w:rPr>
          <w:rFonts w:ascii="Arial" w:hAnsi="Arial" w:cs="Arial"/>
          <w:sz w:val="20"/>
          <w:szCs w:val="20"/>
        </w:rPr>
        <w:t>th substantially identical trading strategies to aggregate the pools’ positions in referenced contracts, on a pro-rata basis, with other positions in referenced contracts held or controlled by such person. CFTC staff has granted relief, until August 12, 20</w:t>
      </w:r>
      <w:r>
        <w:rPr>
          <w:rFonts w:ascii="Arial" w:hAnsi="Arial" w:cs="Arial"/>
          <w:sz w:val="20"/>
          <w:szCs w:val="20"/>
        </w:rPr>
        <w:t>22, from various conditions and requirements in the final aggregation rules, including the “substantially identical trading strategies” aggregation requirement. Under this relief, a person would not be required to aggregate positions on the basis of the “s</w:t>
      </w:r>
      <w:r>
        <w:rPr>
          <w:rFonts w:ascii="Arial" w:hAnsi="Arial" w:cs="Arial"/>
          <w:sz w:val="20"/>
          <w:szCs w:val="20"/>
        </w:rPr>
        <w:t>ubstantially identical trading strategies” aggregation requirement unless the person is holding or controlling the trading of positions in multiple accounts or commodity pools with substantially identical trading strategies in order to willfully circumvent</w:t>
      </w:r>
      <w:r>
        <w:rPr>
          <w:rFonts w:ascii="Arial" w:hAnsi="Arial" w:cs="Arial"/>
          <w:sz w:val="20"/>
          <w:szCs w:val="20"/>
        </w:rPr>
        <w:t xml:space="preserve"> applicable position limits. Although Index Futures are not among the referenced contracts identified in the Proposed Position Limits Rules, if federal position limits are extended to Index Futures or if the Exchange adopts similar aggregation rules, some </w:t>
      </w:r>
      <w:r>
        <w:rPr>
          <w:rFonts w:ascii="Arial" w:hAnsi="Arial" w:cs="Arial"/>
          <w:sz w:val="20"/>
          <w:szCs w:val="20"/>
        </w:rPr>
        <w:t xml:space="preserve">participants in the market for Index Futures may be encumbered in trying to hedge their exposure, which could reduce liquidity in such Index Futures and the futures contracts and commodities underlying the S&amp;P GSCI-ER and adversely affect the value of the </w:t>
      </w:r>
      <w:r>
        <w:rPr>
          <w:rFonts w:ascii="Arial" w:hAnsi="Arial" w:cs="Arial"/>
          <w:sz w:val="20"/>
          <w:szCs w:val="20"/>
        </w:rPr>
        <w:t>Shares.</w:t>
      </w:r>
    </w:p>
    <w:p w14:paraId="43A949E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0851B8D" w14:textId="77777777" w:rsidR="00000000" w:rsidRDefault="00016ED8">
      <w:pPr>
        <w:pStyle w:val="a3"/>
        <w:spacing w:before="0" w:beforeAutospacing="0" w:after="0" w:afterAutospacing="0"/>
        <w:ind w:left="180"/>
        <w:rPr>
          <w:rFonts w:ascii="Arial" w:hAnsi="Arial" w:cs="Arial"/>
          <w:sz w:val="20"/>
          <w:szCs w:val="20"/>
        </w:rPr>
      </w:pPr>
      <w:r>
        <w:rPr>
          <w:rFonts w:ascii="Arial" w:hAnsi="Arial" w:cs="Arial"/>
          <w:sz w:val="20"/>
          <w:szCs w:val="20"/>
        </w:rPr>
        <w:t>In addition to, or in lieu of, the Proposed Position Limits Rules, the CFTC could propose other rules that may lower the applicable position limits, apply position limits to a broader range of contracts (including commodity index contracts such a</w:t>
      </w:r>
      <w:r>
        <w:rPr>
          <w:rFonts w:ascii="Arial" w:hAnsi="Arial" w:cs="Arial"/>
          <w:sz w:val="20"/>
          <w:szCs w:val="20"/>
        </w:rPr>
        <w:t>s the Index Futures) or further restrict position limit exemptions. If any of these actions is taken, such measures could further reduce the size of positions that the Trust and other investors could hold directly in Index Futures and the underlying future</w:t>
      </w:r>
      <w:r>
        <w:rPr>
          <w:rFonts w:ascii="Arial" w:hAnsi="Arial" w:cs="Arial"/>
          <w:sz w:val="20"/>
          <w:szCs w:val="20"/>
        </w:rPr>
        <w:t>s contracts and commodities, with potential reductions in liquidity and adverse effects on the pricing of Index Futures. See also “—The value of the Shares depends on the value of Index Futures, which fluctuates based on the prices of commodity futures con</w:t>
      </w:r>
      <w:r>
        <w:rPr>
          <w:rFonts w:ascii="Arial" w:hAnsi="Arial" w:cs="Arial"/>
          <w:sz w:val="20"/>
          <w:szCs w:val="20"/>
        </w:rPr>
        <w:t>tracts reflected in the S&amp;P GSCI-ER. These prices may be volatile, thereby creating the potential for losses regardless of the length of time you intend to hold your Shares.”</w:t>
      </w:r>
    </w:p>
    <w:p w14:paraId="1D7EDAF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6A43C4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Certain other rules proposed pursuant to the Dodd-Frank Act also may have an im</w:t>
      </w:r>
      <w:r>
        <w:rPr>
          <w:rFonts w:ascii="Arial" w:hAnsi="Arial" w:cs="Arial"/>
          <w:sz w:val="20"/>
          <w:szCs w:val="20"/>
        </w:rPr>
        <w:t>pact on the Trust and the value and continued availability of the Shares. On December 22, 2010, the CFTC proposed rules, referred to in this report as the “DCM Rules,” that would require that at least 85% of the total volume of any contract listed on a “de</w:t>
      </w:r>
      <w:r>
        <w:rPr>
          <w:rFonts w:ascii="Arial" w:hAnsi="Arial" w:cs="Arial"/>
          <w:sz w:val="20"/>
          <w:szCs w:val="20"/>
        </w:rPr>
        <w:t>signated contract market,” or “DCM,” including the Index Futures, be executed through the central order book, rather than as a block transaction or other non-competitively executed transaction. Contracts that do not meet the 85% threshold would be required</w:t>
      </w:r>
      <w:r>
        <w:rPr>
          <w:rFonts w:ascii="Arial" w:hAnsi="Arial" w:cs="Arial"/>
          <w:sz w:val="20"/>
          <w:szCs w:val="20"/>
        </w:rPr>
        <w:t xml:space="preserve"> to be delisted by the DCM and, if a swap, transferred to a swap execution facility or also be liquidated. Generally, the Trust’s transactions in Index Futures are expected to be executed through block or “exchange for related positions” or “EFRP” transact</w:t>
      </w:r>
      <w:r>
        <w:rPr>
          <w:rFonts w:ascii="Arial" w:hAnsi="Arial" w:cs="Arial"/>
          <w:sz w:val="20"/>
          <w:szCs w:val="20"/>
        </w:rPr>
        <w:t>ions that are not executed through the applicable Exchange’s central order book. When the CFTC finalized the DCM Rules in June 2012, the CFTC noted that it needed additional time to consider the proposed requirements regarding the 85% threshold, particular</w:t>
      </w:r>
      <w:r>
        <w:rPr>
          <w:rFonts w:ascii="Arial" w:hAnsi="Arial" w:cs="Arial"/>
          <w:sz w:val="20"/>
          <w:szCs w:val="20"/>
        </w:rPr>
        <w:t>ly in light of substantial comments received. If ultimately adopted as proposed, those proposed requirements could significantly and adversely affect the availability, liquidity and price of Index Futures, as well as futures contracts currently included or</w:t>
      </w:r>
      <w:r>
        <w:rPr>
          <w:rFonts w:ascii="Arial" w:hAnsi="Arial" w:cs="Arial"/>
          <w:sz w:val="20"/>
          <w:szCs w:val="20"/>
        </w:rPr>
        <w:t xml:space="preserve"> which may in the future be included in the S&amp;P GSCI-ER, and could inhibit the Trust’s ability to redeem and offer Shares, which in turn could adversely affect the value and continued availability of the Shares.</w:t>
      </w:r>
    </w:p>
    <w:p w14:paraId="05A87EB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C127BB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CFTC has adopted rules regarding the r</w:t>
      </w:r>
      <w:r>
        <w:rPr>
          <w:rFonts w:ascii="Arial" w:hAnsi="Arial" w:cs="Arial"/>
          <w:sz w:val="20"/>
          <w:szCs w:val="20"/>
        </w:rPr>
        <w:t>isk management practices of clearing members, referred to in this report as the “FCM Rules,” most of which became effective on June 1, 2013. The FCM Rules require the Trust’s Clearing FCM to establish, and periodically reevaluate, risk-based limits on posi</w:t>
      </w:r>
      <w:r>
        <w:rPr>
          <w:rFonts w:ascii="Arial" w:hAnsi="Arial" w:cs="Arial"/>
          <w:sz w:val="20"/>
          <w:szCs w:val="20"/>
        </w:rPr>
        <w:t>tion and order size, amongst other measures. The FCM Rules may lead the Trust’s Clearing FCM to reduce its internal limits on the size of the Index Futures positions it will execute or clear for the Trust, reducing the Trust’s and other market participants</w:t>
      </w:r>
      <w:r>
        <w:rPr>
          <w:rFonts w:ascii="Arial" w:hAnsi="Arial" w:cs="Arial"/>
          <w:sz w:val="20"/>
          <w:szCs w:val="20"/>
        </w:rPr>
        <w:t>’ ability to transact in Index Futures, and potentially adversely affecting the price of Shares. In the event that the Clearing FCM does reduce its internal limits on the size of Index Futures positions, the Trust may deem it feasible to use additional cle</w:t>
      </w:r>
      <w:r>
        <w:rPr>
          <w:rFonts w:ascii="Arial" w:hAnsi="Arial" w:cs="Arial"/>
          <w:sz w:val="20"/>
          <w:szCs w:val="20"/>
        </w:rPr>
        <w:t>aring FCMs. If this happens, it could substantially increase the costs of clearing for the Trust.</w:t>
      </w:r>
    </w:p>
    <w:p w14:paraId="5C21D72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1947D6A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Other regulatory measures under the Dodd-Frank Act could increase the costs of the Trust, result in significant direct limitations on the maximum permitted </w:t>
      </w:r>
      <w:r>
        <w:rPr>
          <w:rFonts w:ascii="Arial" w:hAnsi="Arial" w:cs="Arial"/>
          <w:sz w:val="20"/>
          <w:szCs w:val="20"/>
        </w:rPr>
        <w:t>size of the Trust’s futures positions, or affect liquidity in the market for the Index Futures or the underlying futures contracts, as well as the correlation between the price of the Shares and the net asset value of the Trust. Any such measures could adv</w:t>
      </w:r>
      <w:r>
        <w:rPr>
          <w:rFonts w:ascii="Arial" w:hAnsi="Arial" w:cs="Arial"/>
          <w:sz w:val="20"/>
          <w:szCs w:val="20"/>
        </w:rPr>
        <w:t>ersely affect the value of your Shares.</w:t>
      </w:r>
    </w:p>
    <w:p w14:paraId="740366B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188595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(4)     A risk factor entitled “The Trust may be negatively impacted by the effects of the spread of illnesses or other public health emergencies on the global economy and the markets and service providers relevant</w:t>
      </w:r>
      <w:r>
        <w:rPr>
          <w:rFonts w:ascii="Arial" w:hAnsi="Arial" w:cs="Arial"/>
          <w:sz w:val="20"/>
          <w:szCs w:val="20"/>
        </w:rPr>
        <w:t xml:space="preserve"> to the performance of the Trust,” is added as follows:</w:t>
      </w:r>
    </w:p>
    <w:p w14:paraId="26D836F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FC0C1A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An outbreak of an infectious respiratory illness, COVID-19, caused by a novel coronavirus was first detected in China in December 2019 and has spread globally. This outbreak has resulted in travel r</w:t>
      </w:r>
      <w:r>
        <w:rPr>
          <w:rFonts w:ascii="Arial" w:hAnsi="Arial" w:cs="Arial"/>
          <w:sz w:val="20"/>
          <w:szCs w:val="20"/>
        </w:rPr>
        <w:t>estrictions, closed international borders, enhanced health screenings at ports of entry and elsewhere, disruption of and delays in healthcare service preparation and delivery, prolonged quarantines, cancellations, supply chain disruptions, disruptions in m</w:t>
      </w:r>
      <w:r>
        <w:rPr>
          <w:rFonts w:ascii="Arial" w:hAnsi="Arial" w:cs="Arial"/>
          <w:sz w:val="20"/>
          <w:szCs w:val="20"/>
        </w:rPr>
        <w:t>arkets, lower consumer demand, layoffs, defaults and other significant economic impacts, as well as general concern and uncertainty. Further, certain markets in which the Trust may invest may be subject to closures, and there can be no assurance that the a</w:t>
      </w:r>
      <w:r>
        <w:rPr>
          <w:rFonts w:ascii="Arial" w:hAnsi="Arial" w:cs="Arial"/>
          <w:sz w:val="20"/>
          <w:szCs w:val="20"/>
        </w:rPr>
        <w:t>bility to invest in Index Futures will continue in any segment of the markets in which the Trust invests, when any resumption of trading will occur or, once such markets resume trading, whether they will face further closures. Any suspension of the ability</w:t>
      </w:r>
      <w:r>
        <w:rPr>
          <w:rFonts w:ascii="Arial" w:hAnsi="Arial" w:cs="Arial"/>
          <w:sz w:val="20"/>
          <w:szCs w:val="20"/>
        </w:rPr>
        <w:t xml:space="preserve"> to invest in the Index Futures in which the Trust invests will impact the Trust’s ability to purchase Index Futures and could cause the Trust to suspend the issuance of new Shares.</w:t>
      </w:r>
    </w:p>
    <w:p w14:paraId="30D2C29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07F21C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outbreak may continue to have serious negative effects on social, ec</w:t>
      </w:r>
      <w:r>
        <w:rPr>
          <w:rFonts w:ascii="Arial" w:hAnsi="Arial" w:cs="Arial"/>
          <w:sz w:val="20"/>
          <w:szCs w:val="20"/>
        </w:rPr>
        <w:t>onomic and financial systems, including significant uncertainty and volatility in the financial markets. The outbreak has caused increased volatility in the market for the Index Futures and the underlying futures contracts, which has led to increased tradi</w:t>
      </w:r>
      <w:r>
        <w:rPr>
          <w:rFonts w:ascii="Arial" w:hAnsi="Arial" w:cs="Arial"/>
          <w:sz w:val="20"/>
          <w:szCs w:val="20"/>
        </w:rPr>
        <w:t>ng spreads in the Index Futures and the underlying futures contracts, a higher than usual number of trading or price limits for certain underlying futures, reduced liquidity in the markets for the underlying futures contracts, and increased premium or disc</w:t>
      </w:r>
      <w:r>
        <w:rPr>
          <w:rFonts w:ascii="Arial" w:hAnsi="Arial" w:cs="Arial"/>
          <w:sz w:val="20"/>
          <w:szCs w:val="20"/>
        </w:rPr>
        <w:t>ount in the Shares. A prolonged outbreak could result in an increase of the costs of the Trust, affect liquidity in the market for the Index Futures or the underlying futures contracts, as well as the correlation between the price of the Shares and the net</w:t>
      </w:r>
      <w:r>
        <w:rPr>
          <w:rFonts w:ascii="Arial" w:hAnsi="Arial" w:cs="Arial"/>
          <w:sz w:val="20"/>
          <w:szCs w:val="20"/>
        </w:rPr>
        <w:t xml:space="preserve"> asset value of the Trust, any of which could adversely affect the value of your Shares. In addition, the outbreak could also impair the information technology and other operational systems upon which the Trust’s service providers, including the Sponsor, t</w:t>
      </w:r>
      <w:r>
        <w:rPr>
          <w:rFonts w:ascii="Arial" w:hAnsi="Arial" w:cs="Arial"/>
          <w:sz w:val="20"/>
          <w:szCs w:val="20"/>
        </w:rPr>
        <w:t xml:space="preserve">he Trustee and the Advisor, rely, and could otherwise disrupt the ability of employees of the Trust’s service providers to perform essential tasks on behalf of the Trust. The impact of this outbreak has adversely affected the economies of many nations and </w:t>
      </w:r>
      <w:r>
        <w:rPr>
          <w:rFonts w:ascii="Arial" w:hAnsi="Arial" w:cs="Arial"/>
          <w:sz w:val="20"/>
          <w:szCs w:val="20"/>
        </w:rPr>
        <w:t>the entire global economy and may impact individual issuers and capital markets in ways that cannot be foreseen. In the past, governmental and quasi-governmental authorities and regulators throughout the world have responded to major economic disruptions w</w:t>
      </w:r>
      <w:r>
        <w:rPr>
          <w:rFonts w:ascii="Arial" w:hAnsi="Arial" w:cs="Arial"/>
          <w:sz w:val="20"/>
          <w:szCs w:val="20"/>
        </w:rPr>
        <w:t>ith a variety of fiscal and monetary policy changes, including, but not limited to, direct capital infusions into companies and other issuers, new monetary tools and lower interest rates. An unexpected or sudden reversal of these policies, or the ineffecti</w:t>
      </w:r>
      <w:r>
        <w:rPr>
          <w:rFonts w:ascii="Arial" w:hAnsi="Arial" w:cs="Arial"/>
          <w:sz w:val="20"/>
          <w:szCs w:val="20"/>
        </w:rPr>
        <w:t xml:space="preserve">veness of these policies, is likely to increase volatility in the market for the Index Futures or the underlying futures contracts, which could adversely affect the price of the Shares. Other infectious illness outbreaks that may arise in the future could </w:t>
      </w:r>
      <w:r>
        <w:rPr>
          <w:rFonts w:ascii="Arial" w:hAnsi="Arial" w:cs="Arial"/>
          <w:sz w:val="20"/>
          <w:szCs w:val="20"/>
        </w:rPr>
        <w:t>have similar impacts or other unforeseen effects. Public health crises caused by the outbreak may exacerbate other pre-existing political, social and economic risks in certain countries or globally. The duration of the outbreak and its effects cannot be de</w:t>
      </w:r>
      <w:r>
        <w:rPr>
          <w:rFonts w:ascii="Arial" w:hAnsi="Arial" w:cs="Arial"/>
          <w:sz w:val="20"/>
          <w:szCs w:val="20"/>
        </w:rPr>
        <w:t>termined with certainty.</w:t>
      </w:r>
    </w:p>
    <w:p w14:paraId="483F6E6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47AB46A" w14:textId="77777777" w:rsidR="00000000" w:rsidRDefault="00016ED8">
      <w:pPr>
        <w:jc w:val="center"/>
        <w:divId w:val="301279837"/>
        <w:rPr>
          <w:rFonts w:ascii="Arial" w:eastAsia="Times New Roman" w:hAnsi="Arial" w:cs="Arial"/>
          <w:sz w:val="20"/>
          <w:szCs w:val="20"/>
        </w:rPr>
      </w:pPr>
      <w:r>
        <w:rPr>
          <w:rFonts w:ascii="Arial" w:eastAsia="Times New Roman" w:hAnsi="Arial" w:cs="Arial"/>
          <w:sz w:val="20"/>
          <w:szCs w:val="20"/>
        </w:rPr>
        <w:t xml:space="preserve">17 </w:t>
      </w:r>
    </w:p>
    <w:p w14:paraId="3268284A" w14:textId="77777777" w:rsidR="00000000" w:rsidRDefault="00016ED8">
      <w:pPr>
        <w:divId w:val="1745449662"/>
        <w:rPr>
          <w:rFonts w:ascii="Arial" w:eastAsia="Times New Roman" w:hAnsi="Arial" w:cs="Arial"/>
          <w:sz w:val="20"/>
          <w:szCs w:val="20"/>
        </w:rPr>
      </w:pPr>
      <w:r>
        <w:rPr>
          <w:rFonts w:ascii="Arial" w:eastAsia="Times New Roman" w:hAnsi="Arial" w:cs="Arial"/>
          <w:sz w:val="20"/>
          <w:szCs w:val="20"/>
        </w:rPr>
        <w:pict w14:anchorId="27B42397">
          <v:rect id="_x0000_i1059" style="width:0;height:1.5pt" o:hralign="center" o:hrstd="t" o:hr="t" fillcolor="#a0a0a0" stroked="f"/>
        </w:pict>
      </w:r>
    </w:p>
    <w:p w14:paraId="60DE7A4B" w14:textId="77777777" w:rsidR="00000000" w:rsidRDefault="00016ED8">
      <w:pPr>
        <w:divId w:val="93783169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206802A" w14:textId="77777777" w:rsidR="00000000" w:rsidRDefault="00016ED8">
      <w:pPr>
        <w:pStyle w:val="a3"/>
        <w:spacing w:before="0" w:beforeAutospacing="0" w:after="0" w:afterAutospacing="0"/>
        <w:rPr>
          <w:sz w:val="20"/>
          <w:szCs w:val="20"/>
        </w:rPr>
      </w:pPr>
      <w:r>
        <w:rPr>
          <w:sz w:val="20"/>
          <w:szCs w:val="20"/>
        </w:rPr>
        <w:t> </w:t>
      </w:r>
    </w:p>
    <w:p w14:paraId="5E6F9AD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(5)     The risk factor entitled “Changes in the composition and valuation of the S&amp;</w:t>
      </w:r>
      <w:r>
        <w:rPr>
          <w:rFonts w:ascii="Arial" w:hAnsi="Arial" w:cs="Arial"/>
          <w:sz w:val="20"/>
          <w:szCs w:val="20"/>
        </w:rPr>
        <w:t>P GSCI-ER may adversely affect your Shares.” is modified to read as follows:</w:t>
      </w:r>
    </w:p>
    <w:p w14:paraId="7A93B37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F58F77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composition of the S&amp;P GSCI-ER may change over time as additional commodities satisfy the eligibility criteria or commodities currently included in the S&amp;P GSCI-ER fail to s</w:t>
      </w:r>
      <w:r>
        <w:rPr>
          <w:rFonts w:ascii="Arial" w:hAnsi="Arial" w:cs="Arial"/>
          <w:sz w:val="20"/>
          <w:szCs w:val="20"/>
        </w:rPr>
        <w:t>atisfy those criteria. The weighting factors applied to each commodity included in the S&amp;P GSCI-ER change annually, based on changes in commodity production statistics and changes in the trading volume of the related futures contracts. In addition, the Ind</w:t>
      </w:r>
      <w:r>
        <w:rPr>
          <w:rFonts w:ascii="Arial" w:hAnsi="Arial" w:cs="Arial"/>
          <w:sz w:val="20"/>
          <w:szCs w:val="20"/>
        </w:rPr>
        <w:t>ex Sponsor may modify the method for determining the composition and weighting of the S&amp;P GSCI-ER and for calculating its value. The methodology for determining the contracts to be included in the S&amp;P GSCI-ER may be modified from time to time. Such changes</w:t>
      </w:r>
      <w:r>
        <w:rPr>
          <w:rFonts w:ascii="Arial" w:hAnsi="Arial" w:cs="Arial"/>
          <w:sz w:val="20"/>
          <w:szCs w:val="20"/>
        </w:rPr>
        <w:t xml:space="preserve"> could adversely affect the value of your Shares or otherwise affect the risks associated with owning the Shares, such as by increasing relative concentrations in particular commodities and causing the value of the Shares to become more sensitive to fluctu</w:t>
      </w:r>
      <w:r>
        <w:rPr>
          <w:rFonts w:ascii="Arial" w:hAnsi="Arial" w:cs="Arial"/>
          <w:sz w:val="20"/>
          <w:szCs w:val="20"/>
        </w:rPr>
        <w:t>ations in the prices of those commodities. For more information about the methodology for determining the composition and weighting of the S&amp;P GSCI-ER, see “Business — The Index and the S&amp;P GSCI-ER.”</w:t>
      </w:r>
    </w:p>
    <w:p w14:paraId="631B114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073E58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Based on market conditions, futures contracts included</w:t>
      </w:r>
      <w:r>
        <w:rPr>
          <w:rFonts w:ascii="Arial" w:hAnsi="Arial" w:cs="Arial"/>
          <w:sz w:val="20"/>
          <w:szCs w:val="20"/>
        </w:rPr>
        <w:t xml:space="preserve"> in the S&amp;P GSCI-ER may trade or settle at or below zero, and the zero or negative value will be used in calculation of impacted indices, including the S&amp;P GSCI-ER. Zero or negative values of futures contracts included in the S&amp;P GSCI-ER occurring during a</w:t>
      </w:r>
      <w:r>
        <w:rPr>
          <w:rFonts w:ascii="Arial" w:hAnsi="Arial" w:cs="Arial"/>
          <w:sz w:val="20"/>
          <w:szCs w:val="20"/>
        </w:rPr>
        <w:t xml:space="preserve"> roll period may impact the composition of the S&amp;P GSCI-ER.</w:t>
      </w:r>
    </w:p>
    <w:p w14:paraId="193A5AF8"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EC0A28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For example, effective prior to market open on July 27, 2020, based on market conditions, the Index Committee may elect to implement an unscheduled designated contract roll in relation to the no</w:t>
      </w:r>
      <w:r>
        <w:rPr>
          <w:rFonts w:ascii="Arial" w:hAnsi="Arial" w:cs="Arial"/>
          <w:sz w:val="20"/>
          <w:szCs w:val="20"/>
        </w:rPr>
        <w:t>rmal parameters of the roll of one or more futures contracts included in the S&amp;P GSCI-ER. Among other things, this may entail adjustments of when the roll occurs, the length of the roll, the proportions of the roll, or the roll-in contract.</w:t>
      </w:r>
    </w:p>
    <w:p w14:paraId="6F27E4F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888B6E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In the event </w:t>
      </w:r>
      <w:r>
        <w:rPr>
          <w:rFonts w:ascii="Arial" w:hAnsi="Arial" w:cs="Arial"/>
          <w:sz w:val="20"/>
          <w:szCs w:val="20"/>
        </w:rPr>
        <w:t>of the foregoing circumstances, the Index Committee has indicated it will aim to conform to the index’s objective to the greatest extent possible, and will typically roll into the next most viable contract as published in the methodology. However, the Inde</w:t>
      </w:r>
      <w:r>
        <w:rPr>
          <w:rFonts w:ascii="Arial" w:hAnsi="Arial" w:cs="Arial"/>
          <w:sz w:val="20"/>
          <w:szCs w:val="20"/>
        </w:rPr>
        <w:t>x Committee retains the right to roll into a further dated contract based on market conditions at the time of its decision.</w:t>
      </w:r>
    </w:p>
    <w:p w14:paraId="5FDE3CB2" w14:textId="77777777" w:rsidR="00000000" w:rsidRDefault="00016ED8">
      <w:pPr>
        <w:pStyle w:val="a3"/>
        <w:spacing w:before="0" w:beforeAutospacing="0" w:after="0" w:afterAutospacing="0"/>
        <w:rPr>
          <w:sz w:val="20"/>
          <w:szCs w:val="20"/>
        </w:rPr>
      </w:pPr>
      <w:r>
        <w:rPr>
          <w:sz w:val="20"/>
          <w:szCs w:val="20"/>
        </w:rPr>
        <w:t> </w:t>
      </w:r>
    </w:p>
    <w:p w14:paraId="6BCB650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In the case of an unscheduled roll event, if there are no viable designated contracts to roll into, the Index Committee will convene and determine the appropriate course of action, which may include, but not be limited to, the removal of the contract from </w:t>
      </w:r>
      <w:r>
        <w:rPr>
          <w:rFonts w:ascii="Arial" w:hAnsi="Arial" w:cs="Arial"/>
          <w:sz w:val="20"/>
          <w:szCs w:val="20"/>
        </w:rPr>
        <w:t>the S&amp;P GSCI-ER. The Index Committee may review the contract roll schedule at any time and as market conditions warrant. Such changes could adversely affect the value of your Shares or otherwise affect the risks associated with owning the Shares, such as b</w:t>
      </w:r>
      <w:r>
        <w:rPr>
          <w:rFonts w:ascii="Arial" w:hAnsi="Arial" w:cs="Arial"/>
          <w:sz w:val="20"/>
          <w:szCs w:val="20"/>
        </w:rPr>
        <w:t>y increasing relative concentrations in particular commodities and causing the value of the Shares to become more sensitive to fluctuations in the prices of those commodities.</w:t>
      </w:r>
    </w:p>
    <w:p w14:paraId="74EEF09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D90BC3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(6) The risk factor entitled “Exchange position limits and other rules may res</w:t>
      </w:r>
      <w:r>
        <w:rPr>
          <w:rFonts w:ascii="Arial" w:hAnsi="Arial" w:cs="Arial"/>
          <w:sz w:val="20"/>
          <w:szCs w:val="20"/>
        </w:rPr>
        <w:t>trict the creation of Baskets and the operation of the Trust.” is modified to read as follows:</w:t>
      </w:r>
    </w:p>
    <w:p w14:paraId="0491E22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B9DA6E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CME imposes speculative position limits on market participants trading in Index Futures, including the Trust, that typically prohibit any person from holdi</w:t>
      </w:r>
      <w:r>
        <w:rPr>
          <w:rFonts w:ascii="Arial" w:hAnsi="Arial" w:cs="Arial"/>
          <w:sz w:val="20"/>
          <w:szCs w:val="20"/>
        </w:rPr>
        <w:t>ng a position of more than 59,000 contracts. The Trust may from time to time seek to obtain exemptions from those position limits from the CME, but these exemptions may be limited, including with respect to the additional number of contracts permitted to b</w:t>
      </w:r>
      <w:r>
        <w:rPr>
          <w:rFonts w:ascii="Arial" w:hAnsi="Arial" w:cs="Arial"/>
          <w:sz w:val="20"/>
          <w:szCs w:val="20"/>
        </w:rPr>
        <w:t xml:space="preserve">e held under such exemption and the time period for which the exemption applies. Position limits may also apply to other Index Futures traded by the Trust. The availability of obtaining any exemption from any such position limits is expected to be subject </w:t>
      </w:r>
      <w:r>
        <w:rPr>
          <w:rFonts w:ascii="Arial" w:hAnsi="Arial" w:cs="Arial"/>
          <w:sz w:val="20"/>
          <w:szCs w:val="20"/>
        </w:rPr>
        <w:t>to the ability or willingness of the applicable Exchange to grant such exemption, as well as applicable law.</w:t>
      </w:r>
    </w:p>
    <w:p w14:paraId="1A195A6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9AE74A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Trust’s ability to issue new Baskets or reinvest income in additional Index Futures may be limited to the extent these activities would cause</w:t>
      </w:r>
      <w:r>
        <w:rPr>
          <w:rFonts w:ascii="Arial" w:hAnsi="Arial" w:cs="Arial"/>
          <w:sz w:val="20"/>
          <w:szCs w:val="20"/>
        </w:rPr>
        <w:t xml:space="preserve"> the Trust to exceed the position limits then applicable to those Index Futures. The Trust may also be required to liquidate any existing contracts in excess of the then-applicable position limits, including as a result of changes to applicable position li</w:t>
      </w:r>
      <w:r>
        <w:rPr>
          <w:rFonts w:ascii="Arial" w:hAnsi="Arial" w:cs="Arial"/>
          <w:sz w:val="20"/>
          <w:szCs w:val="20"/>
        </w:rPr>
        <w:t>mits or as a result of the loss of an exemption, or be required to take other actions with potentially adverse effects on the liquidity or value of the Shares.</w:t>
      </w:r>
    </w:p>
    <w:p w14:paraId="14BD932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7C2A49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Additionally, legislative or regulatory action, actions by a DCM or actions by the Clearing FC</w:t>
      </w:r>
      <w:r>
        <w:rPr>
          <w:rFonts w:ascii="Arial" w:hAnsi="Arial" w:cs="Arial"/>
          <w:sz w:val="20"/>
          <w:szCs w:val="20"/>
        </w:rPr>
        <w:t>M may impose limitations on the size of positions that the Trust may take in Index Futures and/or impose limitations on the size of positions that may be carried by other market participants, adversely affecting the liquidity and price of Index Futures and</w:t>
      </w:r>
      <w:r>
        <w:rPr>
          <w:rFonts w:ascii="Arial" w:hAnsi="Arial" w:cs="Arial"/>
          <w:sz w:val="20"/>
          <w:szCs w:val="20"/>
        </w:rPr>
        <w:t xml:space="preserve"> the underlying futures. Such events could force the Trust or other market participants to sell Index Futures, or encourage market participants to sell or redeem their Shares. The CFTC has proposed to repeal risk management exemptions that may be applicabl</w:t>
      </w:r>
      <w:r>
        <w:rPr>
          <w:rFonts w:ascii="Arial" w:hAnsi="Arial" w:cs="Arial"/>
          <w:sz w:val="20"/>
          <w:szCs w:val="20"/>
        </w:rPr>
        <w:t>e to the Trust’s positions in Index Futures. As a result, if the Proposed Position Limits Rules are adopted as proposed, the current maximum position in Index Futures permitted to be held by the Trust could be reduced relative to the maximum position other</w:t>
      </w:r>
      <w:r>
        <w:rPr>
          <w:rFonts w:ascii="Arial" w:hAnsi="Arial" w:cs="Arial"/>
          <w:sz w:val="20"/>
          <w:szCs w:val="20"/>
        </w:rPr>
        <w:t>wise permitted, which could in turn require the Trust to liquidate some or all of its positions in Index Futures. Any such reduction could affect the liquidity of Index Futures and adversely impact the price of the Shares as well as the correlation between</w:t>
      </w:r>
      <w:r>
        <w:rPr>
          <w:rFonts w:ascii="Arial" w:hAnsi="Arial" w:cs="Arial"/>
          <w:sz w:val="20"/>
          <w:szCs w:val="20"/>
        </w:rPr>
        <w:t xml:space="preserve"> the price of the Shares and the net asset value of the Trust.</w:t>
      </w:r>
    </w:p>
    <w:p w14:paraId="11303C6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288DF5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DCMs may also take steps, such as requiring liquidation of open positions, in the case of disorderly markets, market congestion and other market disruptions. These actions could require the T</w:t>
      </w:r>
      <w:r>
        <w:rPr>
          <w:rFonts w:ascii="Arial" w:hAnsi="Arial" w:cs="Arial"/>
          <w:sz w:val="20"/>
          <w:szCs w:val="20"/>
        </w:rPr>
        <w:t>rust to liquidate all or part of its Index Futures positions or require holders of positions in the futures contracts underlying the S&amp;P GSCI-ER to liquidate their positions. This could affect the level of the Index and the NAV. See also “Risk Factors Rela</w:t>
      </w:r>
      <w:r>
        <w:rPr>
          <w:rFonts w:ascii="Arial" w:hAnsi="Arial" w:cs="Arial"/>
          <w:sz w:val="20"/>
          <w:szCs w:val="20"/>
        </w:rPr>
        <w:t>ting to Commodities Markets—Regulatory developments with respect to the futures and over-the-counter derivatives markets, and in particular, with respect to speculative trading in futures contracts and over-the-counter derivatives involving commodities and</w:t>
      </w:r>
      <w:r>
        <w:rPr>
          <w:rFonts w:ascii="Arial" w:hAnsi="Arial" w:cs="Arial"/>
          <w:sz w:val="20"/>
          <w:szCs w:val="20"/>
        </w:rPr>
        <w:t xml:space="preserve"> commodity indices, could adversely affect the value of your Shares.”</w:t>
      </w:r>
    </w:p>
    <w:p w14:paraId="57ED6D8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A902BEA" w14:textId="77777777" w:rsidR="00000000" w:rsidRDefault="00016ED8">
      <w:pPr>
        <w:jc w:val="center"/>
        <w:divId w:val="2062316430"/>
        <w:rPr>
          <w:rFonts w:ascii="Arial" w:eastAsia="Times New Roman" w:hAnsi="Arial" w:cs="Arial"/>
          <w:sz w:val="20"/>
          <w:szCs w:val="20"/>
        </w:rPr>
      </w:pPr>
      <w:r>
        <w:rPr>
          <w:rFonts w:ascii="Arial" w:eastAsia="Times New Roman" w:hAnsi="Arial" w:cs="Arial"/>
          <w:sz w:val="20"/>
          <w:szCs w:val="20"/>
        </w:rPr>
        <w:t xml:space="preserve">18 </w:t>
      </w:r>
    </w:p>
    <w:p w14:paraId="17F18641" w14:textId="77777777" w:rsidR="00000000" w:rsidRDefault="00016ED8">
      <w:pPr>
        <w:divId w:val="2013870271"/>
        <w:rPr>
          <w:rFonts w:ascii="Arial" w:eastAsia="Times New Roman" w:hAnsi="Arial" w:cs="Arial"/>
          <w:sz w:val="20"/>
          <w:szCs w:val="20"/>
        </w:rPr>
      </w:pPr>
      <w:r>
        <w:rPr>
          <w:rFonts w:ascii="Arial" w:eastAsia="Times New Roman" w:hAnsi="Arial" w:cs="Arial"/>
          <w:sz w:val="20"/>
          <w:szCs w:val="20"/>
        </w:rPr>
        <w:pict w14:anchorId="44C61226">
          <v:rect id="_x0000_i1060" style="width:0;height:1.5pt" o:hralign="center" o:hrstd="t" o:hr="t" fillcolor="#a0a0a0" stroked="f"/>
        </w:pict>
      </w:r>
    </w:p>
    <w:p w14:paraId="27B821B7" w14:textId="77777777" w:rsidR="00000000" w:rsidRDefault="00016ED8">
      <w:pPr>
        <w:divId w:val="112141377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DF2228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D226B1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On May 13, 2020, the CFTC published a Staff Advisory on Risk Management and Market Integrity under Current Market Conditions addressed to DCMs, FCMs and derivatives clearing organizations (“DCOs”) registered with the CFTC (the “Staff Advisory”). The Staff </w:t>
      </w:r>
      <w:r>
        <w:rPr>
          <w:rFonts w:ascii="Arial" w:hAnsi="Arial" w:cs="Arial"/>
          <w:sz w:val="20"/>
          <w:szCs w:val="20"/>
        </w:rPr>
        <w:t>Advisory notes that adverse economic conditions resulting from the COVID-19 pandemic have coincided with substantially increased market volatility in key agricultural, energy, and financial sectors, including the futures and options on futures markets regu</w:t>
      </w:r>
      <w:r>
        <w:rPr>
          <w:rFonts w:ascii="Arial" w:hAnsi="Arial" w:cs="Arial"/>
          <w:sz w:val="20"/>
          <w:szCs w:val="20"/>
        </w:rPr>
        <w:t>lated by the CFTC, and that the impact has been particularly acute for contracts that call for physical delivery of the underlying  commodity.</w:t>
      </w:r>
    </w:p>
    <w:p w14:paraId="1C73C62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2085636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The Staff Advisory notes DCMs, FCMs and DCOs should prepare for the possibility that certain contracts may cont</w:t>
      </w:r>
      <w:r>
        <w:rPr>
          <w:rFonts w:ascii="Arial" w:hAnsi="Arial" w:cs="Arial"/>
          <w:sz w:val="20"/>
          <w:szCs w:val="20"/>
        </w:rPr>
        <w:t>inue to experience extreme market volatility, low liquidity and possibly negative pricing. Such preparations include assessment of risk controls and related mechanisms in light of market conditions, including whether such risk controls and related mechanis</w:t>
      </w:r>
      <w:r>
        <w:rPr>
          <w:rFonts w:ascii="Arial" w:hAnsi="Arial" w:cs="Arial"/>
          <w:sz w:val="20"/>
          <w:szCs w:val="20"/>
        </w:rPr>
        <w:t>ms are reasonably designed, fit for purpose, and appropriately implemented. In response to the Staff Advisory and other factors, the Trust may be subject to increased margin requirements and limitations on the size of positions that the Trust may take in I</w:t>
      </w:r>
      <w:r>
        <w:rPr>
          <w:rFonts w:ascii="Arial" w:hAnsi="Arial" w:cs="Arial"/>
          <w:sz w:val="20"/>
          <w:szCs w:val="20"/>
        </w:rPr>
        <w:t>ndex Futures. Other market participants may also be subject to increased margin requirements and position limits, adversely affecting the liquidity and price of Index Futures and the underlying futures. Such events could force the Trust or other market par</w:t>
      </w:r>
      <w:r>
        <w:rPr>
          <w:rFonts w:ascii="Arial" w:hAnsi="Arial" w:cs="Arial"/>
          <w:sz w:val="20"/>
          <w:szCs w:val="20"/>
        </w:rPr>
        <w:t>ticipants to sell Index Futures, or encourage market participants to sell or redeem their Shares.</w:t>
      </w:r>
    </w:p>
    <w:p w14:paraId="3842C70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4DA06E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B477799"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Securities and Use of Proceeds</w:t>
      </w:r>
    </w:p>
    <w:p w14:paraId="2FC424E4"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1502EDF" w14:textId="77777777">
        <w:trPr>
          <w:tblCellSpacing w:w="0" w:type="dxa"/>
        </w:trPr>
        <w:tc>
          <w:tcPr>
            <w:tcW w:w="360" w:type="dxa"/>
            <w:hideMark/>
          </w:tcPr>
          <w:p w14:paraId="12C7FF7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a)</w:t>
            </w:r>
          </w:p>
        </w:tc>
        <w:tc>
          <w:tcPr>
            <w:tcW w:w="0" w:type="auto"/>
            <w:hideMark/>
          </w:tcPr>
          <w:p w14:paraId="1DA1554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None.</w:t>
            </w:r>
          </w:p>
        </w:tc>
      </w:tr>
    </w:tbl>
    <w:p w14:paraId="0C230AD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F032D0D" w14:textId="77777777">
        <w:trPr>
          <w:tblCellSpacing w:w="0" w:type="dxa"/>
        </w:trPr>
        <w:tc>
          <w:tcPr>
            <w:tcW w:w="360" w:type="dxa"/>
            <w:hideMark/>
          </w:tcPr>
          <w:p w14:paraId="3762935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b)</w:t>
            </w:r>
          </w:p>
        </w:tc>
        <w:tc>
          <w:tcPr>
            <w:tcW w:w="0" w:type="auto"/>
            <w:hideMark/>
          </w:tcPr>
          <w:p w14:paraId="5BBA8EB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Not applicable.</w:t>
            </w:r>
          </w:p>
        </w:tc>
      </w:tr>
    </w:tbl>
    <w:p w14:paraId="57E4024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F42E7E8" w14:textId="77777777">
        <w:trPr>
          <w:tblCellSpacing w:w="0" w:type="dxa"/>
        </w:trPr>
        <w:tc>
          <w:tcPr>
            <w:tcW w:w="360" w:type="dxa"/>
            <w:hideMark/>
          </w:tcPr>
          <w:p w14:paraId="6137F3E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c)</w:t>
            </w:r>
          </w:p>
        </w:tc>
        <w:tc>
          <w:tcPr>
            <w:tcW w:w="0" w:type="auto"/>
            <w:hideMark/>
          </w:tcPr>
          <w:p w14:paraId="3A94886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2,150,000 Shares (43</w:t>
            </w:r>
            <w:r>
              <w:rPr>
                <w:rFonts w:ascii="Arial" w:hAnsi="Arial" w:cs="Arial"/>
                <w:sz w:val="20"/>
                <w:szCs w:val="20"/>
              </w:rPr>
              <w:t xml:space="preserve"> Baskets) were redeemed during the quarter ended June 30, 2020.</w:t>
            </w:r>
          </w:p>
        </w:tc>
      </w:tr>
    </w:tbl>
    <w:p w14:paraId="74C7AA7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14:paraId="09D5EBCC" w14:textId="77777777">
        <w:trPr>
          <w:tblCellSpacing w:w="0" w:type="dxa"/>
        </w:trPr>
        <w:tc>
          <w:tcPr>
            <w:tcW w:w="2300" w:type="pct"/>
            <w:tcBorders>
              <w:bottom w:val="single" w:sz="6" w:space="0" w:color="000000"/>
            </w:tcBorders>
            <w:vAlign w:val="bottom"/>
            <w:hideMark/>
          </w:tcPr>
          <w:p w14:paraId="2AE36263" w14:textId="77777777" w:rsidR="00000000" w:rsidRDefault="00016ED8">
            <w:pPr>
              <w:rPr>
                <w:rFonts w:ascii="Arial" w:eastAsia="Times New Roman" w:hAnsi="Arial" w:cs="Arial"/>
                <w:sz w:val="20"/>
                <w:szCs w:val="20"/>
              </w:rPr>
            </w:pPr>
            <w:r>
              <w:rPr>
                <w:rFonts w:ascii="Arial" w:eastAsia="Times New Roman" w:hAnsi="Arial" w:cs="Arial"/>
                <w:b/>
                <w:bCs/>
                <w:sz w:val="20"/>
                <w:szCs w:val="20"/>
              </w:rPr>
              <w:t>Period</w:t>
            </w:r>
          </w:p>
        </w:tc>
        <w:tc>
          <w:tcPr>
            <w:tcW w:w="0" w:type="auto"/>
            <w:vAlign w:val="bottom"/>
            <w:hideMark/>
          </w:tcPr>
          <w:p w14:paraId="70422AA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56A6B4F"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Total Number of Shares Redeemed</w:t>
            </w:r>
          </w:p>
        </w:tc>
        <w:tc>
          <w:tcPr>
            <w:tcW w:w="0" w:type="auto"/>
            <w:vAlign w:val="bottom"/>
            <w:hideMark/>
          </w:tcPr>
          <w:p w14:paraId="4EA3834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1EF080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A134C27"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Average Price Per Share</w:t>
            </w:r>
          </w:p>
        </w:tc>
        <w:tc>
          <w:tcPr>
            <w:tcW w:w="0" w:type="auto"/>
            <w:vAlign w:val="bottom"/>
            <w:hideMark/>
          </w:tcPr>
          <w:p w14:paraId="515D781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23A73A3" w14:textId="77777777">
        <w:trPr>
          <w:tblCellSpacing w:w="0" w:type="dxa"/>
        </w:trPr>
        <w:tc>
          <w:tcPr>
            <w:tcW w:w="0" w:type="auto"/>
            <w:shd w:val="clear" w:color="auto" w:fill="CCEEFF"/>
            <w:vAlign w:val="bottom"/>
            <w:hideMark/>
          </w:tcPr>
          <w:p w14:paraId="6EC39CD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04/01/20 to 04/30/20</w:t>
            </w:r>
          </w:p>
        </w:tc>
        <w:tc>
          <w:tcPr>
            <w:tcW w:w="50" w:type="pct"/>
            <w:shd w:val="clear" w:color="auto" w:fill="CCEEFF"/>
            <w:vAlign w:val="bottom"/>
            <w:hideMark/>
          </w:tcPr>
          <w:p w14:paraId="6165CD7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988E9F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14:paraId="34853D84"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1,600,000</w:t>
            </w:r>
          </w:p>
        </w:tc>
        <w:tc>
          <w:tcPr>
            <w:tcW w:w="50" w:type="pct"/>
            <w:shd w:val="clear" w:color="auto" w:fill="CCEEFF"/>
            <w:vAlign w:val="bottom"/>
            <w:hideMark/>
          </w:tcPr>
          <w:p w14:paraId="7695CA0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B74E0B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DD825A"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14:paraId="35DEA79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9.01</w:t>
            </w:r>
          </w:p>
        </w:tc>
        <w:tc>
          <w:tcPr>
            <w:tcW w:w="50" w:type="pct"/>
            <w:shd w:val="clear" w:color="auto" w:fill="CCEEFF"/>
            <w:vAlign w:val="bottom"/>
            <w:hideMark/>
          </w:tcPr>
          <w:p w14:paraId="39D101A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9E5B751" w14:textId="77777777">
        <w:trPr>
          <w:tblCellSpacing w:w="0" w:type="dxa"/>
        </w:trPr>
        <w:tc>
          <w:tcPr>
            <w:tcW w:w="0" w:type="auto"/>
            <w:shd w:val="clear" w:color="auto" w:fill="FFFFFF"/>
            <w:vAlign w:val="bottom"/>
            <w:hideMark/>
          </w:tcPr>
          <w:p w14:paraId="3772FE9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05/01/20 to 05/31/20</w:t>
            </w:r>
          </w:p>
        </w:tc>
        <w:tc>
          <w:tcPr>
            <w:tcW w:w="50" w:type="pct"/>
            <w:shd w:val="clear" w:color="auto" w:fill="FFFFFF"/>
            <w:vAlign w:val="bottom"/>
            <w:hideMark/>
          </w:tcPr>
          <w:p w14:paraId="519EDB6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653B6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14:paraId="6488E81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150,000</w:t>
            </w:r>
          </w:p>
        </w:tc>
        <w:tc>
          <w:tcPr>
            <w:tcW w:w="50" w:type="pct"/>
            <w:shd w:val="clear" w:color="auto" w:fill="FFFFFF"/>
            <w:vAlign w:val="bottom"/>
            <w:hideMark/>
          </w:tcPr>
          <w:p w14:paraId="733D1C1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6C693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0E27C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14:paraId="4619806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8.85</w:t>
            </w:r>
          </w:p>
        </w:tc>
        <w:tc>
          <w:tcPr>
            <w:tcW w:w="50" w:type="pct"/>
            <w:shd w:val="clear" w:color="auto" w:fill="FFFFFF"/>
            <w:vAlign w:val="bottom"/>
            <w:hideMark/>
          </w:tcPr>
          <w:p w14:paraId="5B5F810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507D500" w14:textId="77777777">
        <w:trPr>
          <w:tblCellSpacing w:w="0" w:type="dxa"/>
        </w:trPr>
        <w:tc>
          <w:tcPr>
            <w:tcW w:w="0" w:type="auto"/>
            <w:shd w:val="clear" w:color="auto" w:fill="CCEEFF"/>
            <w:vAlign w:val="bottom"/>
            <w:hideMark/>
          </w:tcPr>
          <w:p w14:paraId="7CB68D1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06/01/20 to 06/30/20</w:t>
            </w:r>
          </w:p>
        </w:tc>
        <w:tc>
          <w:tcPr>
            <w:tcW w:w="50" w:type="pct"/>
            <w:shd w:val="clear" w:color="auto" w:fill="CCEEFF"/>
            <w:tcMar>
              <w:top w:w="0" w:type="dxa"/>
              <w:left w:w="0" w:type="dxa"/>
              <w:bottom w:w="15" w:type="dxa"/>
              <w:right w:w="0" w:type="dxa"/>
            </w:tcMar>
            <w:vAlign w:val="bottom"/>
            <w:hideMark/>
          </w:tcPr>
          <w:p w14:paraId="024FB68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7190B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14:paraId="26E7171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400,000</w:t>
            </w:r>
          </w:p>
        </w:tc>
        <w:tc>
          <w:tcPr>
            <w:tcW w:w="50" w:type="pct"/>
            <w:shd w:val="clear" w:color="auto" w:fill="CCEEFF"/>
            <w:tcMar>
              <w:top w:w="0" w:type="dxa"/>
              <w:left w:w="0" w:type="dxa"/>
              <w:bottom w:w="15" w:type="dxa"/>
              <w:right w:w="0" w:type="dxa"/>
            </w:tcMar>
            <w:vAlign w:val="bottom"/>
            <w:hideMark/>
          </w:tcPr>
          <w:p w14:paraId="0A6C8BE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013F83D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CB0C88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14:paraId="250A00E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9.89</w:t>
            </w:r>
          </w:p>
        </w:tc>
        <w:tc>
          <w:tcPr>
            <w:tcW w:w="50" w:type="pct"/>
            <w:shd w:val="clear" w:color="auto" w:fill="CCEEFF"/>
            <w:tcMar>
              <w:top w:w="0" w:type="dxa"/>
              <w:left w:w="0" w:type="dxa"/>
              <w:bottom w:w="15" w:type="dxa"/>
              <w:right w:w="0" w:type="dxa"/>
            </w:tcMar>
            <w:vAlign w:val="bottom"/>
            <w:hideMark/>
          </w:tcPr>
          <w:p w14:paraId="0BD211F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73E9F54" w14:textId="77777777">
        <w:trPr>
          <w:tblCellSpacing w:w="0" w:type="dxa"/>
        </w:trPr>
        <w:tc>
          <w:tcPr>
            <w:tcW w:w="0" w:type="auto"/>
            <w:shd w:val="clear" w:color="auto" w:fill="FFFFFF"/>
            <w:vAlign w:val="bottom"/>
            <w:hideMark/>
          </w:tcPr>
          <w:p w14:paraId="6883112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14:paraId="0736E3B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FC97F7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14:paraId="502C291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2,150,000</w:t>
            </w:r>
          </w:p>
        </w:tc>
        <w:tc>
          <w:tcPr>
            <w:tcW w:w="50" w:type="pct"/>
            <w:shd w:val="clear" w:color="auto" w:fill="FFFFFF"/>
            <w:tcMar>
              <w:top w:w="0" w:type="dxa"/>
              <w:left w:w="0" w:type="dxa"/>
              <w:bottom w:w="45" w:type="dxa"/>
              <w:right w:w="0" w:type="dxa"/>
            </w:tcMar>
            <w:vAlign w:val="bottom"/>
            <w:hideMark/>
          </w:tcPr>
          <w:p w14:paraId="4930181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518021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14215E" w14:textId="77777777" w:rsidR="00000000" w:rsidRDefault="00016ED8">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14:paraId="4050C8CC"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9.17</w:t>
            </w:r>
          </w:p>
        </w:tc>
        <w:tc>
          <w:tcPr>
            <w:tcW w:w="50" w:type="pct"/>
            <w:shd w:val="clear" w:color="auto" w:fill="FFFFFF"/>
            <w:tcMar>
              <w:top w:w="0" w:type="dxa"/>
              <w:left w:w="0" w:type="dxa"/>
              <w:bottom w:w="45" w:type="dxa"/>
              <w:right w:w="0" w:type="dxa"/>
            </w:tcMar>
            <w:vAlign w:val="bottom"/>
            <w:hideMark/>
          </w:tcPr>
          <w:p w14:paraId="7634160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bl>
    <w:p w14:paraId="487332C1"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066EFCC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AE3BF32"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14:paraId="3E2AD2C1"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0BE41E0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None.</w:t>
      </w:r>
    </w:p>
    <w:p w14:paraId="49613D0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26DFAE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03F117C"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14:paraId="4E8EAA4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52270C4E"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3F0FF41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214C5F7" w14:textId="77777777" w:rsidR="00000000" w:rsidRDefault="00016ED8">
      <w:pPr>
        <w:pStyle w:val="a3"/>
        <w:spacing w:before="0" w:beforeAutospacing="0" w:after="0" w:afterAutospacing="0"/>
        <w:rPr>
          <w:rFonts w:ascii="Arial" w:hAnsi="Arial" w:cs="Arial"/>
          <w:sz w:val="2"/>
          <w:szCs w:val="2"/>
        </w:rPr>
      </w:pPr>
      <w:r>
        <w:rPr>
          <w:rFonts w:ascii="Arial" w:hAnsi="Arial" w:cs="Arial"/>
          <w:sz w:val="2"/>
          <w:szCs w:val="2"/>
        </w:rPr>
        <w:t> </w:t>
      </w:r>
    </w:p>
    <w:p w14:paraId="51FB6EDE"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35D92832"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14:paraId="66E7CF11"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65FFB543"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None.</w:t>
      </w:r>
    </w:p>
    <w:p w14:paraId="1DD9AF5F"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32995CB" w14:textId="77777777" w:rsidR="00000000" w:rsidRDefault="00016ED8">
      <w:pPr>
        <w:jc w:val="center"/>
        <w:divId w:val="271523645"/>
        <w:rPr>
          <w:rFonts w:ascii="Arial" w:eastAsia="Times New Roman" w:hAnsi="Arial" w:cs="Arial"/>
          <w:sz w:val="20"/>
          <w:szCs w:val="20"/>
        </w:rPr>
      </w:pPr>
      <w:r>
        <w:rPr>
          <w:rFonts w:ascii="Arial" w:eastAsia="Times New Roman" w:hAnsi="Arial" w:cs="Arial"/>
          <w:sz w:val="20"/>
          <w:szCs w:val="20"/>
        </w:rPr>
        <w:t xml:space="preserve">19 </w:t>
      </w:r>
    </w:p>
    <w:p w14:paraId="2D64751F" w14:textId="77777777" w:rsidR="00000000" w:rsidRDefault="00016ED8">
      <w:pPr>
        <w:divId w:val="169683941"/>
        <w:rPr>
          <w:rFonts w:ascii="Arial" w:eastAsia="Times New Roman" w:hAnsi="Arial" w:cs="Arial"/>
          <w:sz w:val="20"/>
          <w:szCs w:val="20"/>
        </w:rPr>
      </w:pPr>
      <w:r>
        <w:rPr>
          <w:rFonts w:ascii="Arial" w:eastAsia="Times New Roman" w:hAnsi="Arial" w:cs="Arial"/>
          <w:sz w:val="20"/>
          <w:szCs w:val="20"/>
        </w:rPr>
        <w:pict w14:anchorId="7DB321C7">
          <v:rect id="_x0000_i1061" style="width:0;height:1.5pt" o:hralign="center" o:hrstd="t" o:hr="t" fillcolor="#a0a0a0" stroked="f"/>
        </w:pict>
      </w:r>
    </w:p>
    <w:p w14:paraId="01EE0114" w14:textId="77777777" w:rsidR="00000000" w:rsidRDefault="00016ED8">
      <w:pPr>
        <w:divId w:val="177702097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2AC1570"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EBF33DF"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14:paraId="4835B5BF"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14:paraId="6E2C43D1" w14:textId="77777777">
        <w:trPr>
          <w:tblCellSpacing w:w="0" w:type="dxa"/>
        </w:trPr>
        <w:tc>
          <w:tcPr>
            <w:tcW w:w="300" w:type="pct"/>
            <w:gridSpan w:val="2"/>
            <w:tcBorders>
              <w:bottom w:val="single" w:sz="6" w:space="0" w:color="000000"/>
            </w:tcBorders>
            <w:vAlign w:val="center"/>
            <w:hideMark/>
          </w:tcPr>
          <w:p w14:paraId="4F8A4205" w14:textId="77777777" w:rsidR="00000000" w:rsidRDefault="00016ED8">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14:paraId="0613874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14:paraId="363A1B0B" w14:textId="77777777" w:rsidR="00000000" w:rsidRDefault="00016ED8">
            <w:pPr>
              <w:rPr>
                <w:rFonts w:ascii="Arial" w:eastAsia="Times New Roman" w:hAnsi="Arial" w:cs="Arial"/>
                <w:sz w:val="20"/>
                <w:szCs w:val="20"/>
              </w:rPr>
            </w:pPr>
            <w:r>
              <w:rPr>
                <w:rFonts w:ascii="Arial" w:eastAsia="Times New Roman" w:hAnsi="Arial" w:cs="Arial"/>
                <w:b/>
                <w:bCs/>
                <w:sz w:val="20"/>
                <w:szCs w:val="20"/>
              </w:rPr>
              <w:t>Description</w:t>
            </w:r>
          </w:p>
        </w:tc>
      </w:tr>
      <w:tr w:rsidR="00000000" w14:paraId="424DFE14" w14:textId="77777777">
        <w:trPr>
          <w:tblCellSpacing w:w="0" w:type="dxa"/>
        </w:trPr>
        <w:tc>
          <w:tcPr>
            <w:tcW w:w="300" w:type="pct"/>
            <w:hideMark/>
          </w:tcPr>
          <w:p w14:paraId="3332AC6D"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3.1</w:t>
            </w:r>
          </w:p>
        </w:tc>
        <w:tc>
          <w:tcPr>
            <w:tcW w:w="200" w:type="pct"/>
            <w:vAlign w:val="center"/>
            <w:hideMark/>
          </w:tcPr>
          <w:p w14:paraId="3A0DA30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834C7D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BE3840E" w14:textId="77777777" w:rsidR="00000000" w:rsidRDefault="00016ED8">
            <w:pPr>
              <w:rPr>
                <w:rFonts w:ascii="Arial" w:eastAsia="Times New Roman" w:hAnsi="Arial" w:cs="Arial"/>
                <w:sz w:val="20"/>
                <w:szCs w:val="20"/>
              </w:rPr>
            </w:pPr>
            <w:hyperlink r:id="rId4" w:history="1">
              <w:r>
                <w:rPr>
                  <w:rStyle w:val="a4"/>
                  <w:rFonts w:ascii="Arial" w:eastAsia="Times New Roman" w:hAnsi="Arial" w:cs="Arial"/>
                  <w:sz w:val="20"/>
                  <w:szCs w:val="20"/>
                </w:rPr>
                <w:t>Restated Certificate of Trust of iShares</w:t>
              </w:r>
              <w:r>
                <w:rPr>
                  <w:rStyle w:val="a4"/>
                  <w:rFonts w:ascii="Arial" w:eastAsia="Times New Roman" w:hAnsi="Arial" w:cs="Arial"/>
                  <w:sz w:val="12"/>
                  <w:szCs w:val="12"/>
                </w:rPr>
                <w:t>®</w:t>
              </w:r>
              <w:r>
                <w:rPr>
                  <w:rStyle w:val="a4"/>
                  <w:rFonts w:ascii="Arial" w:eastAsia="Times New Roman" w:hAnsi="Arial" w:cs="Arial"/>
                  <w:sz w:val="20"/>
                  <w:szCs w:val="20"/>
                </w:rPr>
                <w:t xml:space="preserve"> S&amp;P GSCI™ Commodity-Indexed Trust is incorporated by reference to Exhibit 3.1(i) of registrant’s Current Report on Form 8</w:t>
              </w:r>
              <w:r>
                <w:rPr>
                  <w:rStyle w:val="a4"/>
                  <w:rFonts w:ascii="Arial" w:eastAsia="Times New Roman" w:hAnsi="Arial" w:cs="Arial"/>
                  <w:sz w:val="20"/>
                  <w:szCs w:val="20"/>
                </w:rPr>
                <w:t>-K filed on May 9, 2007</w:t>
              </w:r>
            </w:hyperlink>
          </w:p>
        </w:tc>
      </w:tr>
      <w:tr w:rsidR="00000000" w14:paraId="7A986C5F" w14:textId="77777777">
        <w:trPr>
          <w:tblCellSpacing w:w="0" w:type="dxa"/>
        </w:trPr>
        <w:tc>
          <w:tcPr>
            <w:tcW w:w="300" w:type="pct"/>
            <w:vAlign w:val="center"/>
            <w:hideMark/>
          </w:tcPr>
          <w:p w14:paraId="45191BC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6F4CA62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A8FB4E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61B264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7DD784C" w14:textId="77777777">
        <w:trPr>
          <w:tblCellSpacing w:w="0" w:type="dxa"/>
        </w:trPr>
        <w:tc>
          <w:tcPr>
            <w:tcW w:w="300" w:type="pct"/>
            <w:hideMark/>
          </w:tcPr>
          <w:p w14:paraId="44827F0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4.1</w:t>
            </w:r>
          </w:p>
        </w:tc>
        <w:tc>
          <w:tcPr>
            <w:tcW w:w="200" w:type="pct"/>
            <w:vAlign w:val="center"/>
            <w:hideMark/>
          </w:tcPr>
          <w:p w14:paraId="5D4F4B5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60B0E3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12E4A19" w14:textId="77777777" w:rsidR="00000000" w:rsidRDefault="00016ED8">
            <w:pPr>
              <w:rPr>
                <w:rFonts w:ascii="Arial" w:eastAsia="Times New Roman" w:hAnsi="Arial" w:cs="Arial"/>
                <w:sz w:val="20"/>
                <w:szCs w:val="20"/>
              </w:rPr>
            </w:pPr>
            <w:hyperlink r:id="rId5" w:history="1">
              <w:r>
                <w:rPr>
                  <w:rStyle w:val="a4"/>
                  <w:rFonts w:ascii="Arial" w:eastAsia="Times New Roman" w:hAnsi="Arial" w:cs="Arial"/>
                  <w:sz w:val="20"/>
                  <w:szCs w:val="20"/>
                </w:rPr>
                <w:t>Third Amended and Restated Trust Agreement is incorporated by reference to Exhibit 4.1 of registrant’s Registration Statem</w:t>
              </w:r>
              <w:r>
                <w:rPr>
                  <w:rStyle w:val="a4"/>
                  <w:rFonts w:ascii="Arial" w:eastAsia="Times New Roman" w:hAnsi="Arial" w:cs="Arial"/>
                  <w:sz w:val="20"/>
                  <w:szCs w:val="20"/>
                </w:rPr>
                <w:t>ent No. 333</w:t>
              </w:r>
              <w:r>
                <w:rPr>
                  <w:rStyle w:val="a4"/>
                  <w:rFonts w:ascii="Arial" w:eastAsia="Times New Roman" w:hAnsi="Arial" w:cs="Arial"/>
                  <w:sz w:val="20"/>
                  <w:szCs w:val="20"/>
                </w:rPr>
                <w:noBreakHyphen/>
                <w:t>193156 filed on January 2, 2014</w:t>
              </w:r>
            </w:hyperlink>
          </w:p>
        </w:tc>
      </w:tr>
      <w:tr w:rsidR="00000000" w14:paraId="6E18EBC3" w14:textId="77777777">
        <w:trPr>
          <w:tblCellSpacing w:w="0" w:type="dxa"/>
        </w:trPr>
        <w:tc>
          <w:tcPr>
            <w:tcW w:w="300" w:type="pct"/>
            <w:vAlign w:val="center"/>
            <w:hideMark/>
          </w:tcPr>
          <w:p w14:paraId="665CE5E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14EDD20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29E0B1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41D2B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A616BE9" w14:textId="77777777">
        <w:trPr>
          <w:tblCellSpacing w:w="0" w:type="dxa"/>
        </w:trPr>
        <w:tc>
          <w:tcPr>
            <w:tcW w:w="300" w:type="pct"/>
            <w:hideMark/>
          </w:tcPr>
          <w:p w14:paraId="4D199AE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4.2</w:t>
            </w:r>
          </w:p>
        </w:tc>
        <w:tc>
          <w:tcPr>
            <w:tcW w:w="200" w:type="pct"/>
            <w:vAlign w:val="center"/>
            <w:hideMark/>
          </w:tcPr>
          <w:p w14:paraId="6A578E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C0EC30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D5D2BAE" w14:textId="77777777" w:rsidR="00000000" w:rsidRDefault="00016ED8">
            <w:pPr>
              <w:rPr>
                <w:rFonts w:ascii="Arial" w:eastAsia="Times New Roman" w:hAnsi="Arial" w:cs="Arial"/>
                <w:sz w:val="20"/>
                <w:szCs w:val="20"/>
              </w:rPr>
            </w:pPr>
            <w:hyperlink r:id="rId6" w:history="1">
              <w:r>
                <w:rPr>
                  <w:rStyle w:val="a4"/>
                  <w:rFonts w:ascii="Arial" w:eastAsia="Times New Roman" w:hAnsi="Arial" w:cs="Arial"/>
                  <w:sz w:val="20"/>
                  <w:szCs w:val="20"/>
                </w:rPr>
                <w:t>Authorized Participant Agreement is incorporated by reference to Exhibit 4.2 of registrant’s Current R</w:t>
              </w:r>
              <w:r>
                <w:rPr>
                  <w:rStyle w:val="a4"/>
                  <w:rFonts w:ascii="Arial" w:eastAsia="Times New Roman" w:hAnsi="Arial" w:cs="Arial"/>
                  <w:sz w:val="20"/>
                  <w:szCs w:val="20"/>
                </w:rPr>
                <w:t>eport on Form 8-K filed on November 29, 2013</w:t>
              </w:r>
            </w:hyperlink>
          </w:p>
        </w:tc>
      </w:tr>
      <w:tr w:rsidR="00000000" w14:paraId="16FC0A2E" w14:textId="77777777">
        <w:trPr>
          <w:tblCellSpacing w:w="0" w:type="dxa"/>
        </w:trPr>
        <w:tc>
          <w:tcPr>
            <w:tcW w:w="300" w:type="pct"/>
            <w:vAlign w:val="center"/>
            <w:hideMark/>
          </w:tcPr>
          <w:p w14:paraId="267577E1"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0384A8F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353B8D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DE7F70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847AB47" w14:textId="77777777">
        <w:trPr>
          <w:tblCellSpacing w:w="0" w:type="dxa"/>
        </w:trPr>
        <w:tc>
          <w:tcPr>
            <w:tcW w:w="300" w:type="pct"/>
            <w:hideMark/>
          </w:tcPr>
          <w:p w14:paraId="5E1F434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10.1</w:t>
            </w:r>
          </w:p>
        </w:tc>
        <w:tc>
          <w:tcPr>
            <w:tcW w:w="200" w:type="pct"/>
            <w:vAlign w:val="center"/>
            <w:hideMark/>
          </w:tcPr>
          <w:p w14:paraId="7063E57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366B95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6E0C739" w14:textId="77777777" w:rsidR="00000000" w:rsidRDefault="00016ED8">
            <w:pPr>
              <w:rPr>
                <w:rFonts w:ascii="Arial" w:eastAsia="Times New Roman" w:hAnsi="Arial" w:cs="Arial"/>
                <w:sz w:val="20"/>
                <w:szCs w:val="20"/>
              </w:rPr>
            </w:pPr>
            <w:hyperlink r:id="rId7" w:history="1">
              <w:r>
                <w:rPr>
                  <w:rStyle w:val="a4"/>
                  <w:rFonts w:ascii="Arial" w:eastAsia="Times New Roman" w:hAnsi="Arial" w:cs="Arial"/>
                  <w:sz w:val="20"/>
                  <w:szCs w:val="20"/>
                </w:rPr>
                <w:t>Investment Advisory Agreement is incorporated by reference to Exhibit 10.1 of registrant’s Registration Statement No. 333-193156 filed on January 2, 2014</w:t>
              </w:r>
            </w:hyperlink>
          </w:p>
        </w:tc>
      </w:tr>
      <w:tr w:rsidR="00000000" w14:paraId="6B0763F2" w14:textId="77777777">
        <w:trPr>
          <w:tblCellSpacing w:w="0" w:type="dxa"/>
        </w:trPr>
        <w:tc>
          <w:tcPr>
            <w:tcW w:w="300" w:type="pct"/>
            <w:vAlign w:val="center"/>
            <w:hideMark/>
          </w:tcPr>
          <w:p w14:paraId="408286E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6A7E2A0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51F2DC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82BFFF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625D5DE8" w14:textId="77777777">
        <w:trPr>
          <w:tblCellSpacing w:w="0" w:type="dxa"/>
        </w:trPr>
        <w:tc>
          <w:tcPr>
            <w:tcW w:w="300" w:type="pct"/>
            <w:hideMark/>
          </w:tcPr>
          <w:p w14:paraId="1592241E"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10.2</w:t>
            </w:r>
          </w:p>
        </w:tc>
        <w:tc>
          <w:tcPr>
            <w:tcW w:w="200" w:type="pct"/>
            <w:vAlign w:val="center"/>
            <w:hideMark/>
          </w:tcPr>
          <w:p w14:paraId="2280474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E3B20F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D6DA4F0" w14:textId="77777777" w:rsidR="00000000" w:rsidRDefault="00016ED8">
            <w:pPr>
              <w:rPr>
                <w:rFonts w:ascii="Arial" w:eastAsia="Times New Roman" w:hAnsi="Arial" w:cs="Arial"/>
                <w:sz w:val="20"/>
                <w:szCs w:val="20"/>
              </w:rPr>
            </w:pPr>
            <w:hyperlink r:id="rId8" w:history="1">
              <w:r>
                <w:rPr>
                  <w:rStyle w:val="a4"/>
                  <w:rFonts w:ascii="Arial" w:eastAsia="Times New Roman" w:hAnsi="Arial" w:cs="Arial"/>
                  <w:sz w:val="20"/>
                  <w:szCs w:val="20"/>
                </w:rPr>
                <w:t>Sublicense Agreement is incorporated by reference to Exhibit 10.2 of registrant’s Registration Statement No. 333-126810 filed on May 26, 2006</w:t>
              </w:r>
            </w:hyperlink>
          </w:p>
        </w:tc>
      </w:tr>
      <w:tr w:rsidR="00000000" w14:paraId="17D2CC60" w14:textId="77777777">
        <w:trPr>
          <w:tblCellSpacing w:w="0" w:type="dxa"/>
        </w:trPr>
        <w:tc>
          <w:tcPr>
            <w:tcW w:w="300" w:type="pct"/>
            <w:vAlign w:val="center"/>
            <w:hideMark/>
          </w:tcPr>
          <w:p w14:paraId="32E87B8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1BD6BEC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860E97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8E9AE5B"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CF15820" w14:textId="77777777">
        <w:trPr>
          <w:tblCellSpacing w:w="0" w:type="dxa"/>
        </w:trPr>
        <w:tc>
          <w:tcPr>
            <w:tcW w:w="300" w:type="pct"/>
            <w:hideMark/>
          </w:tcPr>
          <w:p w14:paraId="0CF74742"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10.3</w:t>
            </w:r>
          </w:p>
        </w:tc>
        <w:tc>
          <w:tcPr>
            <w:tcW w:w="200" w:type="pct"/>
            <w:vAlign w:val="center"/>
            <w:hideMark/>
          </w:tcPr>
          <w:p w14:paraId="0575744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5FAEF0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6B0EFEF" w14:textId="77777777" w:rsidR="00000000" w:rsidRDefault="00016ED8">
            <w:pPr>
              <w:rPr>
                <w:rFonts w:ascii="Arial" w:eastAsia="Times New Roman" w:hAnsi="Arial" w:cs="Arial"/>
                <w:sz w:val="20"/>
                <w:szCs w:val="20"/>
              </w:rPr>
            </w:pPr>
            <w:hyperlink r:id="rId9" w:history="1">
              <w:r>
                <w:rPr>
                  <w:rStyle w:val="a4"/>
                  <w:rFonts w:ascii="Arial" w:eastAsia="Times New Roman" w:hAnsi="Arial" w:cs="Arial"/>
                  <w:sz w:val="20"/>
                  <w:szCs w:val="20"/>
                </w:rPr>
                <w:t>Futures and Options Account Agreement is incorporated by reference to Exhibit 10.3 of registrant’s Registration Statement No. 333</w:t>
              </w:r>
              <w:r>
                <w:rPr>
                  <w:rStyle w:val="a4"/>
                  <w:rFonts w:ascii="Arial" w:eastAsia="Times New Roman" w:hAnsi="Arial" w:cs="Arial"/>
                  <w:sz w:val="20"/>
                  <w:szCs w:val="20"/>
                </w:rPr>
                <w:noBreakHyphen/>
                <w:t>193156 filed on January 2, 2014</w:t>
              </w:r>
            </w:hyperlink>
          </w:p>
        </w:tc>
      </w:tr>
      <w:tr w:rsidR="00000000" w14:paraId="54A13342" w14:textId="77777777">
        <w:trPr>
          <w:tblCellSpacing w:w="0" w:type="dxa"/>
        </w:trPr>
        <w:tc>
          <w:tcPr>
            <w:tcW w:w="300" w:type="pct"/>
            <w:vAlign w:val="center"/>
            <w:hideMark/>
          </w:tcPr>
          <w:p w14:paraId="61CE953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4D3F7E2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7D68A5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C85D09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16B037D" w14:textId="77777777">
        <w:trPr>
          <w:tblCellSpacing w:w="0" w:type="dxa"/>
        </w:trPr>
        <w:tc>
          <w:tcPr>
            <w:tcW w:w="300" w:type="pct"/>
            <w:hideMark/>
          </w:tcPr>
          <w:p w14:paraId="4738607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10.4</w:t>
            </w:r>
          </w:p>
        </w:tc>
        <w:tc>
          <w:tcPr>
            <w:tcW w:w="200" w:type="pct"/>
            <w:vAlign w:val="center"/>
            <w:hideMark/>
          </w:tcPr>
          <w:p w14:paraId="58D987E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C3E83A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54C7680" w14:textId="77777777" w:rsidR="00000000" w:rsidRDefault="00016ED8">
            <w:pPr>
              <w:rPr>
                <w:rFonts w:ascii="Arial" w:eastAsia="Times New Roman" w:hAnsi="Arial" w:cs="Arial"/>
                <w:sz w:val="20"/>
                <w:szCs w:val="20"/>
              </w:rPr>
            </w:pPr>
            <w:hyperlink r:id="rId10" w:history="1">
              <w:r>
                <w:rPr>
                  <w:rStyle w:val="a4"/>
                  <w:rFonts w:ascii="Arial" w:eastAsia="Times New Roman" w:hAnsi="Arial" w:cs="Arial"/>
                  <w:sz w:val="20"/>
                  <w:szCs w:val="20"/>
                </w:rPr>
                <w:t>Master Services Agreement is incorporated by reference to Exhibit 10.6 of registrant’s Current Report on Form 8-K filed on March 4, 2013</w:t>
              </w:r>
            </w:hyperlink>
          </w:p>
        </w:tc>
      </w:tr>
      <w:tr w:rsidR="00000000" w14:paraId="2800C228" w14:textId="77777777">
        <w:trPr>
          <w:tblCellSpacing w:w="0" w:type="dxa"/>
        </w:trPr>
        <w:tc>
          <w:tcPr>
            <w:tcW w:w="300" w:type="pct"/>
            <w:vAlign w:val="center"/>
            <w:hideMark/>
          </w:tcPr>
          <w:p w14:paraId="517196F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0DB989A7"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1E2922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C0E9F4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FCE98E8" w14:textId="77777777">
        <w:trPr>
          <w:tblCellSpacing w:w="0" w:type="dxa"/>
        </w:trPr>
        <w:tc>
          <w:tcPr>
            <w:tcW w:w="300" w:type="pct"/>
            <w:hideMark/>
          </w:tcPr>
          <w:p w14:paraId="402532D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10.5</w:t>
            </w:r>
          </w:p>
        </w:tc>
        <w:tc>
          <w:tcPr>
            <w:tcW w:w="200" w:type="pct"/>
            <w:vAlign w:val="center"/>
            <w:hideMark/>
          </w:tcPr>
          <w:p w14:paraId="6E1BAEA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707387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B0F2A18" w14:textId="77777777" w:rsidR="00000000" w:rsidRDefault="00016ED8">
            <w:pPr>
              <w:rPr>
                <w:rFonts w:ascii="Arial" w:eastAsia="Times New Roman" w:hAnsi="Arial" w:cs="Arial"/>
                <w:sz w:val="20"/>
                <w:szCs w:val="20"/>
              </w:rPr>
            </w:pPr>
            <w:hyperlink r:id="rId11" w:history="1">
              <w:r>
                <w:rPr>
                  <w:rStyle w:val="a4"/>
                  <w:rFonts w:ascii="Arial" w:eastAsia="Times New Roman" w:hAnsi="Arial" w:cs="Arial"/>
                  <w:sz w:val="20"/>
                  <w:szCs w:val="20"/>
                </w:rPr>
                <w:t>Service Module for Custodial Services is incorporated by reference to Exhibit 10.5 of registrant’s Registration Statement No. 333-193156 filed on January 2, 2014</w:t>
              </w:r>
            </w:hyperlink>
          </w:p>
        </w:tc>
      </w:tr>
      <w:tr w:rsidR="00000000" w14:paraId="2C6A011E" w14:textId="77777777">
        <w:trPr>
          <w:tblCellSpacing w:w="0" w:type="dxa"/>
        </w:trPr>
        <w:tc>
          <w:tcPr>
            <w:tcW w:w="300" w:type="pct"/>
            <w:vAlign w:val="center"/>
            <w:hideMark/>
          </w:tcPr>
          <w:p w14:paraId="33CCF35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58A0429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726BF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48B3B2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0310B106" w14:textId="77777777">
        <w:trPr>
          <w:tblCellSpacing w:w="0" w:type="dxa"/>
        </w:trPr>
        <w:tc>
          <w:tcPr>
            <w:tcW w:w="300" w:type="pct"/>
            <w:hideMark/>
          </w:tcPr>
          <w:p w14:paraId="79B9B89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10.6</w:t>
            </w:r>
          </w:p>
        </w:tc>
        <w:tc>
          <w:tcPr>
            <w:tcW w:w="200" w:type="pct"/>
            <w:vAlign w:val="center"/>
            <w:hideMark/>
          </w:tcPr>
          <w:p w14:paraId="64EB206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B477F1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0E457FE" w14:textId="77777777" w:rsidR="00000000" w:rsidRDefault="00016ED8">
            <w:pPr>
              <w:rPr>
                <w:rFonts w:ascii="Arial" w:eastAsia="Times New Roman" w:hAnsi="Arial" w:cs="Arial"/>
                <w:sz w:val="20"/>
                <w:szCs w:val="20"/>
              </w:rPr>
            </w:pPr>
            <w:hyperlink r:id="rId12" w:history="1">
              <w:r>
                <w:rPr>
                  <w:rStyle w:val="a4"/>
                  <w:rFonts w:ascii="Arial" w:eastAsia="Times New Roman" w:hAnsi="Arial" w:cs="Arial"/>
                  <w:sz w:val="20"/>
                  <w:szCs w:val="20"/>
                </w:rPr>
                <w:t>Service Module for Fund Administration and Accounting Services is incorporated by reference to Exhibit 10.6 of registrant’s Registration Statement No. 333-193156 f</w:t>
              </w:r>
              <w:r>
                <w:rPr>
                  <w:rStyle w:val="a4"/>
                  <w:rFonts w:ascii="Arial" w:eastAsia="Times New Roman" w:hAnsi="Arial" w:cs="Arial"/>
                  <w:sz w:val="20"/>
                  <w:szCs w:val="20"/>
                </w:rPr>
                <w:t>iled on January 2, 2014</w:t>
              </w:r>
            </w:hyperlink>
          </w:p>
        </w:tc>
      </w:tr>
      <w:tr w:rsidR="00000000" w14:paraId="2B4577D5" w14:textId="77777777">
        <w:trPr>
          <w:tblCellSpacing w:w="0" w:type="dxa"/>
        </w:trPr>
        <w:tc>
          <w:tcPr>
            <w:tcW w:w="300" w:type="pct"/>
            <w:vAlign w:val="center"/>
            <w:hideMark/>
          </w:tcPr>
          <w:p w14:paraId="3263EF8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3EE7BD7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B5B94E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36B6D1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42E5432" w14:textId="77777777">
        <w:trPr>
          <w:tblCellSpacing w:w="0" w:type="dxa"/>
        </w:trPr>
        <w:tc>
          <w:tcPr>
            <w:tcW w:w="300" w:type="pct"/>
            <w:hideMark/>
          </w:tcPr>
          <w:p w14:paraId="2312E3BF"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10.7</w:t>
            </w:r>
          </w:p>
        </w:tc>
        <w:tc>
          <w:tcPr>
            <w:tcW w:w="200" w:type="pct"/>
            <w:vAlign w:val="center"/>
            <w:hideMark/>
          </w:tcPr>
          <w:p w14:paraId="26B7E72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82BE26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698EFA4" w14:textId="77777777" w:rsidR="00000000" w:rsidRDefault="00016ED8">
            <w:pPr>
              <w:rPr>
                <w:rFonts w:ascii="Arial" w:eastAsia="Times New Roman" w:hAnsi="Arial" w:cs="Arial"/>
                <w:sz w:val="20"/>
                <w:szCs w:val="20"/>
              </w:rPr>
            </w:pPr>
            <w:hyperlink r:id="rId13" w:history="1">
              <w:r>
                <w:rPr>
                  <w:rStyle w:val="a4"/>
                  <w:rFonts w:ascii="Arial" w:eastAsia="Times New Roman" w:hAnsi="Arial" w:cs="Arial"/>
                  <w:sz w:val="20"/>
                  <w:szCs w:val="20"/>
                </w:rPr>
                <w:t>Control Agreement is incorporated by reference to Exhibit 10.7 of registrant’s Post-Effective amendment No. 1 to Registr</w:t>
              </w:r>
              <w:r>
                <w:rPr>
                  <w:rStyle w:val="a4"/>
                  <w:rFonts w:ascii="Arial" w:eastAsia="Times New Roman" w:hAnsi="Arial" w:cs="Arial"/>
                  <w:sz w:val="20"/>
                  <w:szCs w:val="20"/>
                </w:rPr>
                <w:t>ation Statement No. 333-193156 filed on April 2, 2014</w:t>
              </w:r>
            </w:hyperlink>
          </w:p>
        </w:tc>
      </w:tr>
      <w:tr w:rsidR="00000000" w14:paraId="0743CBC6" w14:textId="77777777">
        <w:trPr>
          <w:tblCellSpacing w:w="0" w:type="dxa"/>
        </w:trPr>
        <w:tc>
          <w:tcPr>
            <w:tcW w:w="300" w:type="pct"/>
            <w:vAlign w:val="center"/>
            <w:hideMark/>
          </w:tcPr>
          <w:p w14:paraId="3060F867"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1326532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0518AF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34CE04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4F9BCE3" w14:textId="77777777">
        <w:trPr>
          <w:tblCellSpacing w:w="0" w:type="dxa"/>
        </w:trPr>
        <w:tc>
          <w:tcPr>
            <w:tcW w:w="300" w:type="pct"/>
            <w:hideMark/>
          </w:tcPr>
          <w:p w14:paraId="4EED1A3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31.1</w:t>
            </w:r>
          </w:p>
        </w:tc>
        <w:tc>
          <w:tcPr>
            <w:tcW w:w="200" w:type="pct"/>
            <w:vAlign w:val="center"/>
            <w:hideMark/>
          </w:tcPr>
          <w:p w14:paraId="791354B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5A50AA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796885A" w14:textId="77777777" w:rsidR="00000000" w:rsidRDefault="00016ED8">
            <w:pPr>
              <w:rPr>
                <w:rFonts w:ascii="Arial" w:eastAsia="Times New Roman" w:hAnsi="Arial" w:cs="Arial"/>
                <w:sz w:val="20"/>
                <w:szCs w:val="20"/>
              </w:rPr>
            </w:pPr>
            <w:hyperlink r:id="rId14" w:history="1">
              <w:r>
                <w:rPr>
                  <w:rStyle w:val="a4"/>
                  <w:rFonts w:ascii="Arial" w:eastAsia="Times New Roman" w:hAnsi="Arial" w:cs="Arial"/>
                  <w:sz w:val="20"/>
                  <w:szCs w:val="20"/>
                </w:rPr>
                <w:t>Certification by Principal Executive Officer Pursuant to Rule 13a-14(a) under the Securities Exchange Act of 1934, as amended</w:t>
              </w:r>
            </w:hyperlink>
          </w:p>
        </w:tc>
      </w:tr>
      <w:tr w:rsidR="00000000" w14:paraId="31D235F9" w14:textId="77777777">
        <w:trPr>
          <w:tblCellSpacing w:w="0" w:type="dxa"/>
        </w:trPr>
        <w:tc>
          <w:tcPr>
            <w:tcW w:w="300" w:type="pct"/>
            <w:vAlign w:val="center"/>
            <w:hideMark/>
          </w:tcPr>
          <w:p w14:paraId="3BD0224A"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3AC031D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A4517D0"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7AF796D"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314318CD" w14:textId="77777777">
        <w:trPr>
          <w:tblCellSpacing w:w="0" w:type="dxa"/>
        </w:trPr>
        <w:tc>
          <w:tcPr>
            <w:tcW w:w="300" w:type="pct"/>
            <w:hideMark/>
          </w:tcPr>
          <w:p w14:paraId="686D5018"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31.2</w:t>
            </w:r>
          </w:p>
        </w:tc>
        <w:tc>
          <w:tcPr>
            <w:tcW w:w="200" w:type="pct"/>
            <w:vAlign w:val="center"/>
            <w:hideMark/>
          </w:tcPr>
          <w:p w14:paraId="44A6A33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7D0C13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E91FA7B" w14:textId="77777777" w:rsidR="00000000" w:rsidRDefault="00016ED8">
            <w:pPr>
              <w:rPr>
                <w:rFonts w:ascii="Arial" w:eastAsia="Times New Roman" w:hAnsi="Arial" w:cs="Arial"/>
                <w:sz w:val="20"/>
                <w:szCs w:val="20"/>
              </w:rPr>
            </w:pPr>
            <w:hyperlink r:id="rId15" w:history="1">
              <w:r>
                <w:rPr>
                  <w:rStyle w:val="a4"/>
                  <w:rFonts w:ascii="Arial" w:eastAsia="Times New Roman" w:hAnsi="Arial" w:cs="Arial"/>
                  <w:sz w:val="20"/>
                  <w:szCs w:val="20"/>
                </w:rPr>
                <w:t>Certification by Principal Financial Officer Pursuant to Rule 13a-14(a) under the</w:t>
              </w:r>
              <w:r>
                <w:rPr>
                  <w:rStyle w:val="a4"/>
                  <w:rFonts w:ascii="Arial" w:eastAsia="Times New Roman" w:hAnsi="Arial" w:cs="Arial"/>
                  <w:sz w:val="20"/>
                  <w:szCs w:val="20"/>
                </w:rPr>
                <w:t xml:space="preserve"> Securities Exchange Act of 1934, as amended</w:t>
              </w:r>
            </w:hyperlink>
          </w:p>
        </w:tc>
      </w:tr>
      <w:tr w:rsidR="00000000" w14:paraId="2866BBFF" w14:textId="77777777">
        <w:trPr>
          <w:tblCellSpacing w:w="0" w:type="dxa"/>
        </w:trPr>
        <w:tc>
          <w:tcPr>
            <w:tcW w:w="300" w:type="pct"/>
            <w:vAlign w:val="center"/>
            <w:hideMark/>
          </w:tcPr>
          <w:p w14:paraId="761B3B53"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0DBFCA9A"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1CC3BB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31B465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D68B880" w14:textId="77777777">
        <w:trPr>
          <w:tblCellSpacing w:w="0" w:type="dxa"/>
        </w:trPr>
        <w:tc>
          <w:tcPr>
            <w:tcW w:w="300" w:type="pct"/>
            <w:hideMark/>
          </w:tcPr>
          <w:p w14:paraId="0846DC30"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32.1</w:t>
            </w:r>
          </w:p>
        </w:tc>
        <w:tc>
          <w:tcPr>
            <w:tcW w:w="200" w:type="pct"/>
            <w:vAlign w:val="center"/>
            <w:hideMark/>
          </w:tcPr>
          <w:p w14:paraId="2179D9E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AA9632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F4DF97B" w14:textId="77777777" w:rsidR="00000000" w:rsidRDefault="00016ED8">
            <w:pPr>
              <w:rPr>
                <w:rFonts w:ascii="Arial" w:eastAsia="Times New Roman" w:hAnsi="Arial" w:cs="Arial"/>
                <w:sz w:val="20"/>
                <w:szCs w:val="20"/>
              </w:rPr>
            </w:pPr>
            <w:hyperlink r:id="rId16" w:history="1">
              <w:r>
                <w:rPr>
                  <w:rStyle w:val="a4"/>
                  <w:rFonts w:ascii="Arial" w:eastAsia="Times New Roman" w:hAnsi="Arial" w:cs="Arial"/>
                  <w:sz w:val="20"/>
                  <w:szCs w:val="20"/>
                </w:rPr>
                <w:t>Certification by Principal Executive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14:paraId="26D24F54" w14:textId="77777777">
        <w:trPr>
          <w:tblCellSpacing w:w="0" w:type="dxa"/>
        </w:trPr>
        <w:tc>
          <w:tcPr>
            <w:tcW w:w="300" w:type="pct"/>
            <w:vAlign w:val="center"/>
            <w:hideMark/>
          </w:tcPr>
          <w:p w14:paraId="157AF805"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14:paraId="2989926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DC2A1A2"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EBF955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15E55748" w14:textId="77777777">
        <w:trPr>
          <w:tblCellSpacing w:w="0" w:type="dxa"/>
        </w:trPr>
        <w:tc>
          <w:tcPr>
            <w:tcW w:w="300" w:type="pct"/>
            <w:hideMark/>
          </w:tcPr>
          <w:p w14:paraId="6D3A1FFB" w14:textId="77777777" w:rsidR="00000000" w:rsidRDefault="00016ED8">
            <w:pPr>
              <w:jc w:val="right"/>
              <w:rPr>
                <w:rFonts w:ascii="Arial" w:eastAsia="Times New Roman" w:hAnsi="Arial" w:cs="Arial"/>
                <w:sz w:val="20"/>
                <w:szCs w:val="20"/>
              </w:rPr>
            </w:pPr>
            <w:r>
              <w:rPr>
                <w:rFonts w:ascii="Arial" w:eastAsia="Times New Roman" w:hAnsi="Arial" w:cs="Arial"/>
                <w:sz w:val="20"/>
                <w:szCs w:val="20"/>
              </w:rPr>
              <w:t>32.2</w:t>
            </w:r>
          </w:p>
        </w:tc>
        <w:tc>
          <w:tcPr>
            <w:tcW w:w="200" w:type="pct"/>
            <w:vAlign w:val="center"/>
            <w:hideMark/>
          </w:tcPr>
          <w:p w14:paraId="69E9D18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A18E151"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788CB20" w14:textId="77777777" w:rsidR="00000000" w:rsidRDefault="00016ED8">
            <w:pPr>
              <w:rPr>
                <w:rFonts w:ascii="Arial" w:eastAsia="Times New Roman" w:hAnsi="Arial" w:cs="Arial"/>
                <w:sz w:val="20"/>
                <w:szCs w:val="20"/>
              </w:rPr>
            </w:pPr>
            <w:hyperlink r:id="rId17" w:history="1">
              <w:r>
                <w:rPr>
                  <w:rStyle w:val="a4"/>
                  <w:rFonts w:ascii="Arial" w:eastAsia="Times New Roman" w:hAnsi="Arial" w:cs="Arial"/>
                  <w:sz w:val="20"/>
                  <w:szCs w:val="20"/>
                </w:rPr>
                <w:t>Certification by Principal Financial Officer Pursuant to 18 U.S.C. Section 1350, as Adopted Pursuant to Section 906 of the Sarbanes</w:t>
              </w:r>
              <w:r>
                <w:rPr>
                  <w:rStyle w:val="a4"/>
                  <w:rFonts w:ascii="Arial" w:eastAsia="Times New Roman" w:hAnsi="Arial" w:cs="Arial"/>
                  <w:sz w:val="20"/>
                  <w:szCs w:val="20"/>
                </w:rPr>
                <w:noBreakHyphen/>
                <w:t>Oxley Act of 2002</w:t>
              </w:r>
            </w:hyperlink>
          </w:p>
        </w:tc>
      </w:tr>
    </w:tbl>
    <w:p w14:paraId="1A5211A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14:paraId="52155BA3" w14:textId="77777777">
        <w:trPr>
          <w:tblCellSpacing w:w="0" w:type="dxa"/>
        </w:trPr>
        <w:tc>
          <w:tcPr>
            <w:tcW w:w="500" w:type="pct"/>
            <w:hideMark/>
          </w:tcPr>
          <w:p w14:paraId="597C7C8D"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14:paraId="17C3063E"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FD323E9" w14:textId="77777777" w:rsidR="00000000" w:rsidRDefault="00016ED8">
            <w:pPr>
              <w:rPr>
                <w:rFonts w:ascii="Arial" w:eastAsia="Times New Roman" w:hAnsi="Arial" w:cs="Arial"/>
                <w:sz w:val="20"/>
                <w:szCs w:val="20"/>
              </w:rPr>
            </w:pPr>
            <w:r>
              <w:rPr>
                <w:rFonts w:ascii="Arial" w:eastAsia="Times New Roman" w:hAnsi="Arial" w:cs="Arial"/>
                <w:sz w:val="20"/>
                <w:szCs w:val="20"/>
              </w:rPr>
              <w:t>Inline XBRL Instance Document - the instance document</w:t>
            </w:r>
            <w:r>
              <w:rPr>
                <w:rFonts w:ascii="Arial" w:eastAsia="Times New Roman" w:hAnsi="Arial" w:cs="Arial"/>
                <w:sz w:val="20"/>
                <w:szCs w:val="20"/>
              </w:rPr>
              <w:t xml:space="preserve"> does not appear in the Interactive Data File because its XBRL tags are embedded within the Inline XBRL document.</w:t>
            </w:r>
          </w:p>
        </w:tc>
      </w:tr>
      <w:tr w:rsidR="00000000" w14:paraId="1507771D" w14:textId="77777777">
        <w:trPr>
          <w:tblCellSpacing w:w="0" w:type="dxa"/>
        </w:trPr>
        <w:tc>
          <w:tcPr>
            <w:tcW w:w="500" w:type="pct"/>
            <w:vAlign w:val="center"/>
            <w:hideMark/>
          </w:tcPr>
          <w:p w14:paraId="18696CAF"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F7B41B4"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6945ED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DA08D55" w14:textId="77777777">
        <w:trPr>
          <w:tblCellSpacing w:w="0" w:type="dxa"/>
        </w:trPr>
        <w:tc>
          <w:tcPr>
            <w:tcW w:w="500" w:type="pct"/>
            <w:hideMark/>
          </w:tcPr>
          <w:p w14:paraId="5A714390"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vAlign w:val="center"/>
            <w:hideMark/>
          </w:tcPr>
          <w:p w14:paraId="4639D5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3C87E43" w14:textId="77777777" w:rsidR="00000000" w:rsidRDefault="00016ED8">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14:paraId="39D3DB31" w14:textId="77777777">
        <w:trPr>
          <w:tblCellSpacing w:w="0" w:type="dxa"/>
        </w:trPr>
        <w:tc>
          <w:tcPr>
            <w:tcW w:w="500" w:type="pct"/>
            <w:vAlign w:val="center"/>
            <w:hideMark/>
          </w:tcPr>
          <w:p w14:paraId="035ACA2D"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D0AE11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569E06F"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47F50331" w14:textId="77777777">
        <w:trPr>
          <w:tblCellSpacing w:w="0" w:type="dxa"/>
        </w:trPr>
        <w:tc>
          <w:tcPr>
            <w:tcW w:w="500" w:type="pct"/>
            <w:hideMark/>
          </w:tcPr>
          <w:p w14:paraId="0F8CAA9D"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14:paraId="227A0B4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F0F45C9" w14:textId="77777777" w:rsidR="00000000" w:rsidRDefault="00016ED8">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14:paraId="71EDFF77" w14:textId="77777777">
        <w:trPr>
          <w:tblCellSpacing w:w="0" w:type="dxa"/>
        </w:trPr>
        <w:tc>
          <w:tcPr>
            <w:tcW w:w="500" w:type="pct"/>
            <w:vAlign w:val="center"/>
            <w:hideMark/>
          </w:tcPr>
          <w:p w14:paraId="1D883A1B"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E29E65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8766AD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D86BE38" w14:textId="77777777">
        <w:trPr>
          <w:tblCellSpacing w:w="0" w:type="dxa"/>
        </w:trPr>
        <w:tc>
          <w:tcPr>
            <w:tcW w:w="500" w:type="pct"/>
            <w:hideMark/>
          </w:tcPr>
          <w:p w14:paraId="526E6327"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14:paraId="6FDEB0C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D3175F3" w14:textId="77777777" w:rsidR="00000000" w:rsidRDefault="00016ED8">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14:paraId="5229BC06" w14:textId="77777777">
        <w:trPr>
          <w:tblCellSpacing w:w="0" w:type="dxa"/>
        </w:trPr>
        <w:tc>
          <w:tcPr>
            <w:tcW w:w="500" w:type="pct"/>
            <w:vAlign w:val="center"/>
            <w:hideMark/>
          </w:tcPr>
          <w:p w14:paraId="353C6D78"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A4069A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421724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7452F733" w14:textId="77777777">
        <w:trPr>
          <w:tblCellSpacing w:w="0" w:type="dxa"/>
        </w:trPr>
        <w:tc>
          <w:tcPr>
            <w:tcW w:w="500" w:type="pct"/>
            <w:hideMark/>
          </w:tcPr>
          <w:p w14:paraId="261F0ECB"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14:paraId="108748B5"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0FCFBC1" w14:textId="77777777" w:rsidR="00000000" w:rsidRDefault="00016ED8">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14:paraId="37F5B2F9" w14:textId="77777777">
        <w:trPr>
          <w:tblCellSpacing w:w="0" w:type="dxa"/>
        </w:trPr>
        <w:tc>
          <w:tcPr>
            <w:tcW w:w="500" w:type="pct"/>
            <w:vAlign w:val="center"/>
            <w:hideMark/>
          </w:tcPr>
          <w:p w14:paraId="2DE2426F"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5C1B6D2C"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3380A7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249B9FD0" w14:textId="77777777">
        <w:trPr>
          <w:tblCellSpacing w:w="0" w:type="dxa"/>
        </w:trPr>
        <w:tc>
          <w:tcPr>
            <w:tcW w:w="500" w:type="pct"/>
            <w:hideMark/>
          </w:tcPr>
          <w:p w14:paraId="67DFC216"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14:paraId="0E25B8B6"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82BD51D" w14:textId="77777777" w:rsidR="00000000" w:rsidRDefault="00016ED8">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14:paraId="03EEF2CB" w14:textId="77777777">
        <w:trPr>
          <w:tblCellSpacing w:w="0" w:type="dxa"/>
        </w:trPr>
        <w:tc>
          <w:tcPr>
            <w:tcW w:w="500" w:type="pct"/>
            <w:vAlign w:val="center"/>
            <w:hideMark/>
          </w:tcPr>
          <w:p w14:paraId="014EC615"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611CD19"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3F61E23"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r>
      <w:tr w:rsidR="00000000" w14:paraId="56F9394F" w14:textId="77777777">
        <w:trPr>
          <w:tblCellSpacing w:w="0" w:type="dxa"/>
        </w:trPr>
        <w:tc>
          <w:tcPr>
            <w:tcW w:w="500" w:type="pct"/>
            <w:hideMark/>
          </w:tcPr>
          <w:p w14:paraId="00E51391" w14:textId="77777777" w:rsidR="00000000" w:rsidRDefault="00016ED8">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14:paraId="6F2C4F88" w14:textId="77777777" w:rsidR="00000000" w:rsidRDefault="00016ED8">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1F3F48B" w14:textId="77777777" w:rsidR="00000000" w:rsidRDefault="00016ED8">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14:paraId="32186A1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DAB88EA" w14:textId="77777777" w:rsidR="00000000" w:rsidRDefault="00016ED8">
      <w:pPr>
        <w:jc w:val="center"/>
        <w:divId w:val="1334987710"/>
        <w:rPr>
          <w:rFonts w:ascii="Arial" w:eastAsia="Times New Roman" w:hAnsi="Arial" w:cs="Arial"/>
          <w:sz w:val="20"/>
          <w:szCs w:val="20"/>
        </w:rPr>
      </w:pPr>
      <w:r>
        <w:rPr>
          <w:rFonts w:ascii="Arial" w:eastAsia="Times New Roman" w:hAnsi="Arial" w:cs="Arial"/>
          <w:sz w:val="20"/>
          <w:szCs w:val="20"/>
        </w:rPr>
        <w:t xml:space="preserve">20 </w:t>
      </w:r>
    </w:p>
    <w:p w14:paraId="68B0638E" w14:textId="77777777" w:rsidR="00000000" w:rsidRDefault="00016ED8">
      <w:pPr>
        <w:divId w:val="1214586298"/>
        <w:rPr>
          <w:rFonts w:ascii="Arial" w:eastAsia="Times New Roman" w:hAnsi="Arial" w:cs="Arial"/>
          <w:sz w:val="20"/>
          <w:szCs w:val="20"/>
        </w:rPr>
      </w:pPr>
      <w:r>
        <w:rPr>
          <w:rFonts w:ascii="Arial" w:eastAsia="Times New Roman" w:hAnsi="Arial" w:cs="Arial"/>
          <w:sz w:val="20"/>
          <w:szCs w:val="20"/>
        </w:rPr>
        <w:pict w14:anchorId="5C23D7A9">
          <v:rect id="_x0000_i1062" style="width:0;height:1.5pt" o:hralign="center" o:hrstd="t" o:hr="t" fillcolor="#a0a0a0" stroked="f"/>
        </w:pict>
      </w:r>
    </w:p>
    <w:p w14:paraId="51E823D0" w14:textId="77777777" w:rsidR="00000000" w:rsidRDefault="00016ED8">
      <w:pPr>
        <w:divId w:val="155742923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1B2CB9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533A12D6" w14:textId="77777777" w:rsidR="00000000" w:rsidRDefault="00016ED8">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14:paraId="75F17C8C"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p w14:paraId="4C43FAC6"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Pursuant to the requiremen</w:t>
      </w:r>
      <w:r>
        <w:rPr>
          <w:rFonts w:ascii="Arial" w:hAnsi="Arial" w:cs="Arial"/>
          <w:sz w:val="20"/>
          <w:szCs w:val="20"/>
        </w:rPr>
        <w:t>ts of the Securities Exchange Act of 1934, the registrant has duly caused this report to be signed on its behalf by the undersigned in the capacities* indicated, thereunto duly authorized.</w:t>
      </w:r>
    </w:p>
    <w:p w14:paraId="66F857C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604BF23D"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14:paraId="5C98E78C"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0F7DA72"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Sponsor of the iShares S&amp;P </w:t>
      </w:r>
      <w:r>
        <w:rPr>
          <w:rFonts w:ascii="Arial" w:hAnsi="Arial" w:cs="Arial"/>
          <w:sz w:val="20"/>
          <w:szCs w:val="20"/>
        </w:rPr>
        <w:t>GSCI™ Commodity-Indexed Trust (registrant)</w:t>
      </w:r>
    </w:p>
    <w:p w14:paraId="6F84398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E9FE27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4D2E7554" w14:textId="77777777">
        <w:trPr>
          <w:tblCellSpacing w:w="0" w:type="dxa"/>
        </w:trPr>
        <w:tc>
          <w:tcPr>
            <w:tcW w:w="5000" w:type="pct"/>
            <w:tcBorders>
              <w:bottom w:val="single" w:sz="6" w:space="0" w:color="000000"/>
            </w:tcBorders>
            <w:vAlign w:val="center"/>
            <w:hideMark/>
          </w:tcPr>
          <w:p w14:paraId="16BF8A6F" w14:textId="77777777" w:rsidR="00000000" w:rsidRDefault="00016ED8">
            <w:pPr>
              <w:rPr>
                <w:rFonts w:ascii="Arial" w:eastAsia="Times New Roman" w:hAnsi="Arial" w:cs="Arial"/>
                <w:sz w:val="20"/>
                <w:szCs w:val="20"/>
              </w:rPr>
            </w:pPr>
            <w:r>
              <w:rPr>
                <w:rFonts w:ascii="Arial" w:eastAsia="Times New Roman" w:hAnsi="Arial" w:cs="Arial"/>
                <w:sz w:val="20"/>
                <w:szCs w:val="20"/>
              </w:rPr>
              <w:t>/s/ Paul Lohrey</w:t>
            </w:r>
          </w:p>
        </w:tc>
      </w:tr>
    </w:tbl>
    <w:p w14:paraId="0A57E96A"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Paul Lohrey</w:t>
      </w:r>
    </w:p>
    <w:p w14:paraId="69A24F70"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Director, President and Chief Executive Officer</w:t>
      </w:r>
    </w:p>
    <w:p w14:paraId="12CE63EA"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(Principal executive officer)</w:t>
      </w:r>
    </w:p>
    <w:p w14:paraId="12DBD4E3"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1432F9C3" w14:textId="77777777">
        <w:trPr>
          <w:tblCellSpacing w:w="0" w:type="dxa"/>
        </w:trPr>
        <w:tc>
          <w:tcPr>
            <w:tcW w:w="600" w:type="pct"/>
            <w:vAlign w:val="center"/>
            <w:hideMark/>
          </w:tcPr>
          <w:p w14:paraId="1682C9E1" w14:textId="77777777" w:rsidR="00000000" w:rsidRDefault="00016ED8">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3287862B" w14:textId="77777777" w:rsidR="00000000" w:rsidRDefault="00016ED8">
            <w:pPr>
              <w:rPr>
                <w:rFonts w:ascii="Arial" w:eastAsia="Times New Roman" w:hAnsi="Arial" w:cs="Arial"/>
                <w:sz w:val="20"/>
                <w:szCs w:val="20"/>
              </w:rPr>
            </w:pPr>
            <w:r>
              <w:rPr>
                <w:rFonts w:ascii="Arial" w:eastAsia="Times New Roman" w:hAnsi="Arial" w:cs="Arial"/>
                <w:sz w:val="20"/>
                <w:szCs w:val="20"/>
              </w:rPr>
              <w:t>August 5, 2020</w:t>
            </w:r>
          </w:p>
        </w:tc>
      </w:tr>
    </w:tbl>
    <w:p w14:paraId="02A47507"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7A2A3015"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3493E697" w14:textId="77777777">
        <w:trPr>
          <w:tblCellSpacing w:w="0" w:type="dxa"/>
        </w:trPr>
        <w:tc>
          <w:tcPr>
            <w:tcW w:w="5000" w:type="pct"/>
            <w:tcBorders>
              <w:bottom w:val="single" w:sz="6" w:space="0" w:color="000000"/>
            </w:tcBorders>
            <w:vAlign w:val="center"/>
            <w:hideMark/>
          </w:tcPr>
          <w:p w14:paraId="3F838BB8" w14:textId="77777777" w:rsidR="00000000" w:rsidRDefault="00016ED8">
            <w:pPr>
              <w:rPr>
                <w:rFonts w:ascii="Arial" w:eastAsia="Times New Roman" w:hAnsi="Arial" w:cs="Arial"/>
                <w:sz w:val="20"/>
                <w:szCs w:val="20"/>
              </w:rPr>
            </w:pPr>
            <w:r>
              <w:rPr>
                <w:rFonts w:ascii="Arial" w:eastAsia="Times New Roman" w:hAnsi="Arial" w:cs="Arial"/>
                <w:sz w:val="20"/>
                <w:szCs w:val="20"/>
              </w:rPr>
              <w:t>/s/ Mary Cronin</w:t>
            </w:r>
          </w:p>
        </w:tc>
      </w:tr>
    </w:tbl>
    <w:p w14:paraId="2901F30B"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Mary Cronin</w:t>
      </w:r>
    </w:p>
    <w:p w14:paraId="4AD5ABB6"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Director and Chief Financial Officer</w:t>
      </w:r>
    </w:p>
    <w:p w14:paraId="0229403C" w14:textId="77777777" w:rsidR="00000000" w:rsidRDefault="00016ED8">
      <w:pPr>
        <w:pStyle w:val="a3"/>
        <w:spacing w:before="0" w:beforeAutospacing="0" w:after="0" w:afterAutospacing="0"/>
        <w:rPr>
          <w:rFonts w:ascii="Arial" w:hAnsi="Arial" w:cs="Arial"/>
          <w:sz w:val="20"/>
          <w:szCs w:val="20"/>
        </w:rPr>
      </w:pPr>
      <w:r>
        <w:rPr>
          <w:rFonts w:ascii="Arial" w:hAnsi="Arial" w:cs="Arial"/>
          <w:b/>
          <w:bCs/>
          <w:sz w:val="20"/>
          <w:szCs w:val="20"/>
        </w:rPr>
        <w:t>(Principal financial and accounting officer)</w:t>
      </w:r>
    </w:p>
    <w:p w14:paraId="0391EC7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4195B150" w14:textId="77777777">
        <w:trPr>
          <w:tblCellSpacing w:w="0" w:type="dxa"/>
        </w:trPr>
        <w:tc>
          <w:tcPr>
            <w:tcW w:w="600" w:type="pct"/>
            <w:vAlign w:val="center"/>
            <w:hideMark/>
          </w:tcPr>
          <w:p w14:paraId="1029E462" w14:textId="77777777" w:rsidR="00000000" w:rsidRDefault="00016ED8">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322B48D4" w14:textId="77777777" w:rsidR="00000000" w:rsidRDefault="00016ED8">
            <w:pPr>
              <w:rPr>
                <w:rFonts w:ascii="Arial" w:eastAsia="Times New Roman" w:hAnsi="Arial" w:cs="Arial"/>
                <w:sz w:val="20"/>
                <w:szCs w:val="20"/>
              </w:rPr>
            </w:pPr>
            <w:r>
              <w:rPr>
                <w:rFonts w:ascii="Arial" w:eastAsia="Times New Roman" w:hAnsi="Arial" w:cs="Arial"/>
                <w:sz w:val="20"/>
                <w:szCs w:val="20"/>
              </w:rPr>
              <w:t>August 5, 2020</w:t>
            </w:r>
          </w:p>
        </w:tc>
      </w:tr>
    </w:tbl>
    <w:p w14:paraId="26C0266A"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348E724C" w14:textId="77777777" w:rsidR="00000000" w:rsidRDefault="00016ED8">
      <w:pPr>
        <w:rPr>
          <w:rFonts w:ascii="Arial" w:eastAsia="Times New Roman" w:hAnsi="Arial" w:cs="Arial"/>
          <w:sz w:val="20"/>
          <w:szCs w:val="20"/>
        </w:rPr>
      </w:pPr>
      <w:r>
        <w:rPr>
          <w:rFonts w:ascii="Arial" w:eastAsia="Times New Roman" w:hAnsi="Arial" w:cs="Arial"/>
          <w:sz w:val="20"/>
          <w:szCs w:val="20"/>
        </w:rPr>
        <w:pict w14:anchorId="66155EB6">
          <v:rect id="_x0000_i1063" style="width:0;height:1.5pt" o:hralign="center" o:hrstd="t" o:hr="t" fillcolor="#a0a0a0" stroked="f"/>
        </w:pict>
      </w:r>
    </w:p>
    <w:p w14:paraId="57C39384"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xml:space="preserve">*    </w:t>
      </w:r>
      <w:r>
        <w:rPr>
          <w:rFonts w:ascii="Arial" w:hAnsi="Arial" w:cs="Arial"/>
          <w:sz w:val="16"/>
          <w:szCs w:val="16"/>
        </w:rPr>
        <w:t>The registrant is a trust and the persons are signing in their respective capacities as officers of iShares Delaware Trust Sponsor LLC, the Sponsor of the registrant.</w:t>
      </w:r>
    </w:p>
    <w:p w14:paraId="04FF1ADB" w14:textId="77777777" w:rsidR="00000000" w:rsidRDefault="00016ED8">
      <w:pPr>
        <w:pStyle w:val="a3"/>
        <w:spacing w:before="0" w:beforeAutospacing="0" w:after="0" w:afterAutospacing="0"/>
        <w:rPr>
          <w:rFonts w:ascii="Arial" w:hAnsi="Arial" w:cs="Arial"/>
          <w:sz w:val="20"/>
          <w:szCs w:val="20"/>
        </w:rPr>
      </w:pPr>
      <w:r>
        <w:rPr>
          <w:rFonts w:ascii="Arial" w:hAnsi="Arial" w:cs="Arial"/>
          <w:sz w:val="20"/>
          <w:szCs w:val="20"/>
        </w:rPr>
        <w:t> </w:t>
      </w:r>
    </w:p>
    <w:p w14:paraId="49B5E640" w14:textId="77777777" w:rsidR="00016ED8" w:rsidRDefault="00016ED8">
      <w:pPr>
        <w:jc w:val="center"/>
        <w:divId w:val="524440769"/>
        <w:rPr>
          <w:rFonts w:ascii="Arial" w:eastAsia="Times New Roman" w:hAnsi="Arial" w:cs="Arial"/>
          <w:sz w:val="20"/>
          <w:szCs w:val="20"/>
        </w:rPr>
      </w:pPr>
      <w:r>
        <w:rPr>
          <w:rFonts w:ascii="Arial" w:eastAsia="Times New Roman" w:hAnsi="Arial" w:cs="Arial"/>
          <w:sz w:val="20"/>
          <w:szCs w:val="20"/>
        </w:rPr>
        <w:t xml:space="preserve">21 </w:t>
      </w:r>
    </w:p>
    <w:sectPr w:rsidR="00016ED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16ED8"/>
    <w:rsid w:val="00016ED8"/>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fasb.org/srt-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us.ishares.com/20200630"/>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6A72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17">
      <w:marLeft w:val="0"/>
      <w:marRight w:val="0"/>
      <w:marTop w:val="0"/>
      <w:marBottom w:val="0"/>
      <w:divBdr>
        <w:top w:val="none" w:sz="0" w:space="0" w:color="auto"/>
        <w:left w:val="none" w:sz="0" w:space="0" w:color="auto"/>
        <w:bottom w:val="none" w:sz="0" w:space="0" w:color="auto"/>
        <w:right w:val="none" w:sz="0" w:space="0" w:color="auto"/>
      </w:divBdr>
    </w:div>
    <w:div w:id="48458203">
      <w:marLeft w:val="0"/>
      <w:marRight w:val="0"/>
      <w:marTop w:val="0"/>
      <w:marBottom w:val="0"/>
      <w:divBdr>
        <w:top w:val="none" w:sz="0" w:space="0" w:color="auto"/>
        <w:left w:val="none" w:sz="0" w:space="0" w:color="auto"/>
        <w:bottom w:val="none" w:sz="0" w:space="0" w:color="auto"/>
        <w:right w:val="none" w:sz="0" w:space="0" w:color="auto"/>
      </w:divBdr>
      <w:divsChild>
        <w:div w:id="2022318130">
          <w:marLeft w:val="0"/>
          <w:marRight w:val="0"/>
          <w:marTop w:val="0"/>
          <w:marBottom w:val="0"/>
          <w:divBdr>
            <w:top w:val="none" w:sz="0" w:space="0" w:color="auto"/>
            <w:left w:val="none" w:sz="0" w:space="0" w:color="auto"/>
            <w:bottom w:val="none" w:sz="0" w:space="0" w:color="auto"/>
            <w:right w:val="none" w:sz="0" w:space="0" w:color="auto"/>
          </w:divBdr>
        </w:div>
        <w:div w:id="1092776211">
          <w:marLeft w:val="0"/>
          <w:marRight w:val="0"/>
          <w:marTop w:val="0"/>
          <w:marBottom w:val="0"/>
          <w:divBdr>
            <w:top w:val="none" w:sz="0" w:space="0" w:color="auto"/>
            <w:left w:val="none" w:sz="0" w:space="0" w:color="auto"/>
            <w:bottom w:val="none" w:sz="0" w:space="0" w:color="auto"/>
            <w:right w:val="none" w:sz="0" w:space="0" w:color="auto"/>
          </w:divBdr>
        </w:div>
      </w:divsChild>
    </w:div>
    <w:div w:id="169683941">
      <w:marLeft w:val="0"/>
      <w:marRight w:val="0"/>
      <w:marTop w:val="0"/>
      <w:marBottom w:val="0"/>
      <w:divBdr>
        <w:top w:val="none" w:sz="0" w:space="0" w:color="auto"/>
        <w:left w:val="none" w:sz="0" w:space="0" w:color="auto"/>
        <w:bottom w:val="none" w:sz="0" w:space="0" w:color="auto"/>
        <w:right w:val="none" w:sz="0" w:space="0" w:color="auto"/>
      </w:divBdr>
      <w:divsChild>
        <w:div w:id="271523645">
          <w:marLeft w:val="0"/>
          <w:marRight w:val="0"/>
          <w:marTop w:val="0"/>
          <w:marBottom w:val="0"/>
          <w:divBdr>
            <w:top w:val="none" w:sz="0" w:space="0" w:color="auto"/>
            <w:left w:val="none" w:sz="0" w:space="0" w:color="auto"/>
            <w:bottom w:val="none" w:sz="0" w:space="0" w:color="auto"/>
            <w:right w:val="none" w:sz="0" w:space="0" w:color="auto"/>
          </w:divBdr>
        </w:div>
        <w:div w:id="1777020978">
          <w:marLeft w:val="0"/>
          <w:marRight w:val="0"/>
          <w:marTop w:val="0"/>
          <w:marBottom w:val="0"/>
          <w:divBdr>
            <w:top w:val="none" w:sz="0" w:space="0" w:color="auto"/>
            <w:left w:val="none" w:sz="0" w:space="0" w:color="auto"/>
            <w:bottom w:val="none" w:sz="0" w:space="0" w:color="auto"/>
            <w:right w:val="none" w:sz="0" w:space="0" w:color="auto"/>
          </w:divBdr>
        </w:div>
      </w:divsChild>
    </w:div>
    <w:div w:id="202910491">
      <w:marLeft w:val="0"/>
      <w:marRight w:val="0"/>
      <w:marTop w:val="0"/>
      <w:marBottom w:val="0"/>
      <w:divBdr>
        <w:top w:val="none" w:sz="0" w:space="0" w:color="auto"/>
        <w:left w:val="none" w:sz="0" w:space="0" w:color="auto"/>
        <w:bottom w:val="none" w:sz="0" w:space="0" w:color="auto"/>
        <w:right w:val="none" w:sz="0" w:space="0" w:color="auto"/>
      </w:divBdr>
    </w:div>
    <w:div w:id="232930211">
      <w:marLeft w:val="0"/>
      <w:marRight w:val="0"/>
      <w:marTop w:val="0"/>
      <w:marBottom w:val="0"/>
      <w:divBdr>
        <w:top w:val="none" w:sz="0" w:space="0" w:color="auto"/>
        <w:left w:val="none" w:sz="0" w:space="0" w:color="auto"/>
        <w:bottom w:val="none" w:sz="0" w:space="0" w:color="auto"/>
        <w:right w:val="none" w:sz="0" w:space="0" w:color="auto"/>
      </w:divBdr>
    </w:div>
    <w:div w:id="240602349">
      <w:marLeft w:val="0"/>
      <w:marRight w:val="0"/>
      <w:marTop w:val="0"/>
      <w:marBottom w:val="0"/>
      <w:divBdr>
        <w:top w:val="none" w:sz="0" w:space="0" w:color="auto"/>
        <w:left w:val="none" w:sz="0" w:space="0" w:color="auto"/>
        <w:bottom w:val="none" w:sz="0" w:space="0" w:color="auto"/>
        <w:right w:val="none" w:sz="0" w:space="0" w:color="auto"/>
      </w:divBdr>
    </w:div>
    <w:div w:id="283851985">
      <w:marLeft w:val="0"/>
      <w:marRight w:val="0"/>
      <w:marTop w:val="0"/>
      <w:marBottom w:val="0"/>
      <w:divBdr>
        <w:top w:val="none" w:sz="0" w:space="0" w:color="auto"/>
        <w:left w:val="none" w:sz="0" w:space="0" w:color="auto"/>
        <w:bottom w:val="none" w:sz="0" w:space="0" w:color="auto"/>
        <w:right w:val="none" w:sz="0" w:space="0" w:color="auto"/>
      </w:divBdr>
    </w:div>
    <w:div w:id="305623262">
      <w:marLeft w:val="0"/>
      <w:marRight w:val="0"/>
      <w:marTop w:val="0"/>
      <w:marBottom w:val="0"/>
      <w:divBdr>
        <w:top w:val="none" w:sz="0" w:space="0" w:color="auto"/>
        <w:left w:val="none" w:sz="0" w:space="0" w:color="auto"/>
        <w:bottom w:val="none" w:sz="0" w:space="0" w:color="auto"/>
        <w:right w:val="none" w:sz="0" w:space="0" w:color="auto"/>
      </w:divBdr>
    </w:div>
    <w:div w:id="307369671">
      <w:marLeft w:val="0"/>
      <w:marRight w:val="0"/>
      <w:marTop w:val="0"/>
      <w:marBottom w:val="0"/>
      <w:divBdr>
        <w:top w:val="none" w:sz="0" w:space="0" w:color="auto"/>
        <w:left w:val="none" w:sz="0" w:space="0" w:color="auto"/>
        <w:bottom w:val="none" w:sz="0" w:space="0" w:color="auto"/>
        <w:right w:val="none" w:sz="0" w:space="0" w:color="auto"/>
      </w:divBdr>
    </w:div>
    <w:div w:id="351107031">
      <w:marLeft w:val="0"/>
      <w:marRight w:val="0"/>
      <w:marTop w:val="0"/>
      <w:marBottom w:val="0"/>
      <w:divBdr>
        <w:top w:val="none" w:sz="0" w:space="0" w:color="auto"/>
        <w:left w:val="none" w:sz="0" w:space="0" w:color="auto"/>
        <w:bottom w:val="none" w:sz="0" w:space="0" w:color="auto"/>
        <w:right w:val="none" w:sz="0" w:space="0" w:color="auto"/>
      </w:divBdr>
      <w:divsChild>
        <w:div w:id="1452284585">
          <w:marLeft w:val="0"/>
          <w:marRight w:val="0"/>
          <w:marTop w:val="0"/>
          <w:marBottom w:val="0"/>
          <w:divBdr>
            <w:top w:val="none" w:sz="0" w:space="0" w:color="auto"/>
            <w:left w:val="none" w:sz="0" w:space="0" w:color="auto"/>
            <w:bottom w:val="none" w:sz="0" w:space="0" w:color="auto"/>
            <w:right w:val="none" w:sz="0" w:space="0" w:color="auto"/>
          </w:divBdr>
        </w:div>
        <w:div w:id="1402554750">
          <w:marLeft w:val="0"/>
          <w:marRight w:val="0"/>
          <w:marTop w:val="0"/>
          <w:marBottom w:val="0"/>
          <w:divBdr>
            <w:top w:val="none" w:sz="0" w:space="0" w:color="auto"/>
            <w:left w:val="none" w:sz="0" w:space="0" w:color="auto"/>
            <w:bottom w:val="none" w:sz="0" w:space="0" w:color="auto"/>
            <w:right w:val="none" w:sz="0" w:space="0" w:color="auto"/>
          </w:divBdr>
        </w:div>
      </w:divsChild>
    </w:div>
    <w:div w:id="375469030">
      <w:marLeft w:val="0"/>
      <w:marRight w:val="0"/>
      <w:marTop w:val="0"/>
      <w:marBottom w:val="0"/>
      <w:divBdr>
        <w:top w:val="none" w:sz="0" w:space="0" w:color="auto"/>
        <w:left w:val="none" w:sz="0" w:space="0" w:color="auto"/>
        <w:bottom w:val="none" w:sz="0" w:space="0" w:color="auto"/>
        <w:right w:val="none" w:sz="0" w:space="0" w:color="auto"/>
      </w:divBdr>
    </w:div>
    <w:div w:id="403375943">
      <w:marLeft w:val="0"/>
      <w:marRight w:val="0"/>
      <w:marTop w:val="0"/>
      <w:marBottom w:val="0"/>
      <w:divBdr>
        <w:top w:val="none" w:sz="0" w:space="0" w:color="auto"/>
        <w:left w:val="none" w:sz="0" w:space="0" w:color="auto"/>
        <w:bottom w:val="none" w:sz="0" w:space="0" w:color="auto"/>
        <w:right w:val="none" w:sz="0" w:space="0" w:color="auto"/>
      </w:divBdr>
    </w:div>
    <w:div w:id="456796909">
      <w:marLeft w:val="0"/>
      <w:marRight w:val="0"/>
      <w:marTop w:val="0"/>
      <w:marBottom w:val="0"/>
      <w:divBdr>
        <w:top w:val="none" w:sz="0" w:space="0" w:color="auto"/>
        <w:left w:val="none" w:sz="0" w:space="0" w:color="auto"/>
        <w:bottom w:val="none" w:sz="0" w:space="0" w:color="auto"/>
        <w:right w:val="none" w:sz="0" w:space="0" w:color="auto"/>
      </w:divBdr>
      <w:divsChild>
        <w:div w:id="859976832">
          <w:marLeft w:val="0"/>
          <w:marRight w:val="0"/>
          <w:marTop w:val="0"/>
          <w:marBottom w:val="0"/>
          <w:divBdr>
            <w:top w:val="none" w:sz="0" w:space="0" w:color="auto"/>
            <w:left w:val="none" w:sz="0" w:space="0" w:color="auto"/>
            <w:bottom w:val="none" w:sz="0" w:space="0" w:color="auto"/>
            <w:right w:val="none" w:sz="0" w:space="0" w:color="auto"/>
          </w:divBdr>
          <w:divsChild>
            <w:div w:id="361514774">
              <w:marLeft w:val="0"/>
              <w:marRight w:val="0"/>
              <w:marTop w:val="0"/>
              <w:marBottom w:val="0"/>
              <w:divBdr>
                <w:top w:val="none" w:sz="0" w:space="0" w:color="auto"/>
                <w:left w:val="none" w:sz="0" w:space="0" w:color="auto"/>
                <w:bottom w:val="none" w:sz="0" w:space="0" w:color="auto"/>
                <w:right w:val="none" w:sz="0" w:space="0" w:color="auto"/>
              </w:divBdr>
            </w:div>
          </w:divsChild>
        </w:div>
        <w:div w:id="997458458">
          <w:marLeft w:val="0"/>
          <w:marRight w:val="0"/>
          <w:marTop w:val="0"/>
          <w:marBottom w:val="0"/>
          <w:divBdr>
            <w:top w:val="none" w:sz="0" w:space="0" w:color="auto"/>
            <w:left w:val="none" w:sz="0" w:space="0" w:color="auto"/>
            <w:bottom w:val="none" w:sz="0" w:space="0" w:color="auto"/>
            <w:right w:val="none" w:sz="0" w:space="0" w:color="auto"/>
          </w:divBdr>
        </w:div>
      </w:divsChild>
    </w:div>
    <w:div w:id="558978645">
      <w:marLeft w:val="0"/>
      <w:marRight w:val="0"/>
      <w:marTop w:val="0"/>
      <w:marBottom w:val="0"/>
      <w:divBdr>
        <w:top w:val="none" w:sz="0" w:space="0" w:color="auto"/>
        <w:left w:val="none" w:sz="0" w:space="0" w:color="auto"/>
        <w:bottom w:val="none" w:sz="0" w:space="0" w:color="auto"/>
        <w:right w:val="none" w:sz="0" w:space="0" w:color="auto"/>
      </w:divBdr>
      <w:divsChild>
        <w:div w:id="1048379672">
          <w:marLeft w:val="0"/>
          <w:marRight w:val="0"/>
          <w:marTop w:val="0"/>
          <w:marBottom w:val="0"/>
          <w:divBdr>
            <w:top w:val="none" w:sz="0" w:space="0" w:color="auto"/>
            <w:left w:val="none" w:sz="0" w:space="0" w:color="auto"/>
            <w:bottom w:val="none" w:sz="0" w:space="0" w:color="auto"/>
            <w:right w:val="none" w:sz="0" w:space="0" w:color="auto"/>
          </w:divBdr>
        </w:div>
        <w:div w:id="1891257837">
          <w:marLeft w:val="0"/>
          <w:marRight w:val="0"/>
          <w:marTop w:val="0"/>
          <w:marBottom w:val="0"/>
          <w:divBdr>
            <w:top w:val="none" w:sz="0" w:space="0" w:color="auto"/>
            <w:left w:val="none" w:sz="0" w:space="0" w:color="auto"/>
            <w:bottom w:val="none" w:sz="0" w:space="0" w:color="auto"/>
            <w:right w:val="none" w:sz="0" w:space="0" w:color="auto"/>
          </w:divBdr>
        </w:div>
      </w:divsChild>
    </w:div>
    <w:div w:id="672152165">
      <w:marLeft w:val="0"/>
      <w:marRight w:val="0"/>
      <w:marTop w:val="0"/>
      <w:marBottom w:val="0"/>
      <w:divBdr>
        <w:top w:val="none" w:sz="0" w:space="0" w:color="auto"/>
        <w:left w:val="none" w:sz="0" w:space="0" w:color="auto"/>
        <w:bottom w:val="none" w:sz="0" w:space="0" w:color="auto"/>
        <w:right w:val="none" w:sz="0" w:space="0" w:color="auto"/>
      </w:divBdr>
    </w:div>
    <w:div w:id="749622997">
      <w:marLeft w:val="0"/>
      <w:marRight w:val="0"/>
      <w:marTop w:val="0"/>
      <w:marBottom w:val="0"/>
      <w:divBdr>
        <w:top w:val="none" w:sz="0" w:space="0" w:color="auto"/>
        <w:left w:val="none" w:sz="0" w:space="0" w:color="auto"/>
        <w:bottom w:val="none" w:sz="0" w:space="0" w:color="auto"/>
        <w:right w:val="none" w:sz="0" w:space="0" w:color="auto"/>
      </w:divBdr>
    </w:div>
    <w:div w:id="840007477">
      <w:marLeft w:val="0"/>
      <w:marRight w:val="0"/>
      <w:marTop w:val="0"/>
      <w:marBottom w:val="0"/>
      <w:divBdr>
        <w:top w:val="none" w:sz="0" w:space="0" w:color="auto"/>
        <w:left w:val="none" w:sz="0" w:space="0" w:color="auto"/>
        <w:bottom w:val="none" w:sz="0" w:space="0" w:color="auto"/>
        <w:right w:val="none" w:sz="0" w:space="0" w:color="auto"/>
      </w:divBdr>
    </w:div>
    <w:div w:id="864710840">
      <w:marLeft w:val="0"/>
      <w:marRight w:val="0"/>
      <w:marTop w:val="0"/>
      <w:marBottom w:val="0"/>
      <w:divBdr>
        <w:top w:val="none" w:sz="0" w:space="0" w:color="auto"/>
        <w:left w:val="none" w:sz="0" w:space="0" w:color="auto"/>
        <w:bottom w:val="none" w:sz="0" w:space="0" w:color="auto"/>
        <w:right w:val="none" w:sz="0" w:space="0" w:color="auto"/>
      </w:divBdr>
    </w:div>
    <w:div w:id="901520796">
      <w:marLeft w:val="0"/>
      <w:marRight w:val="0"/>
      <w:marTop w:val="0"/>
      <w:marBottom w:val="0"/>
      <w:divBdr>
        <w:top w:val="none" w:sz="0" w:space="0" w:color="auto"/>
        <w:left w:val="none" w:sz="0" w:space="0" w:color="auto"/>
        <w:bottom w:val="none" w:sz="0" w:space="0" w:color="auto"/>
        <w:right w:val="none" w:sz="0" w:space="0" w:color="auto"/>
      </w:divBdr>
    </w:div>
    <w:div w:id="901863794">
      <w:marLeft w:val="0"/>
      <w:marRight w:val="0"/>
      <w:marTop w:val="0"/>
      <w:marBottom w:val="0"/>
      <w:divBdr>
        <w:top w:val="none" w:sz="0" w:space="0" w:color="auto"/>
        <w:left w:val="none" w:sz="0" w:space="0" w:color="auto"/>
        <w:bottom w:val="none" w:sz="0" w:space="0" w:color="auto"/>
        <w:right w:val="none" w:sz="0" w:space="0" w:color="auto"/>
      </w:divBdr>
    </w:div>
    <w:div w:id="912158562">
      <w:marLeft w:val="0"/>
      <w:marRight w:val="0"/>
      <w:marTop w:val="0"/>
      <w:marBottom w:val="0"/>
      <w:divBdr>
        <w:top w:val="none" w:sz="0" w:space="0" w:color="auto"/>
        <w:left w:val="none" w:sz="0" w:space="0" w:color="auto"/>
        <w:bottom w:val="none" w:sz="0" w:space="0" w:color="auto"/>
        <w:right w:val="none" w:sz="0" w:space="0" w:color="auto"/>
      </w:divBdr>
    </w:div>
    <w:div w:id="955867533">
      <w:marLeft w:val="0"/>
      <w:marRight w:val="0"/>
      <w:marTop w:val="0"/>
      <w:marBottom w:val="0"/>
      <w:divBdr>
        <w:top w:val="none" w:sz="0" w:space="0" w:color="auto"/>
        <w:left w:val="none" w:sz="0" w:space="0" w:color="auto"/>
        <w:bottom w:val="none" w:sz="0" w:space="0" w:color="auto"/>
        <w:right w:val="none" w:sz="0" w:space="0" w:color="auto"/>
      </w:divBdr>
    </w:div>
    <w:div w:id="978805488">
      <w:marLeft w:val="0"/>
      <w:marRight w:val="0"/>
      <w:marTop w:val="0"/>
      <w:marBottom w:val="0"/>
      <w:divBdr>
        <w:top w:val="none" w:sz="0" w:space="0" w:color="auto"/>
        <w:left w:val="none" w:sz="0" w:space="0" w:color="auto"/>
        <w:bottom w:val="none" w:sz="0" w:space="0" w:color="auto"/>
        <w:right w:val="none" w:sz="0" w:space="0" w:color="auto"/>
      </w:divBdr>
      <w:divsChild>
        <w:div w:id="52893132">
          <w:marLeft w:val="0"/>
          <w:marRight w:val="0"/>
          <w:marTop w:val="0"/>
          <w:marBottom w:val="0"/>
          <w:divBdr>
            <w:top w:val="none" w:sz="0" w:space="0" w:color="auto"/>
            <w:left w:val="none" w:sz="0" w:space="0" w:color="auto"/>
            <w:bottom w:val="none" w:sz="0" w:space="0" w:color="auto"/>
            <w:right w:val="none" w:sz="0" w:space="0" w:color="auto"/>
          </w:divBdr>
          <w:divsChild>
            <w:div w:id="5244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409">
      <w:marLeft w:val="0"/>
      <w:marRight w:val="0"/>
      <w:marTop w:val="0"/>
      <w:marBottom w:val="0"/>
      <w:divBdr>
        <w:top w:val="none" w:sz="0" w:space="0" w:color="auto"/>
        <w:left w:val="none" w:sz="0" w:space="0" w:color="auto"/>
        <w:bottom w:val="none" w:sz="0" w:space="0" w:color="auto"/>
        <w:right w:val="none" w:sz="0" w:space="0" w:color="auto"/>
      </w:divBdr>
    </w:div>
    <w:div w:id="1047800872">
      <w:marLeft w:val="0"/>
      <w:marRight w:val="0"/>
      <w:marTop w:val="0"/>
      <w:marBottom w:val="0"/>
      <w:divBdr>
        <w:top w:val="none" w:sz="0" w:space="0" w:color="auto"/>
        <w:left w:val="none" w:sz="0" w:space="0" w:color="auto"/>
        <w:bottom w:val="none" w:sz="0" w:space="0" w:color="auto"/>
        <w:right w:val="none" w:sz="0" w:space="0" w:color="auto"/>
      </w:divBdr>
      <w:divsChild>
        <w:div w:id="1954826579">
          <w:marLeft w:val="0"/>
          <w:marRight w:val="0"/>
          <w:marTop w:val="0"/>
          <w:marBottom w:val="0"/>
          <w:divBdr>
            <w:top w:val="none" w:sz="0" w:space="0" w:color="auto"/>
            <w:left w:val="none" w:sz="0" w:space="0" w:color="auto"/>
            <w:bottom w:val="none" w:sz="0" w:space="0" w:color="auto"/>
            <w:right w:val="none" w:sz="0" w:space="0" w:color="auto"/>
          </w:divBdr>
        </w:div>
        <w:div w:id="319626377">
          <w:marLeft w:val="0"/>
          <w:marRight w:val="0"/>
          <w:marTop w:val="0"/>
          <w:marBottom w:val="0"/>
          <w:divBdr>
            <w:top w:val="none" w:sz="0" w:space="0" w:color="auto"/>
            <w:left w:val="none" w:sz="0" w:space="0" w:color="auto"/>
            <w:bottom w:val="none" w:sz="0" w:space="0" w:color="auto"/>
            <w:right w:val="none" w:sz="0" w:space="0" w:color="auto"/>
          </w:divBdr>
        </w:div>
      </w:divsChild>
    </w:div>
    <w:div w:id="1101028424">
      <w:marLeft w:val="0"/>
      <w:marRight w:val="0"/>
      <w:marTop w:val="0"/>
      <w:marBottom w:val="0"/>
      <w:divBdr>
        <w:top w:val="none" w:sz="0" w:space="0" w:color="auto"/>
        <w:left w:val="none" w:sz="0" w:space="0" w:color="auto"/>
        <w:bottom w:val="none" w:sz="0" w:space="0" w:color="auto"/>
        <w:right w:val="none" w:sz="0" w:space="0" w:color="auto"/>
      </w:divBdr>
    </w:div>
    <w:div w:id="1116563066">
      <w:marLeft w:val="0"/>
      <w:marRight w:val="0"/>
      <w:marTop w:val="0"/>
      <w:marBottom w:val="0"/>
      <w:divBdr>
        <w:top w:val="none" w:sz="0" w:space="0" w:color="auto"/>
        <w:left w:val="none" w:sz="0" w:space="0" w:color="auto"/>
        <w:bottom w:val="none" w:sz="0" w:space="0" w:color="auto"/>
        <w:right w:val="none" w:sz="0" w:space="0" w:color="auto"/>
      </w:divBdr>
    </w:div>
    <w:div w:id="1206991806">
      <w:marLeft w:val="0"/>
      <w:marRight w:val="0"/>
      <w:marTop w:val="0"/>
      <w:marBottom w:val="0"/>
      <w:divBdr>
        <w:top w:val="none" w:sz="0" w:space="0" w:color="auto"/>
        <w:left w:val="none" w:sz="0" w:space="0" w:color="auto"/>
        <w:bottom w:val="none" w:sz="0" w:space="0" w:color="auto"/>
        <w:right w:val="none" w:sz="0" w:space="0" w:color="auto"/>
      </w:divBdr>
      <w:divsChild>
        <w:div w:id="739717828">
          <w:marLeft w:val="0"/>
          <w:marRight w:val="0"/>
          <w:marTop w:val="0"/>
          <w:marBottom w:val="0"/>
          <w:divBdr>
            <w:top w:val="none" w:sz="0" w:space="0" w:color="auto"/>
            <w:left w:val="none" w:sz="0" w:space="0" w:color="auto"/>
            <w:bottom w:val="none" w:sz="0" w:space="0" w:color="auto"/>
            <w:right w:val="none" w:sz="0" w:space="0" w:color="auto"/>
          </w:divBdr>
        </w:div>
        <w:div w:id="413599399">
          <w:marLeft w:val="0"/>
          <w:marRight w:val="0"/>
          <w:marTop w:val="0"/>
          <w:marBottom w:val="0"/>
          <w:divBdr>
            <w:top w:val="none" w:sz="0" w:space="0" w:color="auto"/>
            <w:left w:val="none" w:sz="0" w:space="0" w:color="auto"/>
            <w:bottom w:val="none" w:sz="0" w:space="0" w:color="auto"/>
            <w:right w:val="none" w:sz="0" w:space="0" w:color="auto"/>
          </w:divBdr>
        </w:div>
      </w:divsChild>
    </w:div>
    <w:div w:id="1214586298">
      <w:marLeft w:val="0"/>
      <w:marRight w:val="0"/>
      <w:marTop w:val="0"/>
      <w:marBottom w:val="0"/>
      <w:divBdr>
        <w:top w:val="none" w:sz="0" w:space="0" w:color="auto"/>
        <w:left w:val="none" w:sz="0" w:space="0" w:color="auto"/>
        <w:bottom w:val="none" w:sz="0" w:space="0" w:color="auto"/>
        <w:right w:val="none" w:sz="0" w:space="0" w:color="auto"/>
      </w:divBdr>
      <w:divsChild>
        <w:div w:id="1334987710">
          <w:marLeft w:val="0"/>
          <w:marRight w:val="0"/>
          <w:marTop w:val="0"/>
          <w:marBottom w:val="0"/>
          <w:divBdr>
            <w:top w:val="none" w:sz="0" w:space="0" w:color="auto"/>
            <w:left w:val="none" w:sz="0" w:space="0" w:color="auto"/>
            <w:bottom w:val="none" w:sz="0" w:space="0" w:color="auto"/>
            <w:right w:val="none" w:sz="0" w:space="0" w:color="auto"/>
          </w:divBdr>
        </w:div>
        <w:div w:id="1557429235">
          <w:marLeft w:val="0"/>
          <w:marRight w:val="0"/>
          <w:marTop w:val="0"/>
          <w:marBottom w:val="0"/>
          <w:divBdr>
            <w:top w:val="none" w:sz="0" w:space="0" w:color="auto"/>
            <w:left w:val="none" w:sz="0" w:space="0" w:color="auto"/>
            <w:bottom w:val="none" w:sz="0" w:space="0" w:color="auto"/>
            <w:right w:val="none" w:sz="0" w:space="0" w:color="auto"/>
          </w:divBdr>
        </w:div>
      </w:divsChild>
    </w:div>
    <w:div w:id="1217551907">
      <w:marLeft w:val="0"/>
      <w:marRight w:val="0"/>
      <w:marTop w:val="0"/>
      <w:marBottom w:val="0"/>
      <w:divBdr>
        <w:top w:val="none" w:sz="0" w:space="0" w:color="auto"/>
        <w:left w:val="none" w:sz="0" w:space="0" w:color="auto"/>
        <w:bottom w:val="none" w:sz="0" w:space="0" w:color="auto"/>
        <w:right w:val="none" w:sz="0" w:space="0" w:color="auto"/>
      </w:divBdr>
      <w:divsChild>
        <w:div w:id="784663841">
          <w:marLeft w:val="0"/>
          <w:marRight w:val="0"/>
          <w:marTop w:val="0"/>
          <w:marBottom w:val="0"/>
          <w:divBdr>
            <w:top w:val="none" w:sz="0" w:space="0" w:color="auto"/>
            <w:left w:val="none" w:sz="0" w:space="0" w:color="auto"/>
            <w:bottom w:val="none" w:sz="0" w:space="0" w:color="auto"/>
            <w:right w:val="none" w:sz="0" w:space="0" w:color="auto"/>
          </w:divBdr>
        </w:div>
        <w:div w:id="1210921749">
          <w:marLeft w:val="0"/>
          <w:marRight w:val="0"/>
          <w:marTop w:val="0"/>
          <w:marBottom w:val="0"/>
          <w:divBdr>
            <w:top w:val="none" w:sz="0" w:space="0" w:color="auto"/>
            <w:left w:val="none" w:sz="0" w:space="0" w:color="auto"/>
            <w:bottom w:val="none" w:sz="0" w:space="0" w:color="auto"/>
            <w:right w:val="none" w:sz="0" w:space="0" w:color="auto"/>
          </w:divBdr>
        </w:div>
      </w:divsChild>
    </w:div>
    <w:div w:id="1306666600">
      <w:marLeft w:val="0"/>
      <w:marRight w:val="0"/>
      <w:marTop w:val="0"/>
      <w:marBottom w:val="0"/>
      <w:divBdr>
        <w:top w:val="none" w:sz="0" w:space="0" w:color="auto"/>
        <w:left w:val="none" w:sz="0" w:space="0" w:color="auto"/>
        <w:bottom w:val="none" w:sz="0" w:space="0" w:color="auto"/>
        <w:right w:val="none" w:sz="0" w:space="0" w:color="auto"/>
      </w:divBdr>
    </w:div>
    <w:div w:id="1334649581">
      <w:marLeft w:val="0"/>
      <w:marRight w:val="0"/>
      <w:marTop w:val="0"/>
      <w:marBottom w:val="0"/>
      <w:divBdr>
        <w:top w:val="none" w:sz="0" w:space="0" w:color="auto"/>
        <w:left w:val="none" w:sz="0" w:space="0" w:color="auto"/>
        <w:bottom w:val="none" w:sz="0" w:space="0" w:color="auto"/>
        <w:right w:val="none" w:sz="0" w:space="0" w:color="auto"/>
      </w:divBdr>
    </w:div>
    <w:div w:id="1376395294">
      <w:marLeft w:val="0"/>
      <w:marRight w:val="0"/>
      <w:marTop w:val="0"/>
      <w:marBottom w:val="0"/>
      <w:divBdr>
        <w:top w:val="none" w:sz="0" w:space="0" w:color="auto"/>
        <w:left w:val="none" w:sz="0" w:space="0" w:color="auto"/>
        <w:bottom w:val="none" w:sz="0" w:space="0" w:color="auto"/>
        <w:right w:val="none" w:sz="0" w:space="0" w:color="auto"/>
      </w:divBdr>
    </w:div>
    <w:div w:id="1384868053">
      <w:marLeft w:val="0"/>
      <w:marRight w:val="0"/>
      <w:marTop w:val="0"/>
      <w:marBottom w:val="0"/>
      <w:divBdr>
        <w:top w:val="none" w:sz="0" w:space="0" w:color="auto"/>
        <w:left w:val="none" w:sz="0" w:space="0" w:color="auto"/>
        <w:bottom w:val="none" w:sz="0" w:space="0" w:color="auto"/>
        <w:right w:val="none" w:sz="0" w:space="0" w:color="auto"/>
      </w:divBdr>
    </w:div>
    <w:div w:id="1471559228">
      <w:marLeft w:val="0"/>
      <w:marRight w:val="0"/>
      <w:marTop w:val="0"/>
      <w:marBottom w:val="0"/>
      <w:divBdr>
        <w:top w:val="none" w:sz="0" w:space="0" w:color="auto"/>
        <w:left w:val="none" w:sz="0" w:space="0" w:color="auto"/>
        <w:bottom w:val="none" w:sz="0" w:space="0" w:color="auto"/>
        <w:right w:val="none" w:sz="0" w:space="0" w:color="auto"/>
      </w:divBdr>
    </w:div>
    <w:div w:id="1483623536">
      <w:marLeft w:val="0"/>
      <w:marRight w:val="0"/>
      <w:marTop w:val="0"/>
      <w:marBottom w:val="0"/>
      <w:divBdr>
        <w:top w:val="none" w:sz="0" w:space="0" w:color="auto"/>
        <w:left w:val="none" w:sz="0" w:space="0" w:color="auto"/>
        <w:bottom w:val="none" w:sz="0" w:space="0" w:color="auto"/>
        <w:right w:val="none" w:sz="0" w:space="0" w:color="auto"/>
      </w:divBdr>
    </w:div>
    <w:div w:id="1506507556">
      <w:marLeft w:val="0"/>
      <w:marRight w:val="0"/>
      <w:marTop w:val="0"/>
      <w:marBottom w:val="0"/>
      <w:divBdr>
        <w:top w:val="none" w:sz="0" w:space="0" w:color="auto"/>
        <w:left w:val="none" w:sz="0" w:space="0" w:color="auto"/>
        <w:bottom w:val="none" w:sz="0" w:space="0" w:color="auto"/>
        <w:right w:val="none" w:sz="0" w:space="0" w:color="auto"/>
      </w:divBdr>
      <w:divsChild>
        <w:div w:id="1234777783">
          <w:marLeft w:val="0"/>
          <w:marRight w:val="0"/>
          <w:marTop w:val="0"/>
          <w:marBottom w:val="0"/>
          <w:divBdr>
            <w:top w:val="none" w:sz="0" w:space="0" w:color="auto"/>
            <w:left w:val="none" w:sz="0" w:space="0" w:color="auto"/>
            <w:bottom w:val="none" w:sz="0" w:space="0" w:color="auto"/>
            <w:right w:val="none" w:sz="0" w:space="0" w:color="auto"/>
          </w:divBdr>
        </w:div>
        <w:div w:id="462312429">
          <w:marLeft w:val="0"/>
          <w:marRight w:val="0"/>
          <w:marTop w:val="0"/>
          <w:marBottom w:val="0"/>
          <w:divBdr>
            <w:top w:val="none" w:sz="0" w:space="0" w:color="auto"/>
            <w:left w:val="none" w:sz="0" w:space="0" w:color="auto"/>
            <w:bottom w:val="none" w:sz="0" w:space="0" w:color="auto"/>
            <w:right w:val="none" w:sz="0" w:space="0" w:color="auto"/>
          </w:divBdr>
        </w:div>
      </w:divsChild>
    </w:div>
    <w:div w:id="1507788922">
      <w:marLeft w:val="0"/>
      <w:marRight w:val="0"/>
      <w:marTop w:val="0"/>
      <w:marBottom w:val="0"/>
      <w:divBdr>
        <w:top w:val="none" w:sz="0" w:space="0" w:color="auto"/>
        <w:left w:val="none" w:sz="0" w:space="0" w:color="auto"/>
        <w:bottom w:val="none" w:sz="0" w:space="0" w:color="auto"/>
        <w:right w:val="none" w:sz="0" w:space="0" w:color="auto"/>
      </w:divBdr>
    </w:div>
    <w:div w:id="1511334066">
      <w:marLeft w:val="0"/>
      <w:marRight w:val="0"/>
      <w:marTop w:val="0"/>
      <w:marBottom w:val="0"/>
      <w:divBdr>
        <w:top w:val="none" w:sz="0" w:space="0" w:color="auto"/>
        <w:left w:val="none" w:sz="0" w:space="0" w:color="auto"/>
        <w:bottom w:val="none" w:sz="0" w:space="0" w:color="auto"/>
        <w:right w:val="none" w:sz="0" w:space="0" w:color="auto"/>
      </w:divBdr>
    </w:div>
    <w:div w:id="1611013379">
      <w:marLeft w:val="0"/>
      <w:marRight w:val="0"/>
      <w:marTop w:val="0"/>
      <w:marBottom w:val="0"/>
      <w:divBdr>
        <w:top w:val="none" w:sz="0" w:space="0" w:color="auto"/>
        <w:left w:val="none" w:sz="0" w:space="0" w:color="auto"/>
        <w:bottom w:val="none" w:sz="0" w:space="0" w:color="auto"/>
        <w:right w:val="none" w:sz="0" w:space="0" w:color="auto"/>
      </w:divBdr>
    </w:div>
    <w:div w:id="1623732961">
      <w:marLeft w:val="0"/>
      <w:marRight w:val="0"/>
      <w:marTop w:val="0"/>
      <w:marBottom w:val="0"/>
      <w:divBdr>
        <w:top w:val="none" w:sz="0" w:space="0" w:color="auto"/>
        <w:left w:val="none" w:sz="0" w:space="0" w:color="auto"/>
        <w:bottom w:val="none" w:sz="0" w:space="0" w:color="auto"/>
        <w:right w:val="none" w:sz="0" w:space="0" w:color="auto"/>
      </w:divBdr>
      <w:divsChild>
        <w:div w:id="1894777527">
          <w:marLeft w:val="0"/>
          <w:marRight w:val="0"/>
          <w:marTop w:val="0"/>
          <w:marBottom w:val="0"/>
          <w:divBdr>
            <w:top w:val="none" w:sz="0" w:space="0" w:color="auto"/>
            <w:left w:val="none" w:sz="0" w:space="0" w:color="auto"/>
            <w:bottom w:val="none" w:sz="0" w:space="0" w:color="auto"/>
            <w:right w:val="none" w:sz="0" w:space="0" w:color="auto"/>
          </w:divBdr>
        </w:div>
        <w:div w:id="1066875053">
          <w:marLeft w:val="0"/>
          <w:marRight w:val="0"/>
          <w:marTop w:val="0"/>
          <w:marBottom w:val="0"/>
          <w:divBdr>
            <w:top w:val="none" w:sz="0" w:space="0" w:color="auto"/>
            <w:left w:val="none" w:sz="0" w:space="0" w:color="auto"/>
            <w:bottom w:val="none" w:sz="0" w:space="0" w:color="auto"/>
            <w:right w:val="none" w:sz="0" w:space="0" w:color="auto"/>
          </w:divBdr>
        </w:div>
      </w:divsChild>
    </w:div>
    <w:div w:id="1664431223">
      <w:marLeft w:val="0"/>
      <w:marRight w:val="0"/>
      <w:marTop w:val="0"/>
      <w:marBottom w:val="0"/>
      <w:divBdr>
        <w:top w:val="none" w:sz="0" w:space="0" w:color="auto"/>
        <w:left w:val="none" w:sz="0" w:space="0" w:color="auto"/>
        <w:bottom w:val="none" w:sz="0" w:space="0" w:color="auto"/>
        <w:right w:val="none" w:sz="0" w:space="0" w:color="auto"/>
      </w:divBdr>
      <w:divsChild>
        <w:div w:id="1742364044">
          <w:marLeft w:val="0"/>
          <w:marRight w:val="0"/>
          <w:marTop w:val="0"/>
          <w:marBottom w:val="0"/>
          <w:divBdr>
            <w:top w:val="none" w:sz="0" w:space="0" w:color="auto"/>
            <w:left w:val="none" w:sz="0" w:space="0" w:color="auto"/>
            <w:bottom w:val="none" w:sz="0" w:space="0" w:color="auto"/>
            <w:right w:val="none" w:sz="0" w:space="0" w:color="auto"/>
          </w:divBdr>
          <w:divsChild>
            <w:div w:id="2136943530">
              <w:marLeft w:val="0"/>
              <w:marRight w:val="0"/>
              <w:marTop w:val="0"/>
              <w:marBottom w:val="0"/>
              <w:divBdr>
                <w:top w:val="none" w:sz="0" w:space="0" w:color="auto"/>
                <w:left w:val="none" w:sz="0" w:space="0" w:color="auto"/>
                <w:bottom w:val="none" w:sz="0" w:space="0" w:color="auto"/>
                <w:right w:val="none" w:sz="0" w:space="0" w:color="auto"/>
              </w:divBdr>
              <w:divsChild>
                <w:div w:id="428550684">
                  <w:marLeft w:val="0"/>
                  <w:marRight w:val="0"/>
                  <w:marTop w:val="0"/>
                  <w:marBottom w:val="0"/>
                  <w:divBdr>
                    <w:top w:val="none" w:sz="0" w:space="0" w:color="auto"/>
                    <w:left w:val="none" w:sz="0" w:space="0" w:color="auto"/>
                    <w:bottom w:val="none" w:sz="0" w:space="0" w:color="auto"/>
                    <w:right w:val="none" w:sz="0" w:space="0" w:color="auto"/>
                  </w:divBdr>
                </w:div>
              </w:divsChild>
            </w:div>
            <w:div w:id="7036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4039">
      <w:marLeft w:val="0"/>
      <w:marRight w:val="0"/>
      <w:marTop w:val="0"/>
      <w:marBottom w:val="0"/>
      <w:divBdr>
        <w:top w:val="none" w:sz="0" w:space="0" w:color="auto"/>
        <w:left w:val="none" w:sz="0" w:space="0" w:color="auto"/>
        <w:bottom w:val="none" w:sz="0" w:space="0" w:color="auto"/>
        <w:right w:val="none" w:sz="0" w:space="0" w:color="auto"/>
      </w:divBdr>
    </w:div>
    <w:div w:id="1745449662">
      <w:marLeft w:val="0"/>
      <w:marRight w:val="0"/>
      <w:marTop w:val="0"/>
      <w:marBottom w:val="0"/>
      <w:divBdr>
        <w:top w:val="none" w:sz="0" w:space="0" w:color="auto"/>
        <w:left w:val="none" w:sz="0" w:space="0" w:color="auto"/>
        <w:bottom w:val="none" w:sz="0" w:space="0" w:color="auto"/>
        <w:right w:val="none" w:sz="0" w:space="0" w:color="auto"/>
      </w:divBdr>
      <w:divsChild>
        <w:div w:id="301279837">
          <w:marLeft w:val="0"/>
          <w:marRight w:val="0"/>
          <w:marTop w:val="0"/>
          <w:marBottom w:val="0"/>
          <w:divBdr>
            <w:top w:val="none" w:sz="0" w:space="0" w:color="auto"/>
            <w:left w:val="none" w:sz="0" w:space="0" w:color="auto"/>
            <w:bottom w:val="none" w:sz="0" w:space="0" w:color="auto"/>
            <w:right w:val="none" w:sz="0" w:space="0" w:color="auto"/>
          </w:divBdr>
        </w:div>
        <w:div w:id="937831693">
          <w:marLeft w:val="0"/>
          <w:marRight w:val="0"/>
          <w:marTop w:val="0"/>
          <w:marBottom w:val="0"/>
          <w:divBdr>
            <w:top w:val="none" w:sz="0" w:space="0" w:color="auto"/>
            <w:left w:val="none" w:sz="0" w:space="0" w:color="auto"/>
            <w:bottom w:val="none" w:sz="0" w:space="0" w:color="auto"/>
            <w:right w:val="none" w:sz="0" w:space="0" w:color="auto"/>
          </w:divBdr>
        </w:div>
      </w:divsChild>
    </w:div>
    <w:div w:id="1868248629">
      <w:marLeft w:val="0"/>
      <w:marRight w:val="0"/>
      <w:marTop w:val="0"/>
      <w:marBottom w:val="0"/>
      <w:divBdr>
        <w:top w:val="none" w:sz="0" w:space="0" w:color="auto"/>
        <w:left w:val="none" w:sz="0" w:space="0" w:color="auto"/>
        <w:bottom w:val="none" w:sz="0" w:space="0" w:color="auto"/>
        <w:right w:val="none" w:sz="0" w:space="0" w:color="auto"/>
      </w:divBdr>
      <w:divsChild>
        <w:div w:id="600990691">
          <w:marLeft w:val="0"/>
          <w:marRight w:val="0"/>
          <w:marTop w:val="0"/>
          <w:marBottom w:val="0"/>
          <w:divBdr>
            <w:top w:val="none" w:sz="0" w:space="0" w:color="auto"/>
            <w:left w:val="none" w:sz="0" w:space="0" w:color="auto"/>
            <w:bottom w:val="none" w:sz="0" w:space="0" w:color="auto"/>
            <w:right w:val="none" w:sz="0" w:space="0" w:color="auto"/>
          </w:divBdr>
        </w:div>
        <w:div w:id="277152884">
          <w:marLeft w:val="0"/>
          <w:marRight w:val="0"/>
          <w:marTop w:val="0"/>
          <w:marBottom w:val="0"/>
          <w:divBdr>
            <w:top w:val="none" w:sz="0" w:space="0" w:color="auto"/>
            <w:left w:val="none" w:sz="0" w:space="0" w:color="auto"/>
            <w:bottom w:val="none" w:sz="0" w:space="0" w:color="auto"/>
            <w:right w:val="none" w:sz="0" w:space="0" w:color="auto"/>
          </w:divBdr>
        </w:div>
      </w:divsChild>
    </w:div>
    <w:div w:id="1915512142">
      <w:marLeft w:val="0"/>
      <w:marRight w:val="0"/>
      <w:marTop w:val="0"/>
      <w:marBottom w:val="0"/>
      <w:divBdr>
        <w:top w:val="none" w:sz="0" w:space="0" w:color="auto"/>
        <w:left w:val="none" w:sz="0" w:space="0" w:color="auto"/>
        <w:bottom w:val="none" w:sz="0" w:space="0" w:color="auto"/>
        <w:right w:val="none" w:sz="0" w:space="0" w:color="auto"/>
      </w:divBdr>
    </w:div>
    <w:div w:id="1978219387">
      <w:marLeft w:val="0"/>
      <w:marRight w:val="0"/>
      <w:marTop w:val="0"/>
      <w:marBottom w:val="0"/>
      <w:divBdr>
        <w:top w:val="none" w:sz="0" w:space="0" w:color="auto"/>
        <w:left w:val="none" w:sz="0" w:space="0" w:color="auto"/>
        <w:bottom w:val="none" w:sz="0" w:space="0" w:color="auto"/>
        <w:right w:val="none" w:sz="0" w:space="0" w:color="auto"/>
      </w:divBdr>
    </w:div>
    <w:div w:id="2013870271">
      <w:marLeft w:val="0"/>
      <w:marRight w:val="0"/>
      <w:marTop w:val="0"/>
      <w:marBottom w:val="0"/>
      <w:divBdr>
        <w:top w:val="none" w:sz="0" w:space="0" w:color="auto"/>
        <w:left w:val="none" w:sz="0" w:space="0" w:color="auto"/>
        <w:bottom w:val="none" w:sz="0" w:space="0" w:color="auto"/>
        <w:right w:val="none" w:sz="0" w:space="0" w:color="auto"/>
      </w:divBdr>
      <w:divsChild>
        <w:div w:id="2062316430">
          <w:marLeft w:val="0"/>
          <w:marRight w:val="0"/>
          <w:marTop w:val="0"/>
          <w:marBottom w:val="0"/>
          <w:divBdr>
            <w:top w:val="none" w:sz="0" w:space="0" w:color="auto"/>
            <w:left w:val="none" w:sz="0" w:space="0" w:color="auto"/>
            <w:bottom w:val="none" w:sz="0" w:space="0" w:color="auto"/>
            <w:right w:val="none" w:sz="0" w:space="0" w:color="auto"/>
          </w:divBdr>
        </w:div>
        <w:div w:id="1121413771">
          <w:marLeft w:val="0"/>
          <w:marRight w:val="0"/>
          <w:marTop w:val="0"/>
          <w:marBottom w:val="0"/>
          <w:divBdr>
            <w:top w:val="none" w:sz="0" w:space="0" w:color="auto"/>
            <w:left w:val="none" w:sz="0" w:space="0" w:color="auto"/>
            <w:bottom w:val="none" w:sz="0" w:space="0" w:color="auto"/>
            <w:right w:val="none" w:sz="0" w:space="0" w:color="auto"/>
          </w:divBdr>
        </w:div>
      </w:divsChild>
    </w:div>
    <w:div w:id="2018577875">
      <w:marLeft w:val="0"/>
      <w:marRight w:val="0"/>
      <w:marTop w:val="0"/>
      <w:marBottom w:val="0"/>
      <w:divBdr>
        <w:top w:val="none" w:sz="0" w:space="0" w:color="auto"/>
        <w:left w:val="none" w:sz="0" w:space="0" w:color="auto"/>
        <w:bottom w:val="none" w:sz="0" w:space="0" w:color="auto"/>
        <w:right w:val="none" w:sz="0" w:space="0" w:color="auto"/>
      </w:divBdr>
    </w:div>
    <w:div w:id="2028673355">
      <w:marLeft w:val="0"/>
      <w:marRight w:val="0"/>
      <w:marTop w:val="0"/>
      <w:marBottom w:val="0"/>
      <w:divBdr>
        <w:top w:val="none" w:sz="0" w:space="0" w:color="auto"/>
        <w:left w:val="none" w:sz="0" w:space="0" w:color="auto"/>
        <w:bottom w:val="none" w:sz="0" w:space="0" w:color="auto"/>
        <w:right w:val="none" w:sz="0" w:space="0" w:color="auto"/>
      </w:divBdr>
      <w:divsChild>
        <w:div w:id="1614897116">
          <w:marLeft w:val="0"/>
          <w:marRight w:val="0"/>
          <w:marTop w:val="0"/>
          <w:marBottom w:val="0"/>
          <w:divBdr>
            <w:top w:val="none" w:sz="0" w:space="0" w:color="auto"/>
            <w:left w:val="none" w:sz="0" w:space="0" w:color="auto"/>
            <w:bottom w:val="none" w:sz="0" w:space="0" w:color="auto"/>
            <w:right w:val="none" w:sz="0" w:space="0" w:color="auto"/>
          </w:divBdr>
        </w:div>
        <w:div w:id="283393865">
          <w:marLeft w:val="0"/>
          <w:marRight w:val="0"/>
          <w:marTop w:val="0"/>
          <w:marBottom w:val="0"/>
          <w:divBdr>
            <w:top w:val="none" w:sz="0" w:space="0" w:color="auto"/>
            <w:left w:val="none" w:sz="0" w:space="0" w:color="auto"/>
            <w:bottom w:val="none" w:sz="0" w:space="0" w:color="auto"/>
            <w:right w:val="none" w:sz="0" w:space="0" w:color="auto"/>
          </w:divBdr>
        </w:div>
      </w:divsChild>
    </w:div>
    <w:div w:id="2064793081">
      <w:marLeft w:val="0"/>
      <w:marRight w:val="0"/>
      <w:marTop w:val="0"/>
      <w:marBottom w:val="0"/>
      <w:divBdr>
        <w:top w:val="none" w:sz="0" w:space="0" w:color="auto"/>
        <w:left w:val="none" w:sz="0" w:space="0" w:color="auto"/>
        <w:bottom w:val="none" w:sz="0" w:space="0" w:color="auto"/>
        <w:right w:val="none" w:sz="0" w:space="0" w:color="auto"/>
      </w:divBdr>
    </w:div>
    <w:div w:id="2137138617">
      <w:marLeft w:val="0"/>
      <w:marRight w:val="0"/>
      <w:marTop w:val="0"/>
      <w:marBottom w:val="0"/>
      <w:divBdr>
        <w:top w:val="none" w:sz="0" w:space="0" w:color="auto"/>
        <w:left w:val="none" w:sz="0" w:space="0" w:color="auto"/>
        <w:bottom w:val="none" w:sz="0" w:space="0" w:color="auto"/>
        <w:right w:val="none" w:sz="0" w:space="0" w:color="auto"/>
      </w:divBdr>
      <w:divsChild>
        <w:div w:id="211843627">
          <w:marLeft w:val="0"/>
          <w:marRight w:val="0"/>
          <w:marTop w:val="0"/>
          <w:marBottom w:val="0"/>
          <w:divBdr>
            <w:top w:val="none" w:sz="0" w:space="0" w:color="auto"/>
            <w:left w:val="none" w:sz="0" w:space="0" w:color="auto"/>
            <w:bottom w:val="none" w:sz="0" w:space="0" w:color="auto"/>
            <w:right w:val="none" w:sz="0" w:space="0" w:color="auto"/>
          </w:divBdr>
        </w:div>
        <w:div w:id="21246895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13016608/ex10-6.htm" TargetMode="External"/><Relationship Id="rId17" Type="http://schemas.openxmlformats.org/officeDocument/2006/relationships/hyperlink" Target="ex_193912.htm" TargetMode="External"/><Relationship Id="rId2" Type="http://schemas.openxmlformats.org/officeDocument/2006/relationships/settings" Target="settings.xml"/><Relationship Id="rId16" Type="http://schemas.openxmlformats.org/officeDocument/2006/relationships/hyperlink" Target="ex_193911.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13016608/ex10-5.htm" TargetMode="External"/><Relationship Id="rId5" Type="http://schemas.openxmlformats.org/officeDocument/2006/relationships/hyperlink" Target="http://www.sec.gov/Archives/edgar/data/1332174/000143774913016608/ex4-1.htm" TargetMode="External"/><Relationship Id="rId15" Type="http://schemas.openxmlformats.org/officeDocument/2006/relationships/hyperlink" Target="ex_193910.htm" TargetMode="External"/><Relationship Id="rId10" Type="http://schemas.openxmlformats.org/officeDocument/2006/relationships/hyperlink" Target="http://www.sec.gov/Archives/edgar/data/1332174/000119312513088165/d493937dex106.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19390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16055</Words>
  <Characters>91517</Characters>
  <Application>Microsoft Office Word</Application>
  <DocSecurity>0</DocSecurity>
  <Lines>762</Lines>
  <Paragraphs>214</Paragraphs>
  <ScaleCrop>false</ScaleCrop>
  <Company/>
  <LinksUpToDate>false</LinksUpToDate>
  <CharactersWithSpaces>107358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gsg20200630_10q.htm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