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C171" w14:textId="77777777" w:rsidR="00000000" w:rsidRDefault="004206B0">
      <w:pPr>
        <w:divId w:val="447358148"/>
        <w:rPr>
          <w:rFonts w:eastAsia="Times New Roman"/>
          <w:vanish/>
          <w:sz w:val="20"/>
          <w:szCs w:val="20"/>
        </w:rPr>
      </w:pPr>
      <w:r>
        <w:rPr>
          <w:rFonts w:eastAsia="Times New Roman"/>
          <w:vanish/>
          <w:sz w:val="20"/>
          <w:szCs w:val="20"/>
        </w:rPr>
        <w:t xml:space="preserve">0001332174 iShares S&amp;P GSCI Commodity-Indexed Trust false --12-31 FY 2022 3.05 3.89 January 1, 2023 3.37 3.87 January 5, 2023 3.81 4.01 January 10, 2023 3.81 January 12, 2023 3.80 4.10 January 17, 2023 3.56 3.86 January 19, 2023 3.68 4.19 </w:t>
      </w:r>
      <w:r>
        <w:rPr>
          <w:rFonts w:eastAsia="Times New Roman"/>
          <w:vanish/>
          <w:sz w:val="20"/>
          <w:szCs w:val="20"/>
        </w:rPr>
        <w:t>January 24, 2023 3.72 3.96 January 26, 2023 4.09 January 31, 2023 3.99 4.01 February 7, 2023 4.04 February 14, 2023 4.24 February 16, 2023 4.22 February 21, 2023 3.97 February 23, 2023 1,201,949,825 98.46 1.54 100.00 0.03 0.04 January 4, 2022 0.03 0.04 Jan</w:t>
      </w:r>
      <w:r>
        <w:rPr>
          <w:rFonts w:eastAsia="Times New Roman"/>
          <w:vanish/>
          <w:sz w:val="20"/>
          <w:szCs w:val="20"/>
        </w:rPr>
        <w:t>uary 6, 2022 0.03 January 11, 2022 0.04 0.05 January 25, 2022 0.03 0.06 February 1, 2022 0.05 February 3, 2022 0.03 0.05 February 8, 2022 0.05 February 10, 2022 0.03 0.05 February 15, 2022 0.03 0.05 February 17, 2022 0.03 0.04 February 22, 2022 0.04 0.05 F</w:t>
      </w:r>
      <w:r>
        <w:rPr>
          <w:rFonts w:eastAsia="Times New Roman"/>
          <w:vanish/>
          <w:sz w:val="20"/>
          <w:szCs w:val="20"/>
        </w:rPr>
        <w:t>ebruary 24, 2022 0.05 0.06 March 1, 2022 0.04 0.06 March 3, 2022 0.05 March 8, 2022 0.04 March 10, 2022 0.05 March 15, 2022 0.06 March 17, 2022 0.08 March 24, 2022 1,498,362,211 104.65 4.65 100.00 A portion of the above U.S. Treasury bills are posted as ma</w:t>
      </w:r>
      <w:r>
        <w:rPr>
          <w:rFonts w:eastAsia="Times New Roman"/>
          <w:vanish/>
          <w:sz w:val="20"/>
          <w:szCs w:val="20"/>
        </w:rPr>
        <w:t>rgin for the Trust’s Index Futures positions as described in Note 2D. Net increase (decrease) in net assets per Share based on average shares outstanding during the year. Cost of short-term investments held at broker (restricted): $101,996,781 and $85,580,</w:t>
      </w:r>
      <w:r>
        <w:rPr>
          <w:rFonts w:eastAsia="Times New Roman"/>
          <w:vanish/>
          <w:sz w:val="20"/>
          <w:szCs w:val="20"/>
        </w:rPr>
        <w:t>222, respectively. Rates shown are discount rates paid at the time of purchase. The amounts reported for a Share outstanding may not accord with the change in aggregate gains and losses on investments for the period due to the timing of Trust Share transac</w:t>
      </w:r>
      <w:r>
        <w:rPr>
          <w:rFonts w:eastAsia="Times New Roman"/>
          <w:vanish/>
          <w:sz w:val="20"/>
          <w:szCs w:val="20"/>
        </w:rPr>
        <w:t>tions in relation to the fluctuating fair values of the Trust’s underlying investments. Based on the change in net asset value of a Share during the year. Cost of short-term investments: $1,099,953,044 and $1,412,781,989, respectively. No par value, unlimi</w:t>
      </w:r>
      <w:r>
        <w:rPr>
          <w:rFonts w:eastAsia="Times New Roman"/>
          <w:vanish/>
          <w:sz w:val="20"/>
          <w:szCs w:val="20"/>
        </w:rPr>
        <w:t>ted amount authorized. Based on average Shares outstanding during the year. Shown at the unrealized appreciation (depreciation) on the contracts. 1,099,953,044 1,412,781,989 101,996,781 85,580,222 57,550,000 83,750,000 0 0 00013321742022-01-012022-12-31 is</w:t>
      </w:r>
      <w:r>
        <w:rPr>
          <w:rFonts w:eastAsia="Times New Roman"/>
          <w:vanish/>
          <w:sz w:val="20"/>
          <w:szCs w:val="20"/>
        </w:rPr>
        <w:t>o4217:USD 00013321742022-06-30 xbrli:shares 00013321742023-01-31 thunderdome:item 00013321742022-12-31 00013321742021-12-31 iso4217:USDxbrli:shares 00013321742021-01-012021-12-31 00013321742020-01-012020-12-31 00013321742020-12-31 00013321742019-12-31 xbrl</w:t>
      </w:r>
      <w:r>
        <w:rPr>
          <w:rFonts w:eastAsia="Times New Roman"/>
          <w:vanish/>
          <w:sz w:val="20"/>
          <w:szCs w:val="20"/>
        </w:rPr>
        <w:t>i:pure 0001332174gsg:UnitedStatesTreasuryBills305389Due10323Membersrt:MinimumMember2022-12-31 0001332174gsg:UnitedStatesTreasuryBills305389Due10323Membersrt:MaximumMember2022-12-31 0001332174gsg:UnitedStatesTreasuryBills305389Due10323Member2022-12-31 00013</w:t>
      </w:r>
      <w:r>
        <w:rPr>
          <w:rFonts w:eastAsia="Times New Roman"/>
          <w:vanish/>
          <w:sz w:val="20"/>
          <w:szCs w:val="20"/>
        </w:rPr>
        <w:t>32174gsg:UnitedStatesTreasuryBills337387Due10523Membersrt:MinimumMember2022-12-31 0001332174gsg:UnitedStatesTreasuryBills337387Due10523Membersrt:MaximumMember2022-12-31 0001332174gsg:UnitedStatesTreasuryBills337387Due10523Member2022-12-31 0001332174gsg:Uni</w:t>
      </w:r>
      <w:r>
        <w:rPr>
          <w:rFonts w:eastAsia="Times New Roman"/>
          <w:vanish/>
          <w:sz w:val="20"/>
          <w:szCs w:val="20"/>
        </w:rPr>
        <w:t>tedStatesTreasuryBills381401Due11023Membersrt:MinimumMember2022-12-31 0001332174gsg:UnitedStatesTreasuryBills381401Due11023Membersrt:MaximumMember2022-12-31 0001332174gsg:UnitedStatesTreasuryBills381401Due11023Member2022-12-31 0001332174gsg:UnitedStatesTre</w:t>
      </w:r>
      <w:r>
        <w:rPr>
          <w:rFonts w:eastAsia="Times New Roman"/>
          <w:vanish/>
          <w:sz w:val="20"/>
          <w:szCs w:val="20"/>
        </w:rPr>
        <w:t>asuryBills381Due11223Member2022-12-31 0001332174gsg:UnitedStatesTreasuryBills380410Due11723Membersrt:MinimumMember2022-12-31 0001332174gsg:UnitedStatesTreasuryBills380410Due11723Membersrt:MaximumMember2022-12-31 0001332174gsg:UnitedStatesTreasuryBills38041</w:t>
      </w:r>
      <w:r>
        <w:rPr>
          <w:rFonts w:eastAsia="Times New Roman"/>
          <w:vanish/>
          <w:sz w:val="20"/>
          <w:szCs w:val="20"/>
        </w:rPr>
        <w:t>0Due11723Member2022-12-31 0001332174gsg:UnitedStatesTreasuryBills356386Due11923Membersrt:MinimumMember2022-12-31 0001332174gsg:UnitedStatesTreasuryBills356386Due11923Membersrt:MaximumMember2022-12-31 0001332174gsg:UnitedStatesTreasuryBills356386Due11923Mem</w:t>
      </w:r>
      <w:r>
        <w:rPr>
          <w:rFonts w:eastAsia="Times New Roman"/>
          <w:vanish/>
          <w:sz w:val="20"/>
          <w:szCs w:val="20"/>
        </w:rPr>
        <w:t>ber2022-12-31 0001332174gsg:UnitedStatesTreasuryBills368419Due12423Membersrt:MinimumMember2022-12-31 0001332174gsg:UnitedStatesTreasuryBills368419Due12423Membersrt:MaximumMember2022-12-31 0001332174gsg:UnitedStatesTreasuryBills368419Due12423Member2022-12-3</w:t>
      </w:r>
      <w:r>
        <w:rPr>
          <w:rFonts w:eastAsia="Times New Roman"/>
          <w:vanish/>
          <w:sz w:val="20"/>
          <w:szCs w:val="20"/>
        </w:rPr>
        <w:t>1 0001332174gsg:UnitedStatesTreasuryBills372396Due12623Membersrt:MinimumMember2022-12-31 0001332174gsg:UnitedStatesTreasuryBills372396Due12623Membersrt:MaximumMember2022-12-31 0001332174gsg:UnitedStatesTreasuryBills372396Due12623Member2022-12-31 0001332174</w:t>
      </w:r>
      <w:r>
        <w:rPr>
          <w:rFonts w:eastAsia="Times New Roman"/>
          <w:vanish/>
          <w:sz w:val="20"/>
          <w:szCs w:val="20"/>
        </w:rPr>
        <w:t>gsg:UnitedStatesTreasuryBills409Due13123Member2022-12-31 0001332174gsg:UnitedStatesTreasuryBills399401Due20723Membersrt:MinimumMember2022-12-31 0001332174gsg:UnitedStatesTreasuryBills399401Due20723Membersrt:MaximumMember2022-12-31 0001332174gsg:UnitedState</w:t>
      </w:r>
      <w:r>
        <w:rPr>
          <w:rFonts w:eastAsia="Times New Roman"/>
          <w:vanish/>
          <w:sz w:val="20"/>
          <w:szCs w:val="20"/>
        </w:rPr>
        <w:t>sTreasuryBills399401Due20723Member2022-12-31 0001332174gsg:UnitedStatesTreasuryBills404Due21423Member2022-12-31 0001332174gsg:UnitedStatesTreasuryBills424Due21623Member2022-12-31 0001332174gsg:UnitedStatesTreasuryBills422Due22123Member2022-12-31 0001332174</w:t>
      </w:r>
      <w:r>
        <w:rPr>
          <w:rFonts w:eastAsia="Times New Roman"/>
          <w:vanish/>
          <w:sz w:val="20"/>
          <w:szCs w:val="20"/>
        </w:rPr>
        <w:t>gsg:UnitedStatesTreasuryBills397Due22323Member2022-12-31 0001332174us-gaap:USTreasuryBillSecuritiesMember2022-12-31 0001332174gsg:UnitedStatesTreasuryBills003004Due10422Membersrt:MinimumMember2021-12-31 0001332174gsg:UnitedStatesTreasuryBills003004Due10422</w:t>
      </w:r>
      <w:r>
        <w:rPr>
          <w:rFonts w:eastAsia="Times New Roman"/>
          <w:vanish/>
          <w:sz w:val="20"/>
          <w:szCs w:val="20"/>
        </w:rPr>
        <w:t>Membersrt:MaximumMember2021-12-31 0001332174gsg:UnitedStatesTreasuryBills003004Due10422Member2021-12-31 0001332174gsg:UnitedStatesTreasuryBills003004Due10622Membersrt:MinimumMember2021-12-31 0001332174gsg:UnitedStatesTreasuryBills003004Due10622Membersrt:Ma</w:t>
      </w:r>
      <w:r>
        <w:rPr>
          <w:rFonts w:eastAsia="Times New Roman"/>
          <w:vanish/>
          <w:sz w:val="20"/>
          <w:szCs w:val="20"/>
        </w:rPr>
        <w:t>ximumMember2021-12-31 0001332174gsg:UnitedStatesTreasuryBills003004Due10622Member2021-12-31 0001332174gsg:UnitedStatesTreasuryBills003Due11122Member2021-12-31 0001332174gsg:UnitedStatesTreasuryBills004005Due12522Membersrt:MinimumMember2021-12-31 0001332174</w:t>
      </w:r>
      <w:r>
        <w:rPr>
          <w:rFonts w:eastAsia="Times New Roman"/>
          <w:vanish/>
          <w:sz w:val="20"/>
          <w:szCs w:val="20"/>
        </w:rPr>
        <w:t>gsg:UnitedStatesTreasuryBills004005Due12522Membersrt:MaximumMember2021-12-31 0001332174gsg:UnitedStatesTreasuryBills004005Due12522Member2021-12-31 0001332174gsg:UnitedStatesTreasuryBills003006Due20122Membersrt:MinimumMember2021-12-31 0001332174gsg:UnitedSt</w:t>
      </w:r>
      <w:r>
        <w:rPr>
          <w:rFonts w:eastAsia="Times New Roman"/>
          <w:vanish/>
          <w:sz w:val="20"/>
          <w:szCs w:val="20"/>
        </w:rPr>
        <w:t>atesTreasuryBills003006Due20122Membersrt:MaximumMember2021-12-31 0001332174gsg:UnitedStatesTreasuryBills003006Due20122Member2021-12-31 0001332174gsg:UnitedStatesTreasuryBills005Due20322Member2021-12-31 0001332174gsg:UnitedStatesTreasuryBills003005Due20822M</w:t>
      </w:r>
      <w:r>
        <w:rPr>
          <w:rFonts w:eastAsia="Times New Roman"/>
          <w:vanish/>
          <w:sz w:val="20"/>
          <w:szCs w:val="20"/>
        </w:rPr>
        <w:t>embersrt:MinimumMember2021-12-31 0001332174gsg:UnitedStatesTreasuryBills003005Due20822Membersrt:MaximumMember2021-12-31 0001332174gsg:UnitedStatesTreasuryBills003005Due20822Member2021-12-31 0001332174gsg:UnitedStatesTreasuryBills005Due21022Member2021-12-31</w:t>
      </w:r>
      <w:r>
        <w:rPr>
          <w:rFonts w:eastAsia="Times New Roman"/>
          <w:vanish/>
          <w:sz w:val="20"/>
          <w:szCs w:val="20"/>
        </w:rPr>
        <w:t xml:space="preserve"> 0001332174gsg:UnitedStatesTreasuryBills003005Due21522Membersrt:MinimumMember2021-12-31 0001332174gsg:UnitedStatesTreasuryBills003005Due21522Membersrt:MaximumMember2021-12-31 0001332174gsg:UnitedStatesTreasuryBills003005Due21522Member2021-12-31 0001332174g</w:t>
      </w:r>
      <w:r>
        <w:rPr>
          <w:rFonts w:eastAsia="Times New Roman"/>
          <w:vanish/>
          <w:sz w:val="20"/>
          <w:szCs w:val="20"/>
        </w:rPr>
        <w:t>sg:UnitedStatesTreasuryBills003005Due21722Membersrt:MinimumMember2021-12-31 0001332174gsg:UnitedStatesTreasuryBills003005Due21722Membersrt:MaximumMember2021-12-31 0001332174gsg:UnitedStatesTreasuryBills003005Due21722Member2021-12-31 0001332174gsg:UnitedSta</w:t>
      </w:r>
      <w:r>
        <w:rPr>
          <w:rFonts w:eastAsia="Times New Roman"/>
          <w:vanish/>
          <w:sz w:val="20"/>
          <w:szCs w:val="20"/>
        </w:rPr>
        <w:t>tesTreasuryBills003004Due22222Membersrt:MinimumMember2021-12-31 0001332174gsg:UnitedStatesTreasuryBills003004Due22222Membersrt:MaximumMember2021-12-31 0001332174gsg:UnitedStatesTreasuryBills003004Due22222Member2021-12-31 0001332174gsg:UnitedStatesTreasuryB</w:t>
      </w:r>
      <w:r>
        <w:rPr>
          <w:rFonts w:eastAsia="Times New Roman"/>
          <w:vanish/>
          <w:sz w:val="20"/>
          <w:szCs w:val="20"/>
        </w:rPr>
        <w:t>ills004005Due22422Membersrt:MinimumMember2021-12-31 0001332174gsg:UnitedStatesTreasuryBills004005Due22422Membersrt:MaximumMember2021-12-31 0001332174gsg:UnitedStatesTreasuryBills004005Due22422Member2021-12-31 0001332174gsg:UnitedStatesTreasuryBills005006Du</w:t>
      </w:r>
      <w:r>
        <w:rPr>
          <w:rFonts w:eastAsia="Times New Roman"/>
          <w:vanish/>
          <w:sz w:val="20"/>
          <w:szCs w:val="20"/>
        </w:rPr>
        <w:t>e3122Membersrt:MinimumMember2021-12-31 0001332174gsg:UnitedStatesTreasuryBills005006Due3122Membersrt:MaximumMember2021-12-31 0001332174gsg:UnitedStatesTreasuryBills005006Due3122Member2021-12-31 0001332174gsg:UnitedStatesTreasuryBills004006Due30322Membersrt</w:t>
      </w:r>
      <w:r>
        <w:rPr>
          <w:rFonts w:eastAsia="Times New Roman"/>
          <w:vanish/>
          <w:sz w:val="20"/>
          <w:szCs w:val="20"/>
        </w:rPr>
        <w:t>:MinimumMember2021-12-31 0001332174gsg:UnitedStatesTreasuryBills004006Due30322Membersrt:MaximumMember2021-12-31 0001332174gsg:UnitedStatesTreasuryBills004006Due30322Member2021-12-31 0001332174gsg:UnitedStatesTreasuryBills005Due30822Member2021-12-31 0001332</w:t>
      </w:r>
      <w:r>
        <w:rPr>
          <w:rFonts w:eastAsia="Times New Roman"/>
          <w:vanish/>
          <w:sz w:val="20"/>
          <w:szCs w:val="20"/>
        </w:rPr>
        <w:t>174gsg:UnitedStatesTreasuryBills004Due31022Member2021-12-31 0001332174gsg:UnitedStatesTreasuryBills005Due31522Member2021-12-31 0001332174gsg:UnitedStatesTreasuryBills006Due31722Member2021-12-31 0001332174gsg:UnitedStatesTreasuryBills008Due32422Member2021-1</w:t>
      </w:r>
      <w:r>
        <w:rPr>
          <w:rFonts w:eastAsia="Times New Roman"/>
          <w:vanish/>
          <w:sz w:val="20"/>
          <w:szCs w:val="20"/>
        </w:rPr>
        <w:t>2-31 0001332174us-gaap:USTreasuryBillSecuritiesMember2021-12-31 0001332174srt:MaximumMember2022-01-012022-12-31 0001332174srt:MaximumMember2021-01-012021-12-31 0001332174gsg:ReceivableForVariationMarginOnOpenFuturesContractsMemberus-gaap:CommodityContractM</w:t>
      </w:r>
      <w:r>
        <w:rPr>
          <w:rFonts w:eastAsia="Times New Roman"/>
          <w:vanish/>
          <w:sz w:val="20"/>
          <w:szCs w:val="20"/>
        </w:rPr>
        <w:t>ember2022-12-31 0001332174gsg:PayableForVariationMarginOnOpenFuturesContractsMemberus-gaap:CommodityContractMember2022-12-31 0001332174gsg:ReceivableForVariationMarginOnOpenFuturesContractsMemberus-gaap:CommodityContractMember2021-12-31 0001332174gsg:Payab</w:t>
      </w:r>
      <w:r>
        <w:rPr>
          <w:rFonts w:eastAsia="Times New Roman"/>
          <w:vanish/>
          <w:sz w:val="20"/>
          <w:szCs w:val="20"/>
        </w:rPr>
        <w:t>leForVariationMarginOnOpenFuturesContractsMemberus-gaap:CommodityContractMember2021-12-31 0001332174gsg:NetRealizedGainLossFromFuturesContractsMemberus-gaap:CommodityContractMember2022-01-012022-12-31 0001332174gsg:NetChangeInUnrealizedAppreciationDeprecia</w:t>
      </w:r>
      <w:r>
        <w:rPr>
          <w:rFonts w:eastAsia="Times New Roman"/>
          <w:vanish/>
          <w:sz w:val="20"/>
          <w:szCs w:val="20"/>
        </w:rPr>
        <w:t>tionOnFuturesContractsMemberus-gaap:CommodityContractMember2022-01-012022-12-31 0001332174gsg:NetRealizedGainLossFromFuturesContractsMemberus-gaap:CommodityContractMember2021-01-012021-12-31 0001332174gsg:NetChangeInUnrealizedAppreciationDepreciationOnFutu</w:t>
      </w:r>
      <w:r>
        <w:rPr>
          <w:rFonts w:eastAsia="Times New Roman"/>
          <w:vanish/>
          <w:sz w:val="20"/>
          <w:szCs w:val="20"/>
        </w:rPr>
        <w:t>resContractsMemberus-gaap:CommodityContractMember2021-01-012021-12-31 0001332174gsg:NetRealizedGainLossFromFuturesContractsMemberus-gaap:CommodityContractMember2020-01-012020-12-31 0001332174gsg:NetChangeInUnrealizedAppreciationDepreciationOnFuturesContrac</w:t>
      </w:r>
      <w:r>
        <w:rPr>
          <w:rFonts w:eastAsia="Times New Roman"/>
          <w:vanish/>
          <w:sz w:val="20"/>
          <w:szCs w:val="20"/>
        </w:rPr>
        <w:t>tsMemberus-gaap:CommodityContractMember2020-01-012020-12-31 0001332174us-gaap:FairValueInputsLevel1Membergsg:FuturesMember2022-12-31 0001332174us-gaap:FairValueInputsLevel2Membergsg:FuturesMember2022-12-31 0001332174us-gaap:FairValueInputsLevel3Membergsg:F</w:t>
      </w:r>
      <w:r>
        <w:rPr>
          <w:rFonts w:eastAsia="Times New Roman"/>
          <w:vanish/>
          <w:sz w:val="20"/>
          <w:szCs w:val="20"/>
        </w:rPr>
        <w:t>uturesMember2022-12-31 0001332174gsg:FuturesMember2022-12-31 0001332174us-gaap:FairValueInputsLevel1Memberus-gaap:USTreasuryBillSecuritiesMember2022-12-31 0001332174us-gaap:FairValueInputsLevel2Memberus-gaap:USTreasuryBillSecuritiesMember2022-12-31 0001332</w:t>
      </w:r>
      <w:r>
        <w:rPr>
          <w:rFonts w:eastAsia="Times New Roman"/>
          <w:vanish/>
          <w:sz w:val="20"/>
          <w:szCs w:val="20"/>
        </w:rPr>
        <w:t>174us-gaap:FairValueInputsLevel3Memberus-gaap:USTreasuryBillSecuritiesMember2022-12-31 0001332174us-gaap:FairValueInputsLevel1Membergsg:FuturesMember2021-12-31 0001332174us-gaap:FairValueInputsLevel2Membergsg:FuturesMember2021-12-31 0001332174us-gaap:FairV</w:t>
      </w:r>
      <w:r>
        <w:rPr>
          <w:rFonts w:eastAsia="Times New Roman"/>
          <w:vanish/>
          <w:sz w:val="20"/>
          <w:szCs w:val="20"/>
        </w:rPr>
        <w:t>alueInputsLevel3Membergsg:FuturesMember2021-12-31 0001332174gsg:FuturesMember2021-12-31 0001332174us-gaap:FairValueInputsLevel1Memberus-gaap:USTreasuryBillSecuritiesMember2021-12-31 0001332174us-gaap:FairValueInputsLevel2Memberus-gaap:USTreasuryBillSecurit</w:t>
      </w:r>
      <w:r>
        <w:rPr>
          <w:rFonts w:eastAsia="Times New Roman"/>
          <w:vanish/>
          <w:sz w:val="20"/>
          <w:szCs w:val="20"/>
        </w:rPr>
        <w:t xml:space="preserve">iesMember2021-12-31 0001332174us-gaap:FairValueInputsLevel3Memberus-gaap:USTreasuryBillSecuritiesMember2021-12-31 </w:t>
      </w:r>
    </w:p>
    <w:p w14:paraId="7E8BE5BD" w14:textId="77777777" w:rsidR="00000000" w:rsidRDefault="004206B0">
      <w:pPr>
        <w:divId w:val="423843227"/>
        <w:rPr>
          <w:rFonts w:eastAsia="Times New Roman"/>
          <w:sz w:val="20"/>
          <w:szCs w:val="20"/>
        </w:rPr>
      </w:pPr>
      <w:r>
        <w:rPr>
          <w:rFonts w:eastAsia="Times New Roman"/>
          <w:sz w:val="20"/>
          <w:szCs w:val="20"/>
        </w:rPr>
        <w:t xml:space="preserve">  </w:t>
      </w:r>
    </w:p>
    <w:p w14:paraId="57F96DC2" w14:textId="77777777" w:rsidR="00000000" w:rsidRDefault="004206B0">
      <w:pPr>
        <w:pStyle w:val="a3"/>
        <w:spacing w:before="0" w:beforeAutospacing="0" w:after="0" w:afterAutospacing="0"/>
        <w:divId w:val="1686667073"/>
        <w:rPr>
          <w:rFonts w:ascii="Arial" w:hAnsi="Arial" w:cs="Arial"/>
          <w:sz w:val="20"/>
          <w:szCs w:val="20"/>
        </w:rPr>
      </w:pPr>
      <w:hyperlink w:anchor="toc" w:history="1">
        <w:r>
          <w:rPr>
            <w:rStyle w:val="a4"/>
            <w:rFonts w:ascii="Arial" w:hAnsi="Arial" w:cs="Arial"/>
            <w:sz w:val="20"/>
            <w:szCs w:val="20"/>
          </w:rPr>
          <w:t>Table of Contents</w:t>
        </w:r>
      </w:hyperlink>
    </w:p>
    <w:p w14:paraId="16F48D1C"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3ED638A6" w14:textId="77777777" w:rsidR="00000000" w:rsidRDefault="004206B0">
      <w:pPr>
        <w:spacing w:before="60" w:after="60"/>
        <w:divId w:val="1686667073"/>
        <w:rPr>
          <w:rFonts w:eastAsia="Times New Roman"/>
          <w:sz w:val="20"/>
          <w:szCs w:val="20"/>
        </w:rPr>
      </w:pPr>
      <w:r>
        <w:rPr>
          <w:rFonts w:eastAsia="Times New Roman"/>
          <w:sz w:val="20"/>
          <w:szCs w:val="20"/>
        </w:rPr>
        <w:pict w14:anchorId="744D6E09">
          <v:rect id="_x0000_i1025" style="width:415.3pt;height:2.25pt" o:hralign="center" o:hrstd="t" o:hrnoshade="t" o:hr="t" fillcolor="black" stroked="f"/>
        </w:pict>
      </w:r>
    </w:p>
    <w:p w14:paraId="3B480B1A" w14:textId="77777777" w:rsidR="00000000" w:rsidRDefault="004206B0">
      <w:pPr>
        <w:spacing w:after="60"/>
        <w:divId w:val="1686667073"/>
        <w:rPr>
          <w:rFonts w:eastAsia="Times New Roman"/>
          <w:sz w:val="20"/>
          <w:szCs w:val="20"/>
        </w:rPr>
      </w:pPr>
      <w:r>
        <w:rPr>
          <w:rFonts w:eastAsia="Times New Roman"/>
          <w:sz w:val="20"/>
          <w:szCs w:val="20"/>
        </w:rPr>
        <w:pict w14:anchorId="5983461B">
          <v:rect id="_x0000_i1026" style="width:415.3pt;height:.75pt" o:hralign="center" o:hrstd="t" o:hrnoshade="t" o:hr="t" fillcolor="black" stroked="f"/>
        </w:pict>
      </w:r>
    </w:p>
    <w:p w14:paraId="55DEB345"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5B903B33" w14:textId="77777777" w:rsidR="00000000" w:rsidRDefault="004206B0">
      <w:pPr>
        <w:pStyle w:val="a3"/>
        <w:spacing w:before="0" w:beforeAutospacing="0" w:after="0" w:afterAutospacing="0"/>
        <w:jc w:val="center"/>
        <w:divId w:val="1686667073"/>
        <w:rPr>
          <w:rFonts w:ascii="Arial" w:hAnsi="Arial" w:cs="Arial"/>
          <w:sz w:val="36"/>
          <w:szCs w:val="36"/>
        </w:rPr>
      </w:pPr>
      <w:r>
        <w:rPr>
          <w:rFonts w:ascii="Arial" w:hAnsi="Arial" w:cs="Arial"/>
          <w:b/>
          <w:bCs/>
          <w:sz w:val="36"/>
          <w:szCs w:val="36"/>
        </w:rPr>
        <w:t>UNITED STATES</w:t>
      </w:r>
    </w:p>
    <w:p w14:paraId="473C0B43" w14:textId="77777777" w:rsidR="00000000" w:rsidRDefault="004206B0">
      <w:pPr>
        <w:pStyle w:val="a3"/>
        <w:spacing w:before="0" w:beforeAutospacing="0" w:after="0" w:afterAutospacing="0"/>
        <w:jc w:val="center"/>
        <w:divId w:val="1686667073"/>
        <w:rPr>
          <w:rFonts w:ascii="Arial" w:hAnsi="Arial" w:cs="Arial"/>
          <w:sz w:val="36"/>
          <w:szCs w:val="36"/>
        </w:rPr>
      </w:pPr>
      <w:r>
        <w:rPr>
          <w:rFonts w:ascii="Arial" w:hAnsi="Arial" w:cs="Arial"/>
          <w:b/>
          <w:bCs/>
          <w:sz w:val="36"/>
          <w:szCs w:val="36"/>
        </w:rPr>
        <w:t>SECURITIES AND EXCHANGE COMM</w:t>
      </w:r>
      <w:r>
        <w:rPr>
          <w:rFonts w:ascii="Arial" w:hAnsi="Arial" w:cs="Arial"/>
          <w:b/>
          <w:bCs/>
          <w:sz w:val="36"/>
          <w:szCs w:val="36"/>
        </w:rPr>
        <w:t>ISSION</w:t>
      </w:r>
    </w:p>
    <w:p w14:paraId="6588ED38"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Washington, D.C. 20549</w:t>
      </w:r>
    </w:p>
    <w:p w14:paraId="51015C0D"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3C354F57" w14:textId="77777777" w:rsidR="00000000" w:rsidRDefault="004206B0">
      <w:pPr>
        <w:spacing w:before="60" w:after="60"/>
        <w:divId w:val="1686667073"/>
        <w:rPr>
          <w:rFonts w:eastAsia="Times New Roman"/>
          <w:sz w:val="20"/>
          <w:szCs w:val="20"/>
        </w:rPr>
      </w:pPr>
      <w:r>
        <w:rPr>
          <w:rFonts w:eastAsia="Times New Roman"/>
          <w:sz w:val="20"/>
          <w:szCs w:val="20"/>
        </w:rPr>
        <w:pict w14:anchorId="1C2556F2">
          <v:rect id="_x0000_i1027" style="width:103.85pt;height:.75pt" o:hrpct="250" o:hralign="center" o:hrstd="t" o:hrnoshade="t" o:hr="t" fillcolor="black" stroked="f"/>
        </w:pict>
      </w:r>
    </w:p>
    <w:p w14:paraId="643196AB" w14:textId="77777777" w:rsidR="00000000" w:rsidRDefault="004206B0">
      <w:pPr>
        <w:pStyle w:val="a3"/>
        <w:spacing w:before="0" w:beforeAutospacing="0" w:after="0" w:afterAutospacing="0"/>
        <w:divId w:val="1686667073"/>
        <w:rPr>
          <w:rFonts w:ascii="Arial" w:hAnsi="Arial" w:cs="Arial"/>
          <w:sz w:val="16"/>
          <w:szCs w:val="16"/>
        </w:rPr>
      </w:pPr>
      <w:r>
        <w:rPr>
          <w:rFonts w:ascii="Arial" w:hAnsi="Arial" w:cs="Arial"/>
          <w:sz w:val="16"/>
          <w:szCs w:val="16"/>
        </w:rPr>
        <w:t> </w:t>
      </w:r>
    </w:p>
    <w:p w14:paraId="5D6E04B2" w14:textId="77777777" w:rsidR="00000000" w:rsidRDefault="004206B0">
      <w:pPr>
        <w:pStyle w:val="a3"/>
        <w:spacing w:before="0" w:beforeAutospacing="0" w:after="0" w:afterAutospacing="0"/>
        <w:jc w:val="center"/>
        <w:divId w:val="1686667073"/>
        <w:rPr>
          <w:rFonts w:ascii="Arial" w:hAnsi="Arial" w:cs="Arial"/>
          <w:sz w:val="36"/>
          <w:szCs w:val="36"/>
        </w:rPr>
      </w:pPr>
      <w:r>
        <w:rPr>
          <w:rFonts w:ascii="Arial" w:hAnsi="Arial" w:cs="Arial"/>
          <w:b/>
          <w:bCs/>
          <w:sz w:val="36"/>
          <w:szCs w:val="36"/>
        </w:rPr>
        <w:t>FORM 10-K</w:t>
      </w:r>
    </w:p>
    <w:p w14:paraId="60B7140D" w14:textId="77777777" w:rsidR="00000000" w:rsidRDefault="004206B0">
      <w:pPr>
        <w:pStyle w:val="a3"/>
        <w:spacing w:before="0" w:beforeAutospacing="0" w:after="0" w:afterAutospacing="0"/>
        <w:divId w:val="1686667073"/>
        <w:rPr>
          <w:rFonts w:ascii="Arial" w:hAnsi="Arial" w:cs="Arial"/>
          <w:sz w:val="16"/>
          <w:szCs w:val="16"/>
        </w:rPr>
      </w:pPr>
      <w:r>
        <w:rPr>
          <w:rFonts w:ascii="Arial" w:hAnsi="Arial" w:cs="Arial"/>
          <w:sz w:val="16"/>
          <w:szCs w:val="16"/>
        </w:rPr>
        <w:t> </w:t>
      </w:r>
    </w:p>
    <w:p w14:paraId="6A892C6F" w14:textId="77777777" w:rsidR="00000000" w:rsidRDefault="004206B0">
      <w:pPr>
        <w:spacing w:before="60" w:after="60"/>
        <w:divId w:val="1686667073"/>
        <w:rPr>
          <w:rFonts w:eastAsia="Times New Roman"/>
          <w:sz w:val="20"/>
          <w:szCs w:val="20"/>
        </w:rPr>
      </w:pPr>
      <w:r>
        <w:rPr>
          <w:rFonts w:eastAsia="Times New Roman"/>
          <w:sz w:val="20"/>
          <w:szCs w:val="20"/>
        </w:rPr>
        <w:pict w14:anchorId="5F855349">
          <v:rect id="_x0000_i1028" style="width:103.85pt;height:.75pt" o:hrpct="250" o:hralign="center" o:hrstd="t" o:hrnoshade="t" o:hr="t" fillcolor="black" stroked="f"/>
        </w:pict>
      </w:r>
    </w:p>
    <w:p w14:paraId="2B7A85E0"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
        <w:gridCol w:w="7891"/>
      </w:tblGrid>
      <w:tr w:rsidR="00000000" w14:paraId="3B9DB987" w14:textId="77777777">
        <w:trPr>
          <w:divId w:val="1686667073"/>
          <w:tblCellSpacing w:w="0" w:type="dxa"/>
        </w:trPr>
        <w:tc>
          <w:tcPr>
            <w:tcW w:w="250" w:type="pct"/>
            <w:vAlign w:val="center"/>
            <w:hideMark/>
          </w:tcPr>
          <w:p w14:paraId="166EBD44" w14:textId="77777777" w:rsidR="00000000" w:rsidRDefault="004206B0">
            <w:pPr>
              <w:rPr>
                <w:rFonts w:ascii="Arial" w:eastAsia="Times New Roman" w:hAnsi="Arial" w:cs="Arial"/>
              </w:rPr>
            </w:pPr>
            <w:r>
              <w:rPr>
                <w:rFonts w:ascii="Segoe UI Symbol" w:eastAsia="Times New Roman" w:hAnsi="Segoe UI Symbol" w:cs="Segoe UI Symbol"/>
                <w:b/>
                <w:bCs/>
              </w:rPr>
              <w:t>☒</w:t>
            </w:r>
          </w:p>
        </w:tc>
        <w:tc>
          <w:tcPr>
            <w:tcW w:w="4750" w:type="pct"/>
            <w:vAlign w:val="center"/>
            <w:hideMark/>
          </w:tcPr>
          <w:p w14:paraId="315F99D8" w14:textId="77777777" w:rsidR="00000000" w:rsidRDefault="004206B0">
            <w:pPr>
              <w:rPr>
                <w:rFonts w:ascii="Arial" w:eastAsia="Times New Roman" w:hAnsi="Arial" w:cs="Arial"/>
              </w:rPr>
            </w:pPr>
            <w:r>
              <w:rPr>
                <w:rFonts w:ascii="Arial" w:eastAsia="Times New Roman" w:hAnsi="Arial" w:cs="Arial"/>
                <w:b/>
                <w:bCs/>
              </w:rPr>
              <w:t>ANNUAL REPORT PURSUANT TO SECTION 13 OR 15(d) OF THE SECURITIES EXCHANGE ACT OF 1934</w:t>
            </w:r>
          </w:p>
        </w:tc>
      </w:tr>
      <w:tr w:rsidR="00000000" w14:paraId="4E12409D" w14:textId="77777777">
        <w:trPr>
          <w:divId w:val="1686667073"/>
          <w:tblCellSpacing w:w="0" w:type="dxa"/>
        </w:trPr>
        <w:tc>
          <w:tcPr>
            <w:tcW w:w="250" w:type="pct"/>
            <w:vAlign w:val="center"/>
            <w:hideMark/>
          </w:tcPr>
          <w:p w14:paraId="2CE343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750" w:type="pct"/>
            <w:vAlign w:val="center"/>
            <w:hideMark/>
          </w:tcPr>
          <w:p w14:paraId="25A1DFC5" w14:textId="77777777" w:rsidR="00000000" w:rsidRDefault="004206B0">
            <w:pPr>
              <w:rPr>
                <w:rFonts w:ascii="Arial" w:eastAsia="Times New Roman" w:hAnsi="Arial" w:cs="Arial"/>
                <w:sz w:val="20"/>
                <w:szCs w:val="20"/>
              </w:rPr>
            </w:pPr>
            <w:r>
              <w:rPr>
                <w:rFonts w:ascii="Arial" w:eastAsia="Times New Roman" w:hAnsi="Arial" w:cs="Arial"/>
                <w:b/>
                <w:bCs/>
                <w:sz w:val="20"/>
                <w:szCs w:val="20"/>
              </w:rPr>
              <w:t>For the fiscal year ended December 31, 2022</w:t>
            </w:r>
          </w:p>
        </w:tc>
      </w:tr>
      <w:tr w:rsidR="00000000" w14:paraId="62760BD7" w14:textId="77777777">
        <w:trPr>
          <w:divId w:val="1686667073"/>
          <w:tblCellSpacing w:w="0" w:type="dxa"/>
        </w:trPr>
        <w:tc>
          <w:tcPr>
            <w:tcW w:w="250" w:type="pct"/>
            <w:gridSpan w:val="2"/>
            <w:vAlign w:val="center"/>
            <w:hideMark/>
          </w:tcPr>
          <w:p w14:paraId="2D459BC8"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or</w:t>
            </w:r>
          </w:p>
        </w:tc>
      </w:tr>
      <w:tr w:rsidR="00000000" w14:paraId="632D907B" w14:textId="77777777">
        <w:trPr>
          <w:divId w:val="1686667073"/>
          <w:tblCellSpacing w:w="0" w:type="dxa"/>
        </w:trPr>
        <w:tc>
          <w:tcPr>
            <w:tcW w:w="250" w:type="pct"/>
            <w:vAlign w:val="center"/>
            <w:hideMark/>
          </w:tcPr>
          <w:p w14:paraId="65B11C2F" w14:textId="77777777" w:rsidR="00000000" w:rsidRDefault="004206B0">
            <w:pPr>
              <w:rPr>
                <w:rFonts w:ascii="Arial" w:eastAsia="Times New Roman" w:hAnsi="Arial" w:cs="Arial"/>
              </w:rPr>
            </w:pPr>
            <w:r>
              <w:rPr>
                <w:rFonts w:ascii="Segoe UI Symbol" w:eastAsia="Times New Roman" w:hAnsi="Segoe UI Symbol" w:cs="Segoe UI Symbol"/>
                <w:b/>
                <w:bCs/>
              </w:rPr>
              <w:t>☐</w:t>
            </w:r>
          </w:p>
        </w:tc>
        <w:tc>
          <w:tcPr>
            <w:tcW w:w="4750" w:type="pct"/>
            <w:vAlign w:val="center"/>
            <w:hideMark/>
          </w:tcPr>
          <w:p w14:paraId="56931230" w14:textId="77777777" w:rsidR="00000000" w:rsidRDefault="004206B0">
            <w:pPr>
              <w:rPr>
                <w:rFonts w:ascii="Arial" w:eastAsia="Times New Roman" w:hAnsi="Arial" w:cs="Arial"/>
              </w:rPr>
            </w:pPr>
            <w:r>
              <w:rPr>
                <w:rFonts w:ascii="Arial" w:eastAsia="Times New Roman" w:hAnsi="Arial" w:cs="Arial"/>
                <w:b/>
                <w:bCs/>
              </w:rPr>
              <w:t>TRANSITION REPORT PURSUANT TO SECTION 13 OR 15(d) OF THE SECURITIES EXCHANGE ACT OF 1934</w:t>
            </w:r>
          </w:p>
        </w:tc>
      </w:tr>
      <w:tr w:rsidR="00000000" w14:paraId="6D219102" w14:textId="77777777">
        <w:trPr>
          <w:divId w:val="1686667073"/>
          <w:tblCellSpacing w:w="0" w:type="dxa"/>
        </w:trPr>
        <w:tc>
          <w:tcPr>
            <w:tcW w:w="250" w:type="pct"/>
            <w:vAlign w:val="center"/>
            <w:hideMark/>
          </w:tcPr>
          <w:p w14:paraId="660C9E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750" w:type="pct"/>
            <w:vAlign w:val="center"/>
            <w:hideMark/>
          </w:tcPr>
          <w:p w14:paraId="0D32B39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For the transition period from</w:t>
            </w:r>
            <w:r>
              <w:rPr>
                <w:rFonts w:ascii="Arial" w:eastAsia="Times New Roman" w:hAnsi="Arial" w:cs="Arial"/>
                <w:sz w:val="20"/>
                <w:szCs w:val="20"/>
                <w:u w:val="single"/>
              </w:rPr>
              <w:t>          </w:t>
            </w:r>
            <w:r>
              <w:rPr>
                <w:rFonts w:ascii="Arial" w:eastAsia="Times New Roman" w:hAnsi="Arial" w:cs="Arial"/>
                <w:b/>
                <w:bCs/>
                <w:sz w:val="20"/>
                <w:szCs w:val="20"/>
              </w:rPr>
              <w:t xml:space="preserve">to </w:t>
            </w:r>
            <w:r>
              <w:rPr>
                <w:rFonts w:ascii="Arial" w:eastAsia="Times New Roman" w:hAnsi="Arial" w:cs="Arial"/>
                <w:sz w:val="20"/>
                <w:szCs w:val="20"/>
                <w:u w:val="single"/>
              </w:rPr>
              <w:t>          </w:t>
            </w:r>
          </w:p>
        </w:tc>
      </w:tr>
    </w:tbl>
    <w:p w14:paraId="3BC4E70C"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0BE091CD"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Commission File Number: 001-32947</w:t>
      </w:r>
    </w:p>
    <w:p w14:paraId="4146222A"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3A99840B" w14:textId="77777777" w:rsidR="00000000" w:rsidRDefault="004206B0">
      <w:pPr>
        <w:spacing w:before="60" w:after="60"/>
        <w:divId w:val="1686667073"/>
        <w:rPr>
          <w:rFonts w:eastAsia="Times New Roman"/>
          <w:sz w:val="20"/>
          <w:szCs w:val="20"/>
        </w:rPr>
      </w:pPr>
      <w:r>
        <w:rPr>
          <w:rFonts w:eastAsia="Times New Roman"/>
          <w:sz w:val="20"/>
          <w:szCs w:val="20"/>
        </w:rPr>
        <w:pict w14:anchorId="18D8FB67">
          <v:rect id="_x0000_i1029" style="width:103.85pt;height:.75pt" o:hrpct="250" o:hralign="center" o:hrstd="t" o:hrnoshade="t" o:hr="t" fillcolor="black" stroked="f"/>
        </w:pict>
      </w:r>
    </w:p>
    <w:p w14:paraId="2E6B6B38" w14:textId="77777777" w:rsidR="00000000" w:rsidRDefault="004206B0">
      <w:pPr>
        <w:pStyle w:val="a3"/>
        <w:spacing w:before="0" w:beforeAutospacing="0" w:after="0" w:afterAutospacing="0"/>
        <w:jc w:val="center"/>
        <w:divId w:val="1686667073"/>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sz w:val="22"/>
          <w:szCs w:val="22"/>
        </w:rPr>
        <w:t> </w:t>
      </w:r>
      <w:r>
        <w:rPr>
          <w:rFonts w:ascii="Arial" w:hAnsi="Arial" w:cs="Arial"/>
          <w:b/>
          <w:bCs/>
          <w:sz w:val="36"/>
          <w:szCs w:val="36"/>
        </w:rPr>
        <w:t>S&amp;P GSCI</w:t>
      </w:r>
      <w:r>
        <w:rPr>
          <w:rFonts w:ascii="Arial" w:hAnsi="Arial" w:cs="Arial"/>
          <w:sz w:val="36"/>
          <w:szCs w:val="36"/>
        </w:rPr>
        <w:t xml:space="preserve">™ </w:t>
      </w:r>
      <w:r>
        <w:rPr>
          <w:rFonts w:ascii="Arial" w:hAnsi="Arial" w:cs="Arial"/>
          <w:b/>
          <w:bCs/>
          <w:sz w:val="36"/>
          <w:szCs w:val="36"/>
        </w:rPr>
        <w:t>Commodity-Indexed Trust</w:t>
      </w:r>
    </w:p>
    <w:p w14:paraId="69FD1949" w14:textId="77777777" w:rsidR="00000000" w:rsidRDefault="004206B0">
      <w:pPr>
        <w:pStyle w:val="a3"/>
        <w:spacing w:before="0" w:beforeAutospacing="0" w:after="0" w:afterAutospacing="0"/>
        <w:jc w:val="center"/>
        <w:divId w:val="1686667073"/>
        <w:rPr>
          <w:rFonts w:ascii="Arial" w:hAnsi="Arial" w:cs="Arial"/>
          <w:sz w:val="16"/>
          <w:szCs w:val="16"/>
        </w:rPr>
      </w:pPr>
      <w:r>
        <w:rPr>
          <w:rFonts w:ascii="Arial" w:hAnsi="Arial" w:cs="Arial"/>
          <w:b/>
          <w:bCs/>
          <w:sz w:val="16"/>
          <w:szCs w:val="16"/>
        </w:rPr>
        <w:t>(Exact name of registrant as specified in its charter)</w:t>
      </w:r>
    </w:p>
    <w:p w14:paraId="2DBFEC79" w14:textId="77777777" w:rsidR="00000000" w:rsidRDefault="004206B0">
      <w:pPr>
        <w:spacing w:before="60" w:after="60"/>
        <w:divId w:val="1686667073"/>
        <w:rPr>
          <w:rFonts w:eastAsia="Times New Roman"/>
          <w:sz w:val="20"/>
          <w:szCs w:val="20"/>
        </w:rPr>
      </w:pPr>
      <w:r>
        <w:rPr>
          <w:rFonts w:eastAsia="Times New Roman"/>
          <w:sz w:val="20"/>
          <w:szCs w:val="20"/>
        </w:rPr>
        <w:pict w14:anchorId="573156C3">
          <v:rect id="_x0000_i1030" style="width:103.85pt;height:.75pt" o:hrpct="250" o:hralign="center" o:hrstd="t" o:hrnoshade="t" o:hr="t" fillcolor="black" stroked="f"/>
        </w:pict>
      </w:r>
    </w:p>
    <w:p w14:paraId="36DFA776"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14:paraId="6E4AE661" w14:textId="77777777">
        <w:trPr>
          <w:divId w:val="1686667073"/>
          <w:tblCellSpacing w:w="0" w:type="dxa"/>
        </w:trPr>
        <w:tc>
          <w:tcPr>
            <w:tcW w:w="2500" w:type="pct"/>
            <w:vAlign w:val="center"/>
            <w:hideMark/>
          </w:tcPr>
          <w:p w14:paraId="3D283AFA"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14:paraId="4B6B4BE1"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51-6573369</w:t>
            </w:r>
          </w:p>
        </w:tc>
      </w:tr>
      <w:tr w:rsidR="00000000" w14:paraId="0A54F95F" w14:textId="77777777">
        <w:trPr>
          <w:divId w:val="1686667073"/>
          <w:tblCellSpacing w:w="0" w:type="dxa"/>
        </w:trPr>
        <w:tc>
          <w:tcPr>
            <w:tcW w:w="0" w:type="auto"/>
            <w:vAlign w:val="center"/>
            <w:hideMark/>
          </w:tcPr>
          <w:p w14:paraId="4A7509CE" w14:textId="77777777" w:rsidR="00000000" w:rsidRDefault="004206B0">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0" w:type="auto"/>
            <w:vAlign w:val="center"/>
            <w:hideMark/>
          </w:tcPr>
          <w:p w14:paraId="0705F357" w14:textId="77777777" w:rsidR="00000000" w:rsidRDefault="004206B0">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14:paraId="76B4EB29" w14:textId="77777777">
        <w:trPr>
          <w:divId w:val="1686667073"/>
          <w:tblCellSpacing w:w="0" w:type="dxa"/>
        </w:trPr>
        <w:tc>
          <w:tcPr>
            <w:tcW w:w="0" w:type="auto"/>
            <w:vAlign w:val="center"/>
            <w:hideMark/>
          </w:tcPr>
          <w:p w14:paraId="78EF5DCB" w14:textId="77777777" w:rsidR="00000000" w:rsidRDefault="004206B0">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0" w:type="auto"/>
            <w:vAlign w:val="center"/>
            <w:hideMark/>
          </w:tcPr>
          <w:p w14:paraId="11EE1C00" w14:textId="77777777" w:rsidR="00000000" w:rsidRDefault="004206B0">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14:paraId="15AE88D2"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63C39CC1"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 xml:space="preserve">c/o iShares Delaware Trust Sponsor LLC </w:t>
      </w:r>
    </w:p>
    <w:p w14:paraId="6261885B"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400 Howard Street</w:t>
      </w:r>
    </w:p>
    <w:p w14:paraId="52B8E8A5"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 xml:space="preserve">San Francisco, California 94105 </w:t>
      </w:r>
    </w:p>
    <w:p w14:paraId="1AC1D6C3"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Attn: Product Management Team</w:t>
      </w:r>
    </w:p>
    <w:p w14:paraId="1958C1FF"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iShares Product Research &amp; Development</w:t>
      </w:r>
    </w:p>
    <w:p w14:paraId="7D170E3A" w14:textId="77777777" w:rsidR="00000000" w:rsidRDefault="004206B0">
      <w:pPr>
        <w:pStyle w:val="a3"/>
        <w:spacing w:before="0" w:beforeAutospacing="0" w:after="0" w:afterAutospacing="0"/>
        <w:jc w:val="center"/>
        <w:divId w:val="1686667073"/>
        <w:rPr>
          <w:rFonts w:ascii="Arial" w:hAnsi="Arial" w:cs="Arial"/>
          <w:sz w:val="16"/>
          <w:szCs w:val="16"/>
        </w:rPr>
      </w:pPr>
      <w:r>
        <w:rPr>
          <w:rFonts w:ascii="Arial" w:hAnsi="Arial" w:cs="Arial"/>
          <w:b/>
          <w:bCs/>
          <w:sz w:val="16"/>
          <w:szCs w:val="16"/>
        </w:rPr>
        <w:t>(Address of principal executive offices)</w:t>
      </w:r>
    </w:p>
    <w:p w14:paraId="7889C8EB"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58EDD755"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(415) 670-2000</w:t>
      </w:r>
    </w:p>
    <w:p w14:paraId="376AAA60" w14:textId="77777777" w:rsidR="00000000" w:rsidRDefault="004206B0">
      <w:pPr>
        <w:pStyle w:val="a3"/>
        <w:spacing w:before="0" w:beforeAutospacing="0" w:after="0" w:afterAutospacing="0"/>
        <w:jc w:val="center"/>
        <w:divId w:val="1686667073"/>
        <w:rPr>
          <w:rFonts w:ascii="Arial" w:hAnsi="Arial" w:cs="Arial"/>
          <w:sz w:val="16"/>
          <w:szCs w:val="16"/>
        </w:rPr>
      </w:pPr>
      <w:r>
        <w:rPr>
          <w:rFonts w:ascii="Arial" w:hAnsi="Arial" w:cs="Arial"/>
          <w:b/>
          <w:bCs/>
          <w:sz w:val="16"/>
          <w:szCs w:val="16"/>
        </w:rPr>
        <w:t>(Registrant</w:t>
      </w:r>
      <w:r>
        <w:rPr>
          <w:rFonts w:ascii="Arial" w:hAnsi="Arial" w:cs="Arial"/>
          <w:sz w:val="16"/>
          <w:szCs w:val="16"/>
        </w:rPr>
        <w:t>’</w:t>
      </w:r>
      <w:r>
        <w:rPr>
          <w:rFonts w:ascii="Arial" w:hAnsi="Arial" w:cs="Arial"/>
          <w:b/>
          <w:bCs/>
          <w:sz w:val="16"/>
          <w:szCs w:val="16"/>
        </w:rPr>
        <w:t>s telephone number, includ</w:t>
      </w:r>
      <w:r>
        <w:rPr>
          <w:rFonts w:ascii="Arial" w:hAnsi="Arial" w:cs="Arial"/>
          <w:b/>
          <w:bCs/>
          <w:sz w:val="16"/>
          <w:szCs w:val="16"/>
        </w:rPr>
        <w:t>ing area code)</w:t>
      </w:r>
    </w:p>
    <w:p w14:paraId="1216FE31"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1722650F" w14:textId="77777777" w:rsidR="00000000" w:rsidRDefault="004206B0">
      <w:pPr>
        <w:spacing w:before="60" w:after="60"/>
        <w:divId w:val="1686667073"/>
        <w:rPr>
          <w:rFonts w:eastAsia="Times New Roman"/>
          <w:sz w:val="20"/>
          <w:szCs w:val="20"/>
        </w:rPr>
      </w:pPr>
      <w:r>
        <w:rPr>
          <w:rFonts w:eastAsia="Times New Roman"/>
          <w:sz w:val="20"/>
          <w:szCs w:val="20"/>
        </w:rPr>
        <w:pict w14:anchorId="1ADA6776">
          <v:rect id="_x0000_i1031" style="width:103.85pt;height:.75pt" o:hrpct="250" o:hralign="center" o:hrstd="t" o:hrnoshade="t" o:hr="t" fillcolor="black" stroked="f"/>
        </w:pict>
      </w:r>
    </w:p>
    <w:p w14:paraId="1D8BC053"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Securities registered pursuant to Section 12(b) of the Act:</w:t>
      </w:r>
    </w:p>
    <w:p w14:paraId="155DFBC2"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68"/>
        <w:gridCol w:w="2769"/>
        <w:gridCol w:w="2769"/>
      </w:tblGrid>
      <w:tr w:rsidR="00000000" w14:paraId="0B7FD0F6" w14:textId="77777777">
        <w:trPr>
          <w:divId w:val="1686667073"/>
          <w:tblCellSpacing w:w="0" w:type="dxa"/>
        </w:trPr>
        <w:tc>
          <w:tcPr>
            <w:tcW w:w="1650" w:type="pct"/>
            <w:hideMark/>
          </w:tcPr>
          <w:p w14:paraId="518FFF8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Title of each class</w:t>
            </w:r>
          </w:p>
        </w:tc>
        <w:tc>
          <w:tcPr>
            <w:tcW w:w="1650" w:type="pct"/>
            <w:hideMark/>
          </w:tcPr>
          <w:p w14:paraId="1C4A541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Trading Symbol(s)</w:t>
            </w:r>
          </w:p>
        </w:tc>
        <w:tc>
          <w:tcPr>
            <w:tcW w:w="1650" w:type="pct"/>
            <w:hideMark/>
          </w:tcPr>
          <w:p w14:paraId="6A88570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Name of exchange</w:t>
            </w:r>
            <w:r>
              <w:rPr>
                <w:rFonts w:ascii="Arial" w:hAnsi="Arial" w:cs="Arial"/>
                <w:b/>
                <w:bCs/>
                <w:sz w:val="20"/>
                <w:szCs w:val="20"/>
              </w:rPr>
              <w:t xml:space="preserve"> on which registered</w:t>
            </w:r>
          </w:p>
        </w:tc>
      </w:tr>
      <w:tr w:rsidR="00000000" w14:paraId="5CF8CF94" w14:textId="77777777">
        <w:trPr>
          <w:divId w:val="1686667073"/>
          <w:tblCellSpacing w:w="0" w:type="dxa"/>
        </w:trPr>
        <w:tc>
          <w:tcPr>
            <w:tcW w:w="1650" w:type="pct"/>
            <w:hideMark/>
          </w:tcPr>
          <w:p w14:paraId="418014EE" w14:textId="77777777" w:rsidR="00000000" w:rsidRDefault="004206B0">
            <w:pPr>
              <w:pStyle w:val="a3"/>
              <w:spacing w:before="0" w:beforeAutospacing="0" w:after="0" w:afterAutospacing="0"/>
              <w:jc w:val="center"/>
              <w:rPr>
                <w:rFonts w:ascii="Arial" w:hAnsi="Arial" w:cs="Arial"/>
                <w:sz w:val="16"/>
                <w:szCs w:val="16"/>
              </w:rPr>
            </w:pPr>
            <w:r>
              <w:rPr>
                <w:rFonts w:ascii="Arial" w:hAnsi="Arial" w:cs="Arial"/>
                <w:b/>
                <w:bCs/>
                <w:sz w:val="16"/>
                <w:szCs w:val="16"/>
              </w:rPr>
              <w:t>Shares</w:t>
            </w:r>
          </w:p>
        </w:tc>
        <w:tc>
          <w:tcPr>
            <w:tcW w:w="1650" w:type="pct"/>
            <w:hideMark/>
          </w:tcPr>
          <w:p w14:paraId="69AFC4B4" w14:textId="77777777" w:rsidR="00000000" w:rsidRDefault="004206B0">
            <w:pPr>
              <w:pStyle w:val="a3"/>
              <w:spacing w:before="0" w:beforeAutospacing="0" w:after="0" w:afterAutospacing="0"/>
              <w:jc w:val="center"/>
              <w:rPr>
                <w:rFonts w:ascii="Arial" w:hAnsi="Arial" w:cs="Arial"/>
                <w:sz w:val="16"/>
                <w:szCs w:val="16"/>
              </w:rPr>
            </w:pPr>
            <w:r>
              <w:rPr>
                <w:rFonts w:ascii="Arial" w:hAnsi="Arial" w:cs="Arial"/>
                <w:b/>
                <w:bCs/>
                <w:sz w:val="16"/>
                <w:szCs w:val="16"/>
              </w:rPr>
              <w:t>GSG</w:t>
            </w:r>
          </w:p>
        </w:tc>
        <w:tc>
          <w:tcPr>
            <w:tcW w:w="1650" w:type="pct"/>
            <w:hideMark/>
          </w:tcPr>
          <w:p w14:paraId="171A09DB" w14:textId="77777777" w:rsidR="00000000" w:rsidRDefault="004206B0">
            <w:pPr>
              <w:pStyle w:val="a3"/>
              <w:spacing w:before="0" w:beforeAutospacing="0" w:after="0" w:afterAutospacing="0"/>
              <w:jc w:val="center"/>
              <w:rPr>
                <w:rFonts w:ascii="Arial" w:hAnsi="Arial" w:cs="Arial"/>
                <w:sz w:val="16"/>
                <w:szCs w:val="16"/>
              </w:rPr>
            </w:pPr>
            <w:r>
              <w:rPr>
                <w:rFonts w:ascii="Arial" w:hAnsi="Arial" w:cs="Arial"/>
                <w:b/>
                <w:bCs/>
                <w:sz w:val="16"/>
                <w:szCs w:val="16"/>
              </w:rPr>
              <w:t>NYSE Arca, Inc.</w:t>
            </w:r>
          </w:p>
        </w:tc>
      </w:tr>
    </w:tbl>
    <w:p w14:paraId="5040435F"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4C656ED9"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Securities registered pursuant to Section 12(g) of the Act: None</w:t>
      </w:r>
    </w:p>
    <w:p w14:paraId="6A5A64C7" w14:textId="77777777" w:rsidR="00000000" w:rsidRDefault="004206B0">
      <w:pPr>
        <w:spacing w:before="60" w:after="60"/>
        <w:divId w:val="1686667073"/>
        <w:rPr>
          <w:rFonts w:eastAsia="Times New Roman"/>
          <w:sz w:val="20"/>
          <w:szCs w:val="20"/>
        </w:rPr>
      </w:pPr>
      <w:r>
        <w:rPr>
          <w:rFonts w:eastAsia="Times New Roman"/>
          <w:sz w:val="20"/>
          <w:szCs w:val="20"/>
        </w:rPr>
        <w:pict w14:anchorId="47BFCD91">
          <v:rect id="_x0000_i1032" style="width:103.85pt;height:.75pt" o:hrpct="250" o:hralign="center" o:hrstd="t" o:hrnoshade="t" o:hr="t" fillcolor="black" stroked="f"/>
        </w:pict>
      </w:r>
    </w:p>
    <w:p w14:paraId="28D9205A"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lastRenderedPageBreak/>
        <w:t> </w:t>
      </w:r>
    </w:p>
    <w:p w14:paraId="2CBAF26A"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1AF29E8F"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68B98374"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Indicate by check mark if the registrant is not r</w:t>
      </w:r>
      <w:r>
        <w:rPr>
          <w:rFonts w:ascii="Arial" w:hAnsi="Arial" w:cs="Arial"/>
          <w:sz w:val="20"/>
          <w:szCs w:val="20"/>
        </w:rPr>
        <w:t xml:space="preserve">equired to file reports pursuant to Section 13 or Section 15(d) of the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2FF4D920"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5F3A6E40"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during the p</w:t>
      </w:r>
      <w:r>
        <w:rPr>
          <w:rFonts w:ascii="Arial" w:hAnsi="Arial" w:cs="Arial"/>
          <w:sz w:val="20"/>
          <w:szCs w:val="20"/>
        </w:rPr>
        <w:t xml:space="preserve">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5FA46DFB"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421C2321"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Indicate by check mark whether the registrant has submitted elect</w:t>
      </w:r>
      <w:r>
        <w:rPr>
          <w:rFonts w:ascii="Arial" w:hAnsi="Arial" w:cs="Arial"/>
          <w:sz w:val="20"/>
          <w:szCs w:val="20"/>
        </w:rPr>
        <w:t xml:space="preserve">ronically every Interactive Data File required to be submitted pursuant to Rule 405 of Regulation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4C7C86DF"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604F09B4"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Indicate by check mark if disclosure of delinquent filers pursuant to Item 405 of Regulation S-K (§229.405 of this chapter) is not contained herein, and will not be contained, to the best of registrant’s knowledge, in definitive proxy or information state</w:t>
      </w:r>
      <w:r>
        <w:rPr>
          <w:rFonts w:ascii="Arial" w:hAnsi="Arial" w:cs="Arial"/>
          <w:sz w:val="20"/>
          <w:szCs w:val="20"/>
        </w:rPr>
        <w:t xml:space="preserve">ments incorporated by reference in Part III of this Form 10-K or any amendment to this Form 10-K. </w:t>
      </w:r>
      <w:r>
        <w:rPr>
          <w:rFonts w:ascii="Segoe UI Symbol" w:hAnsi="Segoe UI Symbol" w:cs="Segoe UI Symbol"/>
          <w:sz w:val="20"/>
          <w:szCs w:val="20"/>
        </w:rPr>
        <w:t>☒</w:t>
      </w:r>
    </w:p>
    <w:p w14:paraId="53341F6C"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11A654B1" w14:textId="77777777" w:rsidR="00000000" w:rsidRDefault="004206B0">
      <w:pPr>
        <w:jc w:val="center"/>
        <w:divId w:val="1965232749"/>
        <w:rPr>
          <w:rFonts w:eastAsia="Times New Roman"/>
          <w:sz w:val="20"/>
          <w:szCs w:val="20"/>
        </w:rPr>
      </w:pPr>
      <w:r>
        <w:rPr>
          <w:rFonts w:eastAsia="Times New Roman"/>
          <w:sz w:val="20"/>
          <w:szCs w:val="20"/>
        </w:rPr>
        <w:t xml:space="preserve">  </w:t>
      </w:r>
    </w:p>
    <w:p w14:paraId="350BD7B4" w14:textId="77777777" w:rsidR="00000000" w:rsidRDefault="004206B0">
      <w:pPr>
        <w:divId w:val="695162063"/>
        <w:rPr>
          <w:rFonts w:eastAsia="Times New Roman"/>
          <w:sz w:val="20"/>
          <w:szCs w:val="20"/>
        </w:rPr>
      </w:pPr>
      <w:r>
        <w:rPr>
          <w:rFonts w:eastAsia="Times New Roman"/>
          <w:sz w:val="20"/>
          <w:szCs w:val="20"/>
        </w:rPr>
        <w:pict w14:anchorId="243E1A41">
          <v:rect id="_x0000_i1033" style="width:415.3pt;height:1.5pt" o:hralign="center" o:hrstd="t" o:hrnoshade="t" o:hr="t" fillcolor="black" stroked="f"/>
        </w:pict>
      </w:r>
    </w:p>
    <w:p w14:paraId="225EE038" w14:textId="77777777" w:rsidR="00000000" w:rsidRDefault="004206B0">
      <w:pPr>
        <w:divId w:val="345448141"/>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2CCC974A" w14:textId="77777777" w:rsidR="00000000" w:rsidRDefault="004206B0">
      <w:pPr>
        <w:pStyle w:val="a3"/>
        <w:spacing w:before="0" w:beforeAutospacing="0" w:after="0" w:afterAutospacing="0"/>
        <w:divId w:val="1686667073"/>
        <w:rPr>
          <w:sz w:val="20"/>
          <w:szCs w:val="20"/>
        </w:rPr>
      </w:pPr>
      <w:r>
        <w:rPr>
          <w:sz w:val="20"/>
          <w:szCs w:val="20"/>
        </w:rPr>
        <w:t> </w:t>
      </w:r>
    </w:p>
    <w:p w14:paraId="3FD4CEA5"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Indicate by check mark whether the registrant is a large accelerated filer, an accelerated filer, a non-accelerated filer, smaller reporting company, or an emerging growth company. See the definitions of “large accelerated filer,” “accelerated filer,” “sma</w:t>
      </w:r>
      <w:r>
        <w:rPr>
          <w:rFonts w:ascii="Arial" w:hAnsi="Arial" w:cs="Arial"/>
          <w:sz w:val="20"/>
          <w:szCs w:val="20"/>
        </w:rPr>
        <w:t>ller reporting company” and “emerging growth company” in Rule 12b-2 of the Exchange Act.</w:t>
      </w:r>
    </w:p>
    <w:p w14:paraId="620864D5"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7"/>
        <w:gridCol w:w="2907"/>
        <w:gridCol w:w="2492"/>
      </w:tblGrid>
      <w:tr w:rsidR="00000000" w14:paraId="334D7C7F" w14:textId="77777777">
        <w:trPr>
          <w:divId w:val="1686667073"/>
          <w:tblCellSpacing w:w="0" w:type="dxa"/>
        </w:trPr>
        <w:tc>
          <w:tcPr>
            <w:tcW w:w="1750" w:type="pct"/>
            <w:vAlign w:val="center"/>
            <w:hideMark/>
          </w:tcPr>
          <w:p w14:paraId="771137DC" w14:textId="77777777" w:rsidR="00000000" w:rsidRDefault="004206B0">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p>
        </w:tc>
        <w:tc>
          <w:tcPr>
            <w:tcW w:w="1750" w:type="pct"/>
            <w:vAlign w:val="center"/>
            <w:hideMark/>
          </w:tcPr>
          <w:p w14:paraId="6A98F61E" w14:textId="77777777" w:rsidR="00000000" w:rsidRDefault="004206B0">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500" w:type="pct"/>
            <w:vAlign w:val="center"/>
            <w:hideMark/>
          </w:tcPr>
          <w:p w14:paraId="0926DF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D910F75" w14:textId="77777777">
        <w:trPr>
          <w:divId w:val="1686667073"/>
          <w:tblCellSpacing w:w="0" w:type="dxa"/>
        </w:trPr>
        <w:tc>
          <w:tcPr>
            <w:tcW w:w="1750" w:type="pct"/>
            <w:vAlign w:val="center"/>
            <w:hideMark/>
          </w:tcPr>
          <w:p w14:paraId="3EADED3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750" w:type="pct"/>
            <w:vAlign w:val="center"/>
            <w:hideMark/>
          </w:tcPr>
          <w:p w14:paraId="3172A2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500" w:type="pct"/>
            <w:vAlign w:val="center"/>
            <w:hideMark/>
          </w:tcPr>
          <w:p w14:paraId="15DBD5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30817AF" w14:textId="77777777">
        <w:trPr>
          <w:divId w:val="1686667073"/>
          <w:tblCellSpacing w:w="0" w:type="dxa"/>
        </w:trPr>
        <w:tc>
          <w:tcPr>
            <w:tcW w:w="1750" w:type="pct"/>
            <w:vAlign w:val="center"/>
            <w:hideMark/>
          </w:tcPr>
          <w:p w14:paraId="310AC41C" w14:textId="77777777" w:rsidR="00000000" w:rsidRDefault="004206B0">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1750" w:type="pct"/>
            <w:vAlign w:val="center"/>
            <w:hideMark/>
          </w:tcPr>
          <w:p w14:paraId="05124064" w14:textId="77777777" w:rsidR="00000000" w:rsidRDefault="004206B0">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1500" w:type="pct"/>
            <w:vAlign w:val="center"/>
            <w:hideMark/>
          </w:tcPr>
          <w:p w14:paraId="283CE41E" w14:textId="77777777" w:rsidR="00000000" w:rsidRDefault="004206B0">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14:paraId="288164AD"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06FFFAFF"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254CBA51"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0B947950"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I</w:t>
      </w:r>
      <w:r>
        <w:rPr>
          <w:rFonts w:ascii="Arial" w:hAnsi="Arial" w:cs="Arial"/>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rFonts w:ascii="Arial" w:hAnsi="Arial" w:cs="Arial"/>
          <w:sz w:val="20"/>
          <w:szCs w:val="20"/>
        </w:rPr>
        <w:t xml:space="preserve">e registered public accounting firm that prepared or issued its audit report. </w:t>
      </w:r>
      <w:r>
        <w:rPr>
          <w:rFonts w:ascii="Segoe UI Symbol" w:hAnsi="Segoe UI Symbol" w:cs="Segoe UI Symbol"/>
          <w:sz w:val="20"/>
          <w:szCs w:val="20"/>
        </w:rPr>
        <w:t>☒</w:t>
      </w:r>
    </w:p>
    <w:p w14:paraId="59FEBB44"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1C630B4D"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If securities are registered pursuant to Section 12(b) of the Act, indicate by check mark whether the financial statements of the registrant included in the filing reflect th</w:t>
      </w:r>
      <w:r>
        <w:rPr>
          <w:rFonts w:ascii="Arial" w:hAnsi="Arial" w:cs="Arial"/>
          <w:sz w:val="20"/>
          <w:szCs w:val="20"/>
        </w:rPr>
        <w:t xml:space="preserve">e correction of an error to previously issued financial statements. </w:t>
      </w:r>
      <w:r>
        <w:rPr>
          <w:rFonts w:ascii="Segoe UI Symbol" w:hAnsi="Segoe UI Symbol" w:cs="Segoe UI Symbol"/>
          <w:sz w:val="20"/>
          <w:szCs w:val="20"/>
        </w:rPr>
        <w:t>☐</w:t>
      </w:r>
    </w:p>
    <w:p w14:paraId="1EB55C85"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2EAB2219"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Indicate by check mark whether any of those error corrections are restatements that required a recovery analysis of incentive-based compensation received by any of the registrant's exe</w:t>
      </w:r>
      <w:r>
        <w:rPr>
          <w:rFonts w:ascii="Arial" w:hAnsi="Arial" w:cs="Arial"/>
          <w:sz w:val="20"/>
          <w:szCs w:val="20"/>
        </w:rPr>
        <w:t xml:space="preserve">cutive officers during the relevant recovery period pursuant to § 240.10D-1(b). </w:t>
      </w:r>
      <w:r>
        <w:rPr>
          <w:rFonts w:ascii="Segoe UI Symbol" w:hAnsi="Segoe UI Symbol" w:cs="Segoe UI Symbol"/>
          <w:sz w:val="20"/>
          <w:szCs w:val="20"/>
        </w:rPr>
        <w:t>☐</w:t>
      </w:r>
    </w:p>
    <w:p w14:paraId="7647F35E"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415058A1"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4264FF84"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37AB3B6D"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xml:space="preserve">As of June 30, 2022, the aggregate market value of the shares held by non-affiliates was approximately $1,661,516,216. The calculation of the number of shares held by non-affiliates </w:t>
      </w:r>
      <w:r>
        <w:rPr>
          <w:rFonts w:ascii="Arial" w:hAnsi="Arial" w:cs="Arial"/>
          <w:sz w:val="20"/>
          <w:szCs w:val="20"/>
        </w:rPr>
        <w:lastRenderedPageBreak/>
        <w:t>assumes that all shares held by funds or accounts for which BlackRock or i</w:t>
      </w:r>
      <w:r>
        <w:rPr>
          <w:rFonts w:ascii="Arial" w:hAnsi="Arial" w:cs="Arial"/>
          <w:sz w:val="20"/>
          <w:szCs w:val="20"/>
        </w:rPr>
        <w:t>ts affiliates provides management or advisory services (whether discretionary or non-discretionary) are shares held by affiliates.</w:t>
      </w:r>
    </w:p>
    <w:p w14:paraId="3F13A196"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6F2ABAED"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As of January 31, 2023, the Registrant had 57,200,000 Shares outstanding.</w:t>
      </w:r>
    </w:p>
    <w:p w14:paraId="55520238"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462BFC61"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207DED82" w14:textId="77777777" w:rsidR="00000000" w:rsidRDefault="004206B0">
      <w:pPr>
        <w:pStyle w:val="a3"/>
        <w:spacing w:before="0" w:beforeAutospacing="0" w:after="0" w:afterAutospacing="0"/>
        <w:jc w:val="center"/>
        <w:divId w:val="1686667073"/>
        <w:rPr>
          <w:rFonts w:ascii="Arial" w:hAnsi="Arial" w:cs="Arial"/>
          <w:sz w:val="20"/>
          <w:szCs w:val="20"/>
        </w:rPr>
      </w:pPr>
      <w:r>
        <w:rPr>
          <w:rFonts w:ascii="Arial" w:hAnsi="Arial" w:cs="Arial"/>
          <w:b/>
          <w:bCs/>
          <w:sz w:val="20"/>
          <w:szCs w:val="20"/>
        </w:rPr>
        <w:t>DOCUMENTS INCORPORATED BY REFERENCE: None.</w:t>
      </w:r>
    </w:p>
    <w:p w14:paraId="1A0D46A8"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0A5C57E0"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THE FINANCIAL STATEMENT SCHEDULES CONTAINED IN PART IV OF THIS FORM 10-K CONSTITUTE THE ANNUAL REPORT WITH RESPECT TO THE TRUST FOR PURPOSES OF CFTC RULE 4.22(C) (THE “CFTC ANNUAL REPORT”).</w:t>
      </w:r>
    </w:p>
    <w:p w14:paraId="13A3F2BC"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13A3DF48" w14:textId="77777777" w:rsidR="00000000" w:rsidRDefault="004206B0">
      <w:pPr>
        <w:spacing w:before="60" w:after="60"/>
        <w:divId w:val="1686667073"/>
        <w:rPr>
          <w:rFonts w:eastAsia="Times New Roman"/>
          <w:sz w:val="20"/>
          <w:szCs w:val="20"/>
        </w:rPr>
      </w:pPr>
      <w:r>
        <w:rPr>
          <w:rFonts w:eastAsia="Times New Roman"/>
          <w:sz w:val="20"/>
          <w:szCs w:val="20"/>
        </w:rPr>
        <w:pict w14:anchorId="7D81FCA3">
          <v:rect id="_x0000_i1034" style="width:415.3pt;height:.75pt" o:hralign="center" o:hrstd="t" o:hrnoshade="t" o:hr="t" fillcolor="black" stroked="f"/>
        </w:pict>
      </w:r>
    </w:p>
    <w:p w14:paraId="10B97D7D" w14:textId="77777777" w:rsidR="00000000" w:rsidRDefault="004206B0">
      <w:pPr>
        <w:spacing w:after="60"/>
        <w:divId w:val="1686667073"/>
        <w:rPr>
          <w:rFonts w:eastAsia="Times New Roman"/>
          <w:sz w:val="20"/>
          <w:szCs w:val="20"/>
        </w:rPr>
      </w:pPr>
      <w:r>
        <w:rPr>
          <w:rFonts w:eastAsia="Times New Roman"/>
          <w:sz w:val="20"/>
          <w:szCs w:val="20"/>
        </w:rPr>
        <w:pict w14:anchorId="7EC5EEEC">
          <v:rect id="_x0000_i1035" style="width:415.3pt;height:2.25pt" o:hralign="center" o:hrstd="t" o:hrnoshade="t" o:hr="t" fillcolor="black" stroked="f"/>
        </w:pict>
      </w:r>
    </w:p>
    <w:p w14:paraId="370FDDF5" w14:textId="77777777" w:rsidR="00000000" w:rsidRDefault="004206B0">
      <w:pPr>
        <w:pStyle w:val="a3"/>
        <w:spacing w:before="0" w:beforeAutospacing="0" w:after="0" w:afterAutospacing="0"/>
        <w:divId w:val="1686667073"/>
        <w:rPr>
          <w:rFonts w:ascii="Arial" w:hAnsi="Arial" w:cs="Arial"/>
          <w:sz w:val="20"/>
          <w:szCs w:val="20"/>
        </w:rPr>
      </w:pPr>
      <w:r>
        <w:rPr>
          <w:rFonts w:ascii="Arial" w:hAnsi="Arial" w:cs="Arial"/>
          <w:sz w:val="20"/>
          <w:szCs w:val="20"/>
        </w:rPr>
        <w:t> </w:t>
      </w:r>
    </w:p>
    <w:p w14:paraId="76C2C6A9" w14:textId="77777777" w:rsidR="00000000" w:rsidRDefault="004206B0">
      <w:pPr>
        <w:jc w:val="center"/>
        <w:divId w:val="1577737993"/>
        <w:rPr>
          <w:rFonts w:eastAsia="Times New Roman"/>
          <w:sz w:val="20"/>
          <w:szCs w:val="20"/>
        </w:rPr>
      </w:pPr>
      <w:r>
        <w:rPr>
          <w:rFonts w:eastAsia="Times New Roman"/>
          <w:sz w:val="20"/>
          <w:szCs w:val="20"/>
        </w:rPr>
        <w:t xml:space="preserve">  </w:t>
      </w:r>
    </w:p>
    <w:p w14:paraId="294C2640" w14:textId="77777777" w:rsidR="00000000" w:rsidRDefault="004206B0">
      <w:pPr>
        <w:divId w:val="1264875294"/>
        <w:rPr>
          <w:rFonts w:eastAsia="Times New Roman"/>
          <w:sz w:val="20"/>
          <w:szCs w:val="20"/>
        </w:rPr>
      </w:pPr>
      <w:r>
        <w:rPr>
          <w:rFonts w:eastAsia="Times New Roman"/>
          <w:sz w:val="20"/>
          <w:szCs w:val="20"/>
        </w:rPr>
        <w:pict w14:anchorId="0A6BE1BA">
          <v:rect id="_x0000_i1036" style="width:415.3pt;height:1.5pt" o:hralign="center" o:hrstd="t" o:hrnoshade="t" o:hr="t" fillcolor="black" stroked="f"/>
        </w:pict>
      </w:r>
    </w:p>
    <w:p w14:paraId="69642B9B" w14:textId="77777777" w:rsidR="00000000" w:rsidRDefault="004206B0">
      <w:pPr>
        <w:divId w:val="867566671"/>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42E9C8A7" w14:textId="77777777" w:rsidR="00000000" w:rsidRDefault="004206B0">
      <w:pPr>
        <w:pStyle w:val="a3"/>
        <w:spacing w:before="0" w:beforeAutospacing="0" w:after="0" w:afterAutospacing="0"/>
        <w:divId w:val="1686667073"/>
        <w:rPr>
          <w:sz w:val="20"/>
          <w:szCs w:val="20"/>
        </w:rPr>
      </w:pPr>
      <w:r>
        <w:rPr>
          <w:sz w:val="20"/>
          <w:szCs w:val="20"/>
        </w:rPr>
        <w:t> </w:t>
      </w:r>
    </w:p>
    <w:p w14:paraId="1DC3855D"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Cautionary Note Regarding Forward-Looking Statements</w:t>
      </w:r>
    </w:p>
    <w:p w14:paraId="70DFFA5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B93558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This Annual Report on Form 10-K includes statements which relate to future events or future performance. In some cases, you can identify such forward</w:t>
      </w:r>
      <w:r>
        <w:rPr>
          <w:rFonts w:ascii="Arial" w:hAnsi="Arial" w:cs="Arial"/>
          <w:sz w:val="20"/>
          <w:szCs w:val="20"/>
        </w:rPr>
        <w:noBreakHyphen/>
        <w:t>looking statements by terminology such as “may,” “should,” “could,” “expect,” “plan,” “anticipate,” “belie</w:t>
      </w:r>
      <w:r>
        <w:rPr>
          <w:rFonts w:ascii="Arial" w:hAnsi="Arial" w:cs="Arial"/>
          <w:sz w:val="20"/>
          <w:szCs w:val="20"/>
        </w:rPr>
        <w:t xml:space="preserve">ve,” “estimate,” “predict,” “potential” or the negative of these terms or other comparable terminology. All statements (other than statements of historical fact) included in this report that address activities, events or developments that may occur in the </w:t>
      </w:r>
      <w:r>
        <w:rPr>
          <w:rFonts w:ascii="Arial" w:hAnsi="Arial" w:cs="Arial"/>
          <w:sz w:val="20"/>
          <w:szCs w:val="20"/>
        </w:rPr>
        <w:t xml:space="preserve">future, including such matters as changes in commodity prices and market conditions (for the assets and the Shares), the operations of iShares S&amp;P GSCI Commodity-Indexed Trust (the “Trust”), the plans of iShares Delaware Trust Sponsor LLC (the “Sponsor”), </w:t>
      </w:r>
      <w:r>
        <w:rPr>
          <w:rFonts w:ascii="Arial" w:hAnsi="Arial" w:cs="Arial"/>
          <w:sz w:val="20"/>
          <w:szCs w:val="20"/>
        </w:rPr>
        <w:t>the sponsor of the Trust, and references to the Trust’s future success and other similar matters are forward-looking statements. These statements are only predictions. Actual events or results may differ materially. These statements are based upon assumpti</w:t>
      </w:r>
      <w:r>
        <w:rPr>
          <w:rFonts w:ascii="Arial" w:hAnsi="Arial" w:cs="Arial"/>
          <w:sz w:val="20"/>
          <w:szCs w:val="20"/>
        </w:rPr>
        <w:t>ons and analyses made by the Sponsor on the basis of its perception of historical trends, current conditions and expected future developments, as well as other factors it believes are appropriate in the circumstances. Whether or not actual results and deve</w:t>
      </w:r>
      <w:r>
        <w:rPr>
          <w:rFonts w:ascii="Arial" w:hAnsi="Arial" w:cs="Arial"/>
          <w:sz w:val="20"/>
          <w:szCs w:val="20"/>
        </w:rPr>
        <w:t>lopments will conform to the Sponsor’s expectations and predictions, however, is subject to a number of risks and uncertainties, including the special considerations referenced in this report, general economic, market and business conditions, changes in la</w:t>
      </w:r>
      <w:r>
        <w:rPr>
          <w:rFonts w:ascii="Arial" w:hAnsi="Arial" w:cs="Arial"/>
          <w:sz w:val="20"/>
          <w:szCs w:val="20"/>
        </w:rPr>
        <w:t>ws or regulations, including those concerning taxes, made by governmental authorities or regulatory bodies and other world economic and political developments. Consequently, the forward-looking statements made in this report are qualified by these cautiona</w:t>
      </w:r>
      <w:r>
        <w:rPr>
          <w:rFonts w:ascii="Arial" w:hAnsi="Arial" w:cs="Arial"/>
          <w:sz w:val="20"/>
          <w:szCs w:val="20"/>
        </w:rPr>
        <w:t>ry statements, and there can be no assurance that the actual results or developments the Sponsor anticipates will be realized or, even if substantially realized, will result in the expected consequences to, or have the expected effects on, the Trust’s oper</w:t>
      </w:r>
      <w:r>
        <w:rPr>
          <w:rFonts w:ascii="Arial" w:hAnsi="Arial" w:cs="Arial"/>
          <w:sz w:val="20"/>
          <w:szCs w:val="20"/>
        </w:rPr>
        <w:t>ations or the value of the shares issued by the Trust. Moreover, none of the Sponsor, the Trustee, the Delaware Trustee, the Advisor or their respective affiliates assumes responsibility for the accuracy or completeness of any forward-looking statements. E</w:t>
      </w:r>
      <w:r>
        <w:rPr>
          <w:rFonts w:ascii="Arial" w:hAnsi="Arial" w:cs="Arial"/>
          <w:sz w:val="20"/>
          <w:szCs w:val="20"/>
        </w:rPr>
        <w:t>xcept as required under Item 512 of Regulation S-K or other applicable disclosure laws, none of the Trust, the Sponsor, the Trustee, the Delaware Trustee, the Advisor or their respective affiliates is under any duty to update any forward-looking statements</w:t>
      </w:r>
      <w:r>
        <w:rPr>
          <w:rFonts w:ascii="Arial" w:hAnsi="Arial" w:cs="Arial"/>
          <w:sz w:val="20"/>
          <w:szCs w:val="20"/>
        </w:rPr>
        <w:t xml:space="preserve"> to conform the statements to actual results or to a change in the expectations or predictions of these persons.</w:t>
      </w:r>
    </w:p>
    <w:p w14:paraId="3E454DB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3C29935" w14:textId="77777777" w:rsidR="00000000" w:rsidRDefault="004206B0">
      <w:pPr>
        <w:jc w:val="center"/>
        <w:divId w:val="256987225"/>
        <w:rPr>
          <w:rFonts w:eastAsia="Times New Roman"/>
          <w:sz w:val="20"/>
          <w:szCs w:val="20"/>
        </w:rPr>
      </w:pPr>
      <w:r>
        <w:rPr>
          <w:rFonts w:eastAsia="Times New Roman"/>
          <w:sz w:val="20"/>
          <w:szCs w:val="20"/>
        </w:rPr>
        <w:t xml:space="preserve">  </w:t>
      </w:r>
    </w:p>
    <w:p w14:paraId="5B7C3D2D" w14:textId="77777777" w:rsidR="00000000" w:rsidRDefault="004206B0">
      <w:pPr>
        <w:divId w:val="538013512"/>
        <w:rPr>
          <w:rFonts w:eastAsia="Times New Roman"/>
          <w:sz w:val="20"/>
          <w:szCs w:val="20"/>
        </w:rPr>
      </w:pPr>
      <w:r>
        <w:rPr>
          <w:rFonts w:eastAsia="Times New Roman"/>
          <w:sz w:val="20"/>
          <w:szCs w:val="20"/>
        </w:rPr>
        <w:pict w14:anchorId="67BF5823">
          <v:rect id="_x0000_i1037" style="width:415.3pt;height:1.5pt" o:hralign="center" o:hrstd="t" o:hrnoshade="t" o:hr="t" fillcolor="black" stroked="f"/>
        </w:pict>
      </w:r>
    </w:p>
    <w:p w14:paraId="4843C6A8" w14:textId="77777777" w:rsidR="00000000" w:rsidRDefault="004206B0">
      <w:pPr>
        <w:divId w:val="589195492"/>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6B28F6AB" w14:textId="77777777" w:rsidR="00000000" w:rsidRDefault="004206B0">
      <w:pPr>
        <w:pStyle w:val="a3"/>
        <w:spacing w:before="0" w:beforeAutospacing="0" w:after="0" w:afterAutospacing="0"/>
        <w:rPr>
          <w:sz w:val="20"/>
          <w:szCs w:val="20"/>
        </w:rPr>
      </w:pPr>
      <w:r>
        <w:rPr>
          <w:sz w:val="20"/>
          <w:szCs w:val="20"/>
        </w:rPr>
        <w:t> </w:t>
      </w:r>
    </w:p>
    <w:p w14:paraId="1D8BDD95" w14:textId="77777777" w:rsidR="00000000" w:rsidRDefault="004206B0">
      <w:pPr>
        <w:divId w:val="1314020573"/>
        <w:rPr>
          <w:rFonts w:eastAsia="Times New Roman"/>
          <w:sz w:val="20"/>
          <w:szCs w:val="20"/>
        </w:rPr>
      </w:pPr>
      <w:r>
        <w:rPr>
          <w:rFonts w:eastAsia="Times New Roman"/>
          <w:sz w:val="20"/>
          <w:szCs w:val="20"/>
        </w:rPr>
        <w:t xml:space="preserve">  </w:t>
      </w:r>
    </w:p>
    <w:p w14:paraId="19C0607E" w14:textId="77777777" w:rsidR="00000000" w:rsidRDefault="004206B0">
      <w:pPr>
        <w:pStyle w:val="a3"/>
        <w:spacing w:before="0" w:beforeAutospacing="0" w:after="0" w:afterAutospacing="0"/>
        <w:jc w:val="center"/>
        <w:divId w:val="1538733140"/>
        <w:rPr>
          <w:rFonts w:ascii="Arial" w:hAnsi="Arial" w:cs="Arial"/>
          <w:sz w:val="20"/>
          <w:szCs w:val="20"/>
        </w:rPr>
      </w:pPr>
      <w:r>
        <w:rPr>
          <w:rFonts w:ascii="Arial" w:hAnsi="Arial" w:cs="Arial"/>
          <w:b/>
          <w:bCs/>
          <w:sz w:val="20"/>
          <w:szCs w:val="20"/>
        </w:rPr>
        <w:lastRenderedPageBreak/>
        <w:t>Table of Contents</w:t>
      </w:r>
    </w:p>
    <w:p w14:paraId="04428091" w14:textId="77777777" w:rsidR="00000000" w:rsidRDefault="004206B0">
      <w:pPr>
        <w:pStyle w:val="a3"/>
        <w:spacing w:before="0" w:beforeAutospacing="0" w:after="0" w:afterAutospacing="0"/>
        <w:divId w:val="153873314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14:paraId="08A1D0AB" w14:textId="77777777">
        <w:trPr>
          <w:divId w:val="1538733140"/>
          <w:tblCellSpacing w:w="0" w:type="dxa"/>
        </w:trPr>
        <w:tc>
          <w:tcPr>
            <w:tcW w:w="450" w:type="pct"/>
            <w:hideMark/>
          </w:tcPr>
          <w:p w14:paraId="064AF66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4DB519E"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350" w:type="pct"/>
            <w:hideMark/>
          </w:tcPr>
          <w:p w14:paraId="6CD6D477" w14:textId="77777777" w:rsidR="00000000" w:rsidRDefault="004206B0">
            <w:pPr>
              <w:pStyle w:val="a3"/>
              <w:spacing w:before="0" w:beforeAutospacing="0" w:after="0" w:afterAutospacing="0"/>
              <w:jc w:val="right"/>
              <w:rPr>
                <w:rFonts w:ascii="Arial" w:hAnsi="Arial" w:cs="Arial"/>
                <w:sz w:val="20"/>
                <w:szCs w:val="20"/>
              </w:rPr>
            </w:pPr>
            <w:r>
              <w:rPr>
                <w:rFonts w:ascii="Arial" w:hAnsi="Arial" w:cs="Arial"/>
                <w:sz w:val="20"/>
                <w:szCs w:val="20"/>
                <w:u w:val="single"/>
              </w:rPr>
              <w:t>Page</w:t>
            </w:r>
          </w:p>
        </w:tc>
      </w:tr>
      <w:tr w:rsidR="00000000" w14:paraId="1768AD8E" w14:textId="77777777">
        <w:trPr>
          <w:divId w:val="1538733140"/>
          <w:tblCellSpacing w:w="0" w:type="dxa"/>
        </w:trPr>
        <w:tc>
          <w:tcPr>
            <w:tcW w:w="450" w:type="pct"/>
            <w:hideMark/>
          </w:tcPr>
          <w:p w14:paraId="42CEF847" w14:textId="77777777" w:rsidR="00000000" w:rsidRDefault="004206B0">
            <w:pPr>
              <w:pStyle w:val="a3"/>
              <w:spacing w:before="0" w:beforeAutospacing="0" w:after="0" w:afterAutospacing="0"/>
              <w:rPr>
                <w:rFonts w:ascii="Arial" w:hAnsi="Arial" w:cs="Arial"/>
                <w:sz w:val="20"/>
                <w:szCs w:val="20"/>
              </w:rPr>
            </w:pPr>
            <w:hyperlink w:anchor="p1" w:history="1">
              <w:r>
                <w:rPr>
                  <w:rStyle w:val="a4"/>
                  <w:rFonts w:ascii="Arial" w:hAnsi="Arial" w:cs="Arial"/>
                  <w:sz w:val="20"/>
                  <w:szCs w:val="20"/>
                </w:rPr>
                <w:t>PART I</w:t>
              </w:r>
            </w:hyperlink>
          </w:p>
        </w:tc>
        <w:tc>
          <w:tcPr>
            <w:tcW w:w="4200" w:type="pct"/>
            <w:hideMark/>
          </w:tcPr>
          <w:p w14:paraId="1917929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385E5E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78B7EBB" w14:textId="77777777">
        <w:trPr>
          <w:divId w:val="1538733140"/>
          <w:tblCellSpacing w:w="0" w:type="dxa"/>
        </w:trPr>
        <w:tc>
          <w:tcPr>
            <w:tcW w:w="450" w:type="pct"/>
            <w:hideMark/>
          </w:tcPr>
          <w:p w14:paraId="25D6DF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F4727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7CFBC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954EEC5" w14:textId="77777777">
        <w:trPr>
          <w:divId w:val="1538733140"/>
          <w:tblCellSpacing w:w="0" w:type="dxa"/>
        </w:trPr>
        <w:tc>
          <w:tcPr>
            <w:tcW w:w="450" w:type="pct"/>
            <w:hideMark/>
          </w:tcPr>
          <w:p w14:paraId="6D89BFD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14:paraId="5891C198" w14:textId="77777777" w:rsidR="00000000" w:rsidRDefault="004206B0">
            <w:pPr>
              <w:pStyle w:val="a3"/>
              <w:spacing w:before="0" w:beforeAutospacing="0" w:after="0" w:afterAutospacing="0"/>
              <w:rPr>
                <w:rFonts w:ascii="Arial" w:hAnsi="Arial" w:cs="Arial"/>
                <w:sz w:val="20"/>
                <w:szCs w:val="20"/>
              </w:rPr>
            </w:pPr>
            <w:hyperlink w:anchor="business" w:history="1">
              <w:r>
                <w:rPr>
                  <w:rStyle w:val="a4"/>
                  <w:rFonts w:ascii="Arial" w:hAnsi="Arial" w:cs="Arial"/>
                  <w:sz w:val="20"/>
                  <w:szCs w:val="20"/>
                </w:rPr>
                <w:t>Business</w:t>
              </w:r>
            </w:hyperlink>
          </w:p>
        </w:tc>
        <w:tc>
          <w:tcPr>
            <w:tcW w:w="350" w:type="pct"/>
            <w:hideMark/>
          </w:tcPr>
          <w:p w14:paraId="6ABCD56F" w14:textId="77777777" w:rsidR="00000000" w:rsidRDefault="004206B0">
            <w:pPr>
              <w:pStyle w:val="a3"/>
              <w:spacing w:before="0" w:beforeAutospacing="0" w:after="0" w:afterAutospacing="0"/>
              <w:jc w:val="right"/>
              <w:rPr>
                <w:rFonts w:ascii="Arial" w:hAnsi="Arial" w:cs="Arial"/>
                <w:sz w:val="20"/>
                <w:szCs w:val="20"/>
              </w:rPr>
            </w:pPr>
            <w:hyperlink w:anchor="business" w:history="1">
              <w:r>
                <w:rPr>
                  <w:rStyle w:val="a4"/>
                  <w:rFonts w:ascii="Arial" w:hAnsi="Arial" w:cs="Arial"/>
                  <w:sz w:val="20"/>
                  <w:szCs w:val="20"/>
                </w:rPr>
                <w:t>1</w:t>
              </w:r>
            </w:hyperlink>
          </w:p>
        </w:tc>
      </w:tr>
      <w:tr w:rsidR="00000000" w14:paraId="037E77B4" w14:textId="77777777">
        <w:trPr>
          <w:divId w:val="1538733140"/>
          <w:tblCellSpacing w:w="0" w:type="dxa"/>
        </w:trPr>
        <w:tc>
          <w:tcPr>
            <w:tcW w:w="450" w:type="pct"/>
            <w:hideMark/>
          </w:tcPr>
          <w:p w14:paraId="7A58E78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FB769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A49FD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47EDEBC" w14:textId="77777777">
        <w:trPr>
          <w:divId w:val="1538733140"/>
          <w:tblCellSpacing w:w="0" w:type="dxa"/>
        </w:trPr>
        <w:tc>
          <w:tcPr>
            <w:tcW w:w="450" w:type="pct"/>
            <w:hideMark/>
          </w:tcPr>
          <w:p w14:paraId="25C2F80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4200" w:type="pct"/>
            <w:hideMark/>
          </w:tcPr>
          <w:p w14:paraId="43B2E563" w14:textId="77777777" w:rsidR="00000000" w:rsidRDefault="004206B0">
            <w:pPr>
              <w:pStyle w:val="a3"/>
              <w:spacing w:before="0" w:beforeAutospacing="0" w:after="0" w:afterAutospacing="0"/>
              <w:rPr>
                <w:rFonts w:ascii="Arial" w:hAnsi="Arial" w:cs="Arial"/>
                <w:sz w:val="20"/>
                <w:szCs w:val="20"/>
              </w:rPr>
            </w:pPr>
            <w:hyperlink w:anchor="risk" w:history="1">
              <w:r>
                <w:rPr>
                  <w:rStyle w:val="a4"/>
                  <w:rFonts w:ascii="Arial" w:hAnsi="Arial" w:cs="Arial"/>
                  <w:sz w:val="20"/>
                  <w:szCs w:val="20"/>
                </w:rPr>
                <w:t>Risk Factors</w:t>
              </w:r>
            </w:hyperlink>
          </w:p>
        </w:tc>
        <w:tc>
          <w:tcPr>
            <w:tcW w:w="350" w:type="pct"/>
            <w:hideMark/>
          </w:tcPr>
          <w:p w14:paraId="4116D890" w14:textId="77777777" w:rsidR="00000000" w:rsidRDefault="004206B0">
            <w:pPr>
              <w:pStyle w:val="a3"/>
              <w:spacing w:before="0" w:beforeAutospacing="0" w:after="0" w:afterAutospacing="0"/>
              <w:jc w:val="right"/>
              <w:rPr>
                <w:rFonts w:ascii="Arial" w:hAnsi="Arial" w:cs="Arial"/>
                <w:sz w:val="20"/>
                <w:szCs w:val="20"/>
              </w:rPr>
            </w:pPr>
            <w:hyperlink w:anchor="risk" w:history="1">
              <w:r>
                <w:rPr>
                  <w:rStyle w:val="a4"/>
                  <w:rFonts w:ascii="Arial" w:hAnsi="Arial" w:cs="Arial"/>
                  <w:sz w:val="20"/>
                  <w:szCs w:val="20"/>
                </w:rPr>
                <w:t>12</w:t>
              </w:r>
            </w:hyperlink>
          </w:p>
        </w:tc>
      </w:tr>
      <w:tr w:rsidR="00000000" w14:paraId="6AB49C02" w14:textId="77777777">
        <w:trPr>
          <w:divId w:val="1538733140"/>
          <w:tblCellSpacing w:w="0" w:type="dxa"/>
        </w:trPr>
        <w:tc>
          <w:tcPr>
            <w:tcW w:w="450" w:type="pct"/>
            <w:hideMark/>
          </w:tcPr>
          <w:p w14:paraId="3233A4A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24019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0182E4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C7D0B6B" w14:textId="77777777">
        <w:trPr>
          <w:divId w:val="1538733140"/>
          <w:tblCellSpacing w:w="0" w:type="dxa"/>
        </w:trPr>
        <w:tc>
          <w:tcPr>
            <w:tcW w:w="450" w:type="pct"/>
            <w:hideMark/>
          </w:tcPr>
          <w:p w14:paraId="2DD1E27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1B.</w:t>
            </w:r>
          </w:p>
        </w:tc>
        <w:tc>
          <w:tcPr>
            <w:tcW w:w="4200" w:type="pct"/>
            <w:hideMark/>
          </w:tcPr>
          <w:p w14:paraId="67E93AEE" w14:textId="77777777" w:rsidR="00000000" w:rsidRDefault="004206B0">
            <w:pPr>
              <w:pStyle w:val="a3"/>
              <w:spacing w:before="0" w:beforeAutospacing="0" w:after="0" w:afterAutospacing="0"/>
              <w:rPr>
                <w:rFonts w:ascii="Arial" w:hAnsi="Arial" w:cs="Arial"/>
                <w:sz w:val="20"/>
                <w:szCs w:val="20"/>
              </w:rPr>
            </w:pPr>
            <w:hyperlink w:anchor="unresolved" w:history="1">
              <w:r>
                <w:rPr>
                  <w:rStyle w:val="a4"/>
                  <w:rFonts w:ascii="Arial" w:hAnsi="Arial" w:cs="Arial"/>
                  <w:sz w:val="20"/>
                  <w:szCs w:val="20"/>
                </w:rPr>
                <w:t>Unresolved Staff Comments</w:t>
              </w:r>
            </w:hyperlink>
          </w:p>
        </w:tc>
        <w:tc>
          <w:tcPr>
            <w:tcW w:w="350" w:type="pct"/>
            <w:hideMark/>
          </w:tcPr>
          <w:p w14:paraId="79869E8A" w14:textId="77777777" w:rsidR="00000000" w:rsidRDefault="004206B0">
            <w:pPr>
              <w:pStyle w:val="a3"/>
              <w:spacing w:before="0" w:beforeAutospacing="0" w:after="0" w:afterAutospacing="0"/>
              <w:jc w:val="right"/>
              <w:rPr>
                <w:rFonts w:ascii="Arial" w:hAnsi="Arial" w:cs="Arial"/>
                <w:sz w:val="20"/>
                <w:szCs w:val="20"/>
              </w:rPr>
            </w:pPr>
            <w:hyperlink w:anchor="unresolved" w:history="1">
              <w:r>
                <w:rPr>
                  <w:rStyle w:val="a4"/>
                  <w:rFonts w:ascii="Arial" w:hAnsi="Arial" w:cs="Arial"/>
                  <w:sz w:val="20"/>
                  <w:szCs w:val="20"/>
                </w:rPr>
                <w:t>24</w:t>
              </w:r>
            </w:hyperlink>
          </w:p>
        </w:tc>
      </w:tr>
      <w:tr w:rsidR="00000000" w14:paraId="069C6601" w14:textId="77777777">
        <w:trPr>
          <w:divId w:val="1538733140"/>
          <w:tblCellSpacing w:w="0" w:type="dxa"/>
        </w:trPr>
        <w:tc>
          <w:tcPr>
            <w:tcW w:w="450" w:type="pct"/>
            <w:hideMark/>
          </w:tcPr>
          <w:p w14:paraId="242BE8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437BC9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EEA89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A944C92" w14:textId="77777777">
        <w:trPr>
          <w:divId w:val="1538733140"/>
          <w:tblCellSpacing w:w="0" w:type="dxa"/>
        </w:trPr>
        <w:tc>
          <w:tcPr>
            <w:tcW w:w="450" w:type="pct"/>
            <w:hideMark/>
          </w:tcPr>
          <w:p w14:paraId="3901D6C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14:paraId="16989244" w14:textId="77777777" w:rsidR="00000000" w:rsidRDefault="004206B0">
            <w:pPr>
              <w:pStyle w:val="a3"/>
              <w:spacing w:before="0" w:beforeAutospacing="0" w:after="0" w:afterAutospacing="0"/>
              <w:rPr>
                <w:rFonts w:ascii="Arial" w:hAnsi="Arial" w:cs="Arial"/>
                <w:sz w:val="20"/>
                <w:szCs w:val="20"/>
              </w:rPr>
            </w:pPr>
            <w:hyperlink w:anchor="properties" w:history="1">
              <w:r>
                <w:rPr>
                  <w:rStyle w:val="a4"/>
                  <w:rFonts w:ascii="Arial" w:hAnsi="Arial" w:cs="Arial"/>
                  <w:sz w:val="20"/>
                  <w:szCs w:val="20"/>
                </w:rPr>
                <w:t>Properties</w:t>
              </w:r>
            </w:hyperlink>
          </w:p>
        </w:tc>
        <w:tc>
          <w:tcPr>
            <w:tcW w:w="350" w:type="pct"/>
            <w:hideMark/>
          </w:tcPr>
          <w:p w14:paraId="7630009C" w14:textId="77777777" w:rsidR="00000000" w:rsidRDefault="004206B0">
            <w:pPr>
              <w:pStyle w:val="a3"/>
              <w:spacing w:before="0" w:beforeAutospacing="0" w:after="0" w:afterAutospacing="0"/>
              <w:jc w:val="right"/>
              <w:rPr>
                <w:rFonts w:ascii="Arial" w:hAnsi="Arial" w:cs="Arial"/>
                <w:sz w:val="20"/>
                <w:szCs w:val="20"/>
              </w:rPr>
            </w:pPr>
            <w:hyperlink w:anchor="properties" w:history="1">
              <w:r>
                <w:rPr>
                  <w:rStyle w:val="a4"/>
                  <w:rFonts w:ascii="Arial" w:hAnsi="Arial" w:cs="Arial"/>
                  <w:sz w:val="20"/>
                  <w:szCs w:val="20"/>
                </w:rPr>
                <w:t>24</w:t>
              </w:r>
            </w:hyperlink>
          </w:p>
        </w:tc>
      </w:tr>
      <w:tr w:rsidR="00000000" w14:paraId="1E2D8894" w14:textId="77777777">
        <w:trPr>
          <w:divId w:val="1538733140"/>
          <w:tblCellSpacing w:w="0" w:type="dxa"/>
        </w:trPr>
        <w:tc>
          <w:tcPr>
            <w:tcW w:w="450" w:type="pct"/>
            <w:hideMark/>
          </w:tcPr>
          <w:p w14:paraId="164A46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A6FE46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199390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AA16E29" w14:textId="77777777">
        <w:trPr>
          <w:divId w:val="1538733140"/>
          <w:tblCellSpacing w:w="0" w:type="dxa"/>
        </w:trPr>
        <w:tc>
          <w:tcPr>
            <w:tcW w:w="450" w:type="pct"/>
            <w:hideMark/>
          </w:tcPr>
          <w:p w14:paraId="53DD50B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14:paraId="6C6F1443" w14:textId="77777777" w:rsidR="00000000" w:rsidRDefault="004206B0">
            <w:pPr>
              <w:pStyle w:val="a3"/>
              <w:spacing w:before="0" w:beforeAutospacing="0" w:after="0" w:afterAutospacing="0"/>
              <w:rPr>
                <w:rFonts w:ascii="Arial" w:hAnsi="Arial" w:cs="Arial"/>
                <w:sz w:val="20"/>
                <w:szCs w:val="20"/>
              </w:rPr>
            </w:pPr>
            <w:hyperlink w:anchor="legal" w:history="1">
              <w:r>
                <w:rPr>
                  <w:rStyle w:val="a4"/>
                  <w:rFonts w:ascii="Arial" w:hAnsi="Arial" w:cs="Arial"/>
                  <w:sz w:val="20"/>
                  <w:szCs w:val="20"/>
                </w:rPr>
                <w:t>Legal Proceedings</w:t>
              </w:r>
            </w:hyperlink>
          </w:p>
        </w:tc>
        <w:tc>
          <w:tcPr>
            <w:tcW w:w="350" w:type="pct"/>
            <w:hideMark/>
          </w:tcPr>
          <w:p w14:paraId="7C69319E" w14:textId="77777777" w:rsidR="00000000" w:rsidRDefault="004206B0">
            <w:pPr>
              <w:pStyle w:val="a3"/>
              <w:spacing w:before="0" w:beforeAutospacing="0" w:after="0" w:afterAutospacing="0"/>
              <w:jc w:val="right"/>
              <w:rPr>
                <w:rFonts w:ascii="Arial" w:hAnsi="Arial" w:cs="Arial"/>
                <w:sz w:val="20"/>
                <w:szCs w:val="20"/>
              </w:rPr>
            </w:pPr>
            <w:hyperlink w:anchor="legal" w:history="1">
              <w:r>
                <w:rPr>
                  <w:rStyle w:val="a4"/>
                  <w:rFonts w:ascii="Arial" w:hAnsi="Arial" w:cs="Arial"/>
                  <w:sz w:val="20"/>
                  <w:szCs w:val="20"/>
                </w:rPr>
                <w:t>24</w:t>
              </w:r>
            </w:hyperlink>
          </w:p>
        </w:tc>
      </w:tr>
      <w:tr w:rsidR="00000000" w14:paraId="6DBE055F" w14:textId="77777777">
        <w:trPr>
          <w:divId w:val="1538733140"/>
          <w:tblCellSpacing w:w="0" w:type="dxa"/>
        </w:trPr>
        <w:tc>
          <w:tcPr>
            <w:tcW w:w="450" w:type="pct"/>
            <w:hideMark/>
          </w:tcPr>
          <w:p w14:paraId="4E0C0D2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F61B7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2D558D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FADE3A6" w14:textId="77777777">
        <w:trPr>
          <w:divId w:val="1538733140"/>
          <w:tblCellSpacing w:w="0" w:type="dxa"/>
        </w:trPr>
        <w:tc>
          <w:tcPr>
            <w:tcW w:w="450" w:type="pct"/>
            <w:hideMark/>
          </w:tcPr>
          <w:p w14:paraId="2DE1027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14:paraId="2C28CAA1" w14:textId="77777777" w:rsidR="00000000" w:rsidRDefault="004206B0">
            <w:pPr>
              <w:pStyle w:val="a3"/>
              <w:spacing w:before="0" w:beforeAutospacing="0" w:after="0" w:afterAutospacing="0"/>
              <w:rPr>
                <w:rFonts w:ascii="Arial" w:hAnsi="Arial" w:cs="Arial"/>
                <w:sz w:val="20"/>
                <w:szCs w:val="20"/>
              </w:rPr>
            </w:pPr>
            <w:hyperlink w:anchor="mine" w:history="1">
              <w:r>
                <w:rPr>
                  <w:rStyle w:val="a4"/>
                  <w:rFonts w:ascii="Arial" w:hAnsi="Arial" w:cs="Arial"/>
                  <w:sz w:val="20"/>
                  <w:szCs w:val="20"/>
                </w:rPr>
                <w:t>Mine Safety Disclosures</w:t>
              </w:r>
            </w:hyperlink>
          </w:p>
        </w:tc>
        <w:tc>
          <w:tcPr>
            <w:tcW w:w="350" w:type="pct"/>
            <w:hideMark/>
          </w:tcPr>
          <w:p w14:paraId="33F240D4" w14:textId="77777777" w:rsidR="00000000" w:rsidRDefault="004206B0">
            <w:pPr>
              <w:pStyle w:val="a3"/>
              <w:spacing w:before="0" w:beforeAutospacing="0" w:after="0" w:afterAutospacing="0"/>
              <w:jc w:val="right"/>
              <w:rPr>
                <w:rFonts w:ascii="Arial" w:hAnsi="Arial" w:cs="Arial"/>
                <w:sz w:val="20"/>
                <w:szCs w:val="20"/>
              </w:rPr>
            </w:pPr>
            <w:hyperlink w:anchor="mine" w:history="1">
              <w:r>
                <w:rPr>
                  <w:rStyle w:val="a4"/>
                  <w:rFonts w:ascii="Arial" w:hAnsi="Arial" w:cs="Arial"/>
                  <w:sz w:val="20"/>
                  <w:szCs w:val="20"/>
                </w:rPr>
                <w:t>24</w:t>
              </w:r>
            </w:hyperlink>
          </w:p>
        </w:tc>
      </w:tr>
      <w:tr w:rsidR="00000000" w14:paraId="1796E7C3" w14:textId="77777777">
        <w:trPr>
          <w:divId w:val="1538733140"/>
          <w:tblCellSpacing w:w="0" w:type="dxa"/>
        </w:trPr>
        <w:tc>
          <w:tcPr>
            <w:tcW w:w="450" w:type="pct"/>
            <w:hideMark/>
          </w:tcPr>
          <w:p w14:paraId="7D0340F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0DFAEF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0487AA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D9B01AA" w14:textId="77777777">
        <w:trPr>
          <w:divId w:val="1538733140"/>
          <w:tblCellSpacing w:w="0" w:type="dxa"/>
        </w:trPr>
        <w:tc>
          <w:tcPr>
            <w:tcW w:w="450" w:type="pct"/>
            <w:hideMark/>
          </w:tcPr>
          <w:p w14:paraId="1345E990" w14:textId="77777777" w:rsidR="00000000" w:rsidRDefault="004206B0">
            <w:pPr>
              <w:pStyle w:val="a3"/>
              <w:spacing w:before="0" w:beforeAutospacing="0" w:after="0" w:afterAutospacing="0"/>
              <w:rPr>
                <w:rFonts w:ascii="Arial" w:hAnsi="Arial" w:cs="Arial"/>
                <w:sz w:val="20"/>
                <w:szCs w:val="20"/>
              </w:rPr>
            </w:pPr>
            <w:hyperlink w:anchor="p2" w:history="1">
              <w:r>
                <w:rPr>
                  <w:rStyle w:val="a4"/>
                  <w:rFonts w:ascii="Arial" w:hAnsi="Arial" w:cs="Arial"/>
                  <w:sz w:val="20"/>
                  <w:szCs w:val="20"/>
                </w:rPr>
                <w:t>PART II</w:t>
              </w:r>
            </w:hyperlink>
          </w:p>
        </w:tc>
        <w:tc>
          <w:tcPr>
            <w:tcW w:w="4200" w:type="pct"/>
            <w:hideMark/>
          </w:tcPr>
          <w:p w14:paraId="7C1E009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60A20D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986C79C" w14:textId="77777777">
        <w:trPr>
          <w:divId w:val="1538733140"/>
          <w:tblCellSpacing w:w="0" w:type="dxa"/>
        </w:trPr>
        <w:tc>
          <w:tcPr>
            <w:tcW w:w="450" w:type="pct"/>
            <w:hideMark/>
          </w:tcPr>
          <w:p w14:paraId="6E9BD8F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BE009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CE0DCE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4E69119" w14:textId="77777777">
        <w:trPr>
          <w:divId w:val="1538733140"/>
          <w:tblCellSpacing w:w="0" w:type="dxa"/>
        </w:trPr>
        <w:tc>
          <w:tcPr>
            <w:tcW w:w="450" w:type="pct"/>
            <w:hideMark/>
          </w:tcPr>
          <w:p w14:paraId="32A468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5.</w:t>
            </w:r>
          </w:p>
        </w:tc>
        <w:tc>
          <w:tcPr>
            <w:tcW w:w="4200" w:type="pct"/>
            <w:hideMark/>
          </w:tcPr>
          <w:p w14:paraId="6850160D" w14:textId="77777777" w:rsidR="00000000" w:rsidRDefault="004206B0">
            <w:pPr>
              <w:pStyle w:val="a3"/>
              <w:spacing w:before="0" w:beforeAutospacing="0" w:after="0" w:afterAutospacing="0"/>
              <w:rPr>
                <w:rFonts w:ascii="Arial" w:hAnsi="Arial" w:cs="Arial"/>
                <w:sz w:val="20"/>
                <w:szCs w:val="20"/>
              </w:rPr>
            </w:pPr>
            <w:hyperlink w:anchor="market" w:history="1">
              <w:r>
                <w:rPr>
                  <w:rStyle w:val="a4"/>
                  <w:rFonts w:ascii="Arial" w:hAnsi="Arial" w:cs="Arial"/>
                  <w:sz w:val="20"/>
                  <w:szCs w:val="20"/>
                </w:rPr>
                <w:t>Market for Registrant’s Common Equity, Related Stockholder Matters and Issuer Purchases of Equity Securities</w:t>
              </w:r>
            </w:hyperlink>
          </w:p>
        </w:tc>
        <w:tc>
          <w:tcPr>
            <w:tcW w:w="350" w:type="pct"/>
            <w:hideMark/>
          </w:tcPr>
          <w:p w14:paraId="636AD7D2" w14:textId="77777777" w:rsidR="00000000" w:rsidRDefault="004206B0">
            <w:pPr>
              <w:pStyle w:val="a3"/>
              <w:spacing w:before="0" w:beforeAutospacing="0" w:after="0" w:afterAutospacing="0"/>
              <w:jc w:val="right"/>
              <w:rPr>
                <w:rFonts w:ascii="Arial" w:hAnsi="Arial" w:cs="Arial"/>
                <w:sz w:val="20"/>
                <w:szCs w:val="20"/>
              </w:rPr>
            </w:pPr>
            <w:hyperlink w:anchor="market" w:history="1">
              <w:r>
                <w:rPr>
                  <w:rStyle w:val="a4"/>
                  <w:rFonts w:ascii="Arial" w:hAnsi="Arial" w:cs="Arial"/>
                  <w:sz w:val="20"/>
                  <w:szCs w:val="20"/>
                </w:rPr>
                <w:t>25</w:t>
              </w:r>
            </w:hyperlink>
          </w:p>
        </w:tc>
      </w:tr>
      <w:tr w:rsidR="00000000" w14:paraId="20925EA1" w14:textId="77777777">
        <w:trPr>
          <w:divId w:val="1538733140"/>
          <w:tblCellSpacing w:w="0" w:type="dxa"/>
        </w:trPr>
        <w:tc>
          <w:tcPr>
            <w:tcW w:w="450" w:type="pct"/>
            <w:hideMark/>
          </w:tcPr>
          <w:p w14:paraId="6C591E9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1F724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13886A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517600A" w14:textId="77777777">
        <w:trPr>
          <w:divId w:val="1538733140"/>
          <w:tblCellSpacing w:w="0" w:type="dxa"/>
        </w:trPr>
        <w:tc>
          <w:tcPr>
            <w:tcW w:w="450" w:type="pct"/>
            <w:hideMark/>
          </w:tcPr>
          <w:p w14:paraId="2A45158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4200" w:type="pct"/>
            <w:hideMark/>
          </w:tcPr>
          <w:p w14:paraId="37581AD0" w14:textId="77777777" w:rsidR="00000000" w:rsidRDefault="004206B0">
            <w:pPr>
              <w:pStyle w:val="a3"/>
              <w:spacing w:before="0" w:beforeAutospacing="0" w:after="0" w:afterAutospacing="0"/>
              <w:rPr>
                <w:rFonts w:ascii="Arial" w:hAnsi="Arial" w:cs="Arial"/>
                <w:sz w:val="20"/>
                <w:szCs w:val="20"/>
              </w:rPr>
            </w:pPr>
            <w:hyperlink w:anchor="reserved" w:history="1">
              <w:r>
                <w:rPr>
                  <w:rStyle w:val="a4"/>
                  <w:rFonts w:ascii="Arial" w:hAnsi="Arial" w:cs="Arial"/>
                  <w:sz w:val="20"/>
                  <w:szCs w:val="20"/>
                </w:rPr>
                <w:t>[Reserved]</w:t>
              </w:r>
            </w:hyperlink>
          </w:p>
        </w:tc>
        <w:tc>
          <w:tcPr>
            <w:tcW w:w="350" w:type="pct"/>
            <w:hideMark/>
          </w:tcPr>
          <w:p w14:paraId="4A096292" w14:textId="77777777" w:rsidR="00000000" w:rsidRDefault="004206B0">
            <w:pPr>
              <w:pStyle w:val="a3"/>
              <w:spacing w:before="0" w:beforeAutospacing="0" w:after="0" w:afterAutospacing="0"/>
              <w:jc w:val="right"/>
              <w:rPr>
                <w:rFonts w:ascii="Arial" w:hAnsi="Arial" w:cs="Arial"/>
                <w:sz w:val="20"/>
                <w:szCs w:val="20"/>
              </w:rPr>
            </w:pPr>
            <w:hyperlink w:anchor="reserved" w:history="1">
              <w:r>
                <w:rPr>
                  <w:rStyle w:val="a4"/>
                  <w:rFonts w:ascii="Arial" w:hAnsi="Arial" w:cs="Arial"/>
                  <w:sz w:val="20"/>
                  <w:szCs w:val="20"/>
                </w:rPr>
                <w:t>26</w:t>
              </w:r>
            </w:hyperlink>
          </w:p>
        </w:tc>
      </w:tr>
      <w:tr w:rsidR="00000000" w14:paraId="0BC47B60" w14:textId="77777777">
        <w:trPr>
          <w:divId w:val="1538733140"/>
          <w:tblCellSpacing w:w="0" w:type="dxa"/>
        </w:trPr>
        <w:tc>
          <w:tcPr>
            <w:tcW w:w="450" w:type="pct"/>
            <w:hideMark/>
          </w:tcPr>
          <w:p w14:paraId="4CCC5A2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56AAF03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6CF5A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09FBDCF" w14:textId="77777777">
        <w:trPr>
          <w:divId w:val="1538733140"/>
          <w:tblCellSpacing w:w="0" w:type="dxa"/>
        </w:trPr>
        <w:tc>
          <w:tcPr>
            <w:tcW w:w="450" w:type="pct"/>
            <w:hideMark/>
          </w:tcPr>
          <w:p w14:paraId="0BBDB65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7.</w:t>
            </w:r>
          </w:p>
        </w:tc>
        <w:tc>
          <w:tcPr>
            <w:tcW w:w="4200" w:type="pct"/>
            <w:hideMark/>
          </w:tcPr>
          <w:p w14:paraId="0809F93C" w14:textId="77777777" w:rsidR="00000000" w:rsidRDefault="004206B0">
            <w:pPr>
              <w:pStyle w:val="a3"/>
              <w:spacing w:before="0" w:beforeAutospacing="0" w:after="0" w:afterAutospacing="0"/>
              <w:rPr>
                <w:rFonts w:ascii="Arial" w:hAnsi="Arial" w:cs="Arial"/>
                <w:sz w:val="20"/>
                <w:szCs w:val="20"/>
              </w:rPr>
            </w:pPr>
            <w:hyperlink w:anchor="mda" w:history="1">
              <w:r>
                <w:rPr>
                  <w:rStyle w:val="a4"/>
                  <w:rFonts w:ascii="Arial" w:hAnsi="Arial" w:cs="Arial"/>
                  <w:sz w:val="20"/>
                  <w:szCs w:val="20"/>
                </w:rPr>
                <w:t>Management’s Discussion and Analysis of Financial Condition and Results of Operations</w:t>
              </w:r>
            </w:hyperlink>
          </w:p>
        </w:tc>
        <w:tc>
          <w:tcPr>
            <w:tcW w:w="350" w:type="pct"/>
            <w:hideMark/>
          </w:tcPr>
          <w:p w14:paraId="01AB3869" w14:textId="77777777" w:rsidR="00000000" w:rsidRDefault="004206B0">
            <w:pPr>
              <w:pStyle w:val="a3"/>
              <w:spacing w:before="0" w:beforeAutospacing="0" w:after="0" w:afterAutospacing="0"/>
              <w:jc w:val="right"/>
              <w:rPr>
                <w:rFonts w:ascii="Arial" w:hAnsi="Arial" w:cs="Arial"/>
                <w:sz w:val="20"/>
                <w:szCs w:val="20"/>
              </w:rPr>
            </w:pPr>
            <w:hyperlink w:anchor="mda" w:history="1">
              <w:r>
                <w:rPr>
                  <w:rStyle w:val="a4"/>
                  <w:rFonts w:ascii="Arial" w:hAnsi="Arial" w:cs="Arial"/>
                  <w:sz w:val="20"/>
                  <w:szCs w:val="20"/>
                </w:rPr>
                <w:t>26</w:t>
              </w:r>
            </w:hyperlink>
          </w:p>
        </w:tc>
      </w:tr>
      <w:tr w:rsidR="00000000" w14:paraId="119A079B" w14:textId="77777777">
        <w:trPr>
          <w:divId w:val="1538733140"/>
          <w:tblCellSpacing w:w="0" w:type="dxa"/>
        </w:trPr>
        <w:tc>
          <w:tcPr>
            <w:tcW w:w="450" w:type="pct"/>
            <w:hideMark/>
          </w:tcPr>
          <w:p w14:paraId="2B41616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641930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1CB2C7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C954F54" w14:textId="77777777">
        <w:trPr>
          <w:divId w:val="1538733140"/>
          <w:tblCellSpacing w:w="0" w:type="dxa"/>
        </w:trPr>
        <w:tc>
          <w:tcPr>
            <w:tcW w:w="450" w:type="pct"/>
            <w:hideMark/>
          </w:tcPr>
          <w:p w14:paraId="5D2278B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7A.</w:t>
            </w:r>
          </w:p>
        </w:tc>
        <w:tc>
          <w:tcPr>
            <w:tcW w:w="4200" w:type="pct"/>
            <w:hideMark/>
          </w:tcPr>
          <w:p w14:paraId="0E7DA8D3" w14:textId="77777777" w:rsidR="00000000" w:rsidRDefault="004206B0">
            <w:pPr>
              <w:pStyle w:val="a3"/>
              <w:spacing w:before="0" w:beforeAutospacing="0" w:after="0" w:afterAutospacing="0"/>
              <w:rPr>
                <w:rFonts w:ascii="Arial" w:hAnsi="Arial" w:cs="Arial"/>
                <w:sz w:val="20"/>
                <w:szCs w:val="20"/>
              </w:rPr>
            </w:pPr>
            <w:hyperlink w:anchor="qq" w:history="1">
              <w:r>
                <w:rPr>
                  <w:rStyle w:val="a4"/>
                  <w:rFonts w:ascii="Arial" w:hAnsi="Arial" w:cs="Arial"/>
                  <w:sz w:val="20"/>
                  <w:szCs w:val="20"/>
                </w:rPr>
                <w:t>Quantitative and Qualitative Disclosures About Market Risk</w:t>
              </w:r>
            </w:hyperlink>
          </w:p>
        </w:tc>
        <w:tc>
          <w:tcPr>
            <w:tcW w:w="350" w:type="pct"/>
            <w:hideMark/>
          </w:tcPr>
          <w:p w14:paraId="05C25DCE" w14:textId="77777777" w:rsidR="00000000" w:rsidRDefault="004206B0">
            <w:pPr>
              <w:pStyle w:val="a3"/>
              <w:spacing w:before="0" w:beforeAutospacing="0" w:after="0" w:afterAutospacing="0"/>
              <w:jc w:val="right"/>
              <w:rPr>
                <w:rFonts w:ascii="Arial" w:hAnsi="Arial" w:cs="Arial"/>
                <w:sz w:val="20"/>
                <w:szCs w:val="20"/>
              </w:rPr>
            </w:pPr>
            <w:hyperlink w:anchor="qq" w:history="1">
              <w:r>
                <w:rPr>
                  <w:rStyle w:val="a4"/>
                  <w:rFonts w:ascii="Arial" w:hAnsi="Arial" w:cs="Arial"/>
                  <w:sz w:val="20"/>
                  <w:szCs w:val="20"/>
                </w:rPr>
                <w:t>28</w:t>
              </w:r>
            </w:hyperlink>
          </w:p>
        </w:tc>
      </w:tr>
      <w:tr w:rsidR="00000000" w14:paraId="6B7A6FF8" w14:textId="77777777">
        <w:trPr>
          <w:divId w:val="1538733140"/>
          <w:tblCellSpacing w:w="0" w:type="dxa"/>
        </w:trPr>
        <w:tc>
          <w:tcPr>
            <w:tcW w:w="450" w:type="pct"/>
            <w:hideMark/>
          </w:tcPr>
          <w:p w14:paraId="5710F2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4031202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37AC63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E51E5DD" w14:textId="77777777">
        <w:trPr>
          <w:divId w:val="1538733140"/>
          <w:tblCellSpacing w:w="0" w:type="dxa"/>
        </w:trPr>
        <w:tc>
          <w:tcPr>
            <w:tcW w:w="450" w:type="pct"/>
            <w:hideMark/>
          </w:tcPr>
          <w:p w14:paraId="53266D0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8.</w:t>
            </w:r>
          </w:p>
        </w:tc>
        <w:tc>
          <w:tcPr>
            <w:tcW w:w="4200" w:type="pct"/>
            <w:hideMark/>
          </w:tcPr>
          <w:p w14:paraId="0431DA80" w14:textId="77777777" w:rsidR="00000000" w:rsidRDefault="004206B0">
            <w:pPr>
              <w:pStyle w:val="a3"/>
              <w:spacing w:before="0" w:beforeAutospacing="0" w:after="0" w:afterAutospacing="0"/>
              <w:rPr>
                <w:rFonts w:ascii="Arial" w:hAnsi="Arial" w:cs="Arial"/>
                <w:sz w:val="20"/>
                <w:szCs w:val="20"/>
              </w:rPr>
            </w:pPr>
            <w:hyperlink w:anchor="finstate" w:history="1">
              <w:r>
                <w:rPr>
                  <w:rStyle w:val="a4"/>
                  <w:rFonts w:ascii="Arial" w:hAnsi="Arial" w:cs="Arial"/>
                  <w:sz w:val="20"/>
                  <w:szCs w:val="20"/>
                </w:rPr>
                <w:t>Financial Statements and Supplementary Data</w:t>
              </w:r>
            </w:hyperlink>
          </w:p>
        </w:tc>
        <w:tc>
          <w:tcPr>
            <w:tcW w:w="350" w:type="pct"/>
            <w:hideMark/>
          </w:tcPr>
          <w:p w14:paraId="07980704" w14:textId="77777777" w:rsidR="00000000" w:rsidRDefault="004206B0">
            <w:pPr>
              <w:pStyle w:val="a3"/>
              <w:spacing w:before="0" w:beforeAutospacing="0" w:after="0" w:afterAutospacing="0"/>
              <w:jc w:val="right"/>
              <w:rPr>
                <w:rFonts w:ascii="Arial" w:hAnsi="Arial" w:cs="Arial"/>
                <w:sz w:val="20"/>
                <w:szCs w:val="20"/>
              </w:rPr>
            </w:pPr>
            <w:hyperlink w:anchor="finstate" w:history="1">
              <w:r>
                <w:rPr>
                  <w:rStyle w:val="a4"/>
                  <w:rFonts w:ascii="Arial" w:hAnsi="Arial" w:cs="Arial"/>
                  <w:sz w:val="20"/>
                  <w:szCs w:val="20"/>
                </w:rPr>
                <w:t>29</w:t>
              </w:r>
            </w:hyperlink>
          </w:p>
        </w:tc>
      </w:tr>
      <w:tr w:rsidR="00000000" w14:paraId="34A2D4A3" w14:textId="77777777">
        <w:trPr>
          <w:divId w:val="1538733140"/>
          <w:tblCellSpacing w:w="0" w:type="dxa"/>
        </w:trPr>
        <w:tc>
          <w:tcPr>
            <w:tcW w:w="450" w:type="pct"/>
            <w:hideMark/>
          </w:tcPr>
          <w:p w14:paraId="56EC3F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403CBC6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514A8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83DA7B3" w14:textId="77777777">
        <w:trPr>
          <w:divId w:val="1538733140"/>
          <w:tblCellSpacing w:w="0" w:type="dxa"/>
        </w:trPr>
        <w:tc>
          <w:tcPr>
            <w:tcW w:w="450" w:type="pct"/>
            <w:hideMark/>
          </w:tcPr>
          <w:p w14:paraId="65C4410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9.</w:t>
            </w:r>
          </w:p>
        </w:tc>
        <w:tc>
          <w:tcPr>
            <w:tcW w:w="4200" w:type="pct"/>
            <w:hideMark/>
          </w:tcPr>
          <w:p w14:paraId="34FEFB17" w14:textId="77777777" w:rsidR="00000000" w:rsidRDefault="004206B0">
            <w:pPr>
              <w:pStyle w:val="a3"/>
              <w:spacing w:before="0" w:beforeAutospacing="0" w:after="0" w:afterAutospacing="0"/>
              <w:rPr>
                <w:rFonts w:ascii="Arial" w:hAnsi="Arial" w:cs="Arial"/>
                <w:sz w:val="20"/>
                <w:szCs w:val="20"/>
              </w:rPr>
            </w:pPr>
            <w:hyperlink w:anchor="cahnges" w:history="1">
              <w:r>
                <w:rPr>
                  <w:rStyle w:val="a4"/>
                  <w:rFonts w:ascii="Arial" w:hAnsi="Arial" w:cs="Arial"/>
                  <w:sz w:val="20"/>
                  <w:szCs w:val="20"/>
                </w:rPr>
                <w:t>Changes in and Disagreements with Accountants on Accounting and Financial Disclosure</w:t>
              </w:r>
            </w:hyperlink>
          </w:p>
        </w:tc>
        <w:tc>
          <w:tcPr>
            <w:tcW w:w="350" w:type="pct"/>
            <w:hideMark/>
          </w:tcPr>
          <w:p w14:paraId="34F36385" w14:textId="77777777" w:rsidR="00000000" w:rsidRDefault="004206B0">
            <w:pPr>
              <w:pStyle w:val="a3"/>
              <w:spacing w:before="0" w:beforeAutospacing="0" w:after="0" w:afterAutospacing="0"/>
              <w:jc w:val="right"/>
              <w:rPr>
                <w:rFonts w:ascii="Arial" w:hAnsi="Arial" w:cs="Arial"/>
                <w:sz w:val="20"/>
                <w:szCs w:val="20"/>
              </w:rPr>
            </w:pPr>
            <w:hyperlink w:anchor="cahnges" w:history="1">
              <w:r>
                <w:rPr>
                  <w:rStyle w:val="a4"/>
                  <w:rFonts w:ascii="Arial" w:hAnsi="Arial" w:cs="Arial"/>
                  <w:sz w:val="20"/>
                  <w:szCs w:val="20"/>
                </w:rPr>
                <w:t>29</w:t>
              </w:r>
            </w:hyperlink>
          </w:p>
        </w:tc>
      </w:tr>
      <w:tr w:rsidR="00000000" w14:paraId="2F486D9F" w14:textId="77777777">
        <w:trPr>
          <w:divId w:val="1538733140"/>
          <w:tblCellSpacing w:w="0" w:type="dxa"/>
        </w:trPr>
        <w:tc>
          <w:tcPr>
            <w:tcW w:w="450" w:type="pct"/>
            <w:hideMark/>
          </w:tcPr>
          <w:p w14:paraId="70577B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730B39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526607D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CF7C8EB" w14:textId="77777777">
        <w:trPr>
          <w:divId w:val="1538733140"/>
          <w:tblCellSpacing w:w="0" w:type="dxa"/>
        </w:trPr>
        <w:tc>
          <w:tcPr>
            <w:tcW w:w="450" w:type="pct"/>
            <w:hideMark/>
          </w:tcPr>
          <w:p w14:paraId="08A2396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9A.</w:t>
            </w:r>
          </w:p>
        </w:tc>
        <w:tc>
          <w:tcPr>
            <w:tcW w:w="4200" w:type="pct"/>
            <w:hideMark/>
          </w:tcPr>
          <w:p w14:paraId="52816A61" w14:textId="77777777" w:rsidR="00000000" w:rsidRDefault="004206B0">
            <w:pPr>
              <w:pStyle w:val="a3"/>
              <w:spacing w:before="0" w:beforeAutospacing="0" w:after="0" w:afterAutospacing="0"/>
              <w:rPr>
                <w:rFonts w:ascii="Arial" w:hAnsi="Arial" w:cs="Arial"/>
                <w:sz w:val="20"/>
                <w:szCs w:val="20"/>
              </w:rPr>
            </w:pPr>
            <w:hyperlink w:anchor="cp" w:history="1">
              <w:r>
                <w:rPr>
                  <w:rStyle w:val="a4"/>
                  <w:rFonts w:ascii="Arial" w:hAnsi="Arial" w:cs="Arial"/>
                  <w:sz w:val="20"/>
                  <w:szCs w:val="20"/>
                </w:rPr>
                <w:t>Controls and Procedures</w:t>
              </w:r>
            </w:hyperlink>
          </w:p>
        </w:tc>
        <w:tc>
          <w:tcPr>
            <w:tcW w:w="350" w:type="pct"/>
            <w:hideMark/>
          </w:tcPr>
          <w:p w14:paraId="49DAE108" w14:textId="77777777" w:rsidR="00000000" w:rsidRDefault="004206B0">
            <w:pPr>
              <w:pStyle w:val="a3"/>
              <w:spacing w:before="0" w:beforeAutospacing="0" w:after="0" w:afterAutospacing="0"/>
              <w:jc w:val="right"/>
              <w:rPr>
                <w:rFonts w:ascii="Arial" w:hAnsi="Arial" w:cs="Arial"/>
                <w:sz w:val="20"/>
                <w:szCs w:val="20"/>
              </w:rPr>
            </w:pPr>
            <w:hyperlink w:anchor="cp" w:history="1">
              <w:r>
                <w:rPr>
                  <w:rStyle w:val="a4"/>
                  <w:rFonts w:ascii="Arial" w:hAnsi="Arial" w:cs="Arial"/>
                  <w:sz w:val="20"/>
                  <w:szCs w:val="20"/>
                </w:rPr>
                <w:t>30</w:t>
              </w:r>
            </w:hyperlink>
          </w:p>
        </w:tc>
      </w:tr>
      <w:tr w:rsidR="00000000" w14:paraId="6D8BE555" w14:textId="77777777">
        <w:trPr>
          <w:divId w:val="1538733140"/>
          <w:tblCellSpacing w:w="0" w:type="dxa"/>
        </w:trPr>
        <w:tc>
          <w:tcPr>
            <w:tcW w:w="450" w:type="pct"/>
            <w:hideMark/>
          </w:tcPr>
          <w:p w14:paraId="78E3D77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57CE6A1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4C9D20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2445AB8" w14:textId="77777777">
        <w:trPr>
          <w:divId w:val="1538733140"/>
          <w:tblCellSpacing w:w="0" w:type="dxa"/>
        </w:trPr>
        <w:tc>
          <w:tcPr>
            <w:tcW w:w="450" w:type="pct"/>
            <w:hideMark/>
          </w:tcPr>
          <w:p w14:paraId="2AE9D8F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9B.</w:t>
            </w:r>
          </w:p>
        </w:tc>
        <w:tc>
          <w:tcPr>
            <w:tcW w:w="4200" w:type="pct"/>
            <w:hideMark/>
          </w:tcPr>
          <w:p w14:paraId="6834D1D8" w14:textId="77777777" w:rsidR="00000000" w:rsidRDefault="004206B0">
            <w:pPr>
              <w:pStyle w:val="a3"/>
              <w:spacing w:before="0" w:beforeAutospacing="0" w:after="0" w:afterAutospacing="0"/>
              <w:rPr>
                <w:rFonts w:ascii="Arial" w:hAnsi="Arial" w:cs="Arial"/>
                <w:sz w:val="20"/>
                <w:szCs w:val="20"/>
              </w:rPr>
            </w:pPr>
            <w:hyperlink w:anchor="other" w:history="1">
              <w:r>
                <w:rPr>
                  <w:rStyle w:val="a4"/>
                  <w:rFonts w:ascii="Arial" w:hAnsi="Arial" w:cs="Arial"/>
                  <w:sz w:val="20"/>
                  <w:szCs w:val="20"/>
                </w:rPr>
                <w:t>Other Information</w:t>
              </w:r>
            </w:hyperlink>
          </w:p>
        </w:tc>
        <w:tc>
          <w:tcPr>
            <w:tcW w:w="350" w:type="pct"/>
            <w:hideMark/>
          </w:tcPr>
          <w:p w14:paraId="4D633711" w14:textId="77777777" w:rsidR="00000000" w:rsidRDefault="004206B0">
            <w:pPr>
              <w:pStyle w:val="a3"/>
              <w:spacing w:before="0" w:beforeAutospacing="0" w:after="0" w:afterAutospacing="0"/>
              <w:jc w:val="right"/>
              <w:rPr>
                <w:rFonts w:ascii="Arial" w:hAnsi="Arial" w:cs="Arial"/>
                <w:sz w:val="20"/>
                <w:szCs w:val="20"/>
              </w:rPr>
            </w:pPr>
            <w:hyperlink w:anchor="other" w:history="1">
              <w:r>
                <w:rPr>
                  <w:rStyle w:val="a4"/>
                  <w:rFonts w:ascii="Arial" w:hAnsi="Arial" w:cs="Arial"/>
                  <w:sz w:val="20"/>
                  <w:szCs w:val="20"/>
                </w:rPr>
                <w:t>30</w:t>
              </w:r>
            </w:hyperlink>
          </w:p>
        </w:tc>
      </w:tr>
      <w:tr w:rsidR="00000000" w14:paraId="1F7647C0" w14:textId="77777777">
        <w:trPr>
          <w:divId w:val="1538733140"/>
          <w:tblCellSpacing w:w="0" w:type="dxa"/>
        </w:trPr>
        <w:tc>
          <w:tcPr>
            <w:tcW w:w="450" w:type="pct"/>
            <w:hideMark/>
          </w:tcPr>
          <w:p w14:paraId="435932F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5005EE5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E95AF6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AF9413C" w14:textId="77777777">
        <w:trPr>
          <w:divId w:val="1538733140"/>
          <w:tblCellSpacing w:w="0" w:type="dxa"/>
        </w:trPr>
        <w:tc>
          <w:tcPr>
            <w:tcW w:w="450" w:type="pct"/>
            <w:hideMark/>
          </w:tcPr>
          <w:p w14:paraId="17AB61F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9C.</w:t>
            </w:r>
          </w:p>
        </w:tc>
        <w:tc>
          <w:tcPr>
            <w:tcW w:w="4200" w:type="pct"/>
            <w:hideMark/>
          </w:tcPr>
          <w:p w14:paraId="24DA6367" w14:textId="77777777" w:rsidR="00000000" w:rsidRDefault="004206B0">
            <w:pPr>
              <w:pStyle w:val="a3"/>
              <w:spacing w:before="0" w:beforeAutospacing="0" w:after="0" w:afterAutospacing="0"/>
              <w:rPr>
                <w:rFonts w:ascii="Arial" w:hAnsi="Arial" w:cs="Arial"/>
                <w:sz w:val="20"/>
                <w:szCs w:val="20"/>
              </w:rPr>
            </w:pPr>
            <w:hyperlink w:anchor="disclosure" w:history="1">
              <w:r>
                <w:rPr>
                  <w:rStyle w:val="a4"/>
                  <w:rFonts w:ascii="Arial" w:hAnsi="Arial" w:cs="Arial"/>
                  <w:sz w:val="20"/>
                  <w:szCs w:val="20"/>
                </w:rPr>
                <w:t>Disclosure Regarding Foreign Jurisdictions that Prevent Inspections</w:t>
              </w:r>
            </w:hyperlink>
          </w:p>
        </w:tc>
        <w:tc>
          <w:tcPr>
            <w:tcW w:w="350" w:type="pct"/>
            <w:hideMark/>
          </w:tcPr>
          <w:p w14:paraId="69242701" w14:textId="77777777" w:rsidR="00000000" w:rsidRDefault="004206B0">
            <w:pPr>
              <w:pStyle w:val="a3"/>
              <w:spacing w:before="0" w:beforeAutospacing="0" w:after="0" w:afterAutospacing="0"/>
              <w:jc w:val="right"/>
              <w:rPr>
                <w:rFonts w:ascii="Arial" w:hAnsi="Arial" w:cs="Arial"/>
                <w:sz w:val="20"/>
                <w:szCs w:val="20"/>
              </w:rPr>
            </w:pPr>
            <w:hyperlink w:anchor="disclosure" w:history="1">
              <w:r>
                <w:rPr>
                  <w:rStyle w:val="a4"/>
                  <w:rFonts w:ascii="Arial" w:hAnsi="Arial" w:cs="Arial"/>
                  <w:sz w:val="20"/>
                  <w:szCs w:val="20"/>
                </w:rPr>
                <w:t>30</w:t>
              </w:r>
            </w:hyperlink>
          </w:p>
        </w:tc>
      </w:tr>
      <w:tr w:rsidR="00000000" w14:paraId="7359D6C8" w14:textId="77777777">
        <w:trPr>
          <w:divId w:val="1538733140"/>
          <w:tblCellSpacing w:w="0" w:type="dxa"/>
        </w:trPr>
        <w:tc>
          <w:tcPr>
            <w:tcW w:w="450" w:type="pct"/>
            <w:hideMark/>
          </w:tcPr>
          <w:p w14:paraId="3748558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D06788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C4BCF3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6C53B35" w14:textId="77777777">
        <w:trPr>
          <w:divId w:val="1538733140"/>
          <w:tblCellSpacing w:w="0" w:type="dxa"/>
        </w:trPr>
        <w:tc>
          <w:tcPr>
            <w:tcW w:w="450" w:type="pct"/>
            <w:hideMark/>
          </w:tcPr>
          <w:p w14:paraId="5891BA61" w14:textId="77777777" w:rsidR="00000000" w:rsidRDefault="004206B0">
            <w:pPr>
              <w:pStyle w:val="a3"/>
              <w:spacing w:before="0" w:beforeAutospacing="0" w:after="0" w:afterAutospacing="0"/>
              <w:rPr>
                <w:rFonts w:ascii="Arial" w:hAnsi="Arial" w:cs="Arial"/>
                <w:sz w:val="20"/>
                <w:szCs w:val="20"/>
              </w:rPr>
            </w:pPr>
            <w:hyperlink w:anchor="p3" w:history="1">
              <w:r>
                <w:rPr>
                  <w:rStyle w:val="a4"/>
                  <w:rFonts w:ascii="Arial" w:hAnsi="Arial" w:cs="Arial"/>
                  <w:sz w:val="20"/>
                  <w:szCs w:val="20"/>
                </w:rPr>
                <w:t>PART III</w:t>
              </w:r>
            </w:hyperlink>
          </w:p>
        </w:tc>
        <w:tc>
          <w:tcPr>
            <w:tcW w:w="4200" w:type="pct"/>
            <w:hideMark/>
          </w:tcPr>
          <w:p w14:paraId="69A801A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6D54BC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0A8A15B" w14:textId="77777777">
        <w:trPr>
          <w:divId w:val="1538733140"/>
          <w:tblCellSpacing w:w="0" w:type="dxa"/>
        </w:trPr>
        <w:tc>
          <w:tcPr>
            <w:tcW w:w="450" w:type="pct"/>
            <w:hideMark/>
          </w:tcPr>
          <w:p w14:paraId="377D472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5C1EA5E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1ECEDA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682AE34" w14:textId="77777777">
        <w:trPr>
          <w:divId w:val="1538733140"/>
          <w:tblCellSpacing w:w="0" w:type="dxa"/>
        </w:trPr>
        <w:tc>
          <w:tcPr>
            <w:tcW w:w="450" w:type="pct"/>
            <w:hideMark/>
          </w:tcPr>
          <w:p w14:paraId="6042C67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10.</w:t>
            </w:r>
          </w:p>
        </w:tc>
        <w:tc>
          <w:tcPr>
            <w:tcW w:w="4200" w:type="pct"/>
            <w:hideMark/>
          </w:tcPr>
          <w:p w14:paraId="7CC5D6F1" w14:textId="77777777" w:rsidR="00000000" w:rsidRDefault="004206B0">
            <w:pPr>
              <w:pStyle w:val="a3"/>
              <w:spacing w:before="0" w:beforeAutospacing="0" w:after="0" w:afterAutospacing="0"/>
              <w:rPr>
                <w:rFonts w:ascii="Arial" w:hAnsi="Arial" w:cs="Arial"/>
                <w:sz w:val="20"/>
                <w:szCs w:val="20"/>
              </w:rPr>
            </w:pPr>
            <w:hyperlink w:anchor="directors" w:history="1">
              <w:r>
                <w:rPr>
                  <w:rStyle w:val="a4"/>
                  <w:rFonts w:ascii="Arial" w:hAnsi="Arial" w:cs="Arial"/>
                  <w:sz w:val="20"/>
                  <w:szCs w:val="20"/>
                </w:rPr>
                <w:t>Directors, Executive Officers and Corporate Governance</w:t>
              </w:r>
            </w:hyperlink>
          </w:p>
        </w:tc>
        <w:tc>
          <w:tcPr>
            <w:tcW w:w="350" w:type="pct"/>
            <w:hideMark/>
          </w:tcPr>
          <w:p w14:paraId="4CD3DAEE" w14:textId="77777777" w:rsidR="00000000" w:rsidRDefault="004206B0">
            <w:pPr>
              <w:pStyle w:val="a3"/>
              <w:spacing w:before="0" w:beforeAutospacing="0" w:after="0" w:afterAutospacing="0"/>
              <w:jc w:val="right"/>
              <w:rPr>
                <w:rFonts w:ascii="Arial" w:hAnsi="Arial" w:cs="Arial"/>
                <w:sz w:val="20"/>
                <w:szCs w:val="20"/>
              </w:rPr>
            </w:pPr>
            <w:hyperlink w:anchor="directors" w:history="1">
              <w:r>
                <w:rPr>
                  <w:rStyle w:val="a4"/>
                  <w:rFonts w:ascii="Arial" w:hAnsi="Arial" w:cs="Arial"/>
                  <w:sz w:val="20"/>
                  <w:szCs w:val="20"/>
                </w:rPr>
                <w:t>31</w:t>
              </w:r>
            </w:hyperlink>
          </w:p>
        </w:tc>
      </w:tr>
      <w:tr w:rsidR="00000000" w14:paraId="3136167E" w14:textId="77777777">
        <w:trPr>
          <w:divId w:val="1538733140"/>
          <w:tblCellSpacing w:w="0" w:type="dxa"/>
        </w:trPr>
        <w:tc>
          <w:tcPr>
            <w:tcW w:w="450" w:type="pct"/>
            <w:hideMark/>
          </w:tcPr>
          <w:p w14:paraId="0E62079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1CADC4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3E71DCF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2CE0800" w14:textId="77777777">
        <w:trPr>
          <w:divId w:val="1538733140"/>
          <w:tblCellSpacing w:w="0" w:type="dxa"/>
        </w:trPr>
        <w:tc>
          <w:tcPr>
            <w:tcW w:w="450" w:type="pct"/>
            <w:hideMark/>
          </w:tcPr>
          <w:p w14:paraId="0309ACC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11.</w:t>
            </w:r>
          </w:p>
        </w:tc>
        <w:tc>
          <w:tcPr>
            <w:tcW w:w="4200" w:type="pct"/>
            <w:hideMark/>
          </w:tcPr>
          <w:p w14:paraId="253703D3" w14:textId="77777777" w:rsidR="00000000" w:rsidRDefault="004206B0">
            <w:pPr>
              <w:pStyle w:val="a3"/>
              <w:spacing w:before="0" w:beforeAutospacing="0" w:after="0" w:afterAutospacing="0"/>
              <w:rPr>
                <w:rFonts w:ascii="Arial" w:hAnsi="Arial" w:cs="Arial"/>
                <w:sz w:val="20"/>
                <w:szCs w:val="20"/>
              </w:rPr>
            </w:pPr>
            <w:hyperlink w:anchor="exec" w:history="1">
              <w:r>
                <w:rPr>
                  <w:rStyle w:val="a4"/>
                  <w:rFonts w:ascii="Arial" w:hAnsi="Arial" w:cs="Arial"/>
                  <w:sz w:val="20"/>
                  <w:szCs w:val="20"/>
                </w:rPr>
                <w:t>Executive Compensation</w:t>
              </w:r>
            </w:hyperlink>
          </w:p>
        </w:tc>
        <w:tc>
          <w:tcPr>
            <w:tcW w:w="350" w:type="pct"/>
            <w:hideMark/>
          </w:tcPr>
          <w:p w14:paraId="4A9A76D8" w14:textId="77777777" w:rsidR="00000000" w:rsidRDefault="004206B0">
            <w:pPr>
              <w:pStyle w:val="a3"/>
              <w:spacing w:before="0" w:beforeAutospacing="0" w:after="0" w:afterAutospacing="0"/>
              <w:jc w:val="right"/>
              <w:rPr>
                <w:rFonts w:ascii="Arial" w:hAnsi="Arial" w:cs="Arial"/>
                <w:sz w:val="20"/>
                <w:szCs w:val="20"/>
              </w:rPr>
            </w:pPr>
            <w:hyperlink w:anchor="exec" w:history="1">
              <w:r>
                <w:rPr>
                  <w:rStyle w:val="a4"/>
                  <w:rFonts w:ascii="Arial" w:hAnsi="Arial" w:cs="Arial"/>
                  <w:sz w:val="20"/>
                  <w:szCs w:val="20"/>
                </w:rPr>
                <w:t>33</w:t>
              </w:r>
            </w:hyperlink>
          </w:p>
        </w:tc>
      </w:tr>
      <w:tr w:rsidR="00000000" w14:paraId="5CED9EB7" w14:textId="77777777">
        <w:trPr>
          <w:divId w:val="1538733140"/>
          <w:tblCellSpacing w:w="0" w:type="dxa"/>
        </w:trPr>
        <w:tc>
          <w:tcPr>
            <w:tcW w:w="450" w:type="pct"/>
            <w:hideMark/>
          </w:tcPr>
          <w:p w14:paraId="55159F1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98462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6CE8C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9A100B9" w14:textId="77777777">
        <w:trPr>
          <w:divId w:val="1538733140"/>
          <w:tblCellSpacing w:w="0" w:type="dxa"/>
        </w:trPr>
        <w:tc>
          <w:tcPr>
            <w:tcW w:w="450" w:type="pct"/>
            <w:hideMark/>
          </w:tcPr>
          <w:p w14:paraId="22EEB50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12.</w:t>
            </w:r>
          </w:p>
        </w:tc>
        <w:tc>
          <w:tcPr>
            <w:tcW w:w="4200" w:type="pct"/>
            <w:hideMark/>
          </w:tcPr>
          <w:p w14:paraId="3AA30876" w14:textId="77777777" w:rsidR="00000000" w:rsidRDefault="004206B0">
            <w:pPr>
              <w:pStyle w:val="a3"/>
              <w:spacing w:before="0" w:beforeAutospacing="0" w:after="0" w:afterAutospacing="0"/>
              <w:rPr>
                <w:rFonts w:ascii="Arial" w:hAnsi="Arial" w:cs="Arial"/>
                <w:sz w:val="20"/>
                <w:szCs w:val="20"/>
              </w:rPr>
            </w:pPr>
            <w:hyperlink w:anchor="security" w:history="1">
              <w:r>
                <w:rPr>
                  <w:rStyle w:val="a4"/>
                  <w:rFonts w:ascii="Arial" w:hAnsi="Arial" w:cs="Arial"/>
                  <w:sz w:val="20"/>
                  <w:szCs w:val="20"/>
                </w:rPr>
                <w:t>Security Ownership of Certain Beneficial Owners and Management and Related Stockholder Matters</w:t>
              </w:r>
            </w:hyperlink>
          </w:p>
        </w:tc>
        <w:tc>
          <w:tcPr>
            <w:tcW w:w="350" w:type="pct"/>
            <w:hideMark/>
          </w:tcPr>
          <w:p w14:paraId="1B885E93" w14:textId="77777777" w:rsidR="00000000" w:rsidRDefault="004206B0">
            <w:pPr>
              <w:pStyle w:val="a3"/>
              <w:spacing w:before="0" w:beforeAutospacing="0" w:after="0" w:afterAutospacing="0"/>
              <w:jc w:val="right"/>
              <w:rPr>
                <w:rFonts w:ascii="Arial" w:hAnsi="Arial" w:cs="Arial"/>
                <w:sz w:val="20"/>
                <w:szCs w:val="20"/>
              </w:rPr>
            </w:pPr>
            <w:hyperlink w:anchor="security" w:history="1">
              <w:r>
                <w:rPr>
                  <w:rStyle w:val="a4"/>
                  <w:rFonts w:ascii="Arial" w:hAnsi="Arial" w:cs="Arial"/>
                  <w:sz w:val="20"/>
                  <w:szCs w:val="20"/>
                </w:rPr>
                <w:t>33</w:t>
              </w:r>
            </w:hyperlink>
          </w:p>
        </w:tc>
      </w:tr>
      <w:tr w:rsidR="00000000" w14:paraId="2CCBF937" w14:textId="77777777">
        <w:trPr>
          <w:divId w:val="1538733140"/>
          <w:tblCellSpacing w:w="0" w:type="dxa"/>
        </w:trPr>
        <w:tc>
          <w:tcPr>
            <w:tcW w:w="450" w:type="pct"/>
            <w:hideMark/>
          </w:tcPr>
          <w:p w14:paraId="10A592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AF006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5258E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9688A01" w14:textId="77777777">
        <w:trPr>
          <w:divId w:val="1538733140"/>
          <w:tblCellSpacing w:w="0" w:type="dxa"/>
        </w:trPr>
        <w:tc>
          <w:tcPr>
            <w:tcW w:w="450" w:type="pct"/>
            <w:hideMark/>
          </w:tcPr>
          <w:p w14:paraId="2824748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13.</w:t>
            </w:r>
          </w:p>
        </w:tc>
        <w:tc>
          <w:tcPr>
            <w:tcW w:w="4200" w:type="pct"/>
            <w:hideMark/>
          </w:tcPr>
          <w:p w14:paraId="1997CFDD" w14:textId="77777777" w:rsidR="00000000" w:rsidRDefault="004206B0">
            <w:pPr>
              <w:pStyle w:val="a3"/>
              <w:spacing w:before="0" w:beforeAutospacing="0" w:after="0" w:afterAutospacing="0"/>
              <w:rPr>
                <w:rFonts w:ascii="Arial" w:hAnsi="Arial" w:cs="Arial"/>
                <w:sz w:val="20"/>
                <w:szCs w:val="20"/>
              </w:rPr>
            </w:pPr>
            <w:hyperlink w:anchor="certain" w:history="1">
              <w:r>
                <w:rPr>
                  <w:rStyle w:val="a4"/>
                  <w:rFonts w:ascii="Arial" w:hAnsi="Arial" w:cs="Arial"/>
                  <w:sz w:val="20"/>
                  <w:szCs w:val="20"/>
                </w:rPr>
                <w:t>Certain Relationships and Related Transactions, and Director Independence</w:t>
              </w:r>
            </w:hyperlink>
          </w:p>
        </w:tc>
        <w:tc>
          <w:tcPr>
            <w:tcW w:w="350" w:type="pct"/>
            <w:hideMark/>
          </w:tcPr>
          <w:p w14:paraId="700E232E" w14:textId="77777777" w:rsidR="00000000" w:rsidRDefault="004206B0">
            <w:pPr>
              <w:pStyle w:val="a3"/>
              <w:spacing w:before="0" w:beforeAutospacing="0" w:after="0" w:afterAutospacing="0"/>
              <w:jc w:val="right"/>
              <w:rPr>
                <w:rFonts w:ascii="Arial" w:hAnsi="Arial" w:cs="Arial"/>
                <w:sz w:val="20"/>
                <w:szCs w:val="20"/>
              </w:rPr>
            </w:pPr>
            <w:hyperlink w:anchor="certain" w:history="1">
              <w:r>
                <w:rPr>
                  <w:rStyle w:val="a4"/>
                  <w:rFonts w:ascii="Arial" w:hAnsi="Arial" w:cs="Arial"/>
                  <w:sz w:val="20"/>
                  <w:szCs w:val="20"/>
                </w:rPr>
                <w:t>33</w:t>
              </w:r>
            </w:hyperlink>
          </w:p>
        </w:tc>
      </w:tr>
      <w:tr w:rsidR="00000000" w14:paraId="778DAD8B" w14:textId="77777777">
        <w:trPr>
          <w:divId w:val="1538733140"/>
          <w:tblCellSpacing w:w="0" w:type="dxa"/>
        </w:trPr>
        <w:tc>
          <w:tcPr>
            <w:tcW w:w="450" w:type="pct"/>
            <w:hideMark/>
          </w:tcPr>
          <w:p w14:paraId="6A8330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45EBDDB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4A636B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64822CD" w14:textId="77777777">
        <w:trPr>
          <w:divId w:val="1538733140"/>
          <w:tblCellSpacing w:w="0" w:type="dxa"/>
        </w:trPr>
        <w:tc>
          <w:tcPr>
            <w:tcW w:w="450" w:type="pct"/>
            <w:hideMark/>
          </w:tcPr>
          <w:p w14:paraId="1147AE0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14.</w:t>
            </w:r>
          </w:p>
        </w:tc>
        <w:tc>
          <w:tcPr>
            <w:tcW w:w="4200" w:type="pct"/>
            <w:hideMark/>
          </w:tcPr>
          <w:p w14:paraId="05EAFD43" w14:textId="77777777" w:rsidR="00000000" w:rsidRDefault="004206B0">
            <w:pPr>
              <w:pStyle w:val="a3"/>
              <w:spacing w:before="0" w:beforeAutospacing="0" w:after="0" w:afterAutospacing="0"/>
              <w:rPr>
                <w:rFonts w:ascii="Arial" w:hAnsi="Arial" w:cs="Arial"/>
                <w:sz w:val="20"/>
                <w:szCs w:val="20"/>
              </w:rPr>
            </w:pPr>
            <w:hyperlink w:anchor="princ" w:history="1">
              <w:r>
                <w:rPr>
                  <w:rStyle w:val="a4"/>
                  <w:rFonts w:ascii="Arial" w:hAnsi="Arial" w:cs="Arial"/>
                  <w:sz w:val="20"/>
                  <w:szCs w:val="20"/>
                </w:rPr>
                <w:t>Principal Accounting Fees and Services</w:t>
              </w:r>
            </w:hyperlink>
          </w:p>
        </w:tc>
        <w:tc>
          <w:tcPr>
            <w:tcW w:w="350" w:type="pct"/>
            <w:hideMark/>
          </w:tcPr>
          <w:p w14:paraId="23029CDA" w14:textId="77777777" w:rsidR="00000000" w:rsidRDefault="004206B0">
            <w:pPr>
              <w:pStyle w:val="a3"/>
              <w:spacing w:before="0" w:beforeAutospacing="0" w:after="0" w:afterAutospacing="0"/>
              <w:jc w:val="right"/>
              <w:rPr>
                <w:rFonts w:ascii="Arial" w:hAnsi="Arial" w:cs="Arial"/>
                <w:sz w:val="20"/>
                <w:szCs w:val="20"/>
              </w:rPr>
            </w:pPr>
            <w:hyperlink w:anchor="princ" w:history="1">
              <w:r>
                <w:rPr>
                  <w:rStyle w:val="a4"/>
                  <w:rFonts w:ascii="Arial" w:hAnsi="Arial" w:cs="Arial"/>
                  <w:sz w:val="20"/>
                  <w:szCs w:val="20"/>
                </w:rPr>
                <w:t>33</w:t>
              </w:r>
            </w:hyperlink>
          </w:p>
        </w:tc>
      </w:tr>
      <w:tr w:rsidR="00000000" w14:paraId="0F3F1DF1" w14:textId="77777777">
        <w:trPr>
          <w:divId w:val="1538733140"/>
          <w:tblCellSpacing w:w="0" w:type="dxa"/>
        </w:trPr>
        <w:tc>
          <w:tcPr>
            <w:tcW w:w="450" w:type="pct"/>
            <w:hideMark/>
          </w:tcPr>
          <w:p w14:paraId="086BD0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2B2B1AB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FACB2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8FFA5A7" w14:textId="77777777">
        <w:trPr>
          <w:divId w:val="1538733140"/>
          <w:tblCellSpacing w:w="0" w:type="dxa"/>
        </w:trPr>
        <w:tc>
          <w:tcPr>
            <w:tcW w:w="450" w:type="pct"/>
            <w:hideMark/>
          </w:tcPr>
          <w:p w14:paraId="036C4E1E" w14:textId="77777777" w:rsidR="00000000" w:rsidRDefault="004206B0">
            <w:pPr>
              <w:pStyle w:val="a3"/>
              <w:spacing w:before="0" w:beforeAutospacing="0" w:after="0" w:afterAutospacing="0"/>
              <w:rPr>
                <w:rFonts w:ascii="Arial" w:hAnsi="Arial" w:cs="Arial"/>
                <w:sz w:val="20"/>
                <w:szCs w:val="20"/>
              </w:rPr>
            </w:pPr>
            <w:hyperlink w:anchor="p4" w:history="1">
              <w:r>
                <w:rPr>
                  <w:rStyle w:val="a4"/>
                  <w:rFonts w:ascii="Arial" w:hAnsi="Arial" w:cs="Arial"/>
                  <w:sz w:val="20"/>
                  <w:szCs w:val="20"/>
                </w:rPr>
                <w:t>PART IV</w:t>
              </w:r>
            </w:hyperlink>
          </w:p>
        </w:tc>
        <w:tc>
          <w:tcPr>
            <w:tcW w:w="4200" w:type="pct"/>
            <w:hideMark/>
          </w:tcPr>
          <w:p w14:paraId="6CFD84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54DBA2C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2A100F2" w14:textId="77777777">
        <w:trPr>
          <w:divId w:val="1538733140"/>
          <w:tblCellSpacing w:w="0" w:type="dxa"/>
        </w:trPr>
        <w:tc>
          <w:tcPr>
            <w:tcW w:w="450" w:type="pct"/>
            <w:hideMark/>
          </w:tcPr>
          <w:p w14:paraId="52829B7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7793B72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8E5CA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C78C5B7" w14:textId="77777777">
        <w:trPr>
          <w:divId w:val="1538733140"/>
          <w:tblCellSpacing w:w="0" w:type="dxa"/>
        </w:trPr>
        <w:tc>
          <w:tcPr>
            <w:tcW w:w="450" w:type="pct"/>
            <w:hideMark/>
          </w:tcPr>
          <w:p w14:paraId="15AE16D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Item 15.</w:t>
            </w:r>
          </w:p>
        </w:tc>
        <w:tc>
          <w:tcPr>
            <w:tcW w:w="4200" w:type="pct"/>
            <w:hideMark/>
          </w:tcPr>
          <w:p w14:paraId="52AFD2AF" w14:textId="77777777" w:rsidR="00000000" w:rsidRDefault="004206B0">
            <w:pPr>
              <w:pStyle w:val="a3"/>
              <w:spacing w:before="0" w:beforeAutospacing="0" w:after="0" w:afterAutospacing="0"/>
              <w:rPr>
                <w:rFonts w:ascii="Arial" w:hAnsi="Arial" w:cs="Arial"/>
                <w:sz w:val="20"/>
                <w:szCs w:val="20"/>
              </w:rPr>
            </w:pPr>
            <w:hyperlink w:anchor="exs" w:history="1">
              <w:r>
                <w:rPr>
                  <w:rStyle w:val="a4"/>
                  <w:rFonts w:ascii="Arial" w:hAnsi="Arial" w:cs="Arial"/>
                  <w:sz w:val="20"/>
                  <w:szCs w:val="20"/>
                </w:rPr>
                <w:t>Exhibits, Financial Statement Schedules</w:t>
              </w:r>
            </w:hyperlink>
          </w:p>
        </w:tc>
        <w:tc>
          <w:tcPr>
            <w:tcW w:w="350" w:type="pct"/>
            <w:hideMark/>
          </w:tcPr>
          <w:p w14:paraId="3E325878" w14:textId="77777777" w:rsidR="00000000" w:rsidRDefault="004206B0">
            <w:pPr>
              <w:pStyle w:val="a3"/>
              <w:spacing w:before="0" w:beforeAutospacing="0" w:after="0" w:afterAutospacing="0"/>
              <w:jc w:val="right"/>
              <w:rPr>
                <w:rFonts w:ascii="Arial" w:hAnsi="Arial" w:cs="Arial"/>
                <w:sz w:val="20"/>
                <w:szCs w:val="20"/>
              </w:rPr>
            </w:pPr>
            <w:hyperlink w:anchor="exs" w:history="1">
              <w:r>
                <w:rPr>
                  <w:rStyle w:val="a4"/>
                  <w:rFonts w:ascii="Arial" w:hAnsi="Arial" w:cs="Arial"/>
                  <w:sz w:val="20"/>
                  <w:szCs w:val="20"/>
                </w:rPr>
                <w:t>34</w:t>
              </w:r>
            </w:hyperlink>
          </w:p>
        </w:tc>
      </w:tr>
      <w:tr w:rsidR="00000000" w14:paraId="2C450851" w14:textId="77777777">
        <w:trPr>
          <w:divId w:val="1538733140"/>
          <w:tblCellSpacing w:w="0" w:type="dxa"/>
        </w:trPr>
        <w:tc>
          <w:tcPr>
            <w:tcW w:w="450" w:type="pct"/>
            <w:hideMark/>
          </w:tcPr>
          <w:p w14:paraId="3045DA5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2D5314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47D0B1E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717382D" w14:textId="77777777">
        <w:trPr>
          <w:divId w:val="1538733140"/>
          <w:tblCellSpacing w:w="0" w:type="dxa"/>
        </w:trPr>
        <w:tc>
          <w:tcPr>
            <w:tcW w:w="450" w:type="pct"/>
            <w:hideMark/>
          </w:tcPr>
          <w:p w14:paraId="6F5CD46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lastRenderedPageBreak/>
              <w:t>Item 16.</w:t>
            </w:r>
          </w:p>
        </w:tc>
        <w:tc>
          <w:tcPr>
            <w:tcW w:w="4200" w:type="pct"/>
            <w:hideMark/>
          </w:tcPr>
          <w:p w14:paraId="574D7079" w14:textId="77777777" w:rsidR="00000000" w:rsidRDefault="004206B0">
            <w:pPr>
              <w:pStyle w:val="a3"/>
              <w:spacing w:before="0" w:beforeAutospacing="0" w:after="0" w:afterAutospacing="0"/>
              <w:rPr>
                <w:rFonts w:ascii="Arial" w:hAnsi="Arial" w:cs="Arial"/>
                <w:sz w:val="20"/>
                <w:szCs w:val="20"/>
              </w:rPr>
            </w:pPr>
            <w:hyperlink w:anchor="form10" w:history="1">
              <w:r>
                <w:rPr>
                  <w:rStyle w:val="a4"/>
                  <w:rFonts w:ascii="Arial" w:hAnsi="Arial" w:cs="Arial"/>
                  <w:sz w:val="20"/>
                  <w:szCs w:val="20"/>
                </w:rPr>
                <w:t>Form 10-K Summary</w:t>
              </w:r>
            </w:hyperlink>
          </w:p>
        </w:tc>
        <w:tc>
          <w:tcPr>
            <w:tcW w:w="350" w:type="pct"/>
            <w:hideMark/>
          </w:tcPr>
          <w:p w14:paraId="50E0B1F1" w14:textId="77777777" w:rsidR="00000000" w:rsidRDefault="004206B0">
            <w:pPr>
              <w:pStyle w:val="a3"/>
              <w:spacing w:before="0" w:beforeAutospacing="0" w:after="0" w:afterAutospacing="0"/>
              <w:jc w:val="right"/>
              <w:rPr>
                <w:rFonts w:ascii="Arial" w:hAnsi="Arial" w:cs="Arial"/>
                <w:sz w:val="20"/>
                <w:szCs w:val="20"/>
              </w:rPr>
            </w:pPr>
            <w:hyperlink w:anchor="form10" w:history="1">
              <w:r>
                <w:rPr>
                  <w:rStyle w:val="a4"/>
                  <w:rFonts w:ascii="Arial" w:hAnsi="Arial" w:cs="Arial"/>
                  <w:sz w:val="20"/>
                  <w:szCs w:val="20"/>
                </w:rPr>
                <w:t>35</w:t>
              </w:r>
            </w:hyperlink>
          </w:p>
        </w:tc>
      </w:tr>
    </w:tbl>
    <w:p w14:paraId="30D2F71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85DA737" w14:textId="77777777" w:rsidR="00000000" w:rsidRDefault="004206B0">
      <w:pPr>
        <w:jc w:val="center"/>
        <w:divId w:val="187186329"/>
        <w:rPr>
          <w:rFonts w:eastAsia="Times New Roman"/>
          <w:sz w:val="20"/>
          <w:szCs w:val="20"/>
        </w:rPr>
      </w:pPr>
      <w:r>
        <w:rPr>
          <w:rFonts w:eastAsia="Times New Roman"/>
          <w:sz w:val="20"/>
          <w:szCs w:val="20"/>
        </w:rPr>
        <w:t xml:space="preserve">  </w:t>
      </w:r>
    </w:p>
    <w:p w14:paraId="2BE4A081" w14:textId="77777777" w:rsidR="00000000" w:rsidRDefault="004206B0">
      <w:pPr>
        <w:divId w:val="1226530797"/>
        <w:rPr>
          <w:rFonts w:eastAsia="Times New Roman"/>
          <w:sz w:val="20"/>
          <w:szCs w:val="20"/>
        </w:rPr>
      </w:pPr>
      <w:r>
        <w:rPr>
          <w:rFonts w:eastAsia="Times New Roman"/>
          <w:sz w:val="20"/>
          <w:szCs w:val="20"/>
        </w:rPr>
        <w:pict w14:anchorId="32A52011">
          <v:rect id="_x0000_i1038" style="width:415.3pt;height:1.5pt" o:hralign="center" o:hrstd="t" o:hrnoshade="t" o:hr="t" fillcolor="black" stroked="f"/>
        </w:pict>
      </w:r>
    </w:p>
    <w:p w14:paraId="7CEE3F30" w14:textId="77777777" w:rsidR="00000000" w:rsidRDefault="004206B0">
      <w:pPr>
        <w:divId w:val="9510186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5AFB1BD5" w14:textId="77777777" w:rsidR="00000000" w:rsidRDefault="004206B0">
      <w:pPr>
        <w:divId w:val="1022441726"/>
        <w:rPr>
          <w:rFonts w:eastAsia="Times New Roman"/>
          <w:sz w:val="20"/>
          <w:szCs w:val="20"/>
        </w:rPr>
      </w:pPr>
      <w:r>
        <w:rPr>
          <w:rFonts w:eastAsia="Times New Roman"/>
          <w:sz w:val="20"/>
          <w:szCs w:val="20"/>
        </w:rPr>
        <w:t xml:space="preserve">  </w:t>
      </w:r>
    </w:p>
    <w:p w14:paraId="6E679CE8" w14:textId="77777777" w:rsidR="00000000" w:rsidRDefault="004206B0">
      <w:pPr>
        <w:divId w:val="74330600"/>
        <w:rPr>
          <w:rFonts w:eastAsia="Times New Roman"/>
          <w:sz w:val="20"/>
          <w:szCs w:val="20"/>
        </w:rPr>
      </w:pPr>
      <w:r>
        <w:rPr>
          <w:rFonts w:eastAsia="Times New Roman"/>
          <w:sz w:val="20"/>
          <w:szCs w:val="20"/>
        </w:rPr>
        <w:t xml:space="preserve">  </w:t>
      </w:r>
    </w:p>
    <w:p w14:paraId="17FB6B04" w14:textId="77777777" w:rsidR="00000000" w:rsidRDefault="004206B0">
      <w:pPr>
        <w:pStyle w:val="a3"/>
        <w:spacing w:before="0" w:beforeAutospacing="0" w:after="0" w:afterAutospacing="0"/>
        <w:rPr>
          <w:sz w:val="20"/>
          <w:szCs w:val="20"/>
        </w:rPr>
      </w:pPr>
      <w:r>
        <w:rPr>
          <w:sz w:val="20"/>
          <w:szCs w:val="20"/>
        </w:rPr>
        <w:t> </w:t>
      </w:r>
    </w:p>
    <w:p w14:paraId="2345405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PART I</w:t>
      </w:r>
    </w:p>
    <w:p w14:paraId="32C0F7F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FF54301"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1. Business.</w:t>
      </w:r>
    </w:p>
    <w:p w14:paraId="6F183E6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01EC25F"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Summary</w:t>
      </w:r>
    </w:p>
    <w:p w14:paraId="07137EF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1FABC6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issues units of beneficial interest, called “Shares,” representing fractional undivided beneficial interests in its net assets. The Trust’s assets consist of lon</w:t>
      </w:r>
      <w:r>
        <w:rPr>
          <w:rFonts w:ascii="Arial" w:hAnsi="Arial" w:cs="Arial"/>
          <w:sz w:val="20"/>
          <w:szCs w:val="20"/>
        </w:rPr>
        <w:t>g positions in exchange-traded index futures contracts of various expirations (the “Index Futures”) on the S&amp;P GSCI™ Excess Return Index, (the “S&amp;P GSCI-ER”) together with cash, U.S. Treasury securities or other short-term securities and similar securities</w:t>
      </w:r>
      <w:r>
        <w:rPr>
          <w:rFonts w:ascii="Arial" w:hAnsi="Arial" w:cs="Arial"/>
          <w:sz w:val="20"/>
          <w:szCs w:val="20"/>
        </w:rPr>
        <w:t xml:space="preserve"> that are eligible as margin deposits for those Index Futures positions (the “Collateral Assets”). The Trust seeks to track the results, before expenses and liabilities, of the S&amp;P GSCI Total Return Index (the “Index”), which represents a diversified, full</w:t>
      </w:r>
      <w:r>
        <w:rPr>
          <w:rFonts w:ascii="Arial" w:hAnsi="Arial" w:cs="Arial"/>
          <w:sz w:val="20"/>
          <w:szCs w:val="20"/>
        </w:rPr>
        <w:t>y collateralized investment in futures contracts.</w:t>
      </w:r>
    </w:p>
    <w:p w14:paraId="5B195EE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75AAE5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BlackRock Institutional Trust Company, N.A., an affiliate of the Sponsor, is the trus</w:t>
      </w:r>
      <w:r>
        <w:rPr>
          <w:rFonts w:ascii="Arial" w:hAnsi="Arial" w:cs="Arial"/>
          <w:sz w:val="20"/>
          <w:szCs w:val="20"/>
        </w:rPr>
        <w:t xml:space="preserve">tee of the Trust (the “Trustee”). The Trust is a commodity pool, as defined in the Commodity Exchange Act (the “CEA”) and the applicable regulations of the Commodity Futures Trading Commission (the “CFTC”), and is operated by the Sponsor, a commodity pool </w:t>
      </w:r>
      <w:r>
        <w:rPr>
          <w:rFonts w:ascii="Arial" w:hAnsi="Arial" w:cs="Arial"/>
          <w:sz w:val="20"/>
          <w:szCs w:val="20"/>
        </w:rPr>
        <w:t>operator registered with the CFTC. BlackRock Fund Advisors (the “Advisor”), an indirect subsidiary of BlackRock, Inc. (“BlackRock”), serves as the commodity trading advisor of the Trust and is registered with the CFTC. The Trust is not an investment compan</w:t>
      </w:r>
      <w:r>
        <w:rPr>
          <w:rFonts w:ascii="Arial" w:hAnsi="Arial" w:cs="Arial"/>
          <w:sz w:val="20"/>
          <w:szCs w:val="20"/>
        </w:rPr>
        <w:t>y registered under the Investment Company Act of 1940, as amended (the “Investment Company Act”). The Trust has delegated day-to-day administration of the Trust to the Trustee. The Trustee has delegated certain day-to-day administrative functions of the Tr</w:t>
      </w:r>
      <w:r>
        <w:rPr>
          <w:rFonts w:ascii="Arial" w:hAnsi="Arial" w:cs="Arial"/>
          <w:sz w:val="20"/>
          <w:szCs w:val="20"/>
        </w:rPr>
        <w:t>ustee to State Street Bank and Trust Company (the “Trust Administrator”). Wilmington Trust Company, a Delaware trust company, serves as the Delaware trustee of the Trust (the “Delaware Trustee”).</w:t>
      </w:r>
    </w:p>
    <w:p w14:paraId="6CDE309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2FA0E1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w:t>
      </w:r>
      <w:r>
        <w:rPr>
          <w:rFonts w:ascii="Arial" w:hAnsi="Arial" w:cs="Arial"/>
          <w:sz w:val="20"/>
          <w:szCs w:val="20"/>
        </w:rPr>
        <w:t>he Trust issues and redeems Shares only in one or more blocks of 50,000 Shares (“Baskets”). Only registered brokers-dealers who have entered into an authorized participant agreement with the Trust (each, an “Authorized Participant” and each such agreement,</w:t>
      </w:r>
      <w:r>
        <w:rPr>
          <w:rFonts w:ascii="Arial" w:hAnsi="Arial" w:cs="Arial"/>
          <w:sz w:val="20"/>
          <w:szCs w:val="20"/>
        </w:rPr>
        <w:t xml:space="preserve"> an “Authorized Participant Agreement”) may purchase or redeem Baskets, in exchange for Index Futures and Collateral Assets with an aggregate value equal to the net asset value per Share (“NAV”) of the Shares being purchased or redeemed. Owners of benefici</w:t>
      </w:r>
      <w:r>
        <w:rPr>
          <w:rFonts w:ascii="Arial" w:hAnsi="Arial" w:cs="Arial"/>
          <w:sz w:val="20"/>
          <w:szCs w:val="20"/>
        </w:rPr>
        <w:t xml:space="preserve">al interest in Shares (“Shareholders”) who are not Authorized Participants have no right to redeem their Shares. In order to liquidate their investment in the Shares, Shareholders who are not Authorized Participants must generally sell their Shares in the </w:t>
      </w:r>
      <w:r>
        <w:rPr>
          <w:rFonts w:ascii="Arial" w:hAnsi="Arial" w:cs="Arial"/>
          <w:sz w:val="20"/>
          <w:szCs w:val="20"/>
        </w:rPr>
        <w:t>secondary market, assuming that demand for their Shares exists. The price obtained by the Shareholders for the Shares may be less than the NAV of those Shares.</w:t>
      </w:r>
    </w:p>
    <w:p w14:paraId="6DFBFD2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72B5E6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activities of the Trust are generally limited to:</w:t>
      </w:r>
    </w:p>
    <w:p w14:paraId="55D0F62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59507D7C" w14:textId="77777777">
        <w:trPr>
          <w:tblCellSpacing w:w="0" w:type="dxa"/>
        </w:trPr>
        <w:tc>
          <w:tcPr>
            <w:tcW w:w="400" w:type="dxa"/>
            <w:vAlign w:val="center"/>
            <w:hideMark/>
          </w:tcPr>
          <w:p w14:paraId="4C80D9B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062D124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0A221A1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issuing Baskets in exchange for In</w:t>
            </w:r>
            <w:r>
              <w:rPr>
                <w:rFonts w:ascii="Arial" w:hAnsi="Arial" w:cs="Arial"/>
                <w:sz w:val="20"/>
                <w:szCs w:val="20"/>
              </w:rPr>
              <w:t>dex Futures and cash (or, in the discretion of the Sponsor, other Collateral Assets)</w:t>
            </w:r>
            <w:r>
              <w:rPr>
                <w:rFonts w:ascii="Arial" w:hAnsi="Arial" w:cs="Arial"/>
                <w:sz w:val="20"/>
                <w:szCs w:val="20"/>
              </w:rPr>
              <w:t>;</w:t>
            </w:r>
          </w:p>
        </w:tc>
      </w:tr>
    </w:tbl>
    <w:p w14:paraId="7FEAEB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7438B116" w14:textId="77777777">
        <w:trPr>
          <w:tblCellSpacing w:w="0" w:type="dxa"/>
        </w:trPr>
        <w:tc>
          <w:tcPr>
            <w:tcW w:w="400" w:type="dxa"/>
            <w:vAlign w:val="center"/>
            <w:hideMark/>
          </w:tcPr>
          <w:p w14:paraId="725FCEF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6094D86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493E406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consistent with its investment objective, establishing, maintaining and closing out positions in Index Futures and acquiring, holding and disposing of correspondin</w:t>
            </w:r>
            <w:r>
              <w:rPr>
                <w:rFonts w:ascii="Arial" w:hAnsi="Arial" w:cs="Arial"/>
                <w:sz w:val="20"/>
                <w:szCs w:val="20"/>
              </w:rPr>
              <w:t>g Collateral Assets</w:t>
            </w:r>
            <w:r>
              <w:rPr>
                <w:rFonts w:ascii="Arial" w:hAnsi="Arial" w:cs="Arial"/>
                <w:sz w:val="20"/>
                <w:szCs w:val="20"/>
              </w:rPr>
              <w:t>;</w:t>
            </w:r>
          </w:p>
        </w:tc>
      </w:tr>
    </w:tbl>
    <w:p w14:paraId="3DEE8FC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5F24CE3A" w14:textId="77777777">
        <w:trPr>
          <w:tblCellSpacing w:w="0" w:type="dxa"/>
        </w:trPr>
        <w:tc>
          <w:tcPr>
            <w:tcW w:w="400" w:type="dxa"/>
            <w:vAlign w:val="center"/>
            <w:hideMark/>
          </w:tcPr>
          <w:p w14:paraId="040DB536" w14:textId="77777777" w:rsidR="00000000" w:rsidRDefault="004206B0">
            <w:pPr>
              <w:rPr>
                <w:rFonts w:ascii="Arial" w:eastAsia="Times New Roman" w:hAnsi="Arial" w:cs="Arial"/>
                <w:sz w:val="20"/>
                <w:szCs w:val="20"/>
              </w:rPr>
            </w:pPr>
            <w:r>
              <w:rPr>
                <w:rFonts w:ascii="Arial" w:eastAsia="Times New Roman" w:hAnsi="Arial" w:cs="Arial"/>
                <w:sz w:val="20"/>
                <w:szCs w:val="20"/>
              </w:rPr>
              <w:lastRenderedPageBreak/>
              <w:t> </w:t>
            </w:r>
          </w:p>
        </w:tc>
        <w:tc>
          <w:tcPr>
            <w:tcW w:w="360" w:type="dxa"/>
            <w:hideMark/>
          </w:tcPr>
          <w:p w14:paraId="1CED80C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E7239E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paying out of its assets any expenses and liabilities of the Trust not assumed by the Sponsor</w:t>
            </w:r>
            <w:r>
              <w:rPr>
                <w:rFonts w:ascii="Arial" w:hAnsi="Arial" w:cs="Arial"/>
                <w:sz w:val="20"/>
                <w:szCs w:val="20"/>
              </w:rPr>
              <w:t>;</w:t>
            </w:r>
            <w:r>
              <w:rPr>
                <w:rFonts w:ascii="Arial" w:hAnsi="Arial" w:cs="Arial"/>
                <w:sz w:val="20"/>
                <w:szCs w:val="20"/>
              </w:rPr>
              <w:t> and</w:t>
            </w:r>
          </w:p>
        </w:tc>
      </w:tr>
    </w:tbl>
    <w:p w14:paraId="2208697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256913FD" w14:textId="77777777">
        <w:trPr>
          <w:tblCellSpacing w:w="0" w:type="dxa"/>
        </w:trPr>
        <w:tc>
          <w:tcPr>
            <w:tcW w:w="400" w:type="dxa"/>
            <w:vAlign w:val="center"/>
            <w:hideMark/>
          </w:tcPr>
          <w:p w14:paraId="37C24D9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3426D05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013DF4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delivering proceeds consisting of Index Futures, cash and other Collateral Assets in exchange for Baskets surrendered for redemption.</w:t>
            </w:r>
          </w:p>
        </w:tc>
      </w:tr>
    </w:tbl>
    <w:p w14:paraId="4B30940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1AC609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is a passive investor in Index Futures and the Collateral Assets held to satisfy applicable margin requiremen</w:t>
      </w:r>
      <w:r>
        <w:rPr>
          <w:rFonts w:ascii="Arial" w:hAnsi="Arial" w:cs="Arial"/>
          <w:sz w:val="20"/>
          <w:szCs w:val="20"/>
        </w:rPr>
        <w:t>ts on those Index Futures positions. The Advisor acts as the commodity trading advisor for the Trust and is authorized to transact in Index Futures and acquire and dispose of the related Collateral Assets on the Trust’s behalf. The Trust does not engage in</w:t>
      </w:r>
      <w:r>
        <w:rPr>
          <w:rFonts w:ascii="Arial" w:hAnsi="Arial" w:cs="Arial"/>
          <w:sz w:val="20"/>
          <w:szCs w:val="20"/>
        </w:rPr>
        <w:t xml:space="preserve"> any activities designed to obtain a profit from, or to ameliorate losses caused by, changes in the level of the Index or the S&amp;P GSCI-ER or the value of the Collateral Assets. To the extent that the Trust accepts cash proceeds in connection with the creat</w:t>
      </w:r>
      <w:r>
        <w:rPr>
          <w:rFonts w:ascii="Arial" w:hAnsi="Arial" w:cs="Arial"/>
          <w:sz w:val="20"/>
          <w:szCs w:val="20"/>
        </w:rPr>
        <w:t>ion of Shares, the Trust will use that cash to purchase additional Index Futures and Collateral Assets, in an amount that the Advisor determines will enable the Trust to achieve investment results that correspond with the Index. As of the date of this repo</w:t>
      </w:r>
      <w:r>
        <w:rPr>
          <w:rFonts w:ascii="Arial" w:hAnsi="Arial" w:cs="Arial"/>
          <w:sz w:val="20"/>
          <w:szCs w:val="20"/>
        </w:rPr>
        <w:t>rt, the Index Futures held by the Trust are listed for trading by the Chicago Mercantile Exchange, Inc. (the “CME”), which is owned and operated by the CME Group, Inc. Subsequent Index Futures held by the Trust may be listed on other futures exchanges (the</w:t>
      </w:r>
      <w:r>
        <w:rPr>
          <w:rFonts w:ascii="Arial" w:hAnsi="Arial" w:cs="Arial"/>
          <w:sz w:val="20"/>
          <w:szCs w:val="20"/>
        </w:rPr>
        <w:t xml:space="preserve"> CME or any such other futures exchange listing Index Futures, the “Exchange”). At any time when Index Futures of more than one expiration are listed on the Exchange, the Sponsor will determine, pursuant to the terms of the trust agreement of the Trust (th</w:t>
      </w:r>
      <w:r>
        <w:rPr>
          <w:rFonts w:ascii="Arial" w:hAnsi="Arial" w:cs="Arial"/>
          <w:sz w:val="20"/>
          <w:szCs w:val="20"/>
        </w:rPr>
        <w:t>e “Trust Agreement”), which Index Futures will be transferred in connection with either the creation or redemption of Baskets.</w:t>
      </w:r>
    </w:p>
    <w:p w14:paraId="6D0308C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873A3E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maintains a website at www.ishares.com, through which the Trust’s monthly account statements, annual report on Form</w:t>
      </w:r>
      <w:r>
        <w:rPr>
          <w:rFonts w:ascii="Arial" w:hAnsi="Arial" w:cs="Arial"/>
          <w:sz w:val="20"/>
          <w:szCs w:val="20"/>
        </w:rPr>
        <w:t xml:space="preserve"> 10-K, quarterly reports on Form 10</w:t>
      </w:r>
      <w:r>
        <w:rPr>
          <w:rFonts w:ascii="Arial" w:hAnsi="Arial" w:cs="Arial"/>
          <w:sz w:val="20"/>
          <w:szCs w:val="20"/>
        </w:rPr>
        <w:noBreakHyphen/>
        <w:t>Q, current reports on Form 8-K and amendments to those reports filed or furnished pursuant to Section 13(a) or 15(d) of the Securities Exchange Act of 1934, as amended (“Exchange Act”), can be accessed free of charge, as</w:t>
      </w:r>
      <w:r>
        <w:rPr>
          <w:rFonts w:ascii="Arial" w:hAnsi="Arial" w:cs="Arial"/>
          <w:sz w:val="20"/>
          <w:szCs w:val="20"/>
        </w:rPr>
        <w:t xml:space="preserve"> soon as reasonably practicable after such material is electronically filed with, or furnished to, the Securities and Exchange Commission (“SEC”). Additional information regarding the Trust may also be found on the SEC website at www.sec.gov.</w:t>
      </w:r>
    </w:p>
    <w:p w14:paraId="77640CB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448B7F9"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 xml:space="preserve">Investment </w:t>
      </w:r>
      <w:r>
        <w:rPr>
          <w:rFonts w:ascii="Arial" w:hAnsi="Arial" w:cs="Arial"/>
          <w:b/>
          <w:bCs/>
          <w:sz w:val="20"/>
          <w:szCs w:val="20"/>
        </w:rPr>
        <w:t>Objective of the Trust</w:t>
      </w:r>
    </w:p>
    <w:p w14:paraId="04C6B01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55E13A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The Trust seeks to track the investment returns of the Index before fe</w:t>
      </w:r>
      <w:r>
        <w:rPr>
          <w:rFonts w:ascii="Arial" w:hAnsi="Arial" w:cs="Arial"/>
          <w:sz w:val="20"/>
          <w:szCs w:val="20"/>
        </w:rPr>
        <w:t xml:space="preserve">es and expenses of the Trust. The Trust seeks to achieve its investment objective by holding long positions in Index Futures that have settlement values at expiration based on the level of the S&amp;P GSCI-ER at that time, and earning interest on its non-cash </w:t>
      </w:r>
      <w:r>
        <w:rPr>
          <w:rFonts w:ascii="Arial" w:hAnsi="Arial" w:cs="Arial"/>
          <w:sz w:val="20"/>
          <w:szCs w:val="20"/>
        </w:rPr>
        <w:t>Collateral Assets used to satisfy applicable margin requirements on those Index Futures positions.</w:t>
      </w:r>
    </w:p>
    <w:p w14:paraId="152501C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7C2F348" w14:textId="77777777" w:rsidR="00000000" w:rsidRDefault="004206B0">
      <w:pPr>
        <w:jc w:val="center"/>
        <w:divId w:val="1703551275"/>
        <w:rPr>
          <w:rFonts w:ascii="Arial" w:eastAsia="Times New Roman" w:hAnsi="Arial" w:cs="Arial"/>
          <w:sz w:val="20"/>
          <w:szCs w:val="20"/>
        </w:rPr>
      </w:pPr>
      <w:r>
        <w:rPr>
          <w:rFonts w:ascii="Arial" w:eastAsia="Times New Roman" w:hAnsi="Arial" w:cs="Arial"/>
          <w:sz w:val="20"/>
          <w:szCs w:val="20"/>
        </w:rPr>
        <w:t xml:space="preserve">1 </w:t>
      </w:r>
    </w:p>
    <w:p w14:paraId="1CFBFAE2" w14:textId="77777777" w:rsidR="00000000" w:rsidRDefault="004206B0">
      <w:pPr>
        <w:divId w:val="911357954"/>
        <w:rPr>
          <w:rFonts w:eastAsia="Times New Roman"/>
          <w:sz w:val="20"/>
          <w:szCs w:val="20"/>
        </w:rPr>
      </w:pPr>
      <w:r>
        <w:rPr>
          <w:rFonts w:eastAsia="Times New Roman"/>
          <w:sz w:val="20"/>
          <w:szCs w:val="20"/>
        </w:rPr>
        <w:pict w14:anchorId="03CBEE7E">
          <v:rect id="_x0000_i1039" style="width:415.3pt;height:1.5pt" o:hralign="center" o:hrstd="t" o:hrnoshade="t" o:hr="t" fillcolor="black" stroked="f"/>
        </w:pict>
      </w:r>
    </w:p>
    <w:p w14:paraId="09D46EE5" w14:textId="77777777" w:rsidR="00000000" w:rsidRDefault="004206B0">
      <w:pPr>
        <w:divId w:val="281152351"/>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35AF02E9" w14:textId="77777777" w:rsidR="00000000" w:rsidRDefault="004206B0">
      <w:pPr>
        <w:pStyle w:val="a3"/>
        <w:spacing w:before="0" w:beforeAutospacing="0" w:after="0" w:afterAutospacing="0"/>
        <w:rPr>
          <w:sz w:val="20"/>
          <w:szCs w:val="20"/>
        </w:rPr>
      </w:pPr>
      <w:r>
        <w:rPr>
          <w:sz w:val="20"/>
          <w:szCs w:val="20"/>
        </w:rPr>
        <w:t> </w:t>
      </w:r>
    </w:p>
    <w:p w14:paraId="160F759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S&amp;P GSCI-ER is calculated based on the same commodities that are included in the S&amp;P GSCI™ Commod</w:t>
      </w:r>
      <w:r>
        <w:rPr>
          <w:rFonts w:ascii="Arial" w:hAnsi="Arial" w:cs="Arial"/>
          <w:sz w:val="20"/>
          <w:szCs w:val="20"/>
        </w:rPr>
        <w:t>ity Index (the “S&amp;P GSCI™”), which is a production</w:t>
      </w:r>
      <w:r>
        <w:rPr>
          <w:rFonts w:ascii="Arial" w:hAnsi="Arial" w:cs="Arial"/>
          <w:sz w:val="20"/>
          <w:szCs w:val="20"/>
        </w:rPr>
        <w:noBreakHyphen/>
        <w:t>weighted index of the prices of a diversified group of futures contracts on physical commodities. The S&amp;P GSCI-ER reflects the return of an uncollateralized investment in the contracts comprising the S&amp;P G</w:t>
      </w:r>
      <w:r>
        <w:rPr>
          <w:rFonts w:ascii="Arial" w:hAnsi="Arial" w:cs="Arial"/>
          <w:sz w:val="20"/>
          <w:szCs w:val="20"/>
        </w:rPr>
        <w:t>SCI™, and in addition incorporates the economic effect of rolling the contracts included in the S&amp;P GSCI™ as they near expiration. Rolling a futures contract means closing out a position in an expiring futures contract and establishing an equivalent positi</w:t>
      </w:r>
      <w:r>
        <w:rPr>
          <w:rFonts w:ascii="Arial" w:hAnsi="Arial" w:cs="Arial"/>
          <w:sz w:val="20"/>
          <w:szCs w:val="20"/>
        </w:rPr>
        <w:t>on in a replacement futures contract on the same commodity.</w:t>
      </w:r>
    </w:p>
    <w:p w14:paraId="6A1E1C1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0292F3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Index, in turn, reflects the return of the S&amp;P GSCI-ER, together with the return on specified U.S. Treasury securities that are deemed to have been held to collateralize a hypothetical long </w:t>
      </w:r>
      <w:r>
        <w:rPr>
          <w:rFonts w:ascii="Arial" w:hAnsi="Arial" w:cs="Arial"/>
          <w:sz w:val="20"/>
          <w:szCs w:val="20"/>
        </w:rPr>
        <w:t>position in the futures contracts comprising the S&amp;P GSCI™. If the index sponsor, which is S&amp;P Dow Jones Indices LLC (the “Index Sponsor”), ceases to maintain the Index, the Trust may seek investment results that correspond generally, but are not necessari</w:t>
      </w:r>
      <w:r>
        <w:rPr>
          <w:rFonts w:ascii="Arial" w:hAnsi="Arial" w:cs="Arial"/>
          <w:sz w:val="20"/>
          <w:szCs w:val="20"/>
        </w:rPr>
        <w:t>ly identical, to the performance of a fully collateralized investment in a successor index or any other index that, in the opinion of the Sponsor, is reasonably similar to the Index.</w:t>
      </w:r>
    </w:p>
    <w:p w14:paraId="67064BE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79A590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When establishing positions in Index Futures, the Advisor estimates as of the date of this report that the Trust will be required to deposit initial margin with a value of approximately 3% to 10% of the value of each Index Futures position at the time it i</w:t>
      </w:r>
      <w:r>
        <w:rPr>
          <w:rFonts w:ascii="Arial" w:hAnsi="Arial" w:cs="Arial"/>
          <w:sz w:val="20"/>
          <w:szCs w:val="20"/>
        </w:rPr>
        <w:t>s established. These margin requirements are subject to change from time to time by the Exchange or Goldman Sachs &amp; Co. LLC (“Goldman Sachs”), the clearing futures commission merchant (the “Clearing FCM”). Margin requirements established by the Clearing FC</w:t>
      </w:r>
      <w:r>
        <w:rPr>
          <w:rFonts w:ascii="Arial" w:hAnsi="Arial" w:cs="Arial"/>
          <w:sz w:val="20"/>
          <w:szCs w:val="20"/>
        </w:rPr>
        <w:t>M may exceed minimum levels established by the Exchange. On a daily basis, the Trust is obligated to pay, or entitled to receive, variation margin in an amount equal to the change in the daily settlement level of its Index Futures positions. If the daily s</w:t>
      </w:r>
      <w:r>
        <w:rPr>
          <w:rFonts w:ascii="Arial" w:hAnsi="Arial" w:cs="Arial"/>
          <w:sz w:val="20"/>
          <w:szCs w:val="20"/>
        </w:rPr>
        <w:t xml:space="preserve">ettlement level causes the value of the Trust’s Index Futures positions to decrease, the Trust is required to post variation margin with the Clearing FCM. Conversely, if the daily settlement level causes the value of the Trust’s Index Futures positions to </w:t>
      </w:r>
      <w:r>
        <w:rPr>
          <w:rFonts w:ascii="Arial" w:hAnsi="Arial" w:cs="Arial"/>
          <w:sz w:val="20"/>
          <w:szCs w:val="20"/>
        </w:rPr>
        <w:t>increase, the Trust’s account with the Clearing FCM receives variation margin in an amount equal to the increase.</w:t>
      </w:r>
    </w:p>
    <w:p w14:paraId="775603E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9E1D00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Whenever Index Futures of different types or expirations are available for investment, the Sponsor determines, pursuant to the terms of the </w:t>
      </w:r>
      <w:r>
        <w:rPr>
          <w:rFonts w:ascii="Arial" w:hAnsi="Arial" w:cs="Arial"/>
          <w:sz w:val="20"/>
          <w:szCs w:val="20"/>
        </w:rPr>
        <w:t>Trust Agreement, which Index Futures are to be transferred in connection with either the creation or redemption of Baskets. The Trust does not engage in any activities designed to obtain a profit from, or to ameliorate losses caused by, changes in the leve</w:t>
      </w:r>
      <w:r>
        <w:rPr>
          <w:rFonts w:ascii="Arial" w:hAnsi="Arial" w:cs="Arial"/>
          <w:sz w:val="20"/>
          <w:szCs w:val="20"/>
        </w:rPr>
        <w:t>l of the Index or the S&amp;P GSCI-ER or the value of the Collateral Assets.</w:t>
      </w:r>
    </w:p>
    <w:p w14:paraId="26F74FA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8B8683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profit or loss on the Trust’s Index Futures positions should correlate with increases and decreases in the value of the S&amp;P GSCI-ER, although this correlation is not expected to</w:t>
      </w:r>
      <w:r>
        <w:rPr>
          <w:rFonts w:ascii="Arial" w:hAnsi="Arial" w:cs="Arial"/>
          <w:sz w:val="20"/>
          <w:szCs w:val="20"/>
        </w:rPr>
        <w:t xml:space="preserve"> be exact. The return on the Index Futures, together with interest on the non-cash Collateral Assets, is expected to result in a total return that corresponds generally, but is not identical, to the Index. Differences between the returns on the Shares and </w:t>
      </w:r>
      <w:r>
        <w:rPr>
          <w:rFonts w:ascii="Arial" w:hAnsi="Arial" w:cs="Arial"/>
          <w:sz w:val="20"/>
          <w:szCs w:val="20"/>
        </w:rPr>
        <w:t>the performance of the Index may be based on, among other factors, differences between the return on the Collateral Assets and the U.S. Treasury rate used to calculate the U.S. Treasury return component of the Index, timing differences, differences between</w:t>
      </w:r>
      <w:r>
        <w:rPr>
          <w:rFonts w:ascii="Arial" w:hAnsi="Arial" w:cs="Arial"/>
          <w:sz w:val="20"/>
          <w:szCs w:val="20"/>
        </w:rPr>
        <w:t xml:space="preserve"> the portion of the Trust’s assets invested in Index Futures versus the portion of the return of the Index contributed by the S&amp;P GSCI-ER, differences between the settlement price of Index Futures and the closing level of the S&amp;P GSCI-ER and the payment of</w:t>
      </w:r>
      <w:r>
        <w:rPr>
          <w:rFonts w:ascii="Arial" w:hAnsi="Arial" w:cs="Arial"/>
          <w:sz w:val="20"/>
          <w:szCs w:val="20"/>
        </w:rPr>
        <w:t xml:space="preserve"> expenses and liabilities by the Trust.</w:t>
      </w:r>
    </w:p>
    <w:p w14:paraId="558364B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CBCA79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Advisor acts as the commodity trading advisor for the Trust. The Advisor, on behalf of the Trust, is authorized to invest all of the Trust’s assets in long positions in Index Futures and in Collateral Assets in</w:t>
      </w:r>
      <w:r>
        <w:rPr>
          <w:rFonts w:ascii="Arial" w:hAnsi="Arial" w:cs="Arial"/>
          <w:sz w:val="20"/>
          <w:szCs w:val="20"/>
        </w:rPr>
        <w:t xml:space="preserve"> order to satisfy applicable margin requirements on those Index Futures positions. Any cash that the Trust accepts in connection with the creation of Shares is used to purchase additional Index Futures or Collateral Assets in an amount that the Advisor det</w:t>
      </w:r>
      <w:r>
        <w:rPr>
          <w:rFonts w:ascii="Arial" w:hAnsi="Arial" w:cs="Arial"/>
          <w:sz w:val="20"/>
          <w:szCs w:val="20"/>
        </w:rPr>
        <w:t xml:space="preserve">ermines will enable the Trust to achieve investment results that correspond with the Index, before the payment of the Trust’s expenses and liabilities. The Advisor does not engage in any activities designed to obtain a profit from, or to ameliorate losses </w:t>
      </w:r>
      <w:r>
        <w:rPr>
          <w:rFonts w:ascii="Arial" w:hAnsi="Arial" w:cs="Arial"/>
          <w:sz w:val="20"/>
          <w:szCs w:val="20"/>
        </w:rPr>
        <w:t>caused by, changes in the level of the Index or the S&amp;P GSCI-ER or the value of the Collateral Assets.</w:t>
      </w:r>
    </w:p>
    <w:p w14:paraId="5C76FC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BC7DC4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Due to creation or redemption activity or expenses incurred in the Trust, the notional value of Index Futures held may, at times, exceed the aggregate </w:t>
      </w:r>
      <w:r>
        <w:rPr>
          <w:rFonts w:ascii="Arial" w:hAnsi="Arial" w:cs="Arial"/>
          <w:sz w:val="20"/>
          <w:szCs w:val="20"/>
        </w:rPr>
        <w:t>value of the Trust’s assets. In such instances the Advisor may elect, in such a manner as the Advisor determines will enable the Trust to achieve investment results that correspond to the Index before the payment of the Trust’s expenses and liabilities, to</w:t>
      </w:r>
      <w:r>
        <w:rPr>
          <w:rFonts w:ascii="Arial" w:hAnsi="Arial" w:cs="Arial"/>
          <w:sz w:val="20"/>
          <w:szCs w:val="20"/>
        </w:rPr>
        <w:t xml:space="preserve"> dispose of Index Futures to reduce the Trust’s notional exposure to Index Futures or continue to hold Index Futures in a notional amount that exceeds the aggregate value of the Trust’s assets until additional creation or redemption activity or trading ali</w:t>
      </w:r>
      <w:r>
        <w:rPr>
          <w:rFonts w:ascii="Arial" w:hAnsi="Arial" w:cs="Arial"/>
          <w:sz w:val="20"/>
          <w:szCs w:val="20"/>
        </w:rPr>
        <w:t>gns the notional value of the Index Futures with the corresponding collateral holdings.</w:t>
      </w:r>
    </w:p>
    <w:p w14:paraId="1D5B47F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1E3DDD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Shares are intended to constitute an alternative means for investors to achieve investment exposure to the performance of the Index. Although the Shares are not t</w:t>
      </w:r>
      <w:r>
        <w:rPr>
          <w:rFonts w:ascii="Arial" w:hAnsi="Arial" w:cs="Arial"/>
          <w:sz w:val="20"/>
          <w:szCs w:val="20"/>
        </w:rPr>
        <w:t>he exact equivalent of an investment in the underlying futures contracts and U.S. Treasury securities represented by the Index, the Shares are intended to provide investors with an alternative method of participating in the commodities market. In addition,</w:t>
      </w:r>
      <w:r>
        <w:rPr>
          <w:rFonts w:ascii="Arial" w:hAnsi="Arial" w:cs="Arial"/>
          <w:sz w:val="20"/>
          <w:szCs w:val="20"/>
        </w:rPr>
        <w:t xml:space="preserve"> retail investors can gain exposure to the commodities underlying the S&amp;P GSCI-ER by purchasing individual or small lots of Shares through traditional brokerage accounts, without being subject to the significantly higher minimum contract sizes required for</w:t>
      </w:r>
      <w:r>
        <w:rPr>
          <w:rFonts w:ascii="Arial" w:hAnsi="Arial" w:cs="Arial"/>
          <w:sz w:val="20"/>
          <w:szCs w:val="20"/>
        </w:rPr>
        <w:t xml:space="preserve"> directly establishing a position in the underlying commodities or futures contracts. The Shares are eligible for margin accounts.</w:t>
      </w:r>
    </w:p>
    <w:p w14:paraId="2DC158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D73655F"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Secondary Market Trading</w:t>
      </w:r>
    </w:p>
    <w:p w14:paraId="7F04D1C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6F0278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While the Trust anticipates that the price of the Shares will fluctuate in a manner that reflect</w:t>
      </w:r>
      <w:r>
        <w:rPr>
          <w:rFonts w:ascii="Arial" w:hAnsi="Arial" w:cs="Arial"/>
          <w:sz w:val="20"/>
          <w:szCs w:val="20"/>
        </w:rPr>
        <w:t xml:space="preserve">s changes in the Trust’s net asset value over time, at any given time the Shares may trade at, above or below the NAV. The NAV fluctuates primarily with changes in the market value of Index Futures. The NAV may also be affected as a result of fluctuations </w:t>
      </w:r>
      <w:r>
        <w:rPr>
          <w:rFonts w:ascii="Arial" w:hAnsi="Arial" w:cs="Arial"/>
          <w:sz w:val="20"/>
          <w:szCs w:val="20"/>
        </w:rPr>
        <w:t>in the value of Collateral Assets, but this fluctuation is not expected to be significant because the Collateral Assets are expected to consist of cash and U.S. Treasury securities. The trading price of the Shares fluctuates in accordance with changes in t</w:t>
      </w:r>
      <w:r>
        <w:rPr>
          <w:rFonts w:ascii="Arial" w:hAnsi="Arial" w:cs="Arial"/>
          <w:sz w:val="20"/>
          <w:szCs w:val="20"/>
        </w:rPr>
        <w:t>he NAV, intraday changes in the value of the Index Futures and market supply and demand. The amount of the discount or premium in the trading price relative to the NAV may be influenced by non-concurrent trading hours between NYSE Arca, Inc. (“NYSE Arca”),</w:t>
      </w:r>
      <w:r>
        <w:rPr>
          <w:rFonts w:ascii="Arial" w:hAnsi="Arial" w:cs="Arial"/>
          <w:sz w:val="20"/>
          <w:szCs w:val="20"/>
        </w:rPr>
        <w:t xml:space="preserve"> the exchange on which the Shares trade, the Exchanges on which Index Futures trade and the principal commodities markets on which the futures contracts in the S&amp;P GSCI-ER trade. While the Shares are expected to trade on NYSE Arca until 4:00 p.m. (New York</w:t>
      </w:r>
      <w:r>
        <w:rPr>
          <w:rFonts w:ascii="Arial" w:hAnsi="Arial" w:cs="Arial"/>
          <w:sz w:val="20"/>
          <w:szCs w:val="20"/>
        </w:rPr>
        <w:t xml:space="preserve"> time), liquidity in the markets for the Index Futures and the futures contracts underlying the S&amp;P GSCI-ER is expected to be reduced whenever the principal markets for these contracts are closed. As a result, trading spreads, and the resulting premium or </w:t>
      </w:r>
      <w:r>
        <w:rPr>
          <w:rFonts w:ascii="Arial" w:hAnsi="Arial" w:cs="Arial"/>
          <w:sz w:val="20"/>
          <w:szCs w:val="20"/>
        </w:rPr>
        <w:t>discount on the Shares, may widen during these gaps in market trading hours.</w:t>
      </w:r>
    </w:p>
    <w:p w14:paraId="7629C32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B30B045" w14:textId="77777777" w:rsidR="00000000" w:rsidRDefault="004206B0">
      <w:pPr>
        <w:jc w:val="center"/>
        <w:divId w:val="723217666"/>
        <w:rPr>
          <w:rFonts w:ascii="Arial" w:eastAsia="Times New Roman" w:hAnsi="Arial" w:cs="Arial"/>
          <w:sz w:val="20"/>
          <w:szCs w:val="20"/>
        </w:rPr>
      </w:pPr>
      <w:r>
        <w:rPr>
          <w:rFonts w:ascii="Arial" w:eastAsia="Times New Roman" w:hAnsi="Arial" w:cs="Arial"/>
          <w:sz w:val="20"/>
          <w:szCs w:val="20"/>
        </w:rPr>
        <w:t xml:space="preserve">2 </w:t>
      </w:r>
    </w:p>
    <w:p w14:paraId="55E71FB5" w14:textId="77777777" w:rsidR="00000000" w:rsidRDefault="004206B0">
      <w:pPr>
        <w:divId w:val="1926064249"/>
        <w:rPr>
          <w:rFonts w:eastAsia="Times New Roman"/>
          <w:sz w:val="20"/>
          <w:szCs w:val="20"/>
        </w:rPr>
      </w:pPr>
      <w:r>
        <w:rPr>
          <w:rFonts w:eastAsia="Times New Roman"/>
          <w:sz w:val="20"/>
          <w:szCs w:val="20"/>
        </w:rPr>
        <w:pict w14:anchorId="418901BC">
          <v:rect id="_x0000_i1040" style="width:415.3pt;height:1.5pt" o:hralign="center" o:hrstd="t" o:hrnoshade="t" o:hr="t" fillcolor="black" stroked="f"/>
        </w:pict>
      </w:r>
    </w:p>
    <w:p w14:paraId="1EB83806" w14:textId="77777777" w:rsidR="00000000" w:rsidRDefault="004206B0">
      <w:pPr>
        <w:divId w:val="298611696"/>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1C4A0CC8" w14:textId="77777777" w:rsidR="00000000" w:rsidRDefault="004206B0">
      <w:pPr>
        <w:pStyle w:val="a3"/>
        <w:spacing w:before="0" w:beforeAutospacing="0" w:after="0" w:afterAutospacing="0"/>
        <w:rPr>
          <w:sz w:val="20"/>
          <w:szCs w:val="20"/>
        </w:rPr>
      </w:pPr>
      <w:r>
        <w:rPr>
          <w:sz w:val="20"/>
          <w:szCs w:val="20"/>
        </w:rPr>
        <w:t> </w:t>
      </w:r>
    </w:p>
    <w:p w14:paraId="5FD91CE3"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sz w:val="20"/>
          <w:szCs w:val="20"/>
        </w:rPr>
        <w:t>;</w:t>
      </w:r>
      <w:r>
        <w:rPr>
          <w:rFonts w:ascii="Arial" w:hAnsi="Arial" w:cs="Arial"/>
          <w:sz w:val="20"/>
          <w:szCs w:val="20"/>
        </w:rPr>
        <w:t xml:space="preserve"> </w:t>
      </w:r>
      <w:r>
        <w:rPr>
          <w:rFonts w:ascii="Arial" w:hAnsi="Arial" w:cs="Arial"/>
          <w:b/>
          <w:bCs/>
          <w:sz w:val="20"/>
          <w:szCs w:val="20"/>
        </w:rPr>
        <w:t>C</w:t>
      </w:r>
      <w:r>
        <w:rPr>
          <w:rFonts w:ascii="Arial" w:hAnsi="Arial" w:cs="Arial"/>
          <w:b/>
          <w:bCs/>
          <w:sz w:val="20"/>
          <w:szCs w:val="20"/>
        </w:rPr>
        <w:t>omputation of the Trust</w:t>
      </w:r>
      <w:r>
        <w:rPr>
          <w:rFonts w:ascii="Arial" w:hAnsi="Arial" w:cs="Arial"/>
          <w:sz w:val="20"/>
          <w:szCs w:val="20"/>
        </w:rPr>
        <w:t>’</w:t>
      </w:r>
      <w:r>
        <w:rPr>
          <w:rFonts w:ascii="Arial" w:hAnsi="Arial" w:cs="Arial"/>
          <w:b/>
          <w:bCs/>
          <w:sz w:val="20"/>
          <w:szCs w:val="20"/>
        </w:rPr>
        <w:t>s Net Asset Value</w:t>
      </w:r>
    </w:p>
    <w:p w14:paraId="27360E3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FCB9D4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delegated to the Trustee under the Trust Agreement. The Trustee determines the net asset value of th</w:t>
      </w:r>
      <w:r>
        <w:rPr>
          <w:rFonts w:ascii="Arial" w:hAnsi="Arial" w:cs="Arial"/>
          <w:sz w:val="20"/>
          <w:szCs w:val="20"/>
        </w:rPr>
        <w:t>e Trust and the NAV as of 4:00 p.m. (New York time), on each Business Day on which NYSE Arca is open for regular trading, as soon as practicable after that time. A Business Day is a day (1) on which none of the following occurs: (a) NYSE Arca is closed for</w:t>
      </w:r>
      <w:r>
        <w:rPr>
          <w:rFonts w:ascii="Arial" w:hAnsi="Arial" w:cs="Arial"/>
          <w:sz w:val="20"/>
          <w:szCs w:val="20"/>
        </w:rPr>
        <w:t xml:space="preserve"> regular trading, (b) the Exchange is closed for regular trading or (c) the Federal Reserve wire transfer system is closed for cash wire transfers, or (2) that the Trustee determines that it is able to conduct business.</w:t>
      </w:r>
    </w:p>
    <w:p w14:paraId="215DBC6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412A9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Trustee values the Trust’s lon</w:t>
      </w:r>
      <w:r>
        <w:rPr>
          <w:rFonts w:ascii="Arial" w:hAnsi="Arial" w:cs="Arial"/>
          <w:sz w:val="20"/>
          <w:szCs w:val="20"/>
        </w:rPr>
        <w:t>g positions in Index Futures on the basis of that day’s settlement prices for the Index Futures held by the Trust as announced by the applicable Exchange. The value of the Trust’s positions in any particular Index Futures contract equals the product of (1)</w:t>
      </w:r>
      <w:r>
        <w:rPr>
          <w:rFonts w:ascii="Arial" w:hAnsi="Arial" w:cs="Arial"/>
          <w:sz w:val="20"/>
          <w:szCs w:val="20"/>
        </w:rPr>
        <w:t xml:space="preserve"> the number of such Index Futures contracts owned by the Trust, (2) the settlement price of such Index Futures contract on the date of calculation and (3) the multiplier of such Index Futures contract. If there is no announced settlement price for a partic</w:t>
      </w:r>
      <w:r>
        <w:rPr>
          <w:rFonts w:ascii="Arial" w:hAnsi="Arial" w:cs="Arial"/>
          <w:sz w:val="20"/>
          <w:szCs w:val="20"/>
        </w:rPr>
        <w:t>ular Index Futures contract on a Business Day, the Trustee uses the most recently announced settlement price unless the Trustee, in consultation with the Sponsor, determines that such price is inappropriate as a basis for valuation. The daily settlement pr</w:t>
      </w:r>
      <w:r>
        <w:rPr>
          <w:rFonts w:ascii="Arial" w:hAnsi="Arial" w:cs="Arial"/>
          <w:sz w:val="20"/>
          <w:szCs w:val="20"/>
        </w:rPr>
        <w:t>ice for each Index Futures contract currently held by the Trust is established on each trading day, generally at 2:40 p.m. (New York time), by the CME Group Inc., and its designed contract markets, including the CME, CBOT (Board of Trade of the City of Chi</w:t>
      </w:r>
      <w:r>
        <w:rPr>
          <w:rFonts w:ascii="Arial" w:hAnsi="Arial" w:cs="Arial"/>
          <w:sz w:val="20"/>
          <w:szCs w:val="20"/>
        </w:rPr>
        <w:t>cago, Inc.), NYMEX (New York Mercantile Exchange), COMEX and KCBT (the “CME Group”) staff.</w:t>
      </w:r>
    </w:p>
    <w:p w14:paraId="7B03D99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DBE5E5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current market value, if quotations for such property are readily available or (2) its fair value, as reasonably determined by the Trustee, if the current market value cannot be determined.</w:t>
      </w:r>
    </w:p>
    <w:p w14:paraId="6B36720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2C1F78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On</w:t>
      </w:r>
      <w:r>
        <w:rPr>
          <w:rFonts w:ascii="Arial" w:hAnsi="Arial" w:cs="Arial"/>
          <w:sz w:val="20"/>
          <w:szCs w:val="20"/>
        </w:rPr>
        <w:t>ce the value of the Index Futures, Collateral Assets of the Trust and interest earned on the Trust’s Collateral Assets has been determined, the Trustee subtracts all accrued expenses and liabilities of the Trust as of the time of calculation in order to ca</w:t>
      </w:r>
      <w:r>
        <w:rPr>
          <w:rFonts w:ascii="Arial" w:hAnsi="Arial" w:cs="Arial"/>
          <w:sz w:val="20"/>
          <w:szCs w:val="20"/>
        </w:rPr>
        <w:t>lculate the net asset value of the Trust.</w:t>
      </w:r>
    </w:p>
    <w:p w14:paraId="064290E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2BD95A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Once the net asset value of the Trust has been calculated, the Trustee determines the NAV by dividing the net asset value of the Trust by the number of Shares outstanding at the time the calculation is made. Any </w:t>
      </w:r>
      <w:r>
        <w:rPr>
          <w:rFonts w:ascii="Arial" w:hAnsi="Arial" w:cs="Arial"/>
          <w:sz w:val="20"/>
          <w:szCs w:val="20"/>
        </w:rPr>
        <w:t>changes to the NAV that may result from creation and redemption activity occurring on any Business Day are not reflected in the NAV until the following Business Day.</w:t>
      </w:r>
    </w:p>
    <w:p w14:paraId="7E2225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F0BE55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NAV for each Business Day on which NYSE Arca is open for regular trading is expected</w:t>
      </w:r>
      <w:r>
        <w:rPr>
          <w:rFonts w:ascii="Arial" w:hAnsi="Arial" w:cs="Arial"/>
          <w:sz w:val="20"/>
          <w:szCs w:val="20"/>
        </w:rPr>
        <w:t xml:space="preserve"> to be distributed through major market data vendors and published online at www.ishares.com or any successor thereto. The Trust updates the NAV as soon as practicable after each subsequent NAV is calculated.</w:t>
      </w:r>
    </w:p>
    <w:p w14:paraId="066A1AB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F90A04C"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Trust Expenses</w:t>
      </w:r>
    </w:p>
    <w:p w14:paraId="5A62631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B7F6CC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has agreed under</w:t>
      </w:r>
      <w:r>
        <w:rPr>
          <w:rFonts w:ascii="Arial" w:hAnsi="Arial" w:cs="Arial"/>
          <w:sz w:val="20"/>
          <w:szCs w:val="20"/>
        </w:rPr>
        <w:t xml:space="preserve"> the Trust Agreement to pay the following administrative, operational and marketing expenses:</w:t>
      </w:r>
    </w:p>
    <w:p w14:paraId="327BD8F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2B2EE410" w14:textId="77777777">
        <w:trPr>
          <w:tblCellSpacing w:w="0" w:type="dxa"/>
        </w:trPr>
        <w:tc>
          <w:tcPr>
            <w:tcW w:w="400" w:type="dxa"/>
            <w:vAlign w:val="center"/>
            <w:hideMark/>
          </w:tcPr>
          <w:p w14:paraId="543F660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1F3AF74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342C867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fees of the Trustee, the Delaware Trustee, the Advisor, the Trust Administrator, the processing agent and their respective agents</w:t>
            </w:r>
            <w:r>
              <w:rPr>
                <w:rFonts w:ascii="Arial" w:hAnsi="Arial" w:cs="Arial"/>
                <w:sz w:val="20"/>
                <w:szCs w:val="20"/>
              </w:rPr>
              <w:t>;</w:t>
            </w:r>
          </w:p>
        </w:tc>
      </w:tr>
    </w:tbl>
    <w:p w14:paraId="40EFFE1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37AA40C5" w14:textId="77777777">
        <w:trPr>
          <w:tblCellSpacing w:w="0" w:type="dxa"/>
        </w:trPr>
        <w:tc>
          <w:tcPr>
            <w:tcW w:w="400" w:type="dxa"/>
            <w:vAlign w:val="center"/>
            <w:hideMark/>
          </w:tcPr>
          <w:p w14:paraId="51F2E4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6E38257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7B02DB7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NYSE Arca list</w:t>
            </w:r>
            <w:r>
              <w:rPr>
                <w:rFonts w:ascii="Arial" w:hAnsi="Arial" w:cs="Arial"/>
                <w:sz w:val="20"/>
                <w:szCs w:val="20"/>
              </w:rPr>
              <w:t>ing fees</w:t>
            </w:r>
            <w:r>
              <w:rPr>
                <w:rFonts w:ascii="Arial" w:hAnsi="Arial" w:cs="Arial"/>
                <w:sz w:val="20"/>
                <w:szCs w:val="20"/>
              </w:rPr>
              <w:t>;</w:t>
            </w:r>
          </w:p>
        </w:tc>
      </w:tr>
    </w:tbl>
    <w:p w14:paraId="198385A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62CAE3AB" w14:textId="77777777">
        <w:trPr>
          <w:tblCellSpacing w:w="0" w:type="dxa"/>
        </w:trPr>
        <w:tc>
          <w:tcPr>
            <w:tcW w:w="400" w:type="dxa"/>
            <w:vAlign w:val="center"/>
            <w:hideMark/>
          </w:tcPr>
          <w:p w14:paraId="65AA56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52D6332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7E74D2E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printing and mailing costs</w:t>
            </w:r>
            <w:r>
              <w:rPr>
                <w:rFonts w:ascii="Arial" w:hAnsi="Arial" w:cs="Arial"/>
                <w:sz w:val="20"/>
                <w:szCs w:val="20"/>
              </w:rPr>
              <w:t>;</w:t>
            </w:r>
          </w:p>
        </w:tc>
      </w:tr>
    </w:tbl>
    <w:p w14:paraId="1C8D008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30C6FE49" w14:textId="77777777">
        <w:trPr>
          <w:tblCellSpacing w:w="0" w:type="dxa"/>
        </w:trPr>
        <w:tc>
          <w:tcPr>
            <w:tcW w:w="400" w:type="dxa"/>
            <w:vAlign w:val="center"/>
            <w:hideMark/>
          </w:tcPr>
          <w:p w14:paraId="685AC42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7D23654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1F14A9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audit fees</w:t>
            </w:r>
            <w:r>
              <w:rPr>
                <w:rFonts w:ascii="Arial" w:hAnsi="Arial" w:cs="Arial"/>
                <w:sz w:val="20"/>
                <w:szCs w:val="20"/>
              </w:rPr>
              <w:t>;</w:t>
            </w:r>
          </w:p>
        </w:tc>
      </w:tr>
    </w:tbl>
    <w:p w14:paraId="5D160D4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49AA2FAE" w14:textId="77777777">
        <w:trPr>
          <w:tblCellSpacing w:w="0" w:type="dxa"/>
        </w:trPr>
        <w:tc>
          <w:tcPr>
            <w:tcW w:w="400" w:type="dxa"/>
            <w:vAlign w:val="center"/>
            <w:hideMark/>
          </w:tcPr>
          <w:p w14:paraId="3208906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0D985B9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28FE951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fees for registration of the Shares with the SEC</w:t>
            </w:r>
            <w:r>
              <w:rPr>
                <w:rFonts w:ascii="Arial" w:hAnsi="Arial" w:cs="Arial"/>
                <w:sz w:val="20"/>
                <w:szCs w:val="20"/>
              </w:rPr>
              <w:t>;</w:t>
            </w:r>
          </w:p>
        </w:tc>
      </w:tr>
    </w:tbl>
    <w:p w14:paraId="20F3F30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725B321A" w14:textId="77777777">
        <w:trPr>
          <w:tblCellSpacing w:w="0" w:type="dxa"/>
        </w:trPr>
        <w:tc>
          <w:tcPr>
            <w:tcW w:w="400" w:type="dxa"/>
            <w:vAlign w:val="center"/>
            <w:hideMark/>
          </w:tcPr>
          <w:p w14:paraId="49BE9A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3049371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03D3E09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tax reporting costs</w:t>
            </w:r>
            <w:r>
              <w:rPr>
                <w:rFonts w:ascii="Arial" w:hAnsi="Arial" w:cs="Arial"/>
                <w:sz w:val="20"/>
                <w:szCs w:val="20"/>
              </w:rPr>
              <w:t>;</w:t>
            </w:r>
          </w:p>
        </w:tc>
      </w:tr>
    </w:tbl>
    <w:p w14:paraId="2F9E135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35341861" w14:textId="77777777">
        <w:trPr>
          <w:tblCellSpacing w:w="0" w:type="dxa"/>
        </w:trPr>
        <w:tc>
          <w:tcPr>
            <w:tcW w:w="400" w:type="dxa"/>
            <w:vAlign w:val="center"/>
            <w:hideMark/>
          </w:tcPr>
          <w:p w14:paraId="5E57FEA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70D0A8D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0FEA93C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license fees</w:t>
            </w:r>
            <w:r>
              <w:rPr>
                <w:rFonts w:ascii="Arial" w:hAnsi="Arial" w:cs="Arial"/>
                <w:sz w:val="20"/>
                <w:szCs w:val="20"/>
              </w:rPr>
              <w:t>;</w:t>
            </w:r>
            <w:r>
              <w:rPr>
                <w:rFonts w:ascii="Arial" w:hAnsi="Arial" w:cs="Arial"/>
                <w:sz w:val="20"/>
                <w:szCs w:val="20"/>
              </w:rPr>
              <w:t> and</w:t>
            </w:r>
          </w:p>
        </w:tc>
      </w:tr>
    </w:tbl>
    <w:p w14:paraId="2A9807F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4BB0EEEF" w14:textId="77777777">
        <w:trPr>
          <w:tblCellSpacing w:w="0" w:type="dxa"/>
        </w:trPr>
        <w:tc>
          <w:tcPr>
            <w:tcW w:w="400" w:type="dxa"/>
            <w:vAlign w:val="center"/>
            <w:hideMark/>
          </w:tcPr>
          <w:p w14:paraId="2576A0E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5308197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78C57F4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legal expenses relating to the Trust of up to $500,000 annually.</w:t>
            </w:r>
          </w:p>
        </w:tc>
      </w:tr>
    </w:tbl>
    <w:p w14:paraId="5DCB116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26685D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is not expected to have other ordinary recurring administrative, operational or marketing expenses other than brokerage commissions and similar transaction fees, as described bel</w:t>
      </w:r>
      <w:r>
        <w:rPr>
          <w:rFonts w:ascii="Arial" w:hAnsi="Arial" w:cs="Arial"/>
          <w:sz w:val="20"/>
          <w:szCs w:val="20"/>
        </w:rPr>
        <w:t>ow.</w:t>
      </w:r>
    </w:p>
    <w:p w14:paraId="422852A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FF7C58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return for paying the expenses described above, the Sponsor receives a fee which accrues daily at an annualized rate of up to 0.75% of the net asset value of the Trust, as calculated before deducting fees and expenses based on the value of the Tru</w:t>
      </w:r>
      <w:r>
        <w:rPr>
          <w:rFonts w:ascii="Arial" w:hAnsi="Arial" w:cs="Arial"/>
          <w:sz w:val="20"/>
          <w:szCs w:val="20"/>
        </w:rPr>
        <w:t>st’s assets (the “Adjusted Net Asset Value”), is payable by the Trust monthly in arrears, and is subject to adjustment from time to time (the “Sponsor’s Fee”), except that the Sponsor’s Fee may not be adjusted to above 0.75% of the Adjusted Net Asset Value</w:t>
      </w:r>
      <w:r>
        <w:rPr>
          <w:rFonts w:ascii="Arial" w:hAnsi="Arial" w:cs="Arial"/>
          <w:sz w:val="20"/>
          <w:szCs w:val="20"/>
        </w:rPr>
        <w:t xml:space="preserve"> absent an amendment of the Trust Agreement with thirty day’s prior notice to registered holders of the Shares.</w:t>
      </w:r>
    </w:p>
    <w:p w14:paraId="7F62C03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A74B97A" w14:textId="77777777" w:rsidR="00000000" w:rsidRDefault="004206B0">
      <w:pPr>
        <w:jc w:val="center"/>
        <w:divId w:val="1859734511"/>
        <w:rPr>
          <w:rFonts w:ascii="Arial" w:eastAsia="Times New Roman" w:hAnsi="Arial" w:cs="Arial"/>
          <w:sz w:val="20"/>
          <w:szCs w:val="20"/>
        </w:rPr>
      </w:pPr>
      <w:r>
        <w:rPr>
          <w:rFonts w:ascii="Arial" w:eastAsia="Times New Roman" w:hAnsi="Arial" w:cs="Arial"/>
          <w:sz w:val="20"/>
          <w:szCs w:val="20"/>
        </w:rPr>
        <w:t xml:space="preserve">3 </w:t>
      </w:r>
    </w:p>
    <w:p w14:paraId="3AFC397D" w14:textId="77777777" w:rsidR="00000000" w:rsidRDefault="004206B0">
      <w:pPr>
        <w:divId w:val="760641210"/>
        <w:rPr>
          <w:rFonts w:eastAsia="Times New Roman"/>
          <w:sz w:val="20"/>
          <w:szCs w:val="20"/>
        </w:rPr>
      </w:pPr>
      <w:r>
        <w:rPr>
          <w:rFonts w:eastAsia="Times New Roman"/>
          <w:sz w:val="20"/>
          <w:szCs w:val="20"/>
        </w:rPr>
        <w:pict w14:anchorId="40145859">
          <v:rect id="_x0000_i1041" style="width:415.3pt;height:1.5pt" o:hralign="center" o:hrstd="t" o:hrnoshade="t" o:hr="t" fillcolor="black" stroked="f"/>
        </w:pict>
      </w:r>
    </w:p>
    <w:p w14:paraId="793644C7" w14:textId="77777777" w:rsidR="00000000" w:rsidRDefault="004206B0">
      <w:pPr>
        <w:divId w:val="621108068"/>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31F9745D" w14:textId="77777777" w:rsidR="00000000" w:rsidRDefault="004206B0">
      <w:pPr>
        <w:pStyle w:val="a3"/>
        <w:spacing w:before="0" w:beforeAutospacing="0" w:after="0" w:afterAutospacing="0"/>
        <w:rPr>
          <w:sz w:val="20"/>
          <w:szCs w:val="20"/>
        </w:rPr>
      </w:pPr>
      <w:r>
        <w:rPr>
          <w:sz w:val="20"/>
          <w:szCs w:val="20"/>
        </w:rPr>
        <w:t> </w:t>
      </w:r>
    </w:p>
    <w:p w14:paraId="49F1E72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and the Trustee may amend or terminate the Sponsor’</w:t>
      </w:r>
      <w:r>
        <w:rPr>
          <w:rFonts w:ascii="Arial" w:hAnsi="Arial" w:cs="Arial"/>
          <w:sz w:val="20"/>
          <w:szCs w:val="20"/>
        </w:rPr>
        <w:t>s obligation to pay certain expenses of the Trust pursuant to the Trust Agreement. The Trust is responsible for paying any applicable brokerage commissions and similar transaction fees out of its assets.</w:t>
      </w:r>
    </w:p>
    <w:p w14:paraId="603EAFE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FEFACE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following expenses are paid out of the assets </w:t>
      </w:r>
      <w:r>
        <w:rPr>
          <w:rFonts w:ascii="Arial" w:hAnsi="Arial" w:cs="Arial"/>
          <w:sz w:val="20"/>
          <w:szCs w:val="20"/>
        </w:rPr>
        <w:t>of the Trust:</w:t>
      </w:r>
    </w:p>
    <w:p w14:paraId="08C8EE4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4BD8F425" w14:textId="77777777">
        <w:trPr>
          <w:tblCellSpacing w:w="0" w:type="dxa"/>
        </w:trPr>
        <w:tc>
          <w:tcPr>
            <w:tcW w:w="400" w:type="dxa"/>
            <w:vAlign w:val="center"/>
            <w:hideMark/>
          </w:tcPr>
          <w:p w14:paraId="1F6A549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4D3BF82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10ACAF9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any expenses of the Trust (including the Sponsor’s Fee) that are not assumed by the Sponsor</w:t>
            </w:r>
            <w:r>
              <w:rPr>
                <w:rFonts w:ascii="Arial" w:hAnsi="Arial" w:cs="Arial"/>
                <w:sz w:val="20"/>
                <w:szCs w:val="20"/>
              </w:rPr>
              <w:t>;</w:t>
            </w:r>
          </w:p>
        </w:tc>
      </w:tr>
    </w:tbl>
    <w:p w14:paraId="5D1B036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0C241B92" w14:textId="77777777">
        <w:trPr>
          <w:tblCellSpacing w:w="0" w:type="dxa"/>
        </w:trPr>
        <w:tc>
          <w:tcPr>
            <w:tcW w:w="400" w:type="dxa"/>
            <w:vAlign w:val="center"/>
            <w:hideMark/>
          </w:tcPr>
          <w:p w14:paraId="705FAA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212CBAF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4C0C3A4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any taxes and other governmental charges that may fall on the Trust or its property</w:t>
            </w:r>
            <w:r>
              <w:rPr>
                <w:rFonts w:ascii="Arial" w:hAnsi="Arial" w:cs="Arial"/>
                <w:sz w:val="20"/>
                <w:szCs w:val="20"/>
              </w:rPr>
              <w:t>;</w:t>
            </w:r>
          </w:p>
        </w:tc>
      </w:tr>
    </w:tbl>
    <w:p w14:paraId="604273D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240BEFC7" w14:textId="77777777">
        <w:trPr>
          <w:tblCellSpacing w:w="0" w:type="dxa"/>
        </w:trPr>
        <w:tc>
          <w:tcPr>
            <w:tcW w:w="400" w:type="dxa"/>
            <w:vAlign w:val="center"/>
            <w:hideMark/>
          </w:tcPr>
          <w:p w14:paraId="7063346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28DF4FA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1A00997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any expenses of any extraordinary services performed by the Trustee or the Sponsor on behalf of the Trust or expense of any action taken by the Trustee or the Spons</w:t>
            </w:r>
            <w:r>
              <w:rPr>
                <w:rFonts w:ascii="Arial" w:hAnsi="Arial" w:cs="Arial"/>
                <w:sz w:val="20"/>
                <w:szCs w:val="20"/>
              </w:rPr>
              <w:t>or to protect the Trust and the rights and interests of holders of the Shares</w:t>
            </w:r>
            <w:r>
              <w:rPr>
                <w:rFonts w:ascii="Arial" w:hAnsi="Arial" w:cs="Arial"/>
                <w:sz w:val="20"/>
                <w:szCs w:val="20"/>
              </w:rPr>
              <w:t>;</w:t>
            </w:r>
            <w:r>
              <w:rPr>
                <w:rFonts w:ascii="Arial" w:hAnsi="Arial" w:cs="Arial"/>
                <w:sz w:val="20"/>
                <w:szCs w:val="20"/>
              </w:rPr>
              <w:t> and</w:t>
            </w:r>
          </w:p>
        </w:tc>
      </w:tr>
    </w:tbl>
    <w:p w14:paraId="78FA69B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6B8C2BEC" w14:textId="77777777">
        <w:trPr>
          <w:tblCellSpacing w:w="0" w:type="dxa"/>
        </w:trPr>
        <w:tc>
          <w:tcPr>
            <w:tcW w:w="400" w:type="dxa"/>
            <w:vAlign w:val="center"/>
            <w:hideMark/>
          </w:tcPr>
          <w:p w14:paraId="39B5F2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14122BD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1828AD4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any indemnification of the Sponsor, the Advisor or other agents, service providers or counterparties of the Trust.</w:t>
            </w:r>
          </w:p>
        </w:tc>
      </w:tr>
    </w:tbl>
    <w:p w14:paraId="7B7DE0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710666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Trustee is also entitled to charge the Trust</w:t>
      </w:r>
      <w:r>
        <w:rPr>
          <w:rFonts w:ascii="Arial" w:hAnsi="Arial" w:cs="Arial"/>
          <w:sz w:val="20"/>
          <w:szCs w:val="20"/>
        </w:rPr>
        <w:t xml:space="preserve"> for all expenses and disbursements incurred by the Trustee in connection with the actions described in the second and third bullet points above, including fees and disbursements of its legal counsel</w:t>
      </w:r>
      <w:r>
        <w:rPr>
          <w:rFonts w:ascii="Arial" w:hAnsi="Arial" w:cs="Arial"/>
          <w:sz w:val="20"/>
          <w:szCs w:val="20"/>
        </w:rPr>
        <w:t>;</w:t>
      </w:r>
      <w:r>
        <w:rPr>
          <w:rFonts w:ascii="Arial" w:hAnsi="Arial" w:cs="Arial"/>
          <w:sz w:val="20"/>
          <w:szCs w:val="20"/>
        </w:rPr>
        <w:t xml:space="preserve"> provided that the Trustee is not entitled to charge the</w:t>
      </w:r>
      <w:r>
        <w:rPr>
          <w:rFonts w:ascii="Arial" w:hAnsi="Arial" w:cs="Arial"/>
          <w:sz w:val="20"/>
          <w:szCs w:val="20"/>
        </w:rPr>
        <w:t xml:space="preserve"> Trust for</w:t>
      </w:r>
    </w:p>
    <w:p w14:paraId="3B34E94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 expenses and disbursements that were incurred by it before the Shares were publicly traded and (2) fees of agents for performing services that the Trustee is required under the Trust Agreement to perform.</w:t>
      </w:r>
    </w:p>
    <w:p w14:paraId="77E58E7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C98923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Trustee, at the direction of t</w:t>
      </w:r>
      <w:r>
        <w:rPr>
          <w:rFonts w:ascii="Arial" w:hAnsi="Arial" w:cs="Arial"/>
          <w:sz w:val="20"/>
          <w:szCs w:val="20"/>
        </w:rPr>
        <w:t>he Sponsor, may liquidate the Trust’s property from time to time as necessary to permit payment of the fees and expenses that the Trust is required to pay. The Trustee is not responsible for any depreciation or loss incurred by reason of the liquidation of</w:t>
      </w:r>
      <w:r>
        <w:rPr>
          <w:rFonts w:ascii="Arial" w:hAnsi="Arial" w:cs="Arial"/>
          <w:sz w:val="20"/>
          <w:szCs w:val="20"/>
        </w:rPr>
        <w:t xml:space="preserve"> Trust property made in compliance with the Trust Agreement.</w:t>
      </w:r>
    </w:p>
    <w:p w14:paraId="442D964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3EBF7C5"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Creations of Baskets</w:t>
      </w:r>
    </w:p>
    <w:p w14:paraId="2E8CF45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0869B2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on each Business Day, but issuances of new Shares may be suspended at any time. Shares may be offered only in Baskets of 50,000 Shares. Baskets are typically issued only in exchange for an amount of I</w:t>
      </w:r>
      <w:r>
        <w:rPr>
          <w:rFonts w:ascii="Arial" w:hAnsi="Arial" w:cs="Arial"/>
          <w:sz w:val="20"/>
          <w:szCs w:val="20"/>
        </w:rPr>
        <w:t>ndex Futures and cash (or, in the discretion of the Sponsor, other Collateral Assets) (the “Basket Amount”) for the Business Day on which the creation order was received by the Trustee. The Basket Amount for a Business Day has a per Share value equal to th</w:t>
      </w:r>
      <w:r>
        <w:rPr>
          <w:rFonts w:ascii="Arial" w:hAnsi="Arial" w:cs="Arial"/>
          <w:sz w:val="20"/>
          <w:szCs w:val="20"/>
        </w:rPr>
        <w:t>e NAV as of such day, and the assets included in the Basket Amount are valued in the same manner and on the same basis as the NAV calculations for the Trust’s assets. Creation orders received after 2:40 p.m. (New York time) are not deemed to be received un</w:t>
      </w:r>
      <w:r>
        <w:rPr>
          <w:rFonts w:ascii="Arial" w:hAnsi="Arial" w:cs="Arial"/>
          <w:sz w:val="20"/>
          <w:szCs w:val="20"/>
        </w:rPr>
        <w:t>til the following Business Day. In limited circumstances and subject to the approval of the Trustee, Baskets may be created for cash equal to the NAV of the Shares constituting a Basket as determined on the date the related creation order was received, plu</w:t>
      </w:r>
      <w:r>
        <w:rPr>
          <w:rFonts w:ascii="Arial" w:hAnsi="Arial" w:cs="Arial"/>
          <w:sz w:val="20"/>
          <w:szCs w:val="20"/>
        </w:rPr>
        <w:t>s the costs incurred by the Trust in establishing the corresponding Index Futures positions and acquiring the related Collateral Assets. Creation orders for Baskets paid for solely in cash that are received after 10:00 a.m. (New York time) will be deemed r</w:t>
      </w:r>
      <w:r>
        <w:rPr>
          <w:rFonts w:ascii="Arial" w:hAnsi="Arial" w:cs="Arial"/>
          <w:sz w:val="20"/>
          <w:szCs w:val="20"/>
        </w:rPr>
        <w:t>eceived as of the following Business Day. The Trustee notifies the Authorized Participants of the Basket Amount on each Business Day.</w:t>
      </w:r>
    </w:p>
    <w:p w14:paraId="76FAF01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3D8D8B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Before the Trust issues any Baskets to an Authorized Participant, that Authorized Participant must deliver to the Truste</w:t>
      </w:r>
      <w:r>
        <w:rPr>
          <w:rFonts w:ascii="Arial" w:hAnsi="Arial" w:cs="Arial"/>
          <w:sz w:val="20"/>
          <w:szCs w:val="20"/>
        </w:rPr>
        <w:t>e a creation order indicating the number of Baskets it intends to purchase and providing other details with respect to the procedures by which the Baskets are to be transferred. The Trustee expects to acknowledge the creation order unless it or the Sponsor</w:t>
      </w:r>
      <w:r>
        <w:rPr>
          <w:rFonts w:ascii="Arial" w:hAnsi="Arial" w:cs="Arial"/>
          <w:sz w:val="20"/>
          <w:szCs w:val="20"/>
        </w:rPr>
        <w:t xml:space="preserve"> decides to refuse the order.</w:t>
      </w:r>
    </w:p>
    <w:p w14:paraId="00FE361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36E4C9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Upon the transfer of (1) the required consideration of Index Futures in the amounts and of the type specified by the Trustee and cash (or, in the discretion of the Sponsor, other Collateral Assets) in the amounts specified b</w:t>
      </w:r>
      <w:r>
        <w:rPr>
          <w:rFonts w:ascii="Arial" w:hAnsi="Arial" w:cs="Arial"/>
          <w:sz w:val="20"/>
          <w:szCs w:val="20"/>
        </w:rPr>
        <w:t>y the Trustee, in each case to the accounts specified by the Trustee, and (2) all transaction fees associated with creations (including but not limited to fees charged by the Exchange and the Clearing FCM) per Basket, the Trustee will deliver the appropria</w:t>
      </w:r>
      <w:r>
        <w:rPr>
          <w:rFonts w:ascii="Arial" w:hAnsi="Arial" w:cs="Arial"/>
          <w:sz w:val="20"/>
          <w:szCs w:val="20"/>
        </w:rPr>
        <w:t>te number of Baskets to the Depository Trust Company (“DTC”) account of the Authorized Participant. The total transaction fees charged per Basket created may change from time to time.</w:t>
      </w:r>
    </w:p>
    <w:p w14:paraId="297C880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97B7E1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Only Authorized Participants can transfer the required consideration a</w:t>
      </w:r>
      <w:r>
        <w:rPr>
          <w:rFonts w:ascii="Arial" w:hAnsi="Arial" w:cs="Arial"/>
          <w:sz w:val="20"/>
          <w:szCs w:val="20"/>
        </w:rPr>
        <w:t>nd receive Baskets in exchange. Authorized Participants may act for their own accounts or as agents for broker-dealers, custodians and other securities market participants that wish to create or redeem Baskets. An Authorized Participant is under no obligat</w:t>
      </w:r>
      <w:r>
        <w:rPr>
          <w:rFonts w:ascii="Arial" w:hAnsi="Arial" w:cs="Arial"/>
          <w:sz w:val="20"/>
          <w:szCs w:val="20"/>
        </w:rPr>
        <w:t>ion to the Trust to create or redeem Baskets for itself or on behalf of other persons. An order for one or more Baskets may be placed by an Authorized Participant on behalf of multiple clients. As of the date of this report, Goldman Sachs &amp; Co. LLC, J.P. M</w:t>
      </w:r>
      <w:r>
        <w:rPr>
          <w:rFonts w:ascii="Arial" w:hAnsi="Arial" w:cs="Arial"/>
          <w:sz w:val="20"/>
          <w:szCs w:val="20"/>
        </w:rPr>
        <w:t xml:space="preserve">organ Securities Inc., Merrill Lynch Professional Clearing Corp., Morgan Stanley &amp; Co. LLC, SG Americas Securities, LLC, UBS Securities LLC and Virtu Americas LLC are the only Authorized Participants. The Sponsor and the Trustee maintain a current list of </w:t>
      </w:r>
      <w:r>
        <w:rPr>
          <w:rFonts w:ascii="Arial" w:hAnsi="Arial" w:cs="Arial"/>
          <w:sz w:val="20"/>
          <w:szCs w:val="20"/>
        </w:rPr>
        <w:t>Authorized Participants.</w:t>
      </w:r>
    </w:p>
    <w:p w14:paraId="01A074F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3B3B93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 Shares are issued unless and until the Trustee receives confirmation that the required consideration has been received in the account or accounts specified by the Trustee. It is expected that delivery of the Shares will be mad</w:t>
      </w:r>
      <w:r>
        <w:rPr>
          <w:rFonts w:ascii="Arial" w:hAnsi="Arial" w:cs="Arial"/>
          <w:sz w:val="20"/>
          <w:szCs w:val="20"/>
        </w:rPr>
        <w:t>e against transfer of consideration on the next Business Day following the Business Day on which the creation order is received by the Trustee, which is referred to as a T+1 settlement cycle. If the Trustee has not received the required consideration for t</w:t>
      </w:r>
      <w:r>
        <w:rPr>
          <w:rFonts w:ascii="Arial" w:hAnsi="Arial" w:cs="Arial"/>
          <w:sz w:val="20"/>
          <w:szCs w:val="20"/>
        </w:rPr>
        <w:t>he Shares to be delivered on the delivery date, by 11:00 a.m. (New York time), the Trustee may cancel the creation order.</w:t>
      </w:r>
    </w:p>
    <w:p w14:paraId="20D5BC9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2B0409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Trustee has the right to reject any creation order for any reason. The reasons for the rejection may include, among others, (1) </w:t>
      </w:r>
      <w:r>
        <w:rPr>
          <w:rFonts w:ascii="Arial" w:hAnsi="Arial" w:cs="Arial"/>
          <w:sz w:val="20"/>
          <w:szCs w:val="20"/>
        </w:rPr>
        <w:t>the related order not being in proper form as described in the Authorized Participant Agreement, (2) market conditions or other circumstances that make transactions in or delivery of the Shares or the Index Futures impossible or impractical, (3) a determin</w:t>
      </w:r>
      <w:r>
        <w:rPr>
          <w:rFonts w:ascii="Arial" w:hAnsi="Arial" w:cs="Arial"/>
          <w:sz w:val="20"/>
          <w:szCs w:val="20"/>
        </w:rPr>
        <w:t>ation by the Trustee that the acceptance of the related order would have adverse tax or other consequences to the Trust or the Shareholders, or (4) circumstances that would cause the acceptance of the related order to result in a violation of law in the op</w:t>
      </w:r>
      <w:r>
        <w:rPr>
          <w:rFonts w:ascii="Arial" w:hAnsi="Arial" w:cs="Arial"/>
          <w:sz w:val="20"/>
          <w:szCs w:val="20"/>
        </w:rPr>
        <w:t>inion of counsel to the Trustee, the Sponsor or the Trust Administrator. Each Authorized Participant Agreement provides that neither the Trustee nor any agents acting on its behalf will be liable to any person for rejecting a creation order.</w:t>
      </w:r>
    </w:p>
    <w:p w14:paraId="7EA9E5D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6E29FC0" w14:textId="77777777" w:rsidR="00000000" w:rsidRDefault="004206B0">
      <w:pPr>
        <w:jc w:val="center"/>
        <w:divId w:val="1069812107"/>
        <w:rPr>
          <w:rFonts w:ascii="Arial" w:eastAsia="Times New Roman" w:hAnsi="Arial" w:cs="Arial"/>
          <w:sz w:val="20"/>
          <w:szCs w:val="20"/>
        </w:rPr>
      </w:pPr>
      <w:r>
        <w:rPr>
          <w:rFonts w:ascii="Arial" w:eastAsia="Times New Roman" w:hAnsi="Arial" w:cs="Arial"/>
          <w:sz w:val="20"/>
          <w:szCs w:val="20"/>
        </w:rPr>
        <w:t xml:space="preserve">4 </w:t>
      </w:r>
    </w:p>
    <w:p w14:paraId="4F176955" w14:textId="77777777" w:rsidR="00000000" w:rsidRDefault="004206B0">
      <w:pPr>
        <w:divId w:val="164982938"/>
        <w:rPr>
          <w:rFonts w:eastAsia="Times New Roman"/>
          <w:sz w:val="20"/>
          <w:szCs w:val="20"/>
        </w:rPr>
      </w:pPr>
      <w:r>
        <w:rPr>
          <w:rFonts w:eastAsia="Times New Roman"/>
          <w:sz w:val="20"/>
          <w:szCs w:val="20"/>
        </w:rPr>
        <w:pict w14:anchorId="678E1A02">
          <v:rect id="_x0000_i1042" style="width:415.3pt;height:1.5pt" o:hralign="center" o:hrstd="t" o:hrnoshade="t" o:hr="t" fillcolor="black" stroked="f"/>
        </w:pict>
      </w:r>
    </w:p>
    <w:p w14:paraId="5030C0E3" w14:textId="77777777" w:rsidR="00000000" w:rsidRDefault="004206B0">
      <w:pPr>
        <w:divId w:val="797144619"/>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7964AA9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5F152CD"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Redemptions of Baskets</w:t>
      </w:r>
    </w:p>
    <w:p w14:paraId="3602445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004641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Authorized Participants may typically surrender Baskets in exchange only for</w:t>
      </w:r>
      <w:r>
        <w:rPr>
          <w:rFonts w:ascii="Arial" w:hAnsi="Arial" w:cs="Arial"/>
          <w:sz w:val="20"/>
          <w:szCs w:val="20"/>
        </w:rPr>
        <w:t xml:space="preserve"> an amount of Index Futures and cash (or, in the discretion of the Sponsor, other Collateral Assets) equal to the value of the Basket Amount on the Business Day the redemption request is received by the Trustee. Redemption orders received after 2:40 p.m. (</w:t>
      </w:r>
      <w:r>
        <w:rPr>
          <w:rFonts w:ascii="Arial" w:hAnsi="Arial" w:cs="Arial"/>
          <w:sz w:val="20"/>
          <w:szCs w:val="20"/>
        </w:rPr>
        <w:t>New York time) are not deemed to be received until the following Business Day. Holders of Baskets who are not Authorized Participants are not able to redeem their Baskets except through an Authorized Participant. It is expected that Authorized Participants</w:t>
      </w:r>
      <w:r>
        <w:rPr>
          <w:rFonts w:ascii="Arial" w:hAnsi="Arial" w:cs="Arial"/>
          <w:sz w:val="20"/>
          <w:szCs w:val="20"/>
        </w:rPr>
        <w:t xml:space="preserve"> may redeem Baskets for their own accounts or on behalf of Shareholders who are not Authorized Participants, but no Authorized Participant is under any obligation to the Trust to do so.</w:t>
      </w:r>
    </w:p>
    <w:p w14:paraId="1381BAA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2E34846"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Before surrendering Baskets for redemption, an Authorized Participan</w:t>
      </w:r>
      <w:r>
        <w:rPr>
          <w:rFonts w:ascii="Arial" w:hAnsi="Arial" w:cs="Arial"/>
          <w:sz w:val="20"/>
          <w:szCs w:val="20"/>
        </w:rPr>
        <w:t xml:space="preserve">t must deliver to the Trustee a request indicating the number of Baskets it intends to redeem and providing other details with respect to the procedures by which the assets representing the required Basket Amount are to be transferred. The Trustee expects </w:t>
      </w:r>
      <w:r>
        <w:rPr>
          <w:rFonts w:ascii="Arial" w:hAnsi="Arial" w:cs="Arial"/>
          <w:sz w:val="20"/>
          <w:szCs w:val="20"/>
        </w:rPr>
        <w:t>to acknowledge the redemption order unless it or the Sponsor decides to refuse the redemption order.</w:t>
      </w:r>
    </w:p>
    <w:p w14:paraId="1458A5E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7E2891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After the delivery by the Authorized Participant to the Trust’s DTC account of the total number of Shares to be redeemed by an Authorized Participant, th</w:t>
      </w:r>
      <w:r>
        <w:rPr>
          <w:rFonts w:ascii="Arial" w:hAnsi="Arial" w:cs="Arial"/>
          <w:sz w:val="20"/>
          <w:szCs w:val="20"/>
        </w:rPr>
        <w:t>e Trustee delivers to the order of the redeeming Authorized Participant redemption proceeds consisting of Index Futures and cash (or, in the discretion of the Sponsor, other Collateral Assets). The assets included in the redemption proceeds are valued in t</w:t>
      </w:r>
      <w:r>
        <w:rPr>
          <w:rFonts w:ascii="Arial" w:hAnsi="Arial" w:cs="Arial"/>
          <w:sz w:val="20"/>
          <w:szCs w:val="20"/>
        </w:rPr>
        <w:t>he same manner and on the same basis as the NAV calculations for the Trust’s assets. In connection with a redemption order, the redeeming Authorized Participant authorizes the Trustee to deduct from the proceeds of redemption any and all transaction fees a</w:t>
      </w:r>
      <w:r>
        <w:rPr>
          <w:rFonts w:ascii="Arial" w:hAnsi="Arial" w:cs="Arial"/>
          <w:sz w:val="20"/>
          <w:szCs w:val="20"/>
        </w:rPr>
        <w:t>ssociated with redemptions.</w:t>
      </w:r>
    </w:p>
    <w:p w14:paraId="38B1BA8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54CB27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 is expected that delivery of the Index Futures and cash or other Collateral Assets to the redeeming Shareholder will be made against transfer of the Baskets on the next Business Day following the Business Day on which the r</w:t>
      </w:r>
      <w:r>
        <w:rPr>
          <w:rFonts w:ascii="Arial" w:hAnsi="Arial" w:cs="Arial"/>
          <w:sz w:val="20"/>
          <w:szCs w:val="20"/>
        </w:rPr>
        <w:t xml:space="preserve">edemption request is received by the Trustee, which is referred to as a T+1 settlement cycle. If the Trustee’s DTC account has not been credited with the total number of Shares to be redeemed pursuant to the redemption order by 11:00 a.m. (New York time), </w:t>
      </w:r>
      <w:r>
        <w:rPr>
          <w:rFonts w:ascii="Arial" w:hAnsi="Arial" w:cs="Arial"/>
          <w:sz w:val="20"/>
          <w:szCs w:val="20"/>
        </w:rPr>
        <w:t>on the delivery date, the Trustee may cancel the redemption order.</w:t>
      </w:r>
    </w:p>
    <w:p w14:paraId="3A6763A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B6626F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Trustee has the right to reject any redemption order for any reason. The reasons for the rejection may include, among others, (1) the related order not being in proper form as described in the Authorized Participant Agreement, (2) market conditions or </w:t>
      </w:r>
      <w:r>
        <w:rPr>
          <w:rFonts w:ascii="Arial" w:hAnsi="Arial" w:cs="Arial"/>
          <w:sz w:val="20"/>
          <w:szCs w:val="20"/>
        </w:rPr>
        <w:t>other circumstances that make transactions in or delivery of the Shares or the Index Futures impossible or impractical, (3) a determination by the Trustee that the acceptance of the related order would have adverse tax or other consequences to the Trust or</w:t>
      </w:r>
      <w:r>
        <w:rPr>
          <w:rFonts w:ascii="Arial" w:hAnsi="Arial" w:cs="Arial"/>
          <w:sz w:val="20"/>
          <w:szCs w:val="20"/>
        </w:rPr>
        <w:t xml:space="preserve"> the Shareholders, or (4) circumstances that would cause the acceptance of the related order to result in a violation of law in the opinion of counsel to the Trustee, the Sponsor or the Trust Administrator. Each Authorized Participant Agreement provides th</w:t>
      </w:r>
      <w:r>
        <w:rPr>
          <w:rFonts w:ascii="Arial" w:hAnsi="Arial" w:cs="Arial"/>
          <w:sz w:val="20"/>
          <w:szCs w:val="20"/>
        </w:rPr>
        <w:t>at neither the Trustee nor any agents acting on its behalf will be liable to any person for rejecting a redemption order.</w:t>
      </w:r>
    </w:p>
    <w:p w14:paraId="08F2189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AA6358B"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Custody of the Trust Assets</w:t>
      </w:r>
    </w:p>
    <w:p w14:paraId="6560E36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1017C7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Trust’s Index Futures and the Collateral Assets posted as margin for these Index Futures positions</w:t>
      </w:r>
      <w:r>
        <w:rPr>
          <w:rFonts w:ascii="Arial" w:hAnsi="Arial" w:cs="Arial"/>
          <w:sz w:val="20"/>
          <w:szCs w:val="20"/>
        </w:rPr>
        <w:t xml:space="preserve"> are held in the Trust’s account, established at its Clearing FCM. The Clearing FCM further transfers some or all of the Collateral Assets posted as margin for the Trust’s Index Futures positions to the clearing house of the Exchange.</w:t>
      </w:r>
    </w:p>
    <w:p w14:paraId="411130C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B89480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Substantially all o</w:t>
      </w:r>
      <w:r>
        <w:rPr>
          <w:rFonts w:ascii="Arial" w:hAnsi="Arial" w:cs="Arial"/>
          <w:sz w:val="20"/>
          <w:szCs w:val="20"/>
        </w:rPr>
        <w:t>f the Trust’s remaining assets are held in the Trust’s accounts at the Trust Administrator.</w:t>
      </w:r>
    </w:p>
    <w:p w14:paraId="6C9D8A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2CD217F"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Futures Contracts on the S&amp;P GSCI-ER</w:t>
      </w:r>
    </w:p>
    <w:p w14:paraId="428AEF2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705D2A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applicable margin requ</w:t>
      </w:r>
      <w:r>
        <w:rPr>
          <w:rFonts w:ascii="Arial" w:hAnsi="Arial" w:cs="Arial"/>
          <w:sz w:val="20"/>
          <w:szCs w:val="20"/>
        </w:rPr>
        <w:t>irements for those Index Futures positions. Index Futures are exchange-traded index futures contracts on the S&amp;P GSCI-ER, and may include contracts of different terms and expirations. The Trust is expected to roll out of existing positions in Index Futures</w:t>
      </w:r>
      <w:r>
        <w:rPr>
          <w:rFonts w:ascii="Arial" w:hAnsi="Arial" w:cs="Arial"/>
          <w:sz w:val="20"/>
          <w:szCs w:val="20"/>
        </w:rPr>
        <w:t xml:space="preserve"> and establish new positions in Index Futures on an ongoing basis. Index Futures subsequently acquired by the Trust may have terms that differ from those of the Index Futures it currently holds, including transaction fees associated with the purchase and s</w:t>
      </w:r>
      <w:r>
        <w:rPr>
          <w:rFonts w:ascii="Arial" w:hAnsi="Arial" w:cs="Arial"/>
          <w:sz w:val="20"/>
          <w:szCs w:val="20"/>
        </w:rPr>
        <w:t>ale of these Index Futures.</w:t>
      </w:r>
    </w:p>
    <w:p w14:paraId="656E696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7CEFC2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Creation and redemption of interests in the Trust are generally effected through exchanges for related positions (“EFRPs”). EFRPs involve contemporaneous transactions in futures contracts and the underlying cash commodity or a</w:t>
      </w:r>
      <w:r>
        <w:rPr>
          <w:rFonts w:ascii="Arial" w:hAnsi="Arial" w:cs="Arial"/>
          <w:sz w:val="20"/>
          <w:szCs w:val="20"/>
        </w:rPr>
        <w:t xml:space="preserve"> closely related commodity. In a typical EFRP, the participant taking the long position on the futures contract transfers the underlying commodity or other related position to the participant taking the short position on the futures contract. The CME, the </w:t>
      </w:r>
      <w:r>
        <w:rPr>
          <w:rFonts w:ascii="Arial" w:hAnsi="Arial" w:cs="Arial"/>
          <w:sz w:val="20"/>
          <w:szCs w:val="20"/>
        </w:rPr>
        <w:t xml:space="preserve">Exchange on which Index Futures trade, permits the execution of EFRPs consisting of simultaneous transfers of Index Futures and Shares. This mechanism generally is expected to be used by the Trust in connection with the creation and redemption of Baskets. </w:t>
      </w:r>
      <w:r>
        <w:rPr>
          <w:rFonts w:ascii="Arial" w:hAnsi="Arial" w:cs="Arial"/>
          <w:sz w:val="20"/>
          <w:szCs w:val="20"/>
        </w:rPr>
        <w:t>Specifically, it is anticipated that an Authorized Participant requesting the creation of additional Baskets typically will transfer Index Futures and cash (or, in the discretion of the Sponsor, other Collateral Assets) to the Trust in return for Shares.</w:t>
      </w:r>
    </w:p>
    <w:p w14:paraId="3AACF6B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881459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an EFRP is executed in connection with the redemption of one or more Baskets, an Authorized Participant transfers to the Trust the Shares being redeemed and the Trust transfers to the Authorized Participant Index Futures and cash or other Collateral As</w:t>
      </w:r>
      <w:r>
        <w:rPr>
          <w:rFonts w:ascii="Arial" w:hAnsi="Arial" w:cs="Arial"/>
          <w:sz w:val="20"/>
          <w:szCs w:val="20"/>
        </w:rPr>
        <w:t>sets. The Trust may include Index Futures with different terms and expirations in the creation and redemption of Baskets, and the Index Futures included in creation Baskets may differ from those included in redemption Baskets.</w:t>
      </w:r>
    </w:p>
    <w:p w14:paraId="325852E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1724576" w14:textId="77777777" w:rsidR="00000000" w:rsidRDefault="004206B0">
      <w:pPr>
        <w:jc w:val="center"/>
        <w:divId w:val="1948192298"/>
        <w:rPr>
          <w:rFonts w:ascii="Arial" w:eastAsia="Times New Roman" w:hAnsi="Arial" w:cs="Arial"/>
          <w:sz w:val="20"/>
          <w:szCs w:val="20"/>
        </w:rPr>
      </w:pPr>
      <w:r>
        <w:rPr>
          <w:rFonts w:ascii="Arial" w:eastAsia="Times New Roman" w:hAnsi="Arial" w:cs="Arial"/>
          <w:sz w:val="20"/>
          <w:szCs w:val="20"/>
        </w:rPr>
        <w:t xml:space="preserve">5 </w:t>
      </w:r>
    </w:p>
    <w:p w14:paraId="17DF80E8" w14:textId="77777777" w:rsidR="00000000" w:rsidRDefault="004206B0">
      <w:pPr>
        <w:divId w:val="1080562213"/>
        <w:rPr>
          <w:rFonts w:eastAsia="Times New Roman"/>
          <w:sz w:val="20"/>
          <w:szCs w:val="20"/>
        </w:rPr>
      </w:pPr>
      <w:r>
        <w:rPr>
          <w:rFonts w:eastAsia="Times New Roman"/>
          <w:sz w:val="20"/>
          <w:szCs w:val="20"/>
        </w:rPr>
        <w:pict w14:anchorId="5188AA19">
          <v:rect id="_x0000_i1043" style="width:415.3pt;height:1.5pt" o:hralign="center" o:hrstd="t" o:hrnoshade="t" o:hr="t" fillcolor="black" stroked="f"/>
        </w:pict>
      </w:r>
    </w:p>
    <w:p w14:paraId="7461113B" w14:textId="77777777" w:rsidR="00000000" w:rsidRDefault="004206B0">
      <w:pPr>
        <w:divId w:val="1553228768"/>
        <w:rPr>
          <w:rFonts w:eastAsia="Times New Roman"/>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eastAsia="Times New Roman"/>
          <w:sz w:val="20"/>
          <w:szCs w:val="20"/>
        </w:rPr>
        <w:t xml:space="preserve"> </w:t>
      </w:r>
    </w:p>
    <w:p w14:paraId="4ADEFEA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7DD2D3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With the approval of the Sponsor, Baskets may also be created or redeemed for cash, in which case the Authorized Participant will be responsible for the costs incurred by the Trust in establishing or liquidating the corresponding Index Futures posit</w:t>
      </w:r>
      <w:r>
        <w:rPr>
          <w:rFonts w:ascii="Arial" w:hAnsi="Arial" w:cs="Arial"/>
          <w:sz w:val="20"/>
          <w:szCs w:val="20"/>
        </w:rPr>
        <w:t>ion and acquiring or disposing of the related Collateral Assets.</w:t>
      </w:r>
    </w:p>
    <w:p w14:paraId="2B1C157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F70F79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Index Futures are traded on the CME. Futures contracts and options on futures contracts on the S&amp;P GSCI™, a benchmark index which does not reflect the rolling methodology embedded in the S&amp;</w:t>
      </w:r>
      <w:r>
        <w:rPr>
          <w:rFonts w:ascii="Arial" w:hAnsi="Arial" w:cs="Arial"/>
          <w:sz w:val="20"/>
          <w:szCs w:val="20"/>
        </w:rPr>
        <w:t>P GSCI-ER, have been traded on the CME since 1992. Index Futures are listed and traded separately from the S&amp;P GSCI™ futures contracts and options on futures contracts.</w:t>
      </w:r>
    </w:p>
    <w:p w14:paraId="5BD7F30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69398A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first Index Futures were commodity excess return futures contracts on the S&amp;P GSC</w:t>
      </w:r>
      <w:r>
        <w:rPr>
          <w:rFonts w:ascii="Arial" w:hAnsi="Arial" w:cs="Arial"/>
          <w:sz w:val="20"/>
          <w:szCs w:val="20"/>
        </w:rPr>
        <w:t xml:space="preserve">I-ER, or “CERFs,” that were first listed and made available for trading on March 13, 2006. Until October 2010, these CERFs, which expired in March 2011, were the only Index Futures listed. In October 2010, the CME listed a second CERF, scheduled to expire </w:t>
      </w:r>
      <w:r>
        <w:rPr>
          <w:rFonts w:ascii="Arial" w:hAnsi="Arial" w:cs="Arial"/>
          <w:sz w:val="20"/>
          <w:szCs w:val="20"/>
        </w:rPr>
        <w:t>in March 2014. In January 2014, the CME changed the listing cycle of Index Futures to include the nearest four months as contract months at any given point in time. The CME may at any time expand the listing cycle of Index Futures to include additional exp</w:t>
      </w:r>
      <w:r>
        <w:rPr>
          <w:rFonts w:ascii="Arial" w:hAnsi="Arial" w:cs="Arial"/>
          <w:sz w:val="20"/>
          <w:szCs w:val="20"/>
        </w:rPr>
        <w:t>iration dates, and may from time to time amend the rules applicable to the Index Futures. On April 8, 2013, the CME amended the rules applicable to the Index Futures then held by the Trust (through the iShares S&amp;P GSCI™ Commodity-Indexed Investing Pool LLC</w:t>
      </w:r>
      <w:r>
        <w:rPr>
          <w:rFonts w:ascii="Arial" w:hAnsi="Arial" w:cs="Arial"/>
          <w:sz w:val="20"/>
          <w:szCs w:val="20"/>
        </w:rPr>
        <w:t xml:space="preserve"> (the “Investing Pool”), its now-dissolved subsidiary). In connection with these amendments, the Investing Pool recognized gain or loss for U.S. federal income tax purposes on each of its Index Futures positions, depending on the price at which each such p</w:t>
      </w:r>
      <w:r>
        <w:rPr>
          <w:rFonts w:ascii="Arial" w:hAnsi="Arial" w:cs="Arial"/>
          <w:sz w:val="20"/>
          <w:szCs w:val="20"/>
        </w:rPr>
        <w:t>osition was established.</w:t>
      </w:r>
    </w:p>
    <w:p w14:paraId="6755211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7E2DC4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Index Futures are subject to the rules of the CME. Index Futures trade on GLOBEX, the CME’s electronic trading system, and do not trade through open outcry on the floor of the CME. Transactions in Index Futures are cleared throug</w:t>
      </w:r>
      <w:r>
        <w:rPr>
          <w:rFonts w:ascii="Arial" w:hAnsi="Arial" w:cs="Arial"/>
          <w:sz w:val="20"/>
          <w:szCs w:val="20"/>
        </w:rPr>
        <w:t>h the CME’s clearing house by the trader’s futures commission merchant (“FCM”) acting as its agent. Under these clearing arrangements, the CME’s clearing house becomes the buyer to each member FCM representing a seller of the contract and the seller to eac</w:t>
      </w:r>
      <w:r>
        <w:rPr>
          <w:rFonts w:ascii="Arial" w:hAnsi="Arial" w:cs="Arial"/>
          <w:sz w:val="20"/>
          <w:szCs w:val="20"/>
        </w:rPr>
        <w:t>h member FCM representing a buyer of the contract. As a result of these clearing arrangements, each trader holding a position in Index Futures is subject to the credit risk of the CME’s clearing house and the FCM carrying its position in Index Futures.</w:t>
      </w:r>
    </w:p>
    <w:p w14:paraId="652850E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6B3821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Each Index Futures contract provides for cash settlement, at expiration, based upon the final settlement value of the S&amp;P GSCI-ER at the expiration of the contract, multiplied by a fixed dollar multiplier. The final settlement value of an Index Futures con</w:t>
      </w:r>
      <w:r>
        <w:rPr>
          <w:rFonts w:ascii="Arial" w:hAnsi="Arial" w:cs="Arial"/>
          <w:sz w:val="20"/>
          <w:szCs w:val="20"/>
        </w:rPr>
        <w:t>tract is determined on the eleventh business day of the month in which it is scheduled to expire or, if the S&amp;P GSCI-ER is not scheduled to be published for that day, on the first preceding day for which the futures price index is scheduled to be published</w:t>
      </w:r>
      <w:r>
        <w:rPr>
          <w:rFonts w:ascii="Arial" w:hAnsi="Arial" w:cs="Arial"/>
          <w:sz w:val="20"/>
          <w:szCs w:val="20"/>
        </w:rPr>
        <w:t>. On a daily basis, market participants with positions in Index Futures, including the Trust, are obligated to pay, or entitled to receive, cash (known as “variation margin”) in an amount equal to the change in the daily settlement level of the Index Futur</w:t>
      </w:r>
      <w:r>
        <w:rPr>
          <w:rFonts w:ascii="Arial" w:hAnsi="Arial" w:cs="Arial"/>
          <w:sz w:val="20"/>
          <w:szCs w:val="20"/>
        </w:rPr>
        <w:t>es from the preceding trading day’s settlement level (or, initially, the contract price at which the position was entered into). Specifically, if the daily settlement price of the contract increases over the previous day’s price, the seller of the contract</w:t>
      </w:r>
      <w:r>
        <w:rPr>
          <w:rFonts w:ascii="Arial" w:hAnsi="Arial" w:cs="Arial"/>
          <w:sz w:val="20"/>
          <w:szCs w:val="20"/>
        </w:rPr>
        <w:t xml:space="preserve"> must pay the difference to the buyer, and if the daily settlement price is less than the previous day’s price, the buyer of the contract must pay the difference to the seller.</w:t>
      </w:r>
    </w:p>
    <w:p w14:paraId="3F9332C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D0EF40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Index Futures are expected to require deposits of initial margin as well as p</w:t>
      </w:r>
      <w:r>
        <w:rPr>
          <w:rFonts w:ascii="Arial" w:hAnsi="Arial" w:cs="Arial"/>
          <w:sz w:val="20"/>
          <w:szCs w:val="20"/>
        </w:rPr>
        <w:t>ayments of daily variation margin as the value of the contracts fluctuate. When establishing positions in Index Futures, the Advisor estimates as of the date of this report that the Trust will be required to deposit initial margin with a value of approxima</w:t>
      </w:r>
      <w:r>
        <w:rPr>
          <w:rFonts w:ascii="Arial" w:hAnsi="Arial" w:cs="Arial"/>
          <w:sz w:val="20"/>
          <w:szCs w:val="20"/>
        </w:rPr>
        <w:t xml:space="preserve">tely 3% to 10% of the value of each Index Futures position. These margin requirements are subject to change from time to time by the Exchange or the Clearing FCM. Upon liquidation or settlement of Index Futures, a market participant is expected to receive </w:t>
      </w:r>
      <w:r>
        <w:rPr>
          <w:rFonts w:ascii="Arial" w:hAnsi="Arial" w:cs="Arial"/>
          <w:sz w:val="20"/>
          <w:szCs w:val="20"/>
        </w:rPr>
        <w:t>from its FCM its initial margin deposit, adjusted for variation margin paid or received by such participant with respect to the contract during the time it was held by the participant (or the proceeds from liquidation of any investments made with such fund</w:t>
      </w:r>
      <w:r>
        <w:rPr>
          <w:rFonts w:ascii="Arial" w:hAnsi="Arial" w:cs="Arial"/>
          <w:sz w:val="20"/>
          <w:szCs w:val="20"/>
        </w:rPr>
        <w:t>s for the benefit of the participant under the terms of its custody arrangement with the carrying FCM).</w:t>
      </w:r>
    </w:p>
    <w:p w14:paraId="11B36E5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B9C6D8D"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The Index and the S&amp;P GSCI-ER</w:t>
      </w:r>
    </w:p>
    <w:p w14:paraId="2B23765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A7ECED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All information regarding the Index and the S&amp;P GSCI-ER contained in this report, including its composition, method of</w:t>
      </w:r>
      <w:r>
        <w:rPr>
          <w:rFonts w:ascii="Arial" w:hAnsi="Arial" w:cs="Arial"/>
          <w:sz w:val="20"/>
          <w:szCs w:val="20"/>
        </w:rPr>
        <w:t xml:space="preserve"> calculation, changes in their constituent components and historical performance, has been derived from publicly available information, including information published by the Index Sponsor, but has not been independently verified. Investors in the Shares s</w:t>
      </w:r>
      <w:r>
        <w:rPr>
          <w:rFonts w:ascii="Arial" w:hAnsi="Arial" w:cs="Arial"/>
          <w:sz w:val="20"/>
          <w:szCs w:val="20"/>
        </w:rPr>
        <w:t>hould conduct their own investigation into the Index, the S&amp;P GSCI-ER and the Index Sponsor.</w:t>
      </w:r>
    </w:p>
    <w:p w14:paraId="3DD166D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5633F6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Goldman Sachs sold its GSCI family of indices, including the S&amp;P GSCI™, the S&amp;P GSCI-ER and the Index, to S&amp;P effective May 2007. Prior to their acquisition by S</w:t>
      </w:r>
      <w:r>
        <w:rPr>
          <w:rFonts w:ascii="Arial" w:hAnsi="Arial" w:cs="Arial"/>
          <w:sz w:val="20"/>
          <w:szCs w:val="20"/>
        </w:rPr>
        <w:t>&amp;P, the S&amp;P GSCI™ was known as the Goldman Sachs Commodity Index, the S&amp;P GSCI-ER was known as the GSCI</w:t>
      </w:r>
      <w:r>
        <w:rPr>
          <w:rFonts w:ascii="Arial" w:hAnsi="Arial" w:cs="Arial"/>
          <w:sz w:val="12"/>
          <w:szCs w:val="12"/>
        </w:rPr>
        <w:t>®</w:t>
      </w:r>
      <w:r>
        <w:rPr>
          <w:rFonts w:ascii="Arial" w:hAnsi="Arial" w:cs="Arial"/>
          <w:sz w:val="20"/>
          <w:szCs w:val="20"/>
        </w:rPr>
        <w:t>Excess Return Index and the Index was known as the GSCI</w:t>
      </w:r>
      <w:r>
        <w:rPr>
          <w:rFonts w:ascii="Arial" w:hAnsi="Arial" w:cs="Arial"/>
          <w:sz w:val="12"/>
          <w:szCs w:val="12"/>
        </w:rPr>
        <w:t>®</w:t>
      </w:r>
      <w:r>
        <w:rPr>
          <w:rFonts w:ascii="Arial" w:hAnsi="Arial" w:cs="Arial"/>
          <w:sz w:val="20"/>
          <w:szCs w:val="20"/>
        </w:rPr>
        <w:t>Total Return Index.</w:t>
      </w:r>
    </w:p>
    <w:p w14:paraId="6B84A24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A5205F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Trust and the Shares are not sponsored, endorsed, sold or promoted by </w:t>
      </w:r>
      <w:r>
        <w:rPr>
          <w:rFonts w:ascii="Arial" w:hAnsi="Arial" w:cs="Arial"/>
          <w:sz w:val="20"/>
          <w:szCs w:val="20"/>
        </w:rPr>
        <w:t>the Index Sponsor. The Index Sponsor makes no representation or warranty, express or implied, to the owners of the Shares or any member of the public regarding the advisability of investing in securities generally or in the Shares particularly or the abili</w:t>
      </w:r>
      <w:r>
        <w:rPr>
          <w:rFonts w:ascii="Arial" w:hAnsi="Arial" w:cs="Arial"/>
          <w:sz w:val="20"/>
          <w:szCs w:val="20"/>
        </w:rPr>
        <w:t>ty of the S&amp;P GSCI™, the S&amp;P GSCI-ER or the Index or any related indices or sub-indices to track the appropriate market performance. The Index Sponsor’s only relationship to iShares Delaware Trust Sponsor LLC, BlackRock Institutional Trust Company, N.A., o</w:t>
      </w:r>
      <w:r>
        <w:rPr>
          <w:rFonts w:ascii="Arial" w:hAnsi="Arial" w:cs="Arial"/>
          <w:sz w:val="20"/>
          <w:szCs w:val="20"/>
        </w:rPr>
        <w:t>r the Trust is the licensing of certain trademarks, trade names of the Index Sponsor and the S&amp;P GSCI™ and other intellectual property. The S&amp;P GSCI™, the S&amp;P GSCI</w:t>
      </w:r>
      <w:r>
        <w:rPr>
          <w:rFonts w:ascii="Arial" w:hAnsi="Arial" w:cs="Arial"/>
          <w:sz w:val="20"/>
          <w:szCs w:val="20"/>
        </w:rPr>
        <w:noBreakHyphen/>
        <w:t>ER and the Index are determined and composed by the Index Sponsor and calculated by the Inde</w:t>
      </w:r>
      <w:r>
        <w:rPr>
          <w:rFonts w:ascii="Arial" w:hAnsi="Arial" w:cs="Arial"/>
          <w:sz w:val="20"/>
          <w:szCs w:val="20"/>
        </w:rPr>
        <w:t>x Sponsor or its agents without regard to iShares Delaware Trust Sponsor LLC, BlackRock Institutional Trust Company, N.A. or the Trust. The Index Sponsor has no obligation to take the needs of iShares Delaware Trust Sponsor LLC, BlackRock Institutional Tru</w:t>
      </w:r>
      <w:r>
        <w:rPr>
          <w:rFonts w:ascii="Arial" w:hAnsi="Arial" w:cs="Arial"/>
          <w:sz w:val="20"/>
          <w:szCs w:val="20"/>
        </w:rPr>
        <w:t>st Company, N.A., the Trust or the Shareholders into consideration in determining, composing or calculating the S&amp;P GSCI™, the S&amp;P GSCI-ER or the Index. The Index Sponsor is not responsible for and has not participated in the determination of the prices an</w:t>
      </w:r>
      <w:r>
        <w:rPr>
          <w:rFonts w:ascii="Arial" w:hAnsi="Arial" w:cs="Arial"/>
          <w:sz w:val="20"/>
          <w:szCs w:val="20"/>
        </w:rPr>
        <w:t>d the amount of the Shares or the timing of the issuance or sale of Shares or in the determination or calculation of the Basket Amount. The Index Sponsor has no obligation or liability in connection with the administration, marketing or trading of the Shar</w:t>
      </w:r>
      <w:r>
        <w:rPr>
          <w:rFonts w:ascii="Arial" w:hAnsi="Arial" w:cs="Arial"/>
          <w:sz w:val="20"/>
          <w:szCs w:val="20"/>
        </w:rPr>
        <w:t>es.</w:t>
      </w:r>
    </w:p>
    <w:p w14:paraId="17BB809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F3FF81F" w14:textId="77777777" w:rsidR="00000000" w:rsidRDefault="004206B0">
      <w:pPr>
        <w:jc w:val="center"/>
        <w:divId w:val="623586319"/>
        <w:rPr>
          <w:rFonts w:ascii="Arial" w:eastAsia="Times New Roman" w:hAnsi="Arial" w:cs="Arial"/>
          <w:sz w:val="20"/>
          <w:szCs w:val="20"/>
        </w:rPr>
      </w:pPr>
      <w:r>
        <w:rPr>
          <w:rFonts w:ascii="Arial" w:eastAsia="Times New Roman" w:hAnsi="Arial" w:cs="Arial"/>
          <w:sz w:val="20"/>
          <w:szCs w:val="20"/>
        </w:rPr>
        <w:t xml:space="preserve">6 </w:t>
      </w:r>
    </w:p>
    <w:p w14:paraId="241E6EA4" w14:textId="77777777" w:rsidR="00000000" w:rsidRDefault="004206B0">
      <w:pPr>
        <w:divId w:val="960382247"/>
        <w:rPr>
          <w:rFonts w:eastAsia="Times New Roman"/>
          <w:sz w:val="20"/>
          <w:szCs w:val="20"/>
        </w:rPr>
      </w:pPr>
      <w:r>
        <w:rPr>
          <w:rFonts w:eastAsia="Times New Roman"/>
          <w:sz w:val="20"/>
          <w:szCs w:val="20"/>
        </w:rPr>
        <w:pict w14:anchorId="02F26617">
          <v:rect id="_x0000_i1044" style="width:415.3pt;height:1.5pt" o:hralign="center" o:hrstd="t" o:hrnoshade="t" o:hr="t" fillcolor="black" stroked="f"/>
        </w:pict>
      </w:r>
    </w:p>
    <w:p w14:paraId="3E8757F4" w14:textId="77777777" w:rsidR="00000000" w:rsidRDefault="004206B0">
      <w:pPr>
        <w:divId w:val="1249344485"/>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6946055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E47519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Index Sponsor does not guarantee the accuracy or the completeness of the S&amp;P GSCI™, the S&amp;P GSCI-ER or the Index or any data included the</w:t>
      </w:r>
      <w:r>
        <w:rPr>
          <w:rFonts w:ascii="Arial" w:hAnsi="Arial" w:cs="Arial"/>
          <w:sz w:val="20"/>
          <w:szCs w:val="20"/>
        </w:rPr>
        <w:t>rein, and the Index Sponsor disclaims any and all liability for any errors, omissions, or interruptions therein. The Index Sponsor makes no warranty, express or implied, as to the results to be obtained by the Trust, the Shareholders or any other person or</w:t>
      </w:r>
      <w:r>
        <w:rPr>
          <w:rFonts w:ascii="Arial" w:hAnsi="Arial" w:cs="Arial"/>
          <w:sz w:val="20"/>
          <w:szCs w:val="20"/>
        </w:rPr>
        <w:t xml:space="preserve"> entity from use of the S&amp;P GSCI™, the S&amp;P GSCI-ER or the Index or any data included therein. The Index Sponsor makes no express or implied warranties, and expressly disclaims all warranties of merchantability or fitness for a particular purpose or use, wi</w:t>
      </w:r>
      <w:r>
        <w:rPr>
          <w:rFonts w:ascii="Arial" w:hAnsi="Arial" w:cs="Arial"/>
          <w:sz w:val="20"/>
          <w:szCs w:val="20"/>
        </w:rPr>
        <w:t>th respect to the S&amp;P GSCI™, the S&amp;P GSCI-ER or the Index or any data included therein. Without limiting any of the foregoing, the Index Sponsor expressly disclaims any and all liability for any special, punitive, indirect, or consequential damages (includ</w:t>
      </w:r>
      <w:r>
        <w:rPr>
          <w:rFonts w:ascii="Arial" w:hAnsi="Arial" w:cs="Arial"/>
          <w:sz w:val="20"/>
          <w:szCs w:val="20"/>
        </w:rPr>
        <w:t>ing lost profits), even if notified of the possibility of such damages.</w:t>
      </w:r>
    </w:p>
    <w:p w14:paraId="5112D5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A9BCE9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following information with respect to the Index and the S&amp;P GSCI-ER reflects the policies of and is subject to change by the Index Sponsor. The Index Sponsor owns the copyright a</w:t>
      </w:r>
      <w:r>
        <w:rPr>
          <w:rFonts w:ascii="Arial" w:hAnsi="Arial" w:cs="Arial"/>
          <w:sz w:val="20"/>
          <w:szCs w:val="20"/>
        </w:rPr>
        <w:t>nd other rights to the Index and the S&amp;P GSCI-ER. The Index Sponsor has no obligation to consider your interests as a Shareholder and has no obligation to continue to publish, and may discontinue the publication of, the Index or the S&amp;P GSCI-ER.</w:t>
      </w:r>
    </w:p>
    <w:p w14:paraId="2651966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302D61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Current </w:t>
      </w:r>
      <w:r>
        <w:rPr>
          <w:rFonts w:ascii="Arial" w:hAnsi="Arial" w:cs="Arial"/>
          <w:sz w:val="20"/>
          <w:szCs w:val="20"/>
        </w:rPr>
        <w:t>information regarding the market values of the Index and the S&amp;P GSCI-ER is available from the Index Sponsor and numerous public sources. None of the Sponsor, the Trustee, the Delaware Trustee, the Advisor or the Trust makes any representation that publicl</w:t>
      </w:r>
      <w:r>
        <w:rPr>
          <w:rFonts w:ascii="Arial" w:hAnsi="Arial" w:cs="Arial"/>
          <w:sz w:val="20"/>
          <w:szCs w:val="20"/>
        </w:rPr>
        <w:t>y available information about the Index and the S&amp;P GSCI-ER is accurate or complete. In addition, none of the Sponsor, the Trustee, the Delaware Trustee, the Advisor or the Trust accepts any responsibility for the calculation, maintenance or publication of</w:t>
      </w:r>
      <w:r>
        <w:rPr>
          <w:rFonts w:ascii="Arial" w:hAnsi="Arial" w:cs="Arial"/>
          <w:sz w:val="20"/>
          <w:szCs w:val="20"/>
        </w:rPr>
        <w:t>, or for any error, omission or disruption in, the Index or the S&amp;P GSCI-ER. The consequences of the Index Sponsor’s discontinuing the S&amp;P GSCI-ER are described under “Risk Factors - Risk Factors Relating to Index Futures and the S&amp;P GSCI-ER.”</w:t>
      </w:r>
    </w:p>
    <w:p w14:paraId="3EDB00F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2C03BA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Index </w:t>
      </w:r>
      <w:r>
        <w:rPr>
          <w:rFonts w:ascii="Arial" w:hAnsi="Arial" w:cs="Arial"/>
          <w:sz w:val="20"/>
          <w:szCs w:val="20"/>
        </w:rPr>
        <w:t xml:space="preserve">and the S&amp;P GSCI-ER were established in May 1991. The Index reflects the value of an investment in the S&amp;P GSCI-ER together with a Treasury bill return. The S&amp;P GSCI-ER reflects the returns that are potentially available through a rolling uncollateralized </w:t>
      </w:r>
      <w:r>
        <w:rPr>
          <w:rFonts w:ascii="Arial" w:hAnsi="Arial" w:cs="Arial"/>
          <w:sz w:val="20"/>
          <w:szCs w:val="20"/>
        </w:rPr>
        <w:t>investment in the contracts comprising the S&amp;P GSCI™.</w:t>
      </w:r>
    </w:p>
    <w:p w14:paraId="53BD332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C6170D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Futures contracts have scheduled expirations, or delivery months, and as one contract nears expiration it becomes necessary to close out the position in that delivery month and establish a position in</w:t>
      </w:r>
      <w:r>
        <w:rPr>
          <w:rFonts w:ascii="Arial" w:hAnsi="Arial" w:cs="Arial"/>
          <w:sz w:val="20"/>
          <w:szCs w:val="20"/>
        </w:rPr>
        <w:t xml:space="preserve"> the next available delivery month. This process is referred to as “rolling” the position forward. The S&amp;P GSCI</w:t>
      </w:r>
      <w:r>
        <w:rPr>
          <w:rFonts w:ascii="Arial" w:hAnsi="Arial" w:cs="Arial"/>
          <w:sz w:val="20"/>
          <w:szCs w:val="20"/>
        </w:rPr>
        <w:noBreakHyphen/>
        <w:t>ER is designed to reflect the return from rolling each contract included in the S&amp;P GSCI™ as it nears expiration into the next available deliver</w:t>
      </w:r>
      <w:r>
        <w:rPr>
          <w:rFonts w:ascii="Arial" w:hAnsi="Arial" w:cs="Arial"/>
          <w:sz w:val="20"/>
          <w:szCs w:val="20"/>
        </w:rPr>
        <w:t>y month. This is accomplished by selling the position in the first delivery month and purchasing a position of equivalent value in the second delivery month. If the price of the second contract is lower than the price of the first contract, the rolling pro</w:t>
      </w:r>
      <w:r>
        <w:rPr>
          <w:rFonts w:ascii="Arial" w:hAnsi="Arial" w:cs="Arial"/>
          <w:sz w:val="20"/>
          <w:szCs w:val="20"/>
        </w:rPr>
        <w:t>cess results in a greater quantity of the second contract being acquired for the same value. Conversely, if the price of the second contract is higher than the price of the first contract, the rolling process results in a smaller quantity of the second con</w:t>
      </w:r>
      <w:r>
        <w:rPr>
          <w:rFonts w:ascii="Arial" w:hAnsi="Arial" w:cs="Arial"/>
          <w:sz w:val="20"/>
          <w:szCs w:val="20"/>
        </w:rPr>
        <w:t>tract being acquired for the same value.</w:t>
      </w:r>
    </w:p>
    <w:p w14:paraId="6133792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EBB566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More specifically, the rolling of the contracts included in the S&amp;P GSCI™ </w:t>
      </w:r>
      <w:r>
        <w:rPr>
          <w:rFonts w:ascii="Arial" w:hAnsi="Arial" w:cs="Arial"/>
          <w:sz w:val="20"/>
          <w:szCs w:val="20"/>
        </w:rPr>
        <w:t>occurs on the fifth through the ninth business days of each month. During this roll period, each contract is shifted from the contract with the nearest expiration to the contract with the next nearest expiration at a rate of 20% per day for each of the fiv</w:t>
      </w:r>
      <w:r>
        <w:rPr>
          <w:rFonts w:ascii="Arial" w:hAnsi="Arial" w:cs="Arial"/>
          <w:sz w:val="20"/>
          <w:szCs w:val="20"/>
        </w:rPr>
        <w:t>e days of the roll period. Therefore, during the first four business days of a month, and just before the end of the fifth business day, the S&amp;P GSCI™ consists of futures contracts with the nearest expirations. The S&amp;P GSCI™ is calculated as though each co</w:t>
      </w:r>
      <w:r>
        <w:rPr>
          <w:rFonts w:ascii="Arial" w:hAnsi="Arial" w:cs="Arial"/>
          <w:sz w:val="20"/>
          <w:szCs w:val="20"/>
        </w:rPr>
        <w:t>ntract roll occurs at the end of each day during the roll period, at the daily settlement prices. At the end of the fifth business day, the S&amp;P GSCI™ is adjusted so that 20% of the contracts underlying the S&amp;P GSCI™ held are in the next nearest expiring co</w:t>
      </w:r>
      <w:r>
        <w:rPr>
          <w:rFonts w:ascii="Arial" w:hAnsi="Arial" w:cs="Arial"/>
          <w:sz w:val="20"/>
          <w:szCs w:val="20"/>
        </w:rPr>
        <w:t xml:space="preserve">ntracts, with 80% remaining in the nearest expiring contracts. The roll process continues on the sixth, seventh and eighth business days, with the relative weights of the nearest to the next nearest expirations gradually shifting from a 60%/40% weighting, </w:t>
      </w:r>
      <w:r>
        <w:rPr>
          <w:rFonts w:ascii="Arial" w:hAnsi="Arial" w:cs="Arial"/>
          <w:sz w:val="20"/>
          <w:szCs w:val="20"/>
        </w:rPr>
        <w:t>to a 40%/60% weighting, to a 20%/80% weighting. At the end of the ninth business day, the last of the contracts with the nearest expirations are exchanged, completing the roll and leaving the S&amp;P GSCI™ composed entirely of contracts with the next nearest e</w:t>
      </w:r>
      <w:r>
        <w:rPr>
          <w:rFonts w:ascii="Arial" w:hAnsi="Arial" w:cs="Arial"/>
          <w:sz w:val="20"/>
          <w:szCs w:val="20"/>
        </w:rPr>
        <w:t>xpirations.</w:t>
      </w:r>
    </w:p>
    <w:p w14:paraId="43EDD48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600151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Index Sponsor may from time to time determine that market conditions warrant adjustment of the normal parameters of the roll, including without limitation when the roll occurs, the length of the roll, the proportions of the roll, or the r</w:t>
      </w:r>
      <w:r>
        <w:rPr>
          <w:rFonts w:ascii="Arial" w:hAnsi="Arial" w:cs="Arial"/>
          <w:sz w:val="20"/>
          <w:szCs w:val="20"/>
        </w:rPr>
        <w:t>oll-in contract. If there are no viable designated contracts to roll into, the Index Sponsor will determine the appropriate course of action, which may include, but not be limited to, the removal of the commodity from any impacted index.</w:t>
      </w:r>
    </w:p>
    <w:p w14:paraId="1C35F47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CF03C4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S&amp;P GSCI™ it</w:t>
      </w:r>
      <w:r>
        <w:rPr>
          <w:rFonts w:ascii="Arial" w:hAnsi="Arial" w:cs="Arial"/>
          <w:sz w:val="20"/>
          <w:szCs w:val="20"/>
        </w:rPr>
        <w:t>self is an index on a production-weighted basket of principal physical commodities that satisfy specified criteria. The S&amp;P GSCI™ reflects the level of commodity prices at a given time and is designed to be a measure of the performance over time of the mar</w:t>
      </w:r>
      <w:r>
        <w:rPr>
          <w:rFonts w:ascii="Arial" w:hAnsi="Arial" w:cs="Arial"/>
          <w:sz w:val="20"/>
          <w:szCs w:val="20"/>
        </w:rPr>
        <w:t>kets for these commodities. The commodities represented in the S&amp;P GSCI™ are those physical commodities on which active and liquid contracts are traded on trading facilities in major industrialized countries. The commodities included in the S&amp;P GSCI™ are w</w:t>
      </w:r>
      <w:r>
        <w:rPr>
          <w:rFonts w:ascii="Arial" w:hAnsi="Arial" w:cs="Arial"/>
          <w:sz w:val="20"/>
          <w:szCs w:val="20"/>
        </w:rPr>
        <w:t>eighted, on a production basis, to reflect the relative significance (in the view of the Index Sponsor) of those commodities to the world economy. The fluctuations in the level of the S&amp;P GSCI™ are intended generally to correlate with changes in the prices</w:t>
      </w:r>
      <w:r>
        <w:rPr>
          <w:rFonts w:ascii="Arial" w:hAnsi="Arial" w:cs="Arial"/>
          <w:sz w:val="20"/>
          <w:szCs w:val="20"/>
        </w:rPr>
        <w:t xml:space="preserve"> of those physical commodities in global markets. The value of the S&amp;P GSCI™ has been normalized such that its hypothetical level on January 2, 1970 was 100.</w:t>
      </w:r>
    </w:p>
    <w:p w14:paraId="0745D28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CAA513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following is a summary of the composition of and the methodology used to calculate the S&amp;P G</w:t>
      </w:r>
      <w:r>
        <w:rPr>
          <w:rFonts w:ascii="Arial" w:hAnsi="Arial" w:cs="Arial"/>
          <w:sz w:val="20"/>
          <w:szCs w:val="20"/>
        </w:rPr>
        <w:t>SCI™ as of the date of this report. The methodology for determining the composition and weighting of the S&amp;P GSCI™ and for calculating its value is subject to modification in a manner consistent with the purposes of the S&amp;P GSCI™, as described below. The I</w:t>
      </w:r>
      <w:r>
        <w:rPr>
          <w:rFonts w:ascii="Arial" w:hAnsi="Arial" w:cs="Arial"/>
          <w:sz w:val="20"/>
          <w:szCs w:val="20"/>
        </w:rPr>
        <w:t>ndex Sponsor makes the official calculations of the value of the S&amp;P GSCI™. At present, this calculation is performed continuously and is reported on Reuters Page .SPGSCI and on Bloomberg page SPGSCI &lt;index&gt; and is updated at least once every three minutes</w:t>
      </w:r>
      <w:r>
        <w:rPr>
          <w:rFonts w:ascii="Arial" w:hAnsi="Arial" w:cs="Arial"/>
          <w:sz w:val="20"/>
          <w:szCs w:val="20"/>
        </w:rPr>
        <w:t xml:space="preserve"> during business hours on each day on which the S&amp;P GSCI™ is calculated, referred to as an “S&amp;P GSCI™ Business Day.” The settlement price for the S&amp;P GSCI-ER is reported on Reuters Page .SPGSCIP and on Bloomberg page SPGSCIP &lt;index&gt; at the end of each S&amp;P </w:t>
      </w:r>
      <w:r>
        <w:rPr>
          <w:rFonts w:ascii="Arial" w:hAnsi="Arial" w:cs="Arial"/>
          <w:sz w:val="20"/>
          <w:szCs w:val="20"/>
        </w:rPr>
        <w:t>GSCI™ Business Day. If Reuters ceases to publish the value of the S&amp;P GSCI™ or the settlement price of the S&amp;P GSCI-ER, the Index Sponsor has undertaken to use commercially reasonable efforts to ensure that a comparable reporting service publishes the valu</w:t>
      </w:r>
      <w:r>
        <w:rPr>
          <w:rFonts w:ascii="Arial" w:hAnsi="Arial" w:cs="Arial"/>
          <w:sz w:val="20"/>
          <w:szCs w:val="20"/>
        </w:rPr>
        <w:t>e of the S&amp;P GSCI™ and the settlement price of the S&amp;P GSCI-ER so long as any Shares are outstanding.</w:t>
      </w:r>
    </w:p>
    <w:p w14:paraId="4CFBAD4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E349E3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light of the rapid development of electronic trading platforms and the potential for significant shifts in liquidity between traditional exchanges an</w:t>
      </w:r>
      <w:r>
        <w:rPr>
          <w:rFonts w:ascii="Arial" w:hAnsi="Arial" w:cs="Arial"/>
          <w:sz w:val="20"/>
          <w:szCs w:val="20"/>
        </w:rPr>
        <w:t>d those platforms, the Index Sponsor may review both the procedures and criteria for determining the contracts to be included in the S&amp;P GSCI™, as well as the procedures and criteria for evaluating available liquidity on an intra-year basis in order to pro</w:t>
      </w:r>
      <w:r>
        <w:rPr>
          <w:rFonts w:ascii="Arial" w:hAnsi="Arial" w:cs="Arial"/>
          <w:sz w:val="20"/>
          <w:szCs w:val="20"/>
        </w:rPr>
        <w:t>vide S&amp;P GSCI™ market participants with efficient access to new sources of liquidity and the potential for more efficient trading. In particular, the Index Sponsor may examine the conditions under which an instrument traded on an electronic platform, rathe</w:t>
      </w:r>
      <w:r>
        <w:rPr>
          <w:rFonts w:ascii="Arial" w:hAnsi="Arial" w:cs="Arial"/>
          <w:sz w:val="20"/>
          <w:szCs w:val="20"/>
        </w:rPr>
        <w:t>r than a traditional futures contract traded on a traditional futures exchange, should be permitted to be included in the S&amp;P GSCI™ and how the composition of the S&amp;P GSCI™ should respond to rapid shifts in liquidity between those instruments and contracts</w:t>
      </w:r>
      <w:r>
        <w:rPr>
          <w:rFonts w:ascii="Arial" w:hAnsi="Arial" w:cs="Arial"/>
          <w:sz w:val="20"/>
          <w:szCs w:val="20"/>
        </w:rPr>
        <w:t xml:space="preserve"> currently included in the S&amp;P GSCI™.</w:t>
      </w:r>
    </w:p>
    <w:p w14:paraId="73A6A11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A7F9632" w14:textId="77777777" w:rsidR="00000000" w:rsidRDefault="004206B0">
      <w:pPr>
        <w:jc w:val="center"/>
        <w:divId w:val="105200097"/>
        <w:rPr>
          <w:rFonts w:ascii="Arial" w:eastAsia="Times New Roman" w:hAnsi="Arial" w:cs="Arial"/>
          <w:sz w:val="20"/>
          <w:szCs w:val="20"/>
        </w:rPr>
      </w:pPr>
      <w:r>
        <w:rPr>
          <w:rFonts w:ascii="Arial" w:eastAsia="Times New Roman" w:hAnsi="Arial" w:cs="Arial"/>
          <w:sz w:val="20"/>
          <w:szCs w:val="20"/>
        </w:rPr>
        <w:t xml:space="preserve">7 </w:t>
      </w:r>
    </w:p>
    <w:p w14:paraId="6BB1F313" w14:textId="77777777" w:rsidR="00000000" w:rsidRDefault="004206B0">
      <w:pPr>
        <w:divId w:val="1529490125"/>
        <w:rPr>
          <w:rFonts w:eastAsia="Times New Roman"/>
          <w:sz w:val="20"/>
          <w:szCs w:val="20"/>
        </w:rPr>
      </w:pPr>
      <w:r>
        <w:rPr>
          <w:rFonts w:eastAsia="Times New Roman"/>
          <w:sz w:val="20"/>
          <w:szCs w:val="20"/>
        </w:rPr>
        <w:pict w14:anchorId="28432E23">
          <v:rect id="_x0000_i1045" style="width:415.3pt;height:1.5pt" o:hralign="center" o:hrstd="t" o:hrnoshade="t" o:hr="t" fillcolor="black" stroked="f"/>
        </w:pict>
      </w:r>
    </w:p>
    <w:p w14:paraId="24C703DC" w14:textId="77777777" w:rsidR="00000000" w:rsidRDefault="004206B0">
      <w:pPr>
        <w:divId w:val="408164049"/>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01EBCE64" w14:textId="77777777" w:rsidR="00000000" w:rsidRDefault="004206B0">
      <w:pPr>
        <w:pStyle w:val="a3"/>
        <w:spacing w:before="0" w:beforeAutospacing="0" w:after="0" w:afterAutospacing="0"/>
        <w:rPr>
          <w:sz w:val="20"/>
          <w:szCs w:val="20"/>
        </w:rPr>
      </w:pPr>
      <w:r>
        <w:rPr>
          <w:sz w:val="20"/>
          <w:szCs w:val="20"/>
        </w:rPr>
        <w:t> </w:t>
      </w:r>
    </w:p>
    <w:p w14:paraId="4E598009"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The Index Committee and Commodity Index Advisory Panel</w:t>
      </w:r>
    </w:p>
    <w:p w14:paraId="5A91AB7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16BEF0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Index Sponsor has established an index committee to oversee the daily management</w:t>
      </w:r>
      <w:r>
        <w:rPr>
          <w:rFonts w:ascii="Arial" w:hAnsi="Arial" w:cs="Arial"/>
          <w:sz w:val="20"/>
          <w:szCs w:val="20"/>
        </w:rPr>
        <w:t xml:space="preserve"> and operations of the S&amp;P GSCI™ (the “Index Committee”), and is responsible for all analytical methods and calculation in the indices. The Index Committee is composed of full-time professional members of the Index Sponsor’s staff. At each meeting, the Ind</w:t>
      </w:r>
      <w:r>
        <w:rPr>
          <w:rFonts w:ascii="Arial" w:hAnsi="Arial" w:cs="Arial"/>
          <w:sz w:val="20"/>
          <w:szCs w:val="20"/>
        </w:rPr>
        <w:t>ex Committee reviews any issues that may affect index constituents, statistics comparing the composition of the indices to the market, commodities that are being considered as candidates for addition to an index, and any significant market events. In addit</w:t>
      </w:r>
      <w:r>
        <w:rPr>
          <w:rFonts w:ascii="Arial" w:hAnsi="Arial" w:cs="Arial"/>
          <w:sz w:val="20"/>
          <w:szCs w:val="20"/>
        </w:rPr>
        <w:t>ion, the Index Committee may revise index policy covering rules for selecting commodities or other matters.</w:t>
      </w:r>
    </w:p>
    <w:p w14:paraId="44BE214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D10A2E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Index Sponsor considers information about changes to its indices and related matters to be potentially market moving and material. Therefore, </w:t>
      </w:r>
      <w:r>
        <w:rPr>
          <w:rFonts w:ascii="Arial" w:hAnsi="Arial" w:cs="Arial"/>
          <w:sz w:val="20"/>
          <w:szCs w:val="20"/>
        </w:rPr>
        <w:t>all Index Committee discussions are confidential.</w:t>
      </w:r>
    </w:p>
    <w:p w14:paraId="12462B2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8F2F3C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Generally, all references in this report to any methodology-related decisions made by the Index Sponsor represent decisions made by the Index Committee. The Index Committee has indicated that it may also </w:t>
      </w:r>
      <w:r>
        <w:rPr>
          <w:rFonts w:ascii="Arial" w:hAnsi="Arial" w:cs="Arial"/>
          <w:sz w:val="20"/>
          <w:szCs w:val="20"/>
        </w:rPr>
        <w:t>make exceptions when applying the index methodology and rules described in its published materials, as summarized in this report.</w:t>
      </w:r>
    </w:p>
    <w:p w14:paraId="0B7DF28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9CD0BF6"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In addition to the daily governance of indices and maintenance of index methodologies, at least once within any 12-month per</w:t>
      </w:r>
      <w:r>
        <w:rPr>
          <w:rFonts w:ascii="Arial" w:hAnsi="Arial" w:cs="Arial"/>
          <w:sz w:val="20"/>
          <w:szCs w:val="20"/>
        </w:rPr>
        <w:t xml:space="preserve">iod, the Index Committee reviews the methodology to ensure the indices continue to achieve the stated objectives, and that the data and methodology remain effective. In certain instances, the Index Sponsor may publish a consultation inviting comments from </w:t>
      </w:r>
      <w:r>
        <w:rPr>
          <w:rFonts w:ascii="Arial" w:hAnsi="Arial" w:cs="Arial"/>
          <w:sz w:val="20"/>
          <w:szCs w:val="20"/>
        </w:rPr>
        <w:t>external parties.</w:t>
      </w:r>
    </w:p>
    <w:p w14:paraId="4A50D90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AA384C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addition to the Index Committee, the Index Sponsor has established a commodity indexed advisory panel to assist it with the operation of the S&amp;P GSCI™ (the “Commodity Index Advisory Panel”). The Commodity Index Advisory Panel meets o</w:t>
      </w:r>
      <w:r>
        <w:rPr>
          <w:rFonts w:ascii="Arial" w:hAnsi="Arial" w:cs="Arial"/>
          <w:sz w:val="20"/>
          <w:szCs w:val="20"/>
        </w:rPr>
        <w:t>n an annual basis and at other times at the request of the Index Committee. The principal purpose of the Commodity Index Advisory Panel is to advise the Index Committee with respect to, among other things, the calculation of the S&amp;P GSCI™, the effectivenes</w:t>
      </w:r>
      <w:r>
        <w:rPr>
          <w:rFonts w:ascii="Arial" w:hAnsi="Arial" w:cs="Arial"/>
          <w:sz w:val="20"/>
          <w:szCs w:val="20"/>
        </w:rPr>
        <w:t>s of the S&amp;P GSCI™ as a measure of commodity futures market performance and the need for changes in the composition or the methodology of the S&amp;P GSCI™. The Commodity Index Advisory Panel acts solely in an advisory and consultative capacity. The Index Comm</w:t>
      </w:r>
      <w:r>
        <w:rPr>
          <w:rFonts w:ascii="Arial" w:hAnsi="Arial" w:cs="Arial"/>
          <w:sz w:val="20"/>
          <w:szCs w:val="20"/>
        </w:rPr>
        <w:t>ittee makes all decisions with respect to the composition, calculation and operation of the S&amp;P GSCI™. Certain of the members of the Commodity Index Advisory Panel may be affiliated with clients of S&amp;P. Also, certain of the members of the Commodity Index A</w:t>
      </w:r>
      <w:r>
        <w:rPr>
          <w:rFonts w:ascii="Arial" w:hAnsi="Arial" w:cs="Arial"/>
          <w:sz w:val="20"/>
          <w:szCs w:val="20"/>
        </w:rPr>
        <w:t>dvisory Panel may be affiliated with entities which, from time to time, may have investments linked to the S&amp;P GSCI™, either through transactions in the contracts included in the S&amp;P GSCI™, futures contracts on the S&amp;P GSCI™ or derivative products linked t</w:t>
      </w:r>
      <w:r>
        <w:rPr>
          <w:rFonts w:ascii="Arial" w:hAnsi="Arial" w:cs="Arial"/>
          <w:sz w:val="20"/>
          <w:szCs w:val="20"/>
        </w:rPr>
        <w:t>o the S&amp;P GSCI™.</w:t>
      </w:r>
    </w:p>
    <w:p w14:paraId="0E2A14A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F66E0EB"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Composition of the S&amp;P GSCI</w:t>
      </w:r>
      <w:r>
        <w:rPr>
          <w:rFonts w:ascii="Arial" w:hAnsi="Arial" w:cs="Arial"/>
          <w:sz w:val="20"/>
          <w:szCs w:val="20"/>
        </w:rPr>
        <w:t>™</w:t>
      </w:r>
    </w:p>
    <w:p w14:paraId="28CF958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EA9179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Currently, in order to be included in the S&amp;P GSCI™</w:t>
      </w:r>
      <w:r>
        <w:rPr>
          <w:rFonts w:ascii="Arial" w:hAnsi="Arial" w:cs="Arial"/>
          <w:sz w:val="20"/>
          <w:szCs w:val="20"/>
        </w:rPr>
        <w:t xml:space="preserve">, a contract must be on a physical commodity and may not be on a financial commodity (e.g., securities, currencies, interest rates, etc.). The contracts on a particular commodity need not require physical delivery by their terms in order for the commodity </w:t>
      </w:r>
      <w:r>
        <w:rPr>
          <w:rFonts w:ascii="Arial" w:hAnsi="Arial" w:cs="Arial"/>
          <w:sz w:val="20"/>
          <w:szCs w:val="20"/>
        </w:rPr>
        <w:t>to be considered a physical commodity. In addition, the contract must satisfy the following eligibility criteria:</w:t>
      </w:r>
    </w:p>
    <w:p w14:paraId="77F9EB3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31"/>
        <w:gridCol w:w="5975"/>
      </w:tblGrid>
      <w:tr w:rsidR="00000000" w14:paraId="4EFF0D7E" w14:textId="77777777">
        <w:trPr>
          <w:tblCellSpacing w:w="0" w:type="dxa"/>
        </w:trPr>
        <w:tc>
          <w:tcPr>
            <w:tcW w:w="360" w:type="dxa"/>
            <w:hideMark/>
          </w:tcPr>
          <w:p w14:paraId="49C293F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w:t>
            </w:r>
          </w:p>
        </w:tc>
        <w:tc>
          <w:tcPr>
            <w:tcW w:w="6" w:type="dxa"/>
            <w:hideMark/>
          </w:tcPr>
          <w:p w14:paraId="48B47BD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contract must have a specified expiration or term or provide in some other manner for delivery or settlement at a specified time, or</w:t>
            </w:r>
            <w:r>
              <w:rPr>
                <w:rFonts w:ascii="Arial" w:hAnsi="Arial" w:cs="Arial"/>
                <w:sz w:val="20"/>
                <w:szCs w:val="20"/>
              </w:rPr>
              <w:t xml:space="preserve"> within a specified time period, in the future.</w:t>
            </w:r>
          </w:p>
        </w:tc>
      </w:tr>
    </w:tbl>
    <w:p w14:paraId="29B56B5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14:paraId="4A435186" w14:textId="77777777">
        <w:trPr>
          <w:tblCellSpacing w:w="0" w:type="dxa"/>
        </w:trPr>
        <w:tc>
          <w:tcPr>
            <w:tcW w:w="360" w:type="dxa"/>
            <w:hideMark/>
          </w:tcPr>
          <w:p w14:paraId="2FE30CB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(2)</w:t>
            </w:r>
          </w:p>
        </w:tc>
        <w:tc>
          <w:tcPr>
            <w:tcW w:w="6" w:type="dxa"/>
            <w:hideMark/>
          </w:tcPr>
          <w:p w14:paraId="346CBAB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contract must, at any given point in time, be available for trading at least five months prior to its expiration or such other date or time period specified for delivery or settlement.</w:t>
            </w:r>
          </w:p>
        </w:tc>
      </w:tr>
    </w:tbl>
    <w:p w14:paraId="139B5C1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01"/>
        <w:gridCol w:w="6305"/>
      </w:tblGrid>
      <w:tr w:rsidR="00000000" w14:paraId="5CB76ED2" w14:textId="77777777">
        <w:trPr>
          <w:tblCellSpacing w:w="0" w:type="dxa"/>
        </w:trPr>
        <w:tc>
          <w:tcPr>
            <w:tcW w:w="360" w:type="dxa"/>
            <w:hideMark/>
          </w:tcPr>
          <w:p w14:paraId="4A29CDF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(3)</w:t>
            </w:r>
          </w:p>
        </w:tc>
        <w:tc>
          <w:tcPr>
            <w:tcW w:w="6" w:type="dxa"/>
            <w:hideMark/>
          </w:tcPr>
          <w:p w14:paraId="40CEE86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w:t>
            </w:r>
            <w:r>
              <w:rPr>
                <w:rFonts w:ascii="Arial" w:hAnsi="Arial" w:cs="Arial"/>
                <w:sz w:val="20"/>
                <w:szCs w:val="20"/>
              </w:rPr>
              <w:t>rading facility on which the contract is traded must allow market participants to execute spread transactions, through a single order entry, between the pairs of contract expirations included in the S&amp;P GSCI™ that, at any given point in time, will be invol</w:t>
            </w:r>
            <w:r>
              <w:rPr>
                <w:rFonts w:ascii="Arial" w:hAnsi="Arial" w:cs="Arial"/>
                <w:sz w:val="20"/>
                <w:szCs w:val="20"/>
              </w:rPr>
              <w:t>ved in the rolls to be affected in the next three roll periods.</w:t>
            </w:r>
          </w:p>
        </w:tc>
      </w:tr>
    </w:tbl>
    <w:p w14:paraId="042344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3"/>
        <w:gridCol w:w="6363"/>
      </w:tblGrid>
      <w:tr w:rsidR="00000000" w14:paraId="4EEA21B3" w14:textId="77777777">
        <w:trPr>
          <w:tblCellSpacing w:w="0" w:type="dxa"/>
        </w:trPr>
        <w:tc>
          <w:tcPr>
            <w:tcW w:w="360" w:type="dxa"/>
            <w:hideMark/>
          </w:tcPr>
          <w:p w14:paraId="57FD726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(4)</w:t>
            </w:r>
          </w:p>
        </w:tc>
        <w:tc>
          <w:tcPr>
            <w:tcW w:w="6" w:type="dxa"/>
            <w:hideMark/>
          </w:tcPr>
          <w:p w14:paraId="311A097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contract must be denominated in U.S. dollars and traded on or through an exchange, facility or other platform, referred to as a “trading facility,” that has its principal place of b</w:t>
            </w:r>
            <w:r>
              <w:rPr>
                <w:rFonts w:ascii="Arial" w:hAnsi="Arial" w:cs="Arial"/>
                <w:sz w:val="20"/>
                <w:szCs w:val="20"/>
              </w:rPr>
              <w:t>usiness or operations in a country that is a member of the Organization for Economic Cooperation and Development during the relevant calculation period for the S&amp;P GSCI™.</w:t>
            </w:r>
          </w:p>
        </w:tc>
      </w:tr>
    </w:tbl>
    <w:p w14:paraId="071BB97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65"/>
        <w:gridCol w:w="6541"/>
      </w:tblGrid>
      <w:tr w:rsidR="00000000" w14:paraId="2E68271D" w14:textId="77777777">
        <w:trPr>
          <w:tblCellSpacing w:w="0" w:type="dxa"/>
        </w:trPr>
        <w:tc>
          <w:tcPr>
            <w:tcW w:w="360" w:type="dxa"/>
            <w:hideMark/>
          </w:tcPr>
          <w:p w14:paraId="4DA6606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(5)</w:t>
            </w:r>
          </w:p>
        </w:tc>
        <w:tc>
          <w:tcPr>
            <w:tcW w:w="6" w:type="dxa"/>
            <w:hideMark/>
          </w:tcPr>
          <w:p w14:paraId="02CDDB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price of the relevant contract that is used as a reference or benchmark by market participants, referred to as the “daily contract reference price,” generally must have been available on a continuous basis for at least two years prior to the proposed d</w:t>
            </w:r>
            <w:r>
              <w:rPr>
                <w:rFonts w:ascii="Arial" w:hAnsi="Arial" w:cs="Arial"/>
                <w:sz w:val="20"/>
                <w:szCs w:val="20"/>
              </w:rPr>
              <w:t>ate of inclusion in the S&amp;P GSCI™. In appropriate circumstances, the Index Sponsor may determine that a shorter time period is sufficient or that historical daily contract reference prices for that contract may be derived from daily contract reference pric</w:t>
            </w:r>
            <w:r>
              <w:rPr>
                <w:rFonts w:ascii="Arial" w:hAnsi="Arial" w:cs="Arial"/>
                <w:sz w:val="20"/>
                <w:szCs w:val="20"/>
              </w:rPr>
              <w:t>es for a similar or related contract.</w:t>
            </w:r>
          </w:p>
        </w:tc>
      </w:tr>
    </w:tbl>
    <w:p w14:paraId="6CB14BB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2"/>
        <w:gridCol w:w="6404"/>
      </w:tblGrid>
      <w:tr w:rsidR="00000000" w14:paraId="30D0FAEE" w14:textId="77777777">
        <w:trPr>
          <w:tblCellSpacing w:w="0" w:type="dxa"/>
        </w:trPr>
        <w:tc>
          <w:tcPr>
            <w:tcW w:w="360" w:type="dxa"/>
            <w:hideMark/>
          </w:tcPr>
          <w:p w14:paraId="68B1B31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(6)</w:t>
            </w:r>
          </w:p>
        </w:tc>
        <w:tc>
          <w:tcPr>
            <w:tcW w:w="6" w:type="dxa"/>
            <w:hideMark/>
          </w:tcPr>
          <w:p w14:paraId="042F976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Volume data with respect to the contract must be available, from sources that the Index Sponsor believes to be reasonably reliable, for at least the three months immediately preceding the date on which the determination is made.</w:t>
            </w:r>
          </w:p>
        </w:tc>
      </w:tr>
    </w:tbl>
    <w:p w14:paraId="5C37372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2"/>
        <w:gridCol w:w="6404"/>
      </w:tblGrid>
      <w:tr w:rsidR="00000000" w14:paraId="4022BEC1" w14:textId="77777777">
        <w:trPr>
          <w:tblCellSpacing w:w="0" w:type="dxa"/>
        </w:trPr>
        <w:tc>
          <w:tcPr>
            <w:tcW w:w="360" w:type="dxa"/>
            <w:hideMark/>
          </w:tcPr>
          <w:p w14:paraId="4D4ACF7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(7)</w:t>
            </w:r>
          </w:p>
        </w:tc>
        <w:tc>
          <w:tcPr>
            <w:tcW w:w="6" w:type="dxa"/>
            <w:hideMark/>
          </w:tcPr>
          <w:p w14:paraId="4A0515D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 contract that is n</w:t>
            </w:r>
            <w:r>
              <w:rPr>
                <w:rFonts w:ascii="Arial" w:hAnsi="Arial" w:cs="Arial"/>
                <w:sz w:val="20"/>
                <w:szCs w:val="20"/>
              </w:rPr>
              <w:t>ot included in the S&amp;P GSCI™ at the time of determination and that is based on a commodity that is not represented in the S&amp;P GSCI™ at that time must, in order to be added to the S&amp;P GSCI™ at that time, have an annualized total dollar value traded over the</w:t>
            </w:r>
            <w:r>
              <w:rPr>
                <w:rFonts w:ascii="Arial" w:hAnsi="Arial" w:cs="Arial"/>
                <w:sz w:val="20"/>
                <w:szCs w:val="20"/>
              </w:rPr>
              <w:t xml:space="preserve"> relevant period of at least $15 billion. The “total dollar value traded” is the dollar value of the total quantity of the commodity underlying transactions in the relevant contract and any related contract over the period for which the calculation is made</w:t>
            </w:r>
            <w:r>
              <w:rPr>
                <w:rFonts w:ascii="Arial" w:hAnsi="Arial" w:cs="Arial"/>
                <w:sz w:val="20"/>
                <w:szCs w:val="20"/>
              </w:rPr>
              <w:t>, based on the average of the daily contract reference prices on the last day of each month during the period.</w:t>
            </w:r>
          </w:p>
        </w:tc>
      </w:tr>
    </w:tbl>
    <w:p w14:paraId="0FFCC51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37"/>
        <w:gridCol w:w="6469"/>
      </w:tblGrid>
      <w:tr w:rsidR="00000000" w14:paraId="002304CA" w14:textId="77777777">
        <w:trPr>
          <w:tblCellSpacing w:w="0" w:type="dxa"/>
        </w:trPr>
        <w:tc>
          <w:tcPr>
            <w:tcW w:w="360" w:type="dxa"/>
            <w:hideMark/>
          </w:tcPr>
          <w:p w14:paraId="6F20AD3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(8)</w:t>
            </w:r>
          </w:p>
        </w:tc>
        <w:tc>
          <w:tcPr>
            <w:tcW w:w="6" w:type="dxa"/>
            <w:hideMark/>
          </w:tcPr>
          <w:p w14:paraId="53A1C58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already included in the S&amp;P GSCI™ at the time of determination and that is the only contract on the relevant commodity </w:t>
            </w:r>
            <w:r>
              <w:rPr>
                <w:rFonts w:ascii="Arial" w:hAnsi="Arial" w:cs="Arial"/>
                <w:sz w:val="20"/>
                <w:szCs w:val="20"/>
              </w:rPr>
              <w:t>included in the S&amp;P GSCI™ must, in order to continue to be included in the S&amp;P GSCI™ after that time, have an annualized total dollar value traded over the relevant period of at least $5 billion and at least $10 billion during at least one of the three mos</w:t>
            </w:r>
            <w:r>
              <w:rPr>
                <w:rFonts w:ascii="Arial" w:hAnsi="Arial" w:cs="Arial"/>
                <w:sz w:val="20"/>
                <w:szCs w:val="20"/>
              </w:rPr>
              <w:t>t recent annual periods used in making the determination.</w:t>
            </w:r>
          </w:p>
        </w:tc>
      </w:tr>
    </w:tbl>
    <w:p w14:paraId="5A7B76D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D8A5465" w14:textId="77777777" w:rsidR="00000000" w:rsidRDefault="004206B0">
      <w:pPr>
        <w:jc w:val="center"/>
        <w:divId w:val="351761472"/>
        <w:rPr>
          <w:rFonts w:ascii="Arial" w:eastAsia="Times New Roman" w:hAnsi="Arial" w:cs="Arial"/>
          <w:sz w:val="20"/>
          <w:szCs w:val="20"/>
        </w:rPr>
      </w:pPr>
      <w:r>
        <w:rPr>
          <w:rFonts w:ascii="Arial" w:eastAsia="Times New Roman" w:hAnsi="Arial" w:cs="Arial"/>
          <w:sz w:val="20"/>
          <w:szCs w:val="20"/>
        </w:rPr>
        <w:t xml:space="preserve">8 </w:t>
      </w:r>
    </w:p>
    <w:p w14:paraId="4ED48374" w14:textId="77777777" w:rsidR="00000000" w:rsidRDefault="004206B0">
      <w:pPr>
        <w:divId w:val="1758402469"/>
        <w:rPr>
          <w:rFonts w:eastAsia="Times New Roman"/>
          <w:sz w:val="20"/>
          <w:szCs w:val="20"/>
        </w:rPr>
      </w:pPr>
      <w:r>
        <w:rPr>
          <w:rFonts w:eastAsia="Times New Roman"/>
          <w:sz w:val="20"/>
          <w:szCs w:val="20"/>
        </w:rPr>
        <w:pict w14:anchorId="344DCDE2">
          <v:rect id="_x0000_i1046" style="width:415.3pt;height:1.5pt" o:hralign="center" o:hrstd="t" o:hrnoshade="t" o:hr="t" fillcolor="black" stroked="f"/>
        </w:pict>
      </w:r>
    </w:p>
    <w:p w14:paraId="49C3CE09" w14:textId="77777777" w:rsidR="00000000" w:rsidRDefault="004206B0">
      <w:pPr>
        <w:divId w:val="160079035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77C40163" w14:textId="77777777" w:rsidR="00000000" w:rsidRDefault="004206B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2"/>
        <w:gridCol w:w="6404"/>
      </w:tblGrid>
      <w:tr w:rsidR="00000000" w14:paraId="5281E422" w14:textId="77777777">
        <w:trPr>
          <w:tblCellSpacing w:w="0" w:type="dxa"/>
        </w:trPr>
        <w:tc>
          <w:tcPr>
            <w:tcW w:w="360" w:type="dxa"/>
            <w:hideMark/>
          </w:tcPr>
          <w:p w14:paraId="3576362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(9)</w:t>
            </w:r>
          </w:p>
        </w:tc>
        <w:tc>
          <w:tcPr>
            <w:tcW w:w="6" w:type="dxa"/>
            <w:hideMark/>
          </w:tcPr>
          <w:p w14:paraId="1308C53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not included in the S&amp;P GSCI™ </w:t>
            </w:r>
            <w:r>
              <w:rPr>
                <w:rFonts w:ascii="Arial" w:hAnsi="Arial" w:cs="Arial"/>
                <w:sz w:val="20"/>
                <w:szCs w:val="20"/>
              </w:rPr>
              <w:t>at the time of determination and that is based on a commodity on which there are one or more contracts already included in the S&amp;P GSCI™ at that time must, in order to be added to the S&amp;P GSCI™ at that time, have an annualized total dollar value traded ove</w:t>
            </w:r>
            <w:r>
              <w:rPr>
                <w:rFonts w:ascii="Arial" w:hAnsi="Arial" w:cs="Arial"/>
                <w:sz w:val="20"/>
                <w:szCs w:val="20"/>
              </w:rPr>
              <w:t>r the relevant period of at least $30 billion.</w:t>
            </w:r>
          </w:p>
        </w:tc>
      </w:tr>
    </w:tbl>
    <w:p w14:paraId="5C19C5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37"/>
        <w:gridCol w:w="6469"/>
      </w:tblGrid>
      <w:tr w:rsidR="00000000" w14:paraId="4AEC4087" w14:textId="77777777">
        <w:trPr>
          <w:tblCellSpacing w:w="0" w:type="dxa"/>
        </w:trPr>
        <w:tc>
          <w:tcPr>
            <w:tcW w:w="360" w:type="dxa"/>
            <w:hideMark/>
          </w:tcPr>
          <w:p w14:paraId="63B858C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(10)</w:t>
            </w:r>
          </w:p>
        </w:tc>
        <w:tc>
          <w:tcPr>
            <w:tcW w:w="6" w:type="dxa"/>
            <w:hideMark/>
          </w:tcPr>
          <w:p w14:paraId="323233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already included in the S&amp;P GSCI™ </w:t>
            </w:r>
            <w:r>
              <w:rPr>
                <w:rFonts w:ascii="Arial" w:hAnsi="Arial" w:cs="Arial"/>
                <w:sz w:val="20"/>
                <w:szCs w:val="20"/>
              </w:rPr>
              <w:t>at the time of determination and that is based on a commodity on which there are one or more contracts already included in the S&amp;P GSCI™ at that time must, in order to continue to be included in the S&amp;P GSCI™ after that time, have an annualized total dolla</w:t>
            </w:r>
            <w:r>
              <w:rPr>
                <w:rFonts w:ascii="Arial" w:hAnsi="Arial" w:cs="Arial"/>
                <w:sz w:val="20"/>
                <w:szCs w:val="20"/>
              </w:rPr>
              <w:t>r value traded over the relevant period of at least $10 billion and at least $20 billion during at least one of the three most recent annual periods used in making the determination.</w:t>
            </w:r>
          </w:p>
        </w:tc>
      </w:tr>
    </w:tbl>
    <w:p w14:paraId="64746A0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2"/>
        <w:gridCol w:w="6404"/>
      </w:tblGrid>
      <w:tr w:rsidR="00000000" w14:paraId="5F19CD31" w14:textId="77777777">
        <w:trPr>
          <w:tblCellSpacing w:w="0" w:type="dxa"/>
        </w:trPr>
        <w:tc>
          <w:tcPr>
            <w:tcW w:w="360" w:type="dxa"/>
            <w:hideMark/>
          </w:tcPr>
          <w:p w14:paraId="6113CF4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(11)</w:t>
            </w:r>
          </w:p>
        </w:tc>
        <w:tc>
          <w:tcPr>
            <w:tcW w:w="6" w:type="dxa"/>
            <w:hideMark/>
          </w:tcPr>
          <w:p w14:paraId="5004B17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already included in the S&amp;P GSCI™ at the time </w:t>
            </w:r>
            <w:r>
              <w:rPr>
                <w:rFonts w:ascii="Arial" w:hAnsi="Arial" w:cs="Arial"/>
                <w:sz w:val="20"/>
                <w:szCs w:val="20"/>
              </w:rPr>
              <w:t>of determination must, in order to continue to be included after that time, have a reference percentage dollar weight of at least 0.10%. The “reference percentage dollar weight” of a contract represents the current value of the quantity of the underlying c</w:t>
            </w:r>
            <w:r>
              <w:rPr>
                <w:rFonts w:ascii="Arial" w:hAnsi="Arial" w:cs="Arial"/>
                <w:sz w:val="20"/>
                <w:szCs w:val="20"/>
              </w:rPr>
              <w:t>ommodity that is included in the S&amp;P GSCI™ at a given time. This figure is determined by dividing (A) the product of the contract production weight of each contract, or “CPW,” and the average of its daily contract reference prices on the last day of each m</w:t>
            </w:r>
            <w:r>
              <w:rPr>
                <w:rFonts w:ascii="Arial" w:hAnsi="Arial" w:cs="Arial"/>
                <w:sz w:val="20"/>
                <w:szCs w:val="20"/>
              </w:rPr>
              <w:t>onth during the relevant period, by (B) the sum of the products in (A) for all contracts included in the S&amp;P GSCI™. The contract production weight of a contract is calculated by the Index Sponsor based on world production and trading volume.</w:t>
            </w:r>
          </w:p>
        </w:tc>
      </w:tr>
    </w:tbl>
    <w:p w14:paraId="7BE1C74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2"/>
        <w:gridCol w:w="6404"/>
      </w:tblGrid>
      <w:tr w:rsidR="00000000" w14:paraId="4FF15E42" w14:textId="77777777">
        <w:trPr>
          <w:tblCellSpacing w:w="0" w:type="dxa"/>
        </w:trPr>
        <w:tc>
          <w:tcPr>
            <w:tcW w:w="360" w:type="dxa"/>
            <w:hideMark/>
          </w:tcPr>
          <w:p w14:paraId="1FA635D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(12)</w:t>
            </w:r>
          </w:p>
        </w:tc>
        <w:tc>
          <w:tcPr>
            <w:tcW w:w="6" w:type="dxa"/>
            <w:hideMark/>
          </w:tcPr>
          <w:p w14:paraId="466C9DD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 cont</w:t>
            </w:r>
            <w:r>
              <w:rPr>
                <w:rFonts w:ascii="Arial" w:hAnsi="Arial" w:cs="Arial"/>
                <w:sz w:val="20"/>
                <w:szCs w:val="20"/>
              </w:rPr>
              <w:t>ract that is not included in the S&amp;P GSCI™ at the time of determination must, in order to be added to the S&amp;P GSCI™ at that time, have a reference percentage dollar weight of at least 1.00%.</w:t>
            </w:r>
          </w:p>
        </w:tc>
      </w:tr>
    </w:tbl>
    <w:p w14:paraId="79B9F98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53"/>
        <w:gridCol w:w="6053"/>
      </w:tblGrid>
      <w:tr w:rsidR="00000000" w14:paraId="3E7FD18F" w14:textId="77777777">
        <w:trPr>
          <w:tblCellSpacing w:w="0" w:type="dxa"/>
        </w:trPr>
        <w:tc>
          <w:tcPr>
            <w:tcW w:w="360" w:type="dxa"/>
            <w:hideMark/>
          </w:tcPr>
          <w:p w14:paraId="6EA7351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(13)</w:t>
            </w:r>
          </w:p>
        </w:tc>
        <w:tc>
          <w:tcPr>
            <w:tcW w:w="6" w:type="dxa"/>
            <w:hideMark/>
          </w:tcPr>
          <w:p w14:paraId="1FACAD4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the event that two or more contracts on the same commo</w:t>
            </w:r>
            <w:r>
              <w:rPr>
                <w:rFonts w:ascii="Arial" w:hAnsi="Arial" w:cs="Arial"/>
                <w:sz w:val="20"/>
                <w:szCs w:val="20"/>
              </w:rPr>
              <w:t>dity satisfy the eligibility criteria:</w:t>
            </w:r>
          </w:p>
        </w:tc>
      </w:tr>
    </w:tbl>
    <w:p w14:paraId="48973C3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2"/>
        <w:gridCol w:w="1662"/>
        <w:gridCol w:w="4982"/>
      </w:tblGrid>
      <w:tr w:rsidR="00000000" w14:paraId="3876F738" w14:textId="77777777">
        <w:trPr>
          <w:tblCellSpacing w:w="0" w:type="dxa"/>
        </w:trPr>
        <w:tc>
          <w:tcPr>
            <w:tcW w:w="360" w:type="dxa"/>
            <w:hideMark/>
          </w:tcPr>
          <w:p w14:paraId="6CED8E40" w14:textId="77777777" w:rsidR="00000000" w:rsidRDefault="004206B0">
            <w:pPr>
              <w:rPr>
                <w:rFonts w:eastAsia="Times New Roman"/>
              </w:rPr>
            </w:pPr>
            <w:r>
              <w:rPr>
                <w:rFonts w:eastAsia="Times New Roman"/>
              </w:rPr>
              <w:t> </w:t>
            </w:r>
          </w:p>
        </w:tc>
        <w:tc>
          <w:tcPr>
            <w:tcW w:w="360" w:type="dxa"/>
            <w:hideMark/>
          </w:tcPr>
          <w:p w14:paraId="707714A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w:t>
            </w:r>
          </w:p>
        </w:tc>
        <w:tc>
          <w:tcPr>
            <w:tcW w:w="6" w:type="dxa"/>
            <w:hideMark/>
          </w:tcPr>
          <w:p w14:paraId="2360179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Such contracts will be included in the S&amp;P GSCI™ in the order of their respective total quantity traded during the relevant period (determined as the total quantity of the commodity underlying transactions in</w:t>
            </w:r>
            <w:r>
              <w:rPr>
                <w:rFonts w:ascii="Arial" w:hAnsi="Arial" w:cs="Arial"/>
                <w:sz w:val="20"/>
                <w:szCs w:val="20"/>
              </w:rPr>
              <w:t xml:space="preserve"> the relevant contract), with the contract having the highest total quantity traded being included first, provided that no further contracts will be included if such inclusion would result in the portion of the S&amp;P GSCI™ attributable to that commodity exce</w:t>
            </w:r>
            <w:r>
              <w:rPr>
                <w:rFonts w:ascii="Arial" w:hAnsi="Arial" w:cs="Arial"/>
                <w:sz w:val="20"/>
                <w:szCs w:val="20"/>
              </w:rPr>
              <w:t>eding a particular level</w:t>
            </w:r>
            <w:r>
              <w:rPr>
                <w:rFonts w:ascii="Arial" w:hAnsi="Arial" w:cs="Arial"/>
                <w:sz w:val="20"/>
                <w:szCs w:val="20"/>
              </w:rPr>
              <w:t>;</w:t>
            </w:r>
            <w:r>
              <w:rPr>
                <w:rFonts w:ascii="Arial" w:hAnsi="Arial" w:cs="Arial"/>
                <w:sz w:val="20"/>
                <w:szCs w:val="20"/>
              </w:rPr>
              <w:t xml:space="preserve"> and</w:t>
            </w:r>
          </w:p>
        </w:tc>
      </w:tr>
    </w:tbl>
    <w:p w14:paraId="46F6EB9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04"/>
        <w:gridCol w:w="1504"/>
        <w:gridCol w:w="5298"/>
      </w:tblGrid>
      <w:tr w:rsidR="00000000" w14:paraId="63DF6147" w14:textId="77777777">
        <w:trPr>
          <w:tblCellSpacing w:w="0" w:type="dxa"/>
        </w:trPr>
        <w:tc>
          <w:tcPr>
            <w:tcW w:w="360" w:type="dxa"/>
            <w:hideMark/>
          </w:tcPr>
          <w:p w14:paraId="09BA0928" w14:textId="77777777" w:rsidR="00000000" w:rsidRDefault="004206B0">
            <w:pPr>
              <w:rPr>
                <w:rFonts w:eastAsia="Times New Roman"/>
              </w:rPr>
            </w:pPr>
            <w:r>
              <w:rPr>
                <w:rFonts w:eastAsia="Times New Roman"/>
              </w:rPr>
              <w:t> </w:t>
            </w:r>
          </w:p>
        </w:tc>
        <w:tc>
          <w:tcPr>
            <w:tcW w:w="360" w:type="dxa"/>
            <w:hideMark/>
          </w:tcPr>
          <w:p w14:paraId="40FE079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(b)</w:t>
            </w:r>
          </w:p>
        </w:tc>
        <w:tc>
          <w:tcPr>
            <w:tcW w:w="6" w:type="dxa"/>
            <w:hideMark/>
          </w:tcPr>
          <w:p w14:paraId="6C751CD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additional contracts could be included with respect to several commodities at the same time, that procedure is first applied with respect to the commodity that has the smallest portion of the S&amp;P GSCI™ attributable</w:t>
            </w:r>
            <w:r>
              <w:rPr>
                <w:rFonts w:ascii="Arial" w:hAnsi="Arial" w:cs="Arial"/>
                <w:sz w:val="20"/>
                <w:szCs w:val="20"/>
              </w:rPr>
              <w:t xml:space="preserve"> to it at the time of determination. Subject to the other eligibility criteria described above, the contract with the highest total quantity traded on that commodity will be included. Before any additional contracts on the same commodity or on any other co</w:t>
            </w:r>
            <w:r>
              <w:rPr>
                <w:rFonts w:ascii="Arial" w:hAnsi="Arial" w:cs="Arial"/>
                <w:sz w:val="20"/>
                <w:szCs w:val="20"/>
              </w:rPr>
              <w:t>mmodity are included, the portions of the S&amp;P GSCI™ attributable to all commodities are recalculated. The selection procedure described above is then repeated with respect to the contracts on the commodity that then has the smallest portion of the S&amp;P GSCI</w:t>
            </w:r>
            <w:r>
              <w:rPr>
                <w:rFonts w:ascii="Arial" w:hAnsi="Arial" w:cs="Arial"/>
                <w:sz w:val="20"/>
                <w:szCs w:val="20"/>
              </w:rPr>
              <w:t>™ attributable to it.</w:t>
            </w:r>
          </w:p>
        </w:tc>
      </w:tr>
    </w:tbl>
    <w:p w14:paraId="0BA3DB9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82C719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applying volume data for purposes of calculating the S&amp;</w:t>
      </w:r>
      <w:r>
        <w:rPr>
          <w:rFonts w:ascii="Arial" w:hAnsi="Arial" w:cs="Arial"/>
          <w:sz w:val="20"/>
          <w:szCs w:val="20"/>
        </w:rPr>
        <w:t>P GSCI, the Index Sponsor may make any such adjustments as it believes to be reasonably necessary in order to take into account any unique or unusual factors with respect to the relevant commodity.</w:t>
      </w:r>
    </w:p>
    <w:p w14:paraId="4C0FAFF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0DE49F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contracts currently included in the S&amp;P GSCI™ are fu</w:t>
      </w:r>
      <w:r>
        <w:rPr>
          <w:rFonts w:ascii="Arial" w:hAnsi="Arial" w:cs="Arial"/>
          <w:sz w:val="20"/>
          <w:szCs w:val="20"/>
        </w:rPr>
        <w:t>tures contracts traded on the Chicago Board of Trade (“CBT”), the CME, the COMEX Division of the New York Mercantile Exchange, Inc. (“CMX”), ICE Futures Europe (“ICE-UK”), ICE Futures U.S. (“ICE-US”), the Kansas City Board of Trade (“KBT”), the London Meta</w:t>
      </w:r>
      <w:r>
        <w:rPr>
          <w:rFonts w:ascii="Arial" w:hAnsi="Arial" w:cs="Arial"/>
          <w:sz w:val="20"/>
          <w:szCs w:val="20"/>
        </w:rPr>
        <w:t>l Exchange (“LME”), and the New York Mercantile Exchange, Inc. (“NYM”). </w:t>
      </w:r>
    </w:p>
    <w:p w14:paraId="3AC9055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CDDB3D1" w14:textId="77777777" w:rsidR="00000000" w:rsidRDefault="004206B0">
      <w:pPr>
        <w:jc w:val="center"/>
        <w:divId w:val="1702895382"/>
        <w:rPr>
          <w:rFonts w:ascii="Arial" w:eastAsia="Times New Roman" w:hAnsi="Arial" w:cs="Arial"/>
          <w:sz w:val="20"/>
          <w:szCs w:val="20"/>
        </w:rPr>
      </w:pPr>
      <w:r>
        <w:rPr>
          <w:rFonts w:ascii="Arial" w:eastAsia="Times New Roman" w:hAnsi="Arial" w:cs="Arial"/>
          <w:sz w:val="20"/>
          <w:szCs w:val="20"/>
        </w:rPr>
        <w:t xml:space="preserve">9 </w:t>
      </w:r>
    </w:p>
    <w:p w14:paraId="70482606" w14:textId="77777777" w:rsidR="00000000" w:rsidRDefault="004206B0">
      <w:pPr>
        <w:divId w:val="1659532161"/>
        <w:rPr>
          <w:rFonts w:eastAsia="Times New Roman"/>
          <w:sz w:val="20"/>
          <w:szCs w:val="20"/>
        </w:rPr>
      </w:pPr>
      <w:r>
        <w:rPr>
          <w:rFonts w:eastAsia="Times New Roman"/>
          <w:sz w:val="20"/>
          <w:szCs w:val="20"/>
        </w:rPr>
        <w:pict w14:anchorId="27E0276D">
          <v:rect id="_x0000_i1047" style="width:415.3pt;height:1.5pt" o:hralign="center" o:hrstd="t" o:hrnoshade="t" o:hr="t" fillcolor="black" stroked="f"/>
        </w:pict>
      </w:r>
    </w:p>
    <w:p w14:paraId="1AE7B0DD" w14:textId="77777777" w:rsidR="00000000" w:rsidRDefault="004206B0">
      <w:pPr>
        <w:divId w:val="33037534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4578CB5A" w14:textId="77777777" w:rsidR="00000000" w:rsidRDefault="004206B0">
      <w:pPr>
        <w:pStyle w:val="a3"/>
        <w:spacing w:before="0" w:beforeAutospacing="0" w:after="0" w:afterAutospacing="0"/>
        <w:rPr>
          <w:sz w:val="20"/>
          <w:szCs w:val="20"/>
        </w:rPr>
      </w:pPr>
      <w:r>
        <w:rPr>
          <w:sz w:val="20"/>
          <w:szCs w:val="20"/>
        </w:rPr>
        <w:t> </w:t>
      </w:r>
    </w:p>
    <w:p w14:paraId="461E16F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futures contracts included in the S&amp;P GSCI™, their percentage dollar weights, their market symbols and the exchanges on which they ar</w:t>
      </w:r>
      <w:r>
        <w:rPr>
          <w:rFonts w:ascii="Arial" w:hAnsi="Arial" w:cs="Arial"/>
          <w:sz w:val="20"/>
          <w:szCs w:val="20"/>
        </w:rPr>
        <w:t>e traded, in each case as of January 31, 2023, are as follows:</w:t>
      </w:r>
    </w:p>
    <w:p w14:paraId="0B6397FD" w14:textId="77777777" w:rsidR="00000000" w:rsidRDefault="004206B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6"/>
        <w:gridCol w:w="2076"/>
        <w:gridCol w:w="2077"/>
        <w:gridCol w:w="2077"/>
      </w:tblGrid>
      <w:tr w:rsidR="00000000" w14:paraId="74F9B58E" w14:textId="77777777">
        <w:trPr>
          <w:tblCellSpacing w:w="0" w:type="dxa"/>
        </w:trPr>
        <w:tc>
          <w:tcPr>
            <w:tcW w:w="1250" w:type="pct"/>
            <w:vAlign w:val="bottom"/>
            <w:hideMark/>
          </w:tcPr>
          <w:p w14:paraId="06CA76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250" w:type="pct"/>
            <w:vAlign w:val="bottom"/>
            <w:hideMark/>
          </w:tcPr>
          <w:p w14:paraId="202BA32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Dollar Weights</w:t>
            </w:r>
          </w:p>
        </w:tc>
        <w:tc>
          <w:tcPr>
            <w:tcW w:w="1250" w:type="pct"/>
            <w:vAlign w:val="bottom"/>
            <w:hideMark/>
          </w:tcPr>
          <w:p w14:paraId="451DFE8E"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 </w:t>
            </w:r>
          </w:p>
        </w:tc>
        <w:tc>
          <w:tcPr>
            <w:tcW w:w="1250" w:type="pct"/>
            <w:vAlign w:val="bottom"/>
            <w:hideMark/>
          </w:tcPr>
          <w:p w14:paraId="2ABB7810"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 </w:t>
            </w:r>
          </w:p>
        </w:tc>
      </w:tr>
      <w:tr w:rsidR="00000000" w14:paraId="7314A461" w14:textId="77777777">
        <w:trPr>
          <w:tblCellSpacing w:w="0" w:type="dxa"/>
        </w:trPr>
        <w:tc>
          <w:tcPr>
            <w:tcW w:w="1250" w:type="pct"/>
            <w:tcBorders>
              <w:bottom w:val="single" w:sz="6" w:space="0" w:color="000000"/>
            </w:tcBorders>
            <w:vAlign w:val="bottom"/>
            <w:hideMark/>
          </w:tcPr>
          <w:p w14:paraId="2AB70E2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Commodity</w:t>
            </w:r>
          </w:p>
        </w:tc>
        <w:tc>
          <w:tcPr>
            <w:tcW w:w="1250" w:type="pct"/>
            <w:tcBorders>
              <w:bottom w:val="single" w:sz="6" w:space="0" w:color="000000"/>
            </w:tcBorders>
            <w:vAlign w:val="bottom"/>
            <w:hideMark/>
          </w:tcPr>
          <w:p w14:paraId="4BA7F5D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January 31, 2023(a)</w:t>
            </w:r>
          </w:p>
        </w:tc>
        <w:tc>
          <w:tcPr>
            <w:tcW w:w="1250" w:type="pct"/>
            <w:tcBorders>
              <w:bottom w:val="single" w:sz="6" w:space="0" w:color="000000"/>
            </w:tcBorders>
            <w:vAlign w:val="bottom"/>
            <w:hideMark/>
          </w:tcPr>
          <w:p w14:paraId="058E3D7A"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Ticker(b)</w:t>
            </w:r>
          </w:p>
        </w:tc>
        <w:tc>
          <w:tcPr>
            <w:tcW w:w="1250" w:type="pct"/>
            <w:tcBorders>
              <w:bottom w:val="single" w:sz="6" w:space="0" w:color="000000"/>
            </w:tcBorders>
            <w:vAlign w:val="bottom"/>
            <w:hideMark/>
          </w:tcPr>
          <w:p w14:paraId="3CD9300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Trading Facility</w:t>
            </w:r>
          </w:p>
        </w:tc>
      </w:tr>
      <w:tr w:rsidR="00000000" w14:paraId="48A7914D" w14:textId="77777777">
        <w:trPr>
          <w:tblCellSpacing w:w="0" w:type="dxa"/>
        </w:trPr>
        <w:tc>
          <w:tcPr>
            <w:tcW w:w="1250" w:type="pct"/>
            <w:shd w:val="clear" w:color="auto" w:fill="CCEEFF"/>
            <w:vAlign w:val="bottom"/>
            <w:hideMark/>
          </w:tcPr>
          <w:p w14:paraId="79F318A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Crude Oil</w:t>
            </w:r>
          </w:p>
        </w:tc>
        <w:tc>
          <w:tcPr>
            <w:tcW w:w="1250" w:type="pct"/>
            <w:shd w:val="clear" w:color="auto" w:fill="CCEEFF"/>
            <w:vAlign w:val="bottom"/>
            <w:hideMark/>
          </w:tcPr>
          <w:p w14:paraId="7E05521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20.31%</w:t>
            </w:r>
          </w:p>
        </w:tc>
        <w:tc>
          <w:tcPr>
            <w:tcW w:w="1250" w:type="pct"/>
            <w:shd w:val="clear" w:color="auto" w:fill="CCEEFF"/>
            <w:vAlign w:val="bottom"/>
            <w:hideMark/>
          </w:tcPr>
          <w:p w14:paraId="2D2A7E8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CL</w:t>
            </w:r>
          </w:p>
        </w:tc>
        <w:tc>
          <w:tcPr>
            <w:tcW w:w="1250" w:type="pct"/>
            <w:shd w:val="clear" w:color="auto" w:fill="CCEEFF"/>
            <w:vAlign w:val="bottom"/>
            <w:hideMark/>
          </w:tcPr>
          <w:p w14:paraId="524553AA"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NYM / ICE</w:t>
            </w:r>
          </w:p>
        </w:tc>
      </w:tr>
      <w:tr w:rsidR="00000000" w14:paraId="7C780CC3" w14:textId="77777777">
        <w:trPr>
          <w:tblCellSpacing w:w="0" w:type="dxa"/>
        </w:trPr>
        <w:tc>
          <w:tcPr>
            <w:tcW w:w="1250" w:type="pct"/>
            <w:shd w:val="clear" w:color="auto" w:fill="FFFFFF"/>
            <w:vAlign w:val="bottom"/>
            <w:hideMark/>
          </w:tcPr>
          <w:p w14:paraId="5F7E0A1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Brent Crude Oil</w:t>
            </w:r>
          </w:p>
        </w:tc>
        <w:tc>
          <w:tcPr>
            <w:tcW w:w="1250" w:type="pct"/>
            <w:shd w:val="clear" w:color="auto" w:fill="FFFFFF"/>
            <w:vAlign w:val="bottom"/>
            <w:hideMark/>
          </w:tcPr>
          <w:p w14:paraId="015518E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19.50%</w:t>
            </w:r>
          </w:p>
        </w:tc>
        <w:tc>
          <w:tcPr>
            <w:tcW w:w="1250" w:type="pct"/>
            <w:shd w:val="clear" w:color="auto" w:fill="FFFFFF"/>
            <w:vAlign w:val="bottom"/>
            <w:hideMark/>
          </w:tcPr>
          <w:p w14:paraId="38A81607"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LCO</w:t>
            </w:r>
          </w:p>
        </w:tc>
        <w:tc>
          <w:tcPr>
            <w:tcW w:w="1250" w:type="pct"/>
            <w:shd w:val="clear" w:color="auto" w:fill="FFFFFF"/>
            <w:vAlign w:val="bottom"/>
            <w:hideMark/>
          </w:tcPr>
          <w:p w14:paraId="2361DD6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ICE - UK</w:t>
            </w:r>
          </w:p>
        </w:tc>
      </w:tr>
      <w:tr w:rsidR="00000000" w14:paraId="7ABC7456" w14:textId="77777777">
        <w:trPr>
          <w:tblCellSpacing w:w="0" w:type="dxa"/>
        </w:trPr>
        <w:tc>
          <w:tcPr>
            <w:tcW w:w="1250" w:type="pct"/>
            <w:shd w:val="clear" w:color="auto" w:fill="CCEEFF"/>
            <w:vAlign w:val="bottom"/>
            <w:hideMark/>
          </w:tcPr>
          <w:p w14:paraId="248E8C3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Corn</w:t>
            </w:r>
          </w:p>
        </w:tc>
        <w:tc>
          <w:tcPr>
            <w:tcW w:w="1250" w:type="pct"/>
            <w:shd w:val="clear" w:color="auto" w:fill="CCEEFF"/>
            <w:vAlign w:val="bottom"/>
            <w:hideMark/>
          </w:tcPr>
          <w:p w14:paraId="0BA5680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6.49%</w:t>
            </w:r>
          </w:p>
        </w:tc>
        <w:tc>
          <w:tcPr>
            <w:tcW w:w="1250" w:type="pct"/>
            <w:shd w:val="clear" w:color="auto" w:fill="CCEEFF"/>
            <w:vAlign w:val="bottom"/>
            <w:hideMark/>
          </w:tcPr>
          <w:p w14:paraId="6393C24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w:t>
            </w:r>
          </w:p>
        </w:tc>
        <w:tc>
          <w:tcPr>
            <w:tcW w:w="1250" w:type="pct"/>
            <w:shd w:val="clear" w:color="auto" w:fill="CCEEFF"/>
            <w:vAlign w:val="bottom"/>
            <w:hideMark/>
          </w:tcPr>
          <w:p w14:paraId="36912EC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14:paraId="674D98F2" w14:textId="77777777">
        <w:trPr>
          <w:tblCellSpacing w:w="0" w:type="dxa"/>
        </w:trPr>
        <w:tc>
          <w:tcPr>
            <w:tcW w:w="1250" w:type="pct"/>
            <w:shd w:val="clear" w:color="auto" w:fill="FFFFFF"/>
            <w:vAlign w:val="bottom"/>
            <w:hideMark/>
          </w:tcPr>
          <w:p w14:paraId="2AC8049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Gas Oil</w:t>
            </w:r>
          </w:p>
        </w:tc>
        <w:tc>
          <w:tcPr>
            <w:tcW w:w="1250" w:type="pct"/>
            <w:shd w:val="clear" w:color="auto" w:fill="FFFFFF"/>
            <w:vAlign w:val="bottom"/>
            <w:hideMark/>
          </w:tcPr>
          <w:p w14:paraId="5665371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6.16%</w:t>
            </w:r>
          </w:p>
        </w:tc>
        <w:tc>
          <w:tcPr>
            <w:tcW w:w="1250" w:type="pct"/>
            <w:shd w:val="clear" w:color="auto" w:fill="FFFFFF"/>
            <w:vAlign w:val="bottom"/>
            <w:hideMark/>
          </w:tcPr>
          <w:p w14:paraId="03FEB76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LGO</w:t>
            </w:r>
          </w:p>
        </w:tc>
        <w:tc>
          <w:tcPr>
            <w:tcW w:w="1250" w:type="pct"/>
            <w:shd w:val="clear" w:color="auto" w:fill="FFFFFF"/>
            <w:vAlign w:val="bottom"/>
            <w:hideMark/>
          </w:tcPr>
          <w:p w14:paraId="5DCEF30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ICE - UK</w:t>
            </w:r>
          </w:p>
        </w:tc>
      </w:tr>
      <w:tr w:rsidR="00000000" w14:paraId="65583312" w14:textId="77777777">
        <w:trPr>
          <w:tblCellSpacing w:w="0" w:type="dxa"/>
        </w:trPr>
        <w:tc>
          <w:tcPr>
            <w:tcW w:w="1250" w:type="pct"/>
            <w:shd w:val="clear" w:color="auto" w:fill="CCEEFF"/>
            <w:vAlign w:val="bottom"/>
            <w:hideMark/>
          </w:tcPr>
          <w:p w14:paraId="26F17A7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Heating Oil</w:t>
            </w:r>
          </w:p>
        </w:tc>
        <w:tc>
          <w:tcPr>
            <w:tcW w:w="1250" w:type="pct"/>
            <w:shd w:val="clear" w:color="auto" w:fill="CCEEFF"/>
            <w:vAlign w:val="bottom"/>
            <w:hideMark/>
          </w:tcPr>
          <w:p w14:paraId="18F41F6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4.98%</w:t>
            </w:r>
          </w:p>
        </w:tc>
        <w:tc>
          <w:tcPr>
            <w:tcW w:w="1250" w:type="pct"/>
            <w:shd w:val="clear" w:color="auto" w:fill="CCEEFF"/>
            <w:vAlign w:val="bottom"/>
            <w:hideMark/>
          </w:tcPr>
          <w:p w14:paraId="68660CD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HO</w:t>
            </w:r>
          </w:p>
        </w:tc>
        <w:tc>
          <w:tcPr>
            <w:tcW w:w="1250" w:type="pct"/>
            <w:shd w:val="clear" w:color="auto" w:fill="CCEEFF"/>
            <w:vAlign w:val="bottom"/>
            <w:hideMark/>
          </w:tcPr>
          <w:p w14:paraId="2E0733BA"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NYM</w:t>
            </w:r>
          </w:p>
        </w:tc>
      </w:tr>
      <w:tr w:rsidR="00000000" w14:paraId="18A5ECAF" w14:textId="77777777">
        <w:trPr>
          <w:tblCellSpacing w:w="0" w:type="dxa"/>
        </w:trPr>
        <w:tc>
          <w:tcPr>
            <w:tcW w:w="1250" w:type="pct"/>
            <w:shd w:val="clear" w:color="auto" w:fill="FFFFFF"/>
            <w:vAlign w:val="bottom"/>
            <w:hideMark/>
          </w:tcPr>
          <w:p w14:paraId="03AC24D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Copper</w:t>
            </w:r>
          </w:p>
        </w:tc>
        <w:tc>
          <w:tcPr>
            <w:tcW w:w="1250" w:type="pct"/>
            <w:shd w:val="clear" w:color="auto" w:fill="FFFFFF"/>
            <w:vAlign w:val="bottom"/>
            <w:hideMark/>
          </w:tcPr>
          <w:p w14:paraId="7E0E03C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4.74%</w:t>
            </w:r>
          </w:p>
        </w:tc>
        <w:tc>
          <w:tcPr>
            <w:tcW w:w="1250" w:type="pct"/>
            <w:shd w:val="clear" w:color="auto" w:fill="FFFFFF"/>
            <w:vAlign w:val="bottom"/>
            <w:hideMark/>
          </w:tcPr>
          <w:p w14:paraId="7AB3C18E"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MCU</w:t>
            </w:r>
          </w:p>
        </w:tc>
        <w:tc>
          <w:tcPr>
            <w:tcW w:w="1250" w:type="pct"/>
            <w:shd w:val="clear" w:color="auto" w:fill="FFFFFF"/>
            <w:vAlign w:val="bottom"/>
            <w:hideMark/>
          </w:tcPr>
          <w:p w14:paraId="5D1563E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14:paraId="7D2D4106" w14:textId="77777777">
        <w:trPr>
          <w:tblCellSpacing w:w="0" w:type="dxa"/>
        </w:trPr>
        <w:tc>
          <w:tcPr>
            <w:tcW w:w="1250" w:type="pct"/>
            <w:shd w:val="clear" w:color="auto" w:fill="CCEEFF"/>
            <w:vAlign w:val="bottom"/>
            <w:hideMark/>
          </w:tcPr>
          <w:p w14:paraId="3075BAA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Unleaded Gas</w:t>
            </w:r>
          </w:p>
        </w:tc>
        <w:tc>
          <w:tcPr>
            <w:tcW w:w="1250" w:type="pct"/>
            <w:shd w:val="clear" w:color="auto" w:fill="CCEEFF"/>
            <w:vAlign w:val="bottom"/>
            <w:hideMark/>
          </w:tcPr>
          <w:p w14:paraId="2F86AB0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4.46%</w:t>
            </w:r>
          </w:p>
        </w:tc>
        <w:tc>
          <w:tcPr>
            <w:tcW w:w="1250" w:type="pct"/>
            <w:shd w:val="clear" w:color="auto" w:fill="CCEEFF"/>
            <w:vAlign w:val="bottom"/>
            <w:hideMark/>
          </w:tcPr>
          <w:p w14:paraId="5C5B156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RB</w:t>
            </w:r>
          </w:p>
        </w:tc>
        <w:tc>
          <w:tcPr>
            <w:tcW w:w="1250" w:type="pct"/>
            <w:shd w:val="clear" w:color="auto" w:fill="CCEEFF"/>
            <w:vAlign w:val="bottom"/>
            <w:hideMark/>
          </w:tcPr>
          <w:p w14:paraId="2D50508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NYM</w:t>
            </w:r>
          </w:p>
        </w:tc>
      </w:tr>
      <w:tr w:rsidR="00000000" w14:paraId="14519BF3" w14:textId="77777777">
        <w:trPr>
          <w:tblCellSpacing w:w="0" w:type="dxa"/>
        </w:trPr>
        <w:tc>
          <w:tcPr>
            <w:tcW w:w="1250" w:type="pct"/>
            <w:shd w:val="clear" w:color="auto" w:fill="FFFFFF"/>
            <w:vAlign w:val="bottom"/>
            <w:hideMark/>
          </w:tcPr>
          <w:p w14:paraId="4C246D0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Gold</w:t>
            </w:r>
          </w:p>
        </w:tc>
        <w:tc>
          <w:tcPr>
            <w:tcW w:w="1250" w:type="pct"/>
            <w:shd w:val="clear" w:color="auto" w:fill="FFFFFF"/>
            <w:vAlign w:val="bottom"/>
            <w:hideMark/>
          </w:tcPr>
          <w:p w14:paraId="2C787EE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4.34%</w:t>
            </w:r>
          </w:p>
        </w:tc>
        <w:tc>
          <w:tcPr>
            <w:tcW w:w="1250" w:type="pct"/>
            <w:shd w:val="clear" w:color="auto" w:fill="FFFFFF"/>
            <w:vAlign w:val="bottom"/>
            <w:hideMark/>
          </w:tcPr>
          <w:p w14:paraId="25A8AB4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GC</w:t>
            </w:r>
          </w:p>
        </w:tc>
        <w:tc>
          <w:tcPr>
            <w:tcW w:w="1250" w:type="pct"/>
            <w:shd w:val="clear" w:color="auto" w:fill="FFFFFF"/>
            <w:vAlign w:val="bottom"/>
            <w:hideMark/>
          </w:tcPr>
          <w:p w14:paraId="52BF69F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CMX</w:t>
            </w:r>
          </w:p>
        </w:tc>
      </w:tr>
      <w:tr w:rsidR="00000000" w14:paraId="652B8BA7" w14:textId="77777777">
        <w:trPr>
          <w:tblCellSpacing w:w="0" w:type="dxa"/>
        </w:trPr>
        <w:tc>
          <w:tcPr>
            <w:tcW w:w="1250" w:type="pct"/>
            <w:shd w:val="clear" w:color="auto" w:fill="CCEEFF"/>
            <w:vAlign w:val="bottom"/>
            <w:hideMark/>
          </w:tcPr>
          <w:p w14:paraId="19D883F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Soybeans</w:t>
            </w:r>
          </w:p>
        </w:tc>
        <w:tc>
          <w:tcPr>
            <w:tcW w:w="1250" w:type="pct"/>
            <w:shd w:val="clear" w:color="auto" w:fill="CCEEFF"/>
            <w:vAlign w:val="bottom"/>
            <w:hideMark/>
          </w:tcPr>
          <w:p w14:paraId="224C11B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4.14%</w:t>
            </w:r>
          </w:p>
        </w:tc>
        <w:tc>
          <w:tcPr>
            <w:tcW w:w="1250" w:type="pct"/>
            <w:shd w:val="clear" w:color="auto" w:fill="CCEEFF"/>
            <w:vAlign w:val="bottom"/>
            <w:hideMark/>
          </w:tcPr>
          <w:p w14:paraId="5B4FA78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S</w:t>
            </w:r>
          </w:p>
        </w:tc>
        <w:tc>
          <w:tcPr>
            <w:tcW w:w="1250" w:type="pct"/>
            <w:shd w:val="clear" w:color="auto" w:fill="CCEEFF"/>
            <w:vAlign w:val="bottom"/>
            <w:hideMark/>
          </w:tcPr>
          <w:p w14:paraId="19DA423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14:paraId="6F92A25D" w14:textId="77777777">
        <w:trPr>
          <w:tblCellSpacing w:w="0" w:type="dxa"/>
        </w:trPr>
        <w:tc>
          <w:tcPr>
            <w:tcW w:w="1250" w:type="pct"/>
            <w:shd w:val="clear" w:color="auto" w:fill="FFFFFF"/>
            <w:vAlign w:val="bottom"/>
            <w:hideMark/>
          </w:tcPr>
          <w:p w14:paraId="529964A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Live Cattle</w:t>
            </w:r>
          </w:p>
        </w:tc>
        <w:tc>
          <w:tcPr>
            <w:tcW w:w="1250" w:type="pct"/>
            <w:shd w:val="clear" w:color="auto" w:fill="FFFFFF"/>
            <w:vAlign w:val="bottom"/>
            <w:hideMark/>
          </w:tcPr>
          <w:p w14:paraId="61B826F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3.90%</w:t>
            </w:r>
          </w:p>
        </w:tc>
        <w:tc>
          <w:tcPr>
            <w:tcW w:w="1250" w:type="pct"/>
            <w:shd w:val="clear" w:color="auto" w:fill="FFFFFF"/>
            <w:vAlign w:val="bottom"/>
            <w:hideMark/>
          </w:tcPr>
          <w:p w14:paraId="70BC0E6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LC</w:t>
            </w:r>
          </w:p>
        </w:tc>
        <w:tc>
          <w:tcPr>
            <w:tcW w:w="1250" w:type="pct"/>
            <w:shd w:val="clear" w:color="auto" w:fill="FFFFFF"/>
            <w:vAlign w:val="bottom"/>
            <w:hideMark/>
          </w:tcPr>
          <w:p w14:paraId="7981472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CME</w:t>
            </w:r>
          </w:p>
        </w:tc>
      </w:tr>
      <w:tr w:rsidR="00000000" w14:paraId="3E5EAE6F" w14:textId="77777777">
        <w:trPr>
          <w:tblCellSpacing w:w="0" w:type="dxa"/>
        </w:trPr>
        <w:tc>
          <w:tcPr>
            <w:tcW w:w="1250" w:type="pct"/>
            <w:shd w:val="clear" w:color="auto" w:fill="CCEEFF"/>
            <w:vAlign w:val="bottom"/>
            <w:hideMark/>
          </w:tcPr>
          <w:p w14:paraId="676BC0D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Aluminum</w:t>
            </w:r>
          </w:p>
        </w:tc>
        <w:tc>
          <w:tcPr>
            <w:tcW w:w="1250" w:type="pct"/>
            <w:shd w:val="clear" w:color="auto" w:fill="CCEEFF"/>
            <w:vAlign w:val="bottom"/>
            <w:hideMark/>
          </w:tcPr>
          <w:p w14:paraId="2BD2107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3.77%</w:t>
            </w:r>
          </w:p>
        </w:tc>
        <w:tc>
          <w:tcPr>
            <w:tcW w:w="1250" w:type="pct"/>
            <w:shd w:val="clear" w:color="auto" w:fill="CCEEFF"/>
            <w:vAlign w:val="bottom"/>
            <w:hideMark/>
          </w:tcPr>
          <w:p w14:paraId="34CD56B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MAL</w:t>
            </w:r>
          </w:p>
        </w:tc>
        <w:tc>
          <w:tcPr>
            <w:tcW w:w="1250" w:type="pct"/>
            <w:shd w:val="clear" w:color="auto" w:fill="CCEEFF"/>
            <w:vAlign w:val="bottom"/>
            <w:hideMark/>
          </w:tcPr>
          <w:p w14:paraId="448506B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14:paraId="2FEAA103" w14:textId="77777777">
        <w:trPr>
          <w:tblCellSpacing w:w="0" w:type="dxa"/>
        </w:trPr>
        <w:tc>
          <w:tcPr>
            <w:tcW w:w="1250" w:type="pct"/>
            <w:shd w:val="clear" w:color="auto" w:fill="FFFFFF"/>
            <w:vAlign w:val="bottom"/>
            <w:hideMark/>
          </w:tcPr>
          <w:p w14:paraId="5156B50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Chicago Wheat</w:t>
            </w:r>
          </w:p>
        </w:tc>
        <w:tc>
          <w:tcPr>
            <w:tcW w:w="1250" w:type="pct"/>
            <w:shd w:val="clear" w:color="auto" w:fill="FFFFFF"/>
            <w:vAlign w:val="bottom"/>
            <w:hideMark/>
          </w:tcPr>
          <w:p w14:paraId="066B020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3.13%</w:t>
            </w:r>
          </w:p>
        </w:tc>
        <w:tc>
          <w:tcPr>
            <w:tcW w:w="1250" w:type="pct"/>
            <w:shd w:val="clear" w:color="auto" w:fill="FFFFFF"/>
            <w:vAlign w:val="bottom"/>
            <w:hideMark/>
          </w:tcPr>
          <w:p w14:paraId="523929B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W</w:t>
            </w:r>
          </w:p>
        </w:tc>
        <w:tc>
          <w:tcPr>
            <w:tcW w:w="1250" w:type="pct"/>
            <w:shd w:val="clear" w:color="auto" w:fill="FFFFFF"/>
            <w:vAlign w:val="bottom"/>
            <w:hideMark/>
          </w:tcPr>
          <w:p w14:paraId="76016E1F"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14:paraId="59CB749E" w14:textId="77777777">
        <w:trPr>
          <w:tblCellSpacing w:w="0" w:type="dxa"/>
        </w:trPr>
        <w:tc>
          <w:tcPr>
            <w:tcW w:w="1250" w:type="pct"/>
            <w:shd w:val="clear" w:color="auto" w:fill="CCEEFF"/>
            <w:vAlign w:val="bottom"/>
            <w:hideMark/>
          </w:tcPr>
          <w:p w14:paraId="572FAC6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Natural Gas</w:t>
            </w:r>
          </w:p>
        </w:tc>
        <w:tc>
          <w:tcPr>
            <w:tcW w:w="1250" w:type="pct"/>
            <w:shd w:val="clear" w:color="auto" w:fill="CCEEFF"/>
            <w:vAlign w:val="bottom"/>
            <w:hideMark/>
          </w:tcPr>
          <w:p w14:paraId="5AF5F41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2.28%</w:t>
            </w:r>
          </w:p>
        </w:tc>
        <w:tc>
          <w:tcPr>
            <w:tcW w:w="1250" w:type="pct"/>
            <w:shd w:val="clear" w:color="auto" w:fill="CCEEFF"/>
            <w:vAlign w:val="bottom"/>
            <w:hideMark/>
          </w:tcPr>
          <w:p w14:paraId="28A1D5D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NG</w:t>
            </w:r>
          </w:p>
        </w:tc>
        <w:tc>
          <w:tcPr>
            <w:tcW w:w="1250" w:type="pct"/>
            <w:shd w:val="clear" w:color="auto" w:fill="CCEEFF"/>
            <w:vAlign w:val="bottom"/>
            <w:hideMark/>
          </w:tcPr>
          <w:p w14:paraId="6394AD5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NYM / ICE</w:t>
            </w:r>
          </w:p>
        </w:tc>
      </w:tr>
      <w:tr w:rsidR="00000000" w14:paraId="7C10F476" w14:textId="77777777">
        <w:trPr>
          <w:tblCellSpacing w:w="0" w:type="dxa"/>
        </w:trPr>
        <w:tc>
          <w:tcPr>
            <w:tcW w:w="1250" w:type="pct"/>
            <w:shd w:val="clear" w:color="auto" w:fill="FFFFFF"/>
            <w:vAlign w:val="bottom"/>
            <w:hideMark/>
          </w:tcPr>
          <w:p w14:paraId="6D45B53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Lean Hogs</w:t>
            </w:r>
          </w:p>
        </w:tc>
        <w:tc>
          <w:tcPr>
            <w:tcW w:w="1250" w:type="pct"/>
            <w:shd w:val="clear" w:color="auto" w:fill="FFFFFF"/>
            <w:vAlign w:val="bottom"/>
            <w:hideMark/>
          </w:tcPr>
          <w:p w14:paraId="264563A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1.80%</w:t>
            </w:r>
          </w:p>
        </w:tc>
        <w:tc>
          <w:tcPr>
            <w:tcW w:w="1250" w:type="pct"/>
            <w:shd w:val="clear" w:color="auto" w:fill="FFFFFF"/>
            <w:vAlign w:val="bottom"/>
            <w:hideMark/>
          </w:tcPr>
          <w:p w14:paraId="4F0C0C4D"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LH</w:t>
            </w:r>
          </w:p>
        </w:tc>
        <w:tc>
          <w:tcPr>
            <w:tcW w:w="1250" w:type="pct"/>
            <w:shd w:val="clear" w:color="auto" w:fill="FFFFFF"/>
            <w:vAlign w:val="bottom"/>
            <w:hideMark/>
          </w:tcPr>
          <w:p w14:paraId="1C40C6A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CME</w:t>
            </w:r>
          </w:p>
        </w:tc>
      </w:tr>
      <w:tr w:rsidR="00000000" w14:paraId="3174D16E" w14:textId="77777777">
        <w:trPr>
          <w:tblCellSpacing w:w="0" w:type="dxa"/>
        </w:trPr>
        <w:tc>
          <w:tcPr>
            <w:tcW w:w="1250" w:type="pct"/>
            <w:shd w:val="clear" w:color="auto" w:fill="CCEEFF"/>
            <w:vAlign w:val="bottom"/>
            <w:hideMark/>
          </w:tcPr>
          <w:p w14:paraId="317F5B3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Sugar</w:t>
            </w:r>
          </w:p>
        </w:tc>
        <w:tc>
          <w:tcPr>
            <w:tcW w:w="1250" w:type="pct"/>
            <w:shd w:val="clear" w:color="auto" w:fill="CCEEFF"/>
            <w:vAlign w:val="bottom"/>
            <w:hideMark/>
          </w:tcPr>
          <w:p w14:paraId="7DDBFD1C"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1.79%</w:t>
            </w:r>
          </w:p>
        </w:tc>
        <w:tc>
          <w:tcPr>
            <w:tcW w:w="1250" w:type="pct"/>
            <w:shd w:val="clear" w:color="auto" w:fill="CCEEFF"/>
            <w:vAlign w:val="bottom"/>
            <w:hideMark/>
          </w:tcPr>
          <w:p w14:paraId="7B8A261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SB</w:t>
            </w:r>
          </w:p>
        </w:tc>
        <w:tc>
          <w:tcPr>
            <w:tcW w:w="1250" w:type="pct"/>
            <w:shd w:val="clear" w:color="auto" w:fill="CCEEFF"/>
            <w:vAlign w:val="bottom"/>
            <w:hideMark/>
          </w:tcPr>
          <w:p w14:paraId="7DE4113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14:paraId="5DA93EDE" w14:textId="77777777">
        <w:trPr>
          <w:tblCellSpacing w:w="0" w:type="dxa"/>
        </w:trPr>
        <w:tc>
          <w:tcPr>
            <w:tcW w:w="1250" w:type="pct"/>
            <w:shd w:val="clear" w:color="auto" w:fill="FFFFFF"/>
            <w:vAlign w:val="bottom"/>
            <w:hideMark/>
          </w:tcPr>
          <w:p w14:paraId="6993453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Kansas Wheat</w:t>
            </w:r>
          </w:p>
        </w:tc>
        <w:tc>
          <w:tcPr>
            <w:tcW w:w="1250" w:type="pct"/>
            <w:shd w:val="clear" w:color="auto" w:fill="FFFFFF"/>
            <w:vAlign w:val="bottom"/>
            <w:hideMark/>
          </w:tcPr>
          <w:p w14:paraId="51D2800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1.58%</w:t>
            </w:r>
          </w:p>
        </w:tc>
        <w:tc>
          <w:tcPr>
            <w:tcW w:w="1250" w:type="pct"/>
            <w:shd w:val="clear" w:color="auto" w:fill="FFFFFF"/>
            <w:vAlign w:val="bottom"/>
            <w:hideMark/>
          </w:tcPr>
          <w:p w14:paraId="1385955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KW</w:t>
            </w:r>
          </w:p>
        </w:tc>
        <w:tc>
          <w:tcPr>
            <w:tcW w:w="1250" w:type="pct"/>
            <w:shd w:val="clear" w:color="auto" w:fill="FFFFFF"/>
            <w:vAlign w:val="bottom"/>
            <w:hideMark/>
          </w:tcPr>
          <w:p w14:paraId="06BEB81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KBT</w:t>
            </w:r>
          </w:p>
        </w:tc>
      </w:tr>
      <w:tr w:rsidR="00000000" w14:paraId="43B839FD" w14:textId="77777777">
        <w:trPr>
          <w:tblCellSpacing w:w="0" w:type="dxa"/>
        </w:trPr>
        <w:tc>
          <w:tcPr>
            <w:tcW w:w="1250" w:type="pct"/>
            <w:shd w:val="clear" w:color="auto" w:fill="CCEEFF"/>
            <w:vAlign w:val="bottom"/>
            <w:hideMark/>
          </w:tcPr>
          <w:p w14:paraId="40DDB5C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Nickel</w:t>
            </w:r>
          </w:p>
        </w:tc>
        <w:tc>
          <w:tcPr>
            <w:tcW w:w="1250" w:type="pct"/>
            <w:shd w:val="clear" w:color="auto" w:fill="CCEEFF"/>
            <w:vAlign w:val="bottom"/>
            <w:hideMark/>
          </w:tcPr>
          <w:p w14:paraId="1494233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1.32%</w:t>
            </w:r>
          </w:p>
        </w:tc>
        <w:tc>
          <w:tcPr>
            <w:tcW w:w="1250" w:type="pct"/>
            <w:shd w:val="clear" w:color="auto" w:fill="CCEEFF"/>
            <w:vAlign w:val="bottom"/>
            <w:hideMark/>
          </w:tcPr>
          <w:p w14:paraId="121788C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MNI</w:t>
            </w:r>
          </w:p>
        </w:tc>
        <w:tc>
          <w:tcPr>
            <w:tcW w:w="1250" w:type="pct"/>
            <w:shd w:val="clear" w:color="auto" w:fill="CCEEFF"/>
            <w:vAlign w:val="bottom"/>
            <w:hideMark/>
          </w:tcPr>
          <w:p w14:paraId="2BE678E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14:paraId="13765F89" w14:textId="77777777">
        <w:trPr>
          <w:tblCellSpacing w:w="0" w:type="dxa"/>
        </w:trPr>
        <w:tc>
          <w:tcPr>
            <w:tcW w:w="1250" w:type="pct"/>
            <w:shd w:val="clear" w:color="auto" w:fill="FFFFFF"/>
            <w:vAlign w:val="bottom"/>
            <w:hideMark/>
          </w:tcPr>
          <w:p w14:paraId="0D95681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Feeder Cattle</w:t>
            </w:r>
          </w:p>
        </w:tc>
        <w:tc>
          <w:tcPr>
            <w:tcW w:w="1250" w:type="pct"/>
            <w:shd w:val="clear" w:color="auto" w:fill="FFFFFF"/>
            <w:vAlign w:val="bottom"/>
            <w:hideMark/>
          </w:tcPr>
          <w:p w14:paraId="37C80C2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1.26%</w:t>
            </w:r>
          </w:p>
        </w:tc>
        <w:tc>
          <w:tcPr>
            <w:tcW w:w="1250" w:type="pct"/>
            <w:shd w:val="clear" w:color="auto" w:fill="FFFFFF"/>
            <w:vAlign w:val="bottom"/>
            <w:hideMark/>
          </w:tcPr>
          <w:p w14:paraId="108647E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FC</w:t>
            </w:r>
          </w:p>
        </w:tc>
        <w:tc>
          <w:tcPr>
            <w:tcW w:w="1250" w:type="pct"/>
            <w:shd w:val="clear" w:color="auto" w:fill="FFFFFF"/>
            <w:vAlign w:val="bottom"/>
            <w:hideMark/>
          </w:tcPr>
          <w:p w14:paraId="0A810A57"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CME</w:t>
            </w:r>
          </w:p>
        </w:tc>
      </w:tr>
      <w:tr w:rsidR="00000000" w14:paraId="7776B89F" w14:textId="77777777">
        <w:trPr>
          <w:tblCellSpacing w:w="0" w:type="dxa"/>
        </w:trPr>
        <w:tc>
          <w:tcPr>
            <w:tcW w:w="1250" w:type="pct"/>
            <w:shd w:val="clear" w:color="auto" w:fill="CCEEFF"/>
            <w:vAlign w:val="bottom"/>
            <w:hideMark/>
          </w:tcPr>
          <w:p w14:paraId="3F3BB98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Zinc</w:t>
            </w:r>
          </w:p>
        </w:tc>
        <w:tc>
          <w:tcPr>
            <w:tcW w:w="1250" w:type="pct"/>
            <w:shd w:val="clear" w:color="auto" w:fill="CCEEFF"/>
            <w:vAlign w:val="bottom"/>
            <w:hideMark/>
          </w:tcPr>
          <w:p w14:paraId="714930B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1.01%</w:t>
            </w:r>
          </w:p>
        </w:tc>
        <w:tc>
          <w:tcPr>
            <w:tcW w:w="1250" w:type="pct"/>
            <w:shd w:val="clear" w:color="auto" w:fill="CCEEFF"/>
            <w:vAlign w:val="bottom"/>
            <w:hideMark/>
          </w:tcPr>
          <w:p w14:paraId="1FDE603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MZN</w:t>
            </w:r>
          </w:p>
        </w:tc>
        <w:tc>
          <w:tcPr>
            <w:tcW w:w="1250" w:type="pct"/>
            <w:shd w:val="clear" w:color="auto" w:fill="CCEEFF"/>
            <w:vAlign w:val="bottom"/>
            <w:hideMark/>
          </w:tcPr>
          <w:p w14:paraId="311E6E3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14:paraId="10932000" w14:textId="77777777">
        <w:trPr>
          <w:tblCellSpacing w:w="0" w:type="dxa"/>
        </w:trPr>
        <w:tc>
          <w:tcPr>
            <w:tcW w:w="1250" w:type="pct"/>
            <w:shd w:val="clear" w:color="auto" w:fill="FFFFFF"/>
            <w:vAlign w:val="bottom"/>
            <w:hideMark/>
          </w:tcPr>
          <w:p w14:paraId="2095B60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Cotton</w:t>
            </w:r>
          </w:p>
        </w:tc>
        <w:tc>
          <w:tcPr>
            <w:tcW w:w="1250" w:type="pct"/>
            <w:shd w:val="clear" w:color="auto" w:fill="FFFFFF"/>
            <w:vAlign w:val="bottom"/>
            <w:hideMark/>
          </w:tcPr>
          <w:p w14:paraId="2A74232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1.00%</w:t>
            </w:r>
          </w:p>
        </w:tc>
        <w:tc>
          <w:tcPr>
            <w:tcW w:w="1250" w:type="pct"/>
            <w:shd w:val="clear" w:color="auto" w:fill="FFFFFF"/>
            <w:vAlign w:val="bottom"/>
            <w:hideMark/>
          </w:tcPr>
          <w:p w14:paraId="44753A07"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CT</w:t>
            </w:r>
          </w:p>
        </w:tc>
        <w:tc>
          <w:tcPr>
            <w:tcW w:w="1250" w:type="pct"/>
            <w:shd w:val="clear" w:color="auto" w:fill="FFFFFF"/>
            <w:vAlign w:val="bottom"/>
            <w:hideMark/>
          </w:tcPr>
          <w:p w14:paraId="603FF47C"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14:paraId="2E94E1C9" w14:textId="77777777">
        <w:trPr>
          <w:tblCellSpacing w:w="0" w:type="dxa"/>
        </w:trPr>
        <w:tc>
          <w:tcPr>
            <w:tcW w:w="1250" w:type="pct"/>
            <w:shd w:val="clear" w:color="auto" w:fill="CCEEFF"/>
            <w:vAlign w:val="bottom"/>
            <w:hideMark/>
          </w:tcPr>
          <w:p w14:paraId="773F698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Coffee</w:t>
            </w:r>
          </w:p>
        </w:tc>
        <w:tc>
          <w:tcPr>
            <w:tcW w:w="1250" w:type="pct"/>
            <w:shd w:val="clear" w:color="auto" w:fill="CCEEFF"/>
            <w:vAlign w:val="bottom"/>
            <w:hideMark/>
          </w:tcPr>
          <w:p w14:paraId="56BF5AF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0.78%</w:t>
            </w:r>
          </w:p>
        </w:tc>
        <w:tc>
          <w:tcPr>
            <w:tcW w:w="1250" w:type="pct"/>
            <w:shd w:val="clear" w:color="auto" w:fill="CCEEFF"/>
            <w:vAlign w:val="bottom"/>
            <w:hideMark/>
          </w:tcPr>
          <w:p w14:paraId="0611C58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KC</w:t>
            </w:r>
          </w:p>
        </w:tc>
        <w:tc>
          <w:tcPr>
            <w:tcW w:w="1250" w:type="pct"/>
            <w:shd w:val="clear" w:color="auto" w:fill="CCEEFF"/>
            <w:vAlign w:val="bottom"/>
            <w:hideMark/>
          </w:tcPr>
          <w:p w14:paraId="72D3489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14:paraId="12663264" w14:textId="77777777">
        <w:trPr>
          <w:tblCellSpacing w:w="0" w:type="dxa"/>
        </w:trPr>
        <w:tc>
          <w:tcPr>
            <w:tcW w:w="1250" w:type="pct"/>
            <w:shd w:val="clear" w:color="auto" w:fill="FFFFFF"/>
            <w:vAlign w:val="bottom"/>
            <w:hideMark/>
          </w:tcPr>
          <w:p w14:paraId="20A6AB8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Lead</w:t>
            </w:r>
          </w:p>
        </w:tc>
        <w:tc>
          <w:tcPr>
            <w:tcW w:w="1250" w:type="pct"/>
            <w:shd w:val="clear" w:color="auto" w:fill="FFFFFF"/>
            <w:vAlign w:val="bottom"/>
            <w:hideMark/>
          </w:tcPr>
          <w:p w14:paraId="350EDC7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0.52%</w:t>
            </w:r>
          </w:p>
        </w:tc>
        <w:tc>
          <w:tcPr>
            <w:tcW w:w="1250" w:type="pct"/>
            <w:shd w:val="clear" w:color="auto" w:fill="FFFFFF"/>
            <w:vAlign w:val="bottom"/>
            <w:hideMark/>
          </w:tcPr>
          <w:p w14:paraId="162BADB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MPB</w:t>
            </w:r>
          </w:p>
        </w:tc>
        <w:tc>
          <w:tcPr>
            <w:tcW w:w="1250" w:type="pct"/>
            <w:shd w:val="clear" w:color="auto" w:fill="FFFFFF"/>
            <w:vAlign w:val="bottom"/>
            <w:hideMark/>
          </w:tcPr>
          <w:p w14:paraId="24B36CE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14:paraId="66BDF161" w14:textId="77777777">
        <w:trPr>
          <w:tblCellSpacing w:w="0" w:type="dxa"/>
        </w:trPr>
        <w:tc>
          <w:tcPr>
            <w:tcW w:w="1250" w:type="pct"/>
            <w:shd w:val="clear" w:color="auto" w:fill="CCEEFF"/>
            <w:vAlign w:val="bottom"/>
            <w:hideMark/>
          </w:tcPr>
          <w:p w14:paraId="75A7D09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Silver</w:t>
            </w:r>
          </w:p>
        </w:tc>
        <w:tc>
          <w:tcPr>
            <w:tcW w:w="1250" w:type="pct"/>
            <w:shd w:val="clear" w:color="auto" w:fill="CCEEFF"/>
            <w:vAlign w:val="bottom"/>
            <w:hideMark/>
          </w:tcPr>
          <w:p w14:paraId="41F9F56A"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0.45%</w:t>
            </w:r>
          </w:p>
        </w:tc>
        <w:tc>
          <w:tcPr>
            <w:tcW w:w="1250" w:type="pct"/>
            <w:shd w:val="clear" w:color="auto" w:fill="CCEEFF"/>
            <w:vAlign w:val="bottom"/>
            <w:hideMark/>
          </w:tcPr>
          <w:p w14:paraId="2D48C52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SI</w:t>
            </w:r>
          </w:p>
        </w:tc>
        <w:tc>
          <w:tcPr>
            <w:tcW w:w="1250" w:type="pct"/>
            <w:shd w:val="clear" w:color="auto" w:fill="CCEEFF"/>
            <w:vAlign w:val="bottom"/>
            <w:hideMark/>
          </w:tcPr>
          <w:p w14:paraId="5BBFC38D"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CMX</w:t>
            </w:r>
          </w:p>
        </w:tc>
      </w:tr>
      <w:tr w:rsidR="00000000" w14:paraId="6F346CB5" w14:textId="77777777">
        <w:trPr>
          <w:tblCellSpacing w:w="0" w:type="dxa"/>
        </w:trPr>
        <w:tc>
          <w:tcPr>
            <w:tcW w:w="1250" w:type="pct"/>
            <w:shd w:val="clear" w:color="auto" w:fill="FFFFFF"/>
            <w:vAlign w:val="bottom"/>
            <w:hideMark/>
          </w:tcPr>
          <w:p w14:paraId="1FE20B6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Cocoa</w:t>
            </w:r>
          </w:p>
        </w:tc>
        <w:tc>
          <w:tcPr>
            <w:tcW w:w="1250" w:type="pct"/>
            <w:shd w:val="clear" w:color="auto" w:fill="FFFFFF"/>
            <w:vAlign w:val="bottom"/>
            <w:hideMark/>
          </w:tcPr>
          <w:p w14:paraId="3DDD31BC"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0.29%</w:t>
            </w:r>
          </w:p>
        </w:tc>
        <w:tc>
          <w:tcPr>
            <w:tcW w:w="1250" w:type="pct"/>
            <w:shd w:val="clear" w:color="auto" w:fill="FFFFFF"/>
            <w:vAlign w:val="bottom"/>
            <w:hideMark/>
          </w:tcPr>
          <w:p w14:paraId="69C9CAA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CC</w:t>
            </w:r>
          </w:p>
        </w:tc>
        <w:tc>
          <w:tcPr>
            <w:tcW w:w="1250" w:type="pct"/>
            <w:shd w:val="clear" w:color="auto" w:fill="FFFFFF"/>
            <w:vAlign w:val="bottom"/>
            <w:hideMark/>
          </w:tcPr>
          <w:p w14:paraId="7D70E5FF"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bl>
    <w:p w14:paraId="493B4C5F" w14:textId="77777777" w:rsidR="00000000" w:rsidRDefault="004206B0">
      <w:pPr>
        <w:pStyle w:val="a3"/>
        <w:spacing w:before="0" w:beforeAutospacing="0" w:after="0" w:afterAutospacing="0"/>
        <w:rPr>
          <w:sz w:val="20"/>
          <w:szCs w:val="20"/>
        </w:rPr>
      </w:pPr>
      <w:r>
        <w:rPr>
          <w:sz w:val="20"/>
          <w:szCs w:val="20"/>
        </w:rPr>
        <w:t> </w:t>
      </w:r>
    </w:p>
    <w:p w14:paraId="02EDB2A8" w14:textId="77777777" w:rsidR="00000000" w:rsidRDefault="004206B0">
      <w:pPr>
        <w:spacing w:before="60" w:after="60"/>
        <w:rPr>
          <w:rFonts w:eastAsia="Times New Roman"/>
          <w:sz w:val="20"/>
          <w:szCs w:val="20"/>
        </w:rPr>
      </w:pPr>
      <w:r>
        <w:rPr>
          <w:rFonts w:eastAsia="Times New Roman"/>
          <w:sz w:val="20"/>
          <w:szCs w:val="20"/>
        </w:rPr>
        <w:pict w14:anchorId="5D554FA5">
          <v:rect id="_x0000_i1048"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14:paraId="5D875F2C" w14:textId="77777777">
        <w:trPr>
          <w:tblCellSpacing w:w="0" w:type="dxa"/>
        </w:trPr>
        <w:tc>
          <w:tcPr>
            <w:tcW w:w="360" w:type="dxa"/>
            <w:hideMark/>
          </w:tcPr>
          <w:p w14:paraId="73EB77D9"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6" w:type="dxa"/>
            <w:hideMark/>
          </w:tcPr>
          <w:p w14:paraId="2B61AF1B"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 xml:space="preserve">The futures contracts included in the S&amp;P GSCI™ </w:t>
            </w:r>
            <w:r>
              <w:rPr>
                <w:rFonts w:ascii="Arial" w:hAnsi="Arial" w:cs="Arial"/>
                <w:sz w:val="16"/>
                <w:szCs w:val="16"/>
              </w:rPr>
              <w:t>and their percentage dollar weights, among other matters, may change. Source: S&amp;P. Used with permission.</w:t>
            </w:r>
          </w:p>
        </w:tc>
      </w:tr>
    </w:tbl>
    <w:p w14:paraId="2D5AF5F3" w14:textId="77777777" w:rsidR="00000000" w:rsidRDefault="004206B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247"/>
        <w:gridCol w:w="5059"/>
      </w:tblGrid>
      <w:tr w:rsidR="00000000" w14:paraId="279A8EC4" w14:textId="77777777">
        <w:trPr>
          <w:tblCellSpacing w:w="0" w:type="dxa"/>
        </w:trPr>
        <w:tc>
          <w:tcPr>
            <w:tcW w:w="360" w:type="dxa"/>
            <w:hideMark/>
          </w:tcPr>
          <w:p w14:paraId="159A3263"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(b) </w:t>
            </w:r>
          </w:p>
        </w:tc>
        <w:tc>
          <w:tcPr>
            <w:tcW w:w="6" w:type="dxa"/>
            <w:hideMark/>
          </w:tcPr>
          <w:p w14:paraId="578BC1E7"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Tickers are Reuters RIC Codes.</w:t>
            </w:r>
          </w:p>
        </w:tc>
      </w:tr>
    </w:tbl>
    <w:p w14:paraId="6F63B27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EC37BF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quantity of each of the contracts included in the S&amp;P GSCI™ is determined on the basis of a five-year aver</w:t>
      </w:r>
      <w:r>
        <w:rPr>
          <w:rFonts w:ascii="Arial" w:hAnsi="Arial" w:cs="Arial"/>
          <w:sz w:val="20"/>
          <w:szCs w:val="20"/>
        </w:rPr>
        <w:t>age, referred to as the “world production average,” of the production quantity of the underlying commodity as published by sources determined by the Index Sponsor to be reasonably accurate and reliable. However, if a commodity is primarily a regional commo</w:t>
      </w:r>
      <w:r>
        <w:rPr>
          <w:rFonts w:ascii="Arial" w:hAnsi="Arial" w:cs="Arial"/>
          <w:sz w:val="20"/>
          <w:szCs w:val="20"/>
        </w:rPr>
        <w:t>dity, based on its production, use, pricing, transportation or other factors, the Index Sponsor may calculate the weight of that commodity based on regional, rather than world, production data. At present, natural gas is the only commodity the weights of w</w:t>
      </w:r>
      <w:r>
        <w:rPr>
          <w:rFonts w:ascii="Arial" w:hAnsi="Arial" w:cs="Arial"/>
          <w:sz w:val="20"/>
          <w:szCs w:val="20"/>
        </w:rPr>
        <w:t>hich are calculated on the basis of regional production data, with the relevant region defined as North America.</w:t>
      </w:r>
    </w:p>
    <w:p w14:paraId="0C76A33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E61616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five-year moving average is updated annually for each commodity included in the S&amp;P GSCI™, based on the most recent five-year period for which complete data for all commodities is available. The data is generally reported on a two-year lag. The CPWs us</w:t>
      </w:r>
      <w:r>
        <w:rPr>
          <w:rFonts w:ascii="Arial" w:hAnsi="Arial" w:cs="Arial"/>
          <w:sz w:val="20"/>
          <w:szCs w:val="20"/>
        </w:rPr>
        <w:t>ed in calculating the S&amp;P GSCI™ are derived from world or regional production averages, as applicable, of the relevant commodities, and are calculated based on the total quantity traded for the relevant contract and the world or regional production average</w:t>
      </w:r>
      <w:r>
        <w:rPr>
          <w:rFonts w:ascii="Arial" w:hAnsi="Arial" w:cs="Arial"/>
          <w:sz w:val="20"/>
          <w:szCs w:val="20"/>
        </w:rPr>
        <w:t>, as applicable, of the underlying commodity. However, if the volume of trading in the relevant contract, as a multiple of the production levels of the commodity, is below specified thresholds, the CPW of the contract is reduced until the threshold is sati</w:t>
      </w:r>
      <w:r>
        <w:rPr>
          <w:rFonts w:ascii="Arial" w:hAnsi="Arial" w:cs="Arial"/>
          <w:sz w:val="20"/>
          <w:szCs w:val="20"/>
        </w:rPr>
        <w:t>sfied.</w:t>
      </w:r>
    </w:p>
    <w:p w14:paraId="38E3A5F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063730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This is designed to ensure that trading in each contract is sufficiently liquid relative to the production of the commodity.</w:t>
      </w:r>
    </w:p>
    <w:p w14:paraId="52410CD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496758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addition, the Index Sponsor performs this calculation on a monthly basis and, if the multiple of any contract is belo</w:t>
      </w:r>
      <w:r>
        <w:rPr>
          <w:rFonts w:ascii="Arial" w:hAnsi="Arial" w:cs="Arial"/>
          <w:sz w:val="20"/>
          <w:szCs w:val="20"/>
        </w:rPr>
        <w:t>w the prescribed threshold, the composition of the S&amp;P GSCI™ is reevaluated, based on the criteria and weighting procedure described above. This procedure is undertaken to allow the S&amp;P GSCI™ to shift from contracts that have lost substantial liquidity int</w:t>
      </w:r>
      <w:r>
        <w:rPr>
          <w:rFonts w:ascii="Arial" w:hAnsi="Arial" w:cs="Arial"/>
          <w:sz w:val="20"/>
          <w:szCs w:val="20"/>
        </w:rPr>
        <w:t>o more liquid contracts during the course of a given year. As a result, it is possible that the composition or weighting of the S&amp;P GSCI™ will change on one or more of these monthly evaluation dates. The likely circumstances under which the Index Sponsor w</w:t>
      </w:r>
      <w:r>
        <w:rPr>
          <w:rFonts w:ascii="Arial" w:hAnsi="Arial" w:cs="Arial"/>
          <w:sz w:val="20"/>
          <w:szCs w:val="20"/>
        </w:rPr>
        <w:t>ould be expected to change the composition of the Index during a given year, however, are (1) a substantial shift of liquidity away from a contract included in the Index as described above, or (2) an emergency, such as a natural disaster or act of war or t</w:t>
      </w:r>
      <w:r>
        <w:rPr>
          <w:rFonts w:ascii="Arial" w:hAnsi="Arial" w:cs="Arial"/>
          <w:sz w:val="20"/>
          <w:szCs w:val="20"/>
        </w:rPr>
        <w:t xml:space="preserve">errorism, that causes trading in a particular contract to cease permanently or for an extended period of time. In either event, the Index Sponsor is expected to publish the nature of the changes, through websites, news media or other outlets, with as much </w:t>
      </w:r>
      <w:r>
        <w:rPr>
          <w:rFonts w:ascii="Arial" w:hAnsi="Arial" w:cs="Arial"/>
          <w:sz w:val="20"/>
          <w:szCs w:val="20"/>
        </w:rPr>
        <w:t>prior notice to market participants as is reasonably practicable. Moreover, regardless of whether any changes have occurred during the year, the Index Sponsor reevaluates the composition of the S&amp;P GSCI™ at the conclusion of each year, based on the above c</w:t>
      </w:r>
      <w:r>
        <w:rPr>
          <w:rFonts w:ascii="Arial" w:hAnsi="Arial" w:cs="Arial"/>
          <w:sz w:val="20"/>
          <w:szCs w:val="20"/>
        </w:rPr>
        <w:t>riteria. Other commodities that satisfy that criteria, if any, are expected to be added to the S&amp;P GSCI™. Commodities included in the S&amp;P GSCI™ that no longer satisfy that criteria, if any, are expected to be deleted.</w:t>
      </w:r>
    </w:p>
    <w:p w14:paraId="3B27018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27250D6"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Contract Expirations</w:t>
      </w:r>
    </w:p>
    <w:p w14:paraId="569415C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A15678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S&amp;P GSCI™</w:t>
      </w:r>
      <w:r>
        <w:rPr>
          <w:rFonts w:ascii="Arial" w:hAnsi="Arial" w:cs="Arial"/>
          <w:sz w:val="20"/>
          <w:szCs w:val="20"/>
        </w:rPr>
        <w:t xml:space="preserve"> is composed of actively traded contracts with scheduled expirations and it can be calculated only by reference to the prices of contracts for specified expiration, delivery or settlement periods (the “Contract Expirations”). The Contract Expirations inclu</w:t>
      </w:r>
      <w:r>
        <w:rPr>
          <w:rFonts w:ascii="Arial" w:hAnsi="Arial" w:cs="Arial"/>
          <w:sz w:val="20"/>
          <w:szCs w:val="20"/>
        </w:rPr>
        <w:t>ded in the S&amp;P GSCI™ for each commodity during a given year are designated by the Index Sponsor, in consultation with the Index Committee, provided that each contract must be an “Active Contract.” An “Active Contract” for this purpose is a liquid, actively</w:t>
      </w:r>
      <w:r>
        <w:rPr>
          <w:rFonts w:ascii="Arial" w:hAnsi="Arial" w:cs="Arial"/>
          <w:sz w:val="20"/>
          <w:szCs w:val="20"/>
        </w:rPr>
        <w:t>-traded contract with respect to a particular contract included in the S&amp;P GSCI™ and contract expiration, as defined or identified by the relevant trading facility or, if no such definition or identification is provided by the relevant trading facility, as</w:t>
      </w:r>
      <w:r>
        <w:rPr>
          <w:rFonts w:ascii="Arial" w:hAnsi="Arial" w:cs="Arial"/>
          <w:sz w:val="20"/>
          <w:szCs w:val="20"/>
        </w:rPr>
        <w:t xml:space="preserve"> defined by standard custom and practice in the industry.</w:t>
      </w:r>
    </w:p>
    <w:p w14:paraId="7231DB9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DC2347A" w14:textId="77777777" w:rsidR="00000000" w:rsidRDefault="004206B0">
      <w:pPr>
        <w:jc w:val="center"/>
        <w:divId w:val="367604247"/>
        <w:rPr>
          <w:rFonts w:ascii="Arial" w:eastAsia="Times New Roman" w:hAnsi="Arial" w:cs="Arial"/>
          <w:sz w:val="20"/>
          <w:szCs w:val="20"/>
        </w:rPr>
      </w:pPr>
      <w:r>
        <w:rPr>
          <w:rFonts w:ascii="Arial" w:eastAsia="Times New Roman" w:hAnsi="Arial" w:cs="Arial"/>
          <w:sz w:val="20"/>
          <w:szCs w:val="20"/>
        </w:rPr>
        <w:t xml:space="preserve">10 </w:t>
      </w:r>
    </w:p>
    <w:p w14:paraId="1E6419A5" w14:textId="77777777" w:rsidR="00000000" w:rsidRDefault="004206B0">
      <w:pPr>
        <w:divId w:val="796608226"/>
        <w:rPr>
          <w:rFonts w:eastAsia="Times New Roman"/>
          <w:sz w:val="20"/>
          <w:szCs w:val="20"/>
        </w:rPr>
      </w:pPr>
      <w:r>
        <w:rPr>
          <w:rFonts w:eastAsia="Times New Roman"/>
          <w:sz w:val="20"/>
          <w:szCs w:val="20"/>
        </w:rPr>
        <w:pict w14:anchorId="2CDD5EFC">
          <v:rect id="_x0000_i1049" style="width:415.3pt;height:1.5pt" o:hralign="center" o:hrstd="t" o:hrnoshade="t" o:hr="t" fillcolor="black" stroked="f"/>
        </w:pict>
      </w:r>
    </w:p>
    <w:p w14:paraId="01388305" w14:textId="77777777" w:rsidR="00000000" w:rsidRDefault="004206B0">
      <w:pPr>
        <w:divId w:val="719331632"/>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7007138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A84410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a trading facility deletes one or more Contract Expirations, the S&amp;P GSCI™ is calculated during the remainder of the year in which tha</w:t>
      </w:r>
      <w:r>
        <w:rPr>
          <w:rFonts w:ascii="Arial" w:hAnsi="Arial" w:cs="Arial"/>
          <w:sz w:val="20"/>
          <w:szCs w:val="20"/>
        </w:rPr>
        <w:t>t deletion occurs on the basis of the remaining Contract Expirations designated by the Index Sponsor. If a trading facility ceases trading in all Contract Expirations relating to a particular contract, the Index Sponsor may designate a replacement contract</w:t>
      </w:r>
      <w:r>
        <w:rPr>
          <w:rFonts w:ascii="Arial" w:hAnsi="Arial" w:cs="Arial"/>
          <w:sz w:val="20"/>
          <w:szCs w:val="20"/>
        </w:rPr>
        <w:t xml:space="preserve"> on the commodity. The replacement contract must satisfy the eligibility criteria for inclusion in the S&amp;P GSCI™. To the extent practicable, the replacement is expected to be effected during the next monthly review of the composition of the S&amp;P GSCI™. If t</w:t>
      </w:r>
      <w:r>
        <w:rPr>
          <w:rFonts w:ascii="Arial" w:hAnsi="Arial" w:cs="Arial"/>
          <w:sz w:val="20"/>
          <w:szCs w:val="20"/>
        </w:rPr>
        <w:t>hat timing is not practicable, the Index Sponsor is expected to determine the date of the replacement based on a number of factors, including the differences between the existing contract and the replacement contract with respect to contractual specificati</w:t>
      </w:r>
      <w:r>
        <w:rPr>
          <w:rFonts w:ascii="Arial" w:hAnsi="Arial" w:cs="Arial"/>
          <w:sz w:val="20"/>
          <w:szCs w:val="20"/>
        </w:rPr>
        <w:t>ons and Contract Expirations. In addition, in certain circumstances where two consecutive Contract Expirations for a commodity have not been made available for trading on or through the relevant trading facility, the Index Sponsor may determine to take act</w:t>
      </w:r>
      <w:r>
        <w:rPr>
          <w:rFonts w:ascii="Arial" w:hAnsi="Arial" w:cs="Arial"/>
          <w:sz w:val="20"/>
          <w:szCs w:val="20"/>
        </w:rPr>
        <w:t>ion in response, including deleting the related Contract Expiration or such commodity from the S&amp;P GSCI.</w:t>
      </w:r>
    </w:p>
    <w:p w14:paraId="1EBEECE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D941BF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deletion of a Contract Expiration, designation of a replacement contract, or the elimination of a commodity from the Index because of the absence</w:t>
      </w:r>
      <w:r>
        <w:rPr>
          <w:rFonts w:ascii="Arial" w:hAnsi="Arial" w:cs="Arial"/>
          <w:sz w:val="20"/>
          <w:szCs w:val="20"/>
        </w:rPr>
        <w:t xml:space="preserve"> of a replacement contract could affect the value of the Index and the S&amp;P GSCI-ER, and the effect of any such changes is uncertain.</w:t>
      </w:r>
    </w:p>
    <w:p w14:paraId="56017A5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1C0455D"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Total Dollar Weight of the S&amp;P GSCI</w:t>
      </w:r>
      <w:r>
        <w:rPr>
          <w:rFonts w:ascii="Arial" w:hAnsi="Arial" w:cs="Arial"/>
          <w:sz w:val="20"/>
          <w:szCs w:val="20"/>
        </w:rPr>
        <w:t>™</w:t>
      </w:r>
    </w:p>
    <w:p w14:paraId="1831B2C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5A3C29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total dollar weight of the S&amp;P GSCI™ is the sum of the dollar weights of each </w:t>
      </w:r>
      <w:r>
        <w:rPr>
          <w:rFonts w:ascii="Arial" w:hAnsi="Arial" w:cs="Arial"/>
          <w:sz w:val="20"/>
          <w:szCs w:val="20"/>
        </w:rPr>
        <w:t>of the underlying commodities. The dollar weight of each such commodity on any given day is equal to:</w:t>
      </w:r>
    </w:p>
    <w:p w14:paraId="366D46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58540FB3" w14:textId="77777777">
        <w:trPr>
          <w:tblCellSpacing w:w="0" w:type="dxa"/>
        </w:trPr>
        <w:tc>
          <w:tcPr>
            <w:tcW w:w="400" w:type="dxa"/>
            <w:vAlign w:val="center"/>
            <w:hideMark/>
          </w:tcPr>
          <w:p w14:paraId="193CD4D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4DBE9B0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244DD0E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w:t>
            </w:r>
            <w:r>
              <w:rPr>
                <w:rFonts w:ascii="Arial" w:hAnsi="Arial" w:cs="Arial"/>
                <w:sz w:val="20"/>
                <w:szCs w:val="20"/>
              </w:rPr>
              <w:t>;</w:t>
            </w:r>
          </w:p>
        </w:tc>
      </w:tr>
    </w:tbl>
    <w:p w14:paraId="2BEB21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5B130F6E" w14:textId="77777777">
        <w:trPr>
          <w:tblCellSpacing w:w="0" w:type="dxa"/>
        </w:trPr>
        <w:tc>
          <w:tcPr>
            <w:tcW w:w="400" w:type="dxa"/>
            <w:vAlign w:val="center"/>
            <w:hideMark/>
          </w:tcPr>
          <w:p w14:paraId="766EB69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106027E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3E6DF5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multiplied by the appropriate CPW</w:t>
            </w:r>
            <w:r>
              <w:rPr>
                <w:rFonts w:ascii="Arial" w:hAnsi="Arial" w:cs="Arial"/>
                <w:sz w:val="20"/>
                <w:szCs w:val="20"/>
              </w:rPr>
              <w:t>;</w:t>
            </w:r>
            <w:r>
              <w:rPr>
                <w:rFonts w:ascii="Arial" w:hAnsi="Arial" w:cs="Arial"/>
                <w:sz w:val="20"/>
                <w:szCs w:val="20"/>
              </w:rPr>
              <w:t> and</w:t>
            </w:r>
          </w:p>
        </w:tc>
      </w:tr>
    </w:tbl>
    <w:p w14:paraId="0543CE5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5513FA5E" w14:textId="77777777">
        <w:trPr>
          <w:tblCellSpacing w:w="0" w:type="dxa"/>
        </w:trPr>
        <w:tc>
          <w:tcPr>
            <w:tcW w:w="400" w:type="dxa"/>
            <w:vAlign w:val="center"/>
            <w:hideMark/>
          </w:tcPr>
          <w:p w14:paraId="154FE89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359A2AB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76667E9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during a roll period, the appropriate “roll weights” (discussed below).</w:t>
            </w:r>
          </w:p>
        </w:tc>
      </w:tr>
    </w:tbl>
    <w:p w14:paraId="7A78BDF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51B9F9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 used in calculating the dollar weight of each commodity on any given day is the most recent daily contract reference price made available by the r</w:t>
      </w:r>
      <w:r>
        <w:rPr>
          <w:rFonts w:ascii="Arial" w:hAnsi="Arial" w:cs="Arial"/>
          <w:sz w:val="20"/>
          <w:szCs w:val="20"/>
        </w:rPr>
        <w:t xml:space="preserve">elevant trading facility, except that the daily contract reference price for the most recent prior day is used if the exchange is closed or otherwise fails to publish a daily contract reference price on that day. In addition, if the trading facility fails </w:t>
      </w:r>
      <w:r>
        <w:rPr>
          <w:rFonts w:ascii="Arial" w:hAnsi="Arial" w:cs="Arial"/>
          <w:sz w:val="20"/>
          <w:szCs w:val="20"/>
        </w:rPr>
        <w:t>to make a daily contract reference price available or publishes a daily contract reference price that, in the reasonable judgment of the Index Sponsor, reflects manifest error, the relevant calculation is delayed until the price is made available or correc</w:t>
      </w:r>
      <w:r>
        <w:rPr>
          <w:rFonts w:ascii="Arial" w:hAnsi="Arial" w:cs="Arial"/>
          <w:sz w:val="20"/>
          <w:szCs w:val="20"/>
        </w:rPr>
        <w:t>ted</w:t>
      </w:r>
      <w:r>
        <w:rPr>
          <w:rFonts w:ascii="Arial" w:hAnsi="Arial" w:cs="Arial"/>
          <w:sz w:val="20"/>
          <w:szCs w:val="20"/>
        </w:rPr>
        <w:t>;</w:t>
      </w:r>
      <w:r>
        <w:rPr>
          <w:rFonts w:ascii="Arial" w:hAnsi="Arial" w:cs="Arial"/>
          <w:sz w:val="20"/>
          <w:szCs w:val="20"/>
        </w:rPr>
        <w:t xml:space="preserve"> provided, that, if the price is not made available or corrected by 4:00 p.m. (New York time), the Index Sponsor may determine the appropriate daily contract reference price for the applicable futures contract in its reasonable judgment for purposes of</w:t>
      </w:r>
      <w:r>
        <w:rPr>
          <w:rFonts w:ascii="Arial" w:hAnsi="Arial" w:cs="Arial"/>
          <w:sz w:val="20"/>
          <w:szCs w:val="20"/>
        </w:rPr>
        <w:t xml:space="preserve"> the relevant S&amp;P GSCI™ calculation.</w:t>
      </w:r>
    </w:p>
    <w:p w14:paraId="0FC54F6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F84C29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 is generally considered unlikely that a trading facility will fail to publish a daily contract reference price in the regular course of business, because the price is required to margin open positions in the releva</w:t>
      </w:r>
      <w:r>
        <w:rPr>
          <w:rFonts w:ascii="Arial" w:hAnsi="Arial" w:cs="Arial"/>
          <w:sz w:val="20"/>
          <w:szCs w:val="20"/>
        </w:rPr>
        <w:t>nt contracts. It is possible, however, that a trading facility will fail to publish a daily contract reference price under emergency or extraordinary conditions, such as in the event of a natural disaster, act of war or terrorist attack, that prevent tradi</w:t>
      </w:r>
      <w:r>
        <w:rPr>
          <w:rFonts w:ascii="Arial" w:hAnsi="Arial" w:cs="Arial"/>
          <w:sz w:val="20"/>
          <w:szCs w:val="20"/>
        </w:rPr>
        <w:t>ng or cause a termination of trading on a given day. A manifest error in a daily contract reference price is also unlikely to occur, but is nevertheless possible. This could arise, for example, in the event of a system malfunction that results in the publi</w:t>
      </w:r>
      <w:r>
        <w:rPr>
          <w:rFonts w:ascii="Arial" w:hAnsi="Arial" w:cs="Arial"/>
          <w:sz w:val="20"/>
          <w:szCs w:val="20"/>
        </w:rPr>
        <w:t>shed daily contract reference price being outside the range of trading for the relevant day. In that instance, it would be clear that the published price could not be correct and the Index Sponsor would likely disregard that price.</w:t>
      </w:r>
    </w:p>
    <w:p w14:paraId="432A0B5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F013B48"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Contract Daily Return</w:t>
      </w:r>
    </w:p>
    <w:p w14:paraId="2D4C019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7E6B05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contract daily return on any given day is equal to (1) (A) the sum, for each of the commodities included in the S&amp;P GSCI™, of the applicable daily contract reference price on the relevant contract multiplied by the appropriate CPW and the appropriate</w:t>
      </w:r>
      <w:r>
        <w:rPr>
          <w:rFonts w:ascii="Arial" w:hAnsi="Arial" w:cs="Arial"/>
          <w:sz w:val="20"/>
          <w:szCs w:val="20"/>
        </w:rPr>
        <w:t xml:space="preserve"> “roll weight,” divided by (B) the total dollar weight of the S&amp;P GSCI™ on the preceding day, minus (2) one.</w:t>
      </w:r>
    </w:p>
    <w:p w14:paraId="4806C37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685238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“roll weight” of each commodity reflects the fact that the positions in contracts must be liquidated or rolled forward into more distant Cont</w:t>
      </w:r>
      <w:r>
        <w:rPr>
          <w:rFonts w:ascii="Arial" w:hAnsi="Arial" w:cs="Arial"/>
          <w:sz w:val="20"/>
          <w:szCs w:val="20"/>
        </w:rPr>
        <w:t>ract Expirations as they near expiration. If actual positions in the relevant markets were rolled forward, the roll would likely need to take place over a period of days. Since the S&amp;P GSCI™ is designed to replicate the performance of actual investments in</w:t>
      </w:r>
      <w:r>
        <w:rPr>
          <w:rFonts w:ascii="Arial" w:hAnsi="Arial" w:cs="Arial"/>
          <w:sz w:val="20"/>
          <w:szCs w:val="20"/>
        </w:rPr>
        <w:t xml:space="preserve"> the underlying contracts, the rolling process incorporated in the S&amp;P GSCI™ also takes place over a period of days at the beginning of each month, referred to as the “roll period.” On each day of the roll period, the “roll weights” of the first nearby Con</w:t>
      </w:r>
      <w:r>
        <w:rPr>
          <w:rFonts w:ascii="Arial" w:hAnsi="Arial" w:cs="Arial"/>
          <w:sz w:val="20"/>
          <w:szCs w:val="20"/>
        </w:rPr>
        <w:t>tract Expirations on a particular commodity and the more distant Contract Expiration into which it is rolled are adjusted, so that the hypothetical position in the contract on the commodity that is included in the S&amp;P GSCI™ is gradually shifted from the fi</w:t>
      </w:r>
      <w:r>
        <w:rPr>
          <w:rFonts w:ascii="Arial" w:hAnsi="Arial" w:cs="Arial"/>
          <w:sz w:val="20"/>
          <w:szCs w:val="20"/>
        </w:rPr>
        <w:t>rst nearby Contract Expiration to the more distant Contract Expiration.</w:t>
      </w:r>
    </w:p>
    <w:p w14:paraId="7CB13C4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6622CC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on any day during a roll period any of the following conditions exists, the portion of the roll that would have taken place on that day is deferred until the next day on which the</w:t>
      </w:r>
      <w:r>
        <w:rPr>
          <w:rFonts w:ascii="Arial" w:hAnsi="Arial" w:cs="Arial"/>
          <w:sz w:val="20"/>
          <w:szCs w:val="20"/>
        </w:rPr>
        <w:t>se conditions do not exist:</w:t>
      </w:r>
    </w:p>
    <w:p w14:paraId="6F5CEF7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1A8CFB86" w14:textId="77777777">
        <w:trPr>
          <w:tblCellSpacing w:w="0" w:type="dxa"/>
        </w:trPr>
        <w:tc>
          <w:tcPr>
            <w:tcW w:w="400" w:type="dxa"/>
            <w:vAlign w:val="center"/>
            <w:hideMark/>
          </w:tcPr>
          <w:p w14:paraId="5B5B76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5EED71A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62D150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contract is not available for trading on that day, the related trading facility is not scheduled to be open for trading for at least three hours, or no daily contract reference price is available for a given Contract Expiration</w:t>
            </w:r>
            <w:r>
              <w:rPr>
                <w:rFonts w:ascii="Arial" w:hAnsi="Arial" w:cs="Arial"/>
                <w:sz w:val="20"/>
                <w:szCs w:val="20"/>
              </w:rPr>
              <w:t>;</w:t>
            </w:r>
          </w:p>
        </w:tc>
      </w:tr>
    </w:tbl>
    <w:p w14:paraId="2D9A03D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66A65BB6" w14:textId="77777777">
        <w:trPr>
          <w:tblCellSpacing w:w="0" w:type="dxa"/>
        </w:trPr>
        <w:tc>
          <w:tcPr>
            <w:tcW w:w="400" w:type="dxa"/>
            <w:vAlign w:val="center"/>
            <w:hideMark/>
          </w:tcPr>
          <w:p w14:paraId="089155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4A840AC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469F41A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any such price r</w:t>
            </w:r>
            <w:r>
              <w:rPr>
                <w:rFonts w:ascii="Arial" w:hAnsi="Arial" w:cs="Arial"/>
                <w:sz w:val="20"/>
                <w:szCs w:val="20"/>
              </w:rPr>
              <w:t>epresents the maximum or minimum price for that contract month, based on exchange price limits, referred to as a “Limit Price”</w:t>
            </w:r>
            <w:r>
              <w:rPr>
                <w:rFonts w:ascii="Arial" w:hAnsi="Arial" w:cs="Arial"/>
                <w:sz w:val="20"/>
                <w:szCs w:val="20"/>
              </w:rPr>
              <w:t>;</w:t>
            </w:r>
          </w:p>
        </w:tc>
      </w:tr>
    </w:tbl>
    <w:p w14:paraId="1719503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6DDDBF8D" w14:textId="77777777">
        <w:trPr>
          <w:tblCellSpacing w:w="0" w:type="dxa"/>
        </w:trPr>
        <w:tc>
          <w:tcPr>
            <w:tcW w:w="400" w:type="dxa"/>
            <w:vAlign w:val="center"/>
            <w:hideMark/>
          </w:tcPr>
          <w:p w14:paraId="412785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242FF3B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EA4A86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 published by the relevant trading facility reflects manifest error, or that price is n</w:t>
            </w:r>
            <w:r>
              <w:rPr>
                <w:rFonts w:ascii="Arial" w:hAnsi="Arial" w:cs="Arial"/>
                <w:sz w:val="20"/>
                <w:szCs w:val="20"/>
              </w:rPr>
              <w:t>ot published by 4:00 p.m. (New York time). In that event, the Index Sponsor may, but is not required to, determine a daily contract reference price and complete the relevant portion of the roll based on that price</w:t>
            </w:r>
            <w:r>
              <w:rPr>
                <w:rFonts w:ascii="Arial" w:hAnsi="Arial" w:cs="Arial"/>
                <w:sz w:val="20"/>
                <w:szCs w:val="20"/>
              </w:rPr>
              <w:t>;</w:t>
            </w:r>
            <w:r>
              <w:rPr>
                <w:rFonts w:ascii="Arial" w:hAnsi="Arial" w:cs="Arial"/>
                <w:sz w:val="20"/>
                <w:szCs w:val="20"/>
              </w:rPr>
              <w:t> provided, that, if the trading facility p</w:t>
            </w:r>
            <w:r>
              <w:rPr>
                <w:rFonts w:ascii="Arial" w:hAnsi="Arial" w:cs="Arial"/>
                <w:sz w:val="20"/>
                <w:szCs w:val="20"/>
              </w:rPr>
              <w:t>ublishes a price before the opening of trading on the next day, the Index Sponsor will revise the portion of the roll accordingly</w:t>
            </w:r>
            <w:r>
              <w:rPr>
                <w:rFonts w:ascii="Arial" w:hAnsi="Arial" w:cs="Arial"/>
                <w:sz w:val="20"/>
                <w:szCs w:val="20"/>
              </w:rPr>
              <w:t>;</w:t>
            </w:r>
            <w:r>
              <w:rPr>
                <w:rFonts w:ascii="Arial" w:hAnsi="Arial" w:cs="Arial"/>
                <w:sz w:val="20"/>
                <w:szCs w:val="20"/>
              </w:rPr>
              <w:t> or</w:t>
            </w:r>
          </w:p>
        </w:tc>
      </w:tr>
    </w:tbl>
    <w:p w14:paraId="6F0A644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58AB47A1" w14:textId="77777777">
        <w:trPr>
          <w:tblCellSpacing w:w="0" w:type="dxa"/>
        </w:trPr>
        <w:tc>
          <w:tcPr>
            <w:tcW w:w="400" w:type="dxa"/>
            <w:vAlign w:val="center"/>
            <w:hideMark/>
          </w:tcPr>
          <w:p w14:paraId="7CB5F2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6B344C2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05B467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trading in the relevant contract terminates prior to its scheduled closing time.</w:t>
            </w:r>
          </w:p>
        </w:tc>
      </w:tr>
    </w:tbl>
    <w:p w14:paraId="3DE7C3C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F4D9BE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any of these conditions exis</w:t>
      </w:r>
      <w:r>
        <w:rPr>
          <w:rFonts w:ascii="Arial" w:hAnsi="Arial" w:cs="Arial"/>
          <w:sz w:val="20"/>
          <w:szCs w:val="20"/>
        </w:rPr>
        <w:t>t throughout the roll period, the roll with respect to the affected contract will be effected in its entirety on the next day on which these conditions no longer exist.</w:t>
      </w:r>
    </w:p>
    <w:p w14:paraId="5F62D01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CD721FB" w14:textId="77777777" w:rsidR="00000000" w:rsidRDefault="004206B0">
      <w:pPr>
        <w:jc w:val="center"/>
        <w:divId w:val="1048142420"/>
        <w:rPr>
          <w:rFonts w:ascii="Arial" w:eastAsia="Times New Roman" w:hAnsi="Arial" w:cs="Arial"/>
          <w:sz w:val="20"/>
          <w:szCs w:val="20"/>
        </w:rPr>
      </w:pPr>
      <w:r>
        <w:rPr>
          <w:rFonts w:ascii="Arial" w:eastAsia="Times New Roman" w:hAnsi="Arial" w:cs="Arial"/>
          <w:sz w:val="20"/>
          <w:szCs w:val="20"/>
        </w:rPr>
        <w:t xml:space="preserve">11 </w:t>
      </w:r>
    </w:p>
    <w:p w14:paraId="143F8988" w14:textId="77777777" w:rsidR="00000000" w:rsidRDefault="004206B0">
      <w:pPr>
        <w:divId w:val="2145729204"/>
        <w:rPr>
          <w:rFonts w:eastAsia="Times New Roman"/>
          <w:sz w:val="20"/>
          <w:szCs w:val="20"/>
        </w:rPr>
      </w:pPr>
      <w:r>
        <w:rPr>
          <w:rFonts w:eastAsia="Times New Roman"/>
          <w:sz w:val="20"/>
          <w:szCs w:val="20"/>
        </w:rPr>
        <w:pict w14:anchorId="4391AE8E">
          <v:rect id="_x0000_i1050" style="width:415.3pt;height:1.5pt" o:hralign="center" o:hrstd="t" o:hrnoshade="t" o:hr="t" fillcolor="black" stroked="f"/>
        </w:pict>
      </w:r>
    </w:p>
    <w:p w14:paraId="648BD6E2" w14:textId="77777777" w:rsidR="00000000" w:rsidRDefault="004206B0">
      <w:pPr>
        <w:divId w:val="1180000386"/>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63BF89F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61BEDB1"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Calculation of the S&amp;P GSCI-ER</w:t>
      </w:r>
    </w:p>
    <w:p w14:paraId="387A84E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F49777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value of the S&amp;P GSCI-ER on any S&amp;P GSCI™ Business Day is equal to the product of (1) the value of the S</w:t>
      </w:r>
      <w:r>
        <w:rPr>
          <w:rFonts w:ascii="Arial" w:hAnsi="Arial" w:cs="Arial"/>
          <w:sz w:val="20"/>
          <w:szCs w:val="20"/>
        </w:rPr>
        <w:t>&amp;P GSCI-ER on the immediately preceding S&amp;P GSCI™ Business Day multiplied by (2) one plus the contract daily return on the S&amp;P GSCI™ Business Day on which the calculation is made.</w:t>
      </w:r>
    </w:p>
    <w:p w14:paraId="50782EF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DAEE924"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Calculation of the Index</w:t>
      </w:r>
    </w:p>
    <w:p w14:paraId="2A32C60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8E393A4"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The value of the Index on any S&amp;P GSCI™ Busines</w:t>
      </w:r>
      <w:r>
        <w:rPr>
          <w:rFonts w:ascii="Arial" w:hAnsi="Arial" w:cs="Arial"/>
          <w:sz w:val="20"/>
          <w:szCs w:val="20"/>
        </w:rPr>
        <w:t>s Day is equal to the product of (1) the value of the Index on the immediately preceding S&amp;P GSCI™ Business Day multiplied by (2) one plus the sum of the contract daily return and the Treasury bill return on the S&amp;P GSCI™ Business Day on which the calculat</w:t>
      </w:r>
      <w:r>
        <w:rPr>
          <w:rFonts w:ascii="Arial" w:hAnsi="Arial" w:cs="Arial"/>
          <w:sz w:val="20"/>
          <w:szCs w:val="20"/>
        </w:rPr>
        <w:t>ion is made, multiplied by (3) one plus the Treasury bill return for each non-S&amp;P GSCI™ Business Day since the immediately preceding S&amp;P GSCI™ Business Day. The Treasury bill return is the return on a hypothetical investment at a rate equal to the interest</w:t>
      </w:r>
      <w:r>
        <w:rPr>
          <w:rFonts w:ascii="Arial" w:hAnsi="Arial" w:cs="Arial"/>
          <w:sz w:val="20"/>
          <w:szCs w:val="20"/>
        </w:rPr>
        <w:t xml:space="preserve"> rate on a specified U.S. Treasury bill.</w:t>
      </w:r>
    </w:p>
    <w:p w14:paraId="4DA3F50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5FB467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3CA0211"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14:paraId="67BE15A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2525CFA"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Risk Factors Relating to Commodities Markets</w:t>
      </w:r>
    </w:p>
    <w:p w14:paraId="2CC58F1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20FBFB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value of the Shares depends on the value of Index Futures, which fluctuates based on the prices of commodity futures contracts reflected in the S&amp;P GSCI-ER. These prices may be volatile, thereby creating the potential for losses regardless of the lengt</w:t>
      </w:r>
      <w:r>
        <w:rPr>
          <w:rFonts w:ascii="Arial" w:hAnsi="Arial" w:cs="Arial"/>
          <w:i/>
          <w:iCs/>
          <w:sz w:val="20"/>
          <w:szCs w:val="20"/>
        </w:rPr>
        <w:t>h of time you intend to hold your Shares.</w:t>
      </w:r>
    </w:p>
    <w:p w14:paraId="213A0C0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AECEFE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Because the price of the Shares depends on the value of the Index Futures held by the Trust, the value of the Shares fluctuates based on the prices of commodity futures contracts reflected in the S&amp;P GSCI-ER. Com</w:t>
      </w:r>
      <w:r>
        <w:rPr>
          <w:rFonts w:ascii="Arial" w:hAnsi="Arial" w:cs="Arial"/>
          <w:sz w:val="20"/>
          <w:szCs w:val="20"/>
        </w:rPr>
        <w:t>modity prices may be volatile. Commodity prices are generally affected by, among other factors, the cost of producing, transporting and storing commodities, changes in consumer or commercial demand for commodities, the hedging and trading strategies of pro</w:t>
      </w:r>
      <w:r>
        <w:rPr>
          <w:rFonts w:ascii="Arial" w:hAnsi="Arial" w:cs="Arial"/>
          <w:sz w:val="20"/>
          <w:szCs w:val="20"/>
        </w:rPr>
        <w:t>ducers and consumers of commodities, speculative trading in commodities by commodity pools and other market participants, disruptions in commodity supply, weather, political and other global events, global economic factors and government intervention in or</w:t>
      </w:r>
      <w:r>
        <w:rPr>
          <w:rFonts w:ascii="Arial" w:hAnsi="Arial" w:cs="Arial"/>
          <w:sz w:val="20"/>
          <w:szCs w:val="20"/>
        </w:rPr>
        <w:t xml:space="preserve"> regulation of the commodity or commodity futures markets. These factors cannot be controlled by the Trust. Accordingly, the price of the Shares could change substantially and in a rapid and unpredictable manner. This exposes you to a potential loss on you</w:t>
      </w:r>
      <w:r>
        <w:rPr>
          <w:rFonts w:ascii="Arial" w:hAnsi="Arial" w:cs="Arial"/>
          <w:sz w:val="20"/>
          <w:szCs w:val="20"/>
        </w:rPr>
        <w:t>r investment in the Shares, regardless of the length of time you intend to hold your Shares. Such risks may be exacerbated as a result of the COVID-19 pandemic and other factors.</w:t>
      </w:r>
    </w:p>
    <w:p w14:paraId="7EBCCFC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C7B009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With regard to oil and other commodities, a variety of factors can affect t</w:t>
      </w:r>
      <w:r>
        <w:rPr>
          <w:rFonts w:ascii="Arial" w:hAnsi="Arial" w:cs="Arial"/>
          <w:sz w:val="20"/>
          <w:szCs w:val="20"/>
        </w:rPr>
        <w:t>he price of commodities and in turn the related Index Futures, including significant increases or decreases in production, available supply or demand due to natural factors, epidemics, technological factors, cooperation with respect to price and production</w:t>
      </w:r>
      <w:r>
        <w:rPr>
          <w:rFonts w:ascii="Arial" w:hAnsi="Arial" w:cs="Arial"/>
          <w:sz w:val="20"/>
          <w:szCs w:val="20"/>
        </w:rPr>
        <w:t xml:space="preserve"> levels or competition and tension among exporting nations, the enactment or cessation of trade sanctions, war or other geopolitical conflicts, civil unrest and sabotage, fluctuations in the reserve capacity, large purchases by governmental entities and co</w:t>
      </w:r>
      <w:r>
        <w:rPr>
          <w:rFonts w:ascii="Arial" w:hAnsi="Arial" w:cs="Arial"/>
          <w:sz w:val="20"/>
          <w:szCs w:val="20"/>
        </w:rPr>
        <w:t>mpetition from other sectors. Such risks historically and recently have led, and in the future could lead, to significant market volatility, which could impact the Index Futures held by the Trust and negatively impact the price of the Shares.</w:t>
      </w:r>
    </w:p>
    <w:p w14:paraId="05D2AD3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E4B392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April 20</w:t>
      </w:r>
      <w:r>
        <w:rPr>
          <w:rFonts w:ascii="Arial" w:hAnsi="Arial" w:cs="Arial"/>
          <w:sz w:val="20"/>
          <w:szCs w:val="20"/>
        </w:rPr>
        <w:t>20, the collapse of demand for fuel as a result of economic conditions relating to COVID-19 and other factors created an oversupply of crude oil that rapidly filled most available oil storage facilities. This caused the May 2020 WTI crude oil futures contr</w:t>
      </w:r>
      <w:r>
        <w:rPr>
          <w:rFonts w:ascii="Arial" w:hAnsi="Arial" w:cs="Arial"/>
          <w:sz w:val="20"/>
          <w:szCs w:val="20"/>
        </w:rPr>
        <w:t>act to trade at a negative price. If all or a significant portion of the futures contracts reflected in the S&amp;P GSCI-ER were to reach a negative price, you could lose your entire investment.</w:t>
      </w:r>
    </w:p>
    <w:p w14:paraId="26DD16F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AC5D9D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following events, among others, would generally result in a</w:t>
      </w:r>
      <w:r>
        <w:rPr>
          <w:rFonts w:ascii="Arial" w:hAnsi="Arial" w:cs="Arial"/>
          <w:sz w:val="20"/>
          <w:szCs w:val="20"/>
        </w:rPr>
        <w:t xml:space="preserve"> decline in the price of the Shares:</w:t>
      </w:r>
    </w:p>
    <w:p w14:paraId="6341FE9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51CD6503" w14:textId="77777777">
        <w:trPr>
          <w:tblCellSpacing w:w="0" w:type="dxa"/>
        </w:trPr>
        <w:tc>
          <w:tcPr>
            <w:tcW w:w="400" w:type="dxa"/>
            <w:vAlign w:val="center"/>
            <w:hideMark/>
          </w:tcPr>
          <w:p w14:paraId="75D0D49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6779DBE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48F7498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 significant increase in hedging activity by producers of the underlying commodities. Should producers of the commodities underlying the S&amp;P GSCI-ER increase their hedging of their future production through forward sales or other short positions, this inc</w:t>
            </w:r>
            <w:r>
              <w:rPr>
                <w:rFonts w:ascii="Arial" w:hAnsi="Arial" w:cs="Arial"/>
                <w:sz w:val="20"/>
                <w:szCs w:val="20"/>
              </w:rPr>
              <w:t>reased selling pressure could depress the price of one or more of the underlying commodities, which could adversely affect the price of the Shares.</w:t>
            </w:r>
          </w:p>
        </w:tc>
      </w:tr>
    </w:tbl>
    <w:p w14:paraId="4FA9062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0552EA99" w14:textId="77777777">
        <w:trPr>
          <w:tblCellSpacing w:w="0" w:type="dxa"/>
        </w:trPr>
        <w:tc>
          <w:tcPr>
            <w:tcW w:w="400" w:type="dxa"/>
            <w:vAlign w:val="center"/>
            <w:hideMark/>
          </w:tcPr>
          <w:p w14:paraId="225E96E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21D022B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48D0978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 significant change in the attitude of speculators and investors toward the futures contracts or com</w:t>
            </w:r>
            <w:r>
              <w:rPr>
                <w:rFonts w:ascii="Arial" w:hAnsi="Arial" w:cs="Arial"/>
                <w:sz w:val="20"/>
                <w:szCs w:val="20"/>
              </w:rPr>
              <w:t>modities underlying the S&amp;P GSCI-ER. Should the speculative community take a negative view towards one or more of the underlying futures contracts or commodities, it could cause a decline in the price of the Index Futures, which may reduce the price of the</w:t>
            </w:r>
            <w:r>
              <w:rPr>
                <w:rFonts w:ascii="Arial" w:hAnsi="Arial" w:cs="Arial"/>
                <w:sz w:val="20"/>
                <w:szCs w:val="20"/>
              </w:rPr>
              <w:t xml:space="preserve"> Shares.</w:t>
            </w:r>
          </w:p>
        </w:tc>
      </w:tr>
    </w:tbl>
    <w:p w14:paraId="58FE920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2C937E2F" w14:textId="77777777">
        <w:trPr>
          <w:tblCellSpacing w:w="0" w:type="dxa"/>
        </w:trPr>
        <w:tc>
          <w:tcPr>
            <w:tcW w:w="400" w:type="dxa"/>
            <w:vAlign w:val="center"/>
            <w:hideMark/>
          </w:tcPr>
          <w:p w14:paraId="3935C5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5EE5C17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2F3C04D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Based on market conditions, futures contracts underlying the S&amp;P GSCI-ER may trade or settle at or below zero, and the zero or negative value will be used in the calculation of impacted indices, including the S&amp;P GSCI-ER. A zero or negative</w:t>
            </w:r>
            <w:r>
              <w:rPr>
                <w:rFonts w:ascii="Arial" w:hAnsi="Arial" w:cs="Arial"/>
                <w:sz w:val="20"/>
                <w:szCs w:val="20"/>
              </w:rPr>
              <w:t xml:space="preserve"> value in respect of one or more underlying futures contracts may result in a zero or negative value in respect of the S&amp;P GSCI-ER and, consequently, the Index Futures, adversely affecting the value of the Shares.</w:t>
            </w:r>
          </w:p>
        </w:tc>
      </w:tr>
    </w:tbl>
    <w:p w14:paraId="315C9A2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2B438B15" w14:textId="77777777">
        <w:trPr>
          <w:tblCellSpacing w:w="0" w:type="dxa"/>
        </w:trPr>
        <w:tc>
          <w:tcPr>
            <w:tcW w:w="400" w:type="dxa"/>
            <w:vAlign w:val="center"/>
            <w:hideMark/>
          </w:tcPr>
          <w:p w14:paraId="4891C1A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1ABED91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269B34C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Significant reductions in the size </w:t>
            </w:r>
            <w:r>
              <w:rPr>
                <w:rFonts w:ascii="Arial" w:hAnsi="Arial" w:cs="Arial"/>
                <w:sz w:val="20"/>
                <w:szCs w:val="20"/>
              </w:rPr>
              <w:t>of positions permitted to be owned by the Trust or others in Index Futures or in the futures contracts and/or commodities composing the S&amp;P GSCI-ER, for example, as a result of more restrictive position limits or position limit exemptions or more expansive</w:t>
            </w:r>
            <w:r>
              <w:rPr>
                <w:rFonts w:ascii="Arial" w:hAnsi="Arial" w:cs="Arial"/>
                <w:sz w:val="20"/>
                <w:szCs w:val="20"/>
              </w:rPr>
              <w:t xml:space="preserve"> position aggregation requirements, could reduce liquidity and depress the price of the S&amp;P GSCI-ER and/or the underlying futures contracts or commodities, adversely affecting the value of your Shares.</w:t>
            </w:r>
          </w:p>
        </w:tc>
      </w:tr>
    </w:tbl>
    <w:p w14:paraId="593B7C9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A27B67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Conversely, several factors could trigger a tempora</w:t>
      </w:r>
      <w:r>
        <w:rPr>
          <w:rFonts w:ascii="Arial" w:hAnsi="Arial" w:cs="Arial"/>
          <w:sz w:val="20"/>
          <w:szCs w:val="20"/>
        </w:rPr>
        <w:t>ry increase in the price of the futures contracts or commodities underlying the S&amp;P GSCI-ER and, consequently, the Index Futures. In that case, you could buy Shares at prices affected by the temporarily high commodity prices, and you could subsequently inc</w:t>
      </w:r>
      <w:r>
        <w:rPr>
          <w:rFonts w:ascii="Arial" w:hAnsi="Arial" w:cs="Arial"/>
          <w:sz w:val="20"/>
          <w:szCs w:val="20"/>
        </w:rPr>
        <w:t>ur losses when the causes for the temporary increase disappear.</w:t>
      </w:r>
    </w:p>
    <w:p w14:paraId="409119D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9989EE1" w14:textId="77777777" w:rsidR="00000000" w:rsidRDefault="004206B0">
      <w:pPr>
        <w:jc w:val="center"/>
        <w:divId w:val="345207288"/>
        <w:rPr>
          <w:rFonts w:ascii="Arial" w:eastAsia="Times New Roman" w:hAnsi="Arial" w:cs="Arial"/>
          <w:sz w:val="20"/>
          <w:szCs w:val="20"/>
        </w:rPr>
      </w:pPr>
      <w:r>
        <w:rPr>
          <w:rFonts w:ascii="Arial" w:eastAsia="Times New Roman" w:hAnsi="Arial" w:cs="Arial"/>
          <w:sz w:val="20"/>
          <w:szCs w:val="20"/>
        </w:rPr>
        <w:t xml:space="preserve">12 </w:t>
      </w:r>
    </w:p>
    <w:p w14:paraId="0F13CE72" w14:textId="77777777" w:rsidR="00000000" w:rsidRDefault="004206B0">
      <w:pPr>
        <w:divId w:val="1210606506"/>
        <w:rPr>
          <w:rFonts w:eastAsia="Times New Roman"/>
          <w:sz w:val="20"/>
          <w:szCs w:val="20"/>
        </w:rPr>
      </w:pPr>
      <w:r>
        <w:rPr>
          <w:rFonts w:eastAsia="Times New Roman"/>
          <w:sz w:val="20"/>
          <w:szCs w:val="20"/>
        </w:rPr>
        <w:pict w14:anchorId="46E26297">
          <v:rect id="_x0000_i1051" style="width:415.3pt;height:1.5pt" o:hralign="center" o:hrstd="t" o:hrnoshade="t" o:hr="t" fillcolor="black" stroked="f"/>
        </w:pict>
      </w:r>
    </w:p>
    <w:p w14:paraId="05E3A171" w14:textId="77777777" w:rsidR="00000000" w:rsidRDefault="004206B0">
      <w:pPr>
        <w:divId w:val="1500854474"/>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08B51E1B" w14:textId="77777777" w:rsidR="00000000" w:rsidRDefault="004206B0">
      <w:pPr>
        <w:pStyle w:val="a3"/>
        <w:spacing w:before="0" w:beforeAutospacing="0" w:after="0" w:afterAutospacing="0"/>
        <w:rPr>
          <w:sz w:val="20"/>
          <w:szCs w:val="20"/>
        </w:rPr>
      </w:pPr>
      <w:r>
        <w:rPr>
          <w:sz w:val="20"/>
          <w:szCs w:val="20"/>
        </w:rPr>
        <w:t> </w:t>
      </w:r>
    </w:p>
    <w:p w14:paraId="2750B22D"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Historical performance of the Index and the S&amp;P GSCI-ER is no guide to their future performance or to</w:t>
      </w:r>
      <w:r>
        <w:rPr>
          <w:rFonts w:ascii="Arial" w:hAnsi="Arial" w:cs="Arial"/>
          <w:i/>
          <w:iCs/>
          <w:sz w:val="20"/>
          <w:szCs w:val="20"/>
        </w:rPr>
        <w:t xml:space="preserve"> the performance of the Shares.</w:t>
      </w:r>
    </w:p>
    <w:p w14:paraId="5DD01CF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3F35D6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Past performance of the Index and the S&amp;P GSCI-ER is not necessarily indicative of their future performance or of the performance of the Shares. There can be no guarantee that the level of the Index or the S&amp;P GSCI-ER will</w:t>
      </w:r>
      <w:r>
        <w:rPr>
          <w:rFonts w:ascii="Arial" w:hAnsi="Arial" w:cs="Arial"/>
          <w:sz w:val="20"/>
          <w:szCs w:val="20"/>
        </w:rPr>
        <w:t xml:space="preserve"> increase. You may lose some or all of your investment in the Shares.</w:t>
      </w:r>
    </w:p>
    <w:p w14:paraId="7A5260E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55C51C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Commodity futures trading may be illiquid. In addition, suspensions or disruptions of market trading in the commodities markets and related futures markets may adversely affect the val</w:t>
      </w:r>
      <w:r>
        <w:rPr>
          <w:rFonts w:ascii="Arial" w:hAnsi="Arial" w:cs="Arial"/>
          <w:i/>
          <w:iCs/>
          <w:sz w:val="20"/>
          <w:szCs w:val="20"/>
        </w:rPr>
        <w:t>ue of your Shares.</w:t>
      </w:r>
    </w:p>
    <w:p w14:paraId="01B9899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5DF76D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commodity futures markets are subject to temporary distortions or other disruptions due to various factors, including the lack of liquidity, congestion, disorderly markets, manipulation, limitations on deliverable supplies, the par</w:t>
      </w:r>
      <w:r>
        <w:rPr>
          <w:rFonts w:ascii="Arial" w:hAnsi="Arial" w:cs="Arial"/>
          <w:sz w:val="20"/>
          <w:szCs w:val="20"/>
        </w:rPr>
        <w:t>ticipation of speculators, government regulation and intervention, technical and operational or system failures, nuclear accidents, terrorism, riots and acts of God. In connection with such events, a futures exchange may determine to halt trading, to cance</w:t>
      </w:r>
      <w:r>
        <w:rPr>
          <w:rFonts w:ascii="Arial" w:hAnsi="Arial" w:cs="Arial"/>
          <w:sz w:val="20"/>
          <w:szCs w:val="20"/>
        </w:rPr>
        <w:t>l trades executed during a specified period, and to take other actions it deems appropriate. In addition, U.S. futures exchanges and some foreign exchanges have regulations that limit the amount of fluctuation in futures contract prices that may occur duri</w:t>
      </w:r>
      <w:r>
        <w:rPr>
          <w:rFonts w:ascii="Arial" w:hAnsi="Arial" w:cs="Arial"/>
          <w:sz w:val="20"/>
          <w:szCs w:val="20"/>
        </w:rPr>
        <w:t>ng a single business day. These limits are generally referred to as “daily price fluctuation limits,” and the maximum or minimum price of a contract on any given day as a result of these limits is referred to as a “limit price.” Once the limit price has be</w:t>
      </w:r>
      <w:r>
        <w:rPr>
          <w:rFonts w:ascii="Arial" w:hAnsi="Arial" w:cs="Arial"/>
          <w:sz w:val="20"/>
          <w:szCs w:val="20"/>
        </w:rPr>
        <w:t>en reached in a particular contract, it is possible that no trades may be made at a different price. It is not certain how long any such price limits would remain in effect. Limit prices may have the effect of precluding trading in a particular contract or</w:t>
      </w:r>
      <w:r>
        <w:rPr>
          <w:rFonts w:ascii="Arial" w:hAnsi="Arial" w:cs="Arial"/>
          <w:sz w:val="20"/>
          <w:szCs w:val="20"/>
        </w:rPr>
        <w:t xml:space="preserve"> forcing the liquidation of contracts at disadvantageous times or prices, consequently affecting the value of the S&amp;P GSCI-ER. Further, the Clearing FCM or its account holders may represent, directly or indirectly, a substantial portion of the short-side i</w:t>
      </w:r>
      <w:r>
        <w:rPr>
          <w:rFonts w:ascii="Arial" w:hAnsi="Arial" w:cs="Arial"/>
          <w:sz w:val="20"/>
          <w:szCs w:val="20"/>
        </w:rPr>
        <w:t>nterest in the Index Futures market. The existence of such a limited number of market participants could cause or exacerbate temporary distortions, especially those distortions resulting from illiquidity.</w:t>
      </w:r>
    </w:p>
    <w:p w14:paraId="28DDDC1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2501BC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Any of these circumstances could adversely affect</w:t>
      </w:r>
      <w:r>
        <w:rPr>
          <w:rFonts w:ascii="Arial" w:hAnsi="Arial" w:cs="Arial"/>
          <w:sz w:val="20"/>
          <w:szCs w:val="20"/>
        </w:rPr>
        <w:t xml:space="preserve"> the value of the Index Futures held by the Trust and therefore, the value of your Shares. In addition, these circumstances could also limit trading in the Index Futures, which could affect the calculation of the NAV and the trading price of the Shares.</w:t>
      </w:r>
    </w:p>
    <w:p w14:paraId="364612C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94A6D2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Accordingly, these limits may result in a NAV that differs, and may differ significantly, from the NAV that would prevail in the absence of such limits. If Baskets are created or redeemed at a time when these price limits are in effect, the creation or red</w:t>
      </w:r>
      <w:r>
        <w:rPr>
          <w:rFonts w:ascii="Arial" w:hAnsi="Arial" w:cs="Arial"/>
          <w:sz w:val="20"/>
          <w:szCs w:val="20"/>
        </w:rPr>
        <w:t>emption price will reflect the price limits as well.</w:t>
      </w:r>
    </w:p>
    <w:p w14:paraId="774B22D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885C8D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calculating the S&amp;P GSCI-ER, if the relevant trading facility does not publish a settlement price as scheduled, or publishes a settlement price that, in the reasonable judgment of the Index Sponsor,</w:t>
      </w:r>
      <w:r>
        <w:rPr>
          <w:rFonts w:ascii="Arial" w:hAnsi="Arial" w:cs="Arial"/>
          <w:sz w:val="20"/>
          <w:szCs w:val="20"/>
        </w:rPr>
        <w:t xml:space="preserve"> is manifestly incorrect, the Index Sponsor may determine the settlement price in its reasonable judgment. In addition, if any day on which the Index Sponsor calculates the S&amp;P GSCI-ER is a day on which a relevant trading facility for a contract on a commo</w:t>
      </w:r>
      <w:r>
        <w:rPr>
          <w:rFonts w:ascii="Arial" w:hAnsi="Arial" w:cs="Arial"/>
          <w:sz w:val="20"/>
          <w:szCs w:val="20"/>
        </w:rPr>
        <w:t>dity that underlies the S&amp;P GSCI-ER is not open, then the Index Sponsor uses the settlement price for that contract as of the last day on which that trading facility was open. In these circumstances, the value of the Index Futures and the value of your Sha</w:t>
      </w:r>
      <w:r>
        <w:rPr>
          <w:rFonts w:ascii="Arial" w:hAnsi="Arial" w:cs="Arial"/>
          <w:sz w:val="20"/>
          <w:szCs w:val="20"/>
        </w:rPr>
        <w:t>res may be adversely affected.</w:t>
      </w:r>
    </w:p>
    <w:p w14:paraId="5F759A8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DB5BAA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The absence of </w:t>
      </w:r>
      <w:r>
        <w:rPr>
          <w:rFonts w:ascii="Arial" w:hAnsi="Arial" w:cs="Arial"/>
          <w:sz w:val="20"/>
          <w:szCs w:val="20"/>
        </w:rPr>
        <w:t>“</w:t>
      </w:r>
      <w:r>
        <w:rPr>
          <w:rFonts w:ascii="Arial" w:hAnsi="Arial" w:cs="Arial"/>
          <w:i/>
          <w:iCs/>
          <w:sz w:val="20"/>
          <w:szCs w:val="20"/>
        </w:rPr>
        <w:t>backwardation</w:t>
      </w:r>
      <w:r>
        <w:rPr>
          <w:rFonts w:ascii="Arial" w:hAnsi="Arial" w:cs="Arial"/>
          <w:sz w:val="20"/>
          <w:szCs w:val="20"/>
        </w:rPr>
        <w:t xml:space="preserve">” </w:t>
      </w:r>
      <w:r>
        <w:rPr>
          <w:rFonts w:ascii="Arial" w:hAnsi="Arial" w:cs="Arial"/>
          <w:i/>
          <w:iCs/>
          <w:sz w:val="20"/>
          <w:szCs w:val="20"/>
        </w:rPr>
        <w:t xml:space="preserve">or the existence of </w:t>
      </w:r>
      <w:r>
        <w:rPr>
          <w:rFonts w:ascii="Arial" w:hAnsi="Arial" w:cs="Arial"/>
          <w:sz w:val="20"/>
          <w:szCs w:val="20"/>
        </w:rPr>
        <w:t>“</w:t>
      </w:r>
      <w:r>
        <w:rPr>
          <w:rFonts w:ascii="Arial" w:hAnsi="Arial" w:cs="Arial"/>
          <w:i/>
          <w:iCs/>
          <w:sz w:val="20"/>
          <w:szCs w:val="20"/>
        </w:rPr>
        <w:t>contango</w:t>
      </w:r>
      <w:r>
        <w:rPr>
          <w:rFonts w:ascii="Arial" w:hAnsi="Arial" w:cs="Arial"/>
          <w:sz w:val="20"/>
          <w:szCs w:val="20"/>
        </w:rPr>
        <w:t xml:space="preserve">” </w:t>
      </w:r>
      <w:r>
        <w:rPr>
          <w:rFonts w:ascii="Arial" w:hAnsi="Arial" w:cs="Arial"/>
          <w:i/>
          <w:iCs/>
          <w:sz w:val="20"/>
          <w:szCs w:val="20"/>
        </w:rPr>
        <w:t>in the prices of the commodities included in the S&amp;P GSCI-ER may adversely affect the value of your Shares.</w:t>
      </w:r>
    </w:p>
    <w:p w14:paraId="7FC7814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3B8238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As the futures contracts that underlie the S&amp;P GSCI</w:t>
      </w:r>
      <w:r>
        <w:rPr>
          <w:rFonts w:ascii="Arial" w:hAnsi="Arial" w:cs="Arial"/>
          <w:sz w:val="20"/>
          <w:szCs w:val="20"/>
        </w:rPr>
        <w:t>-ER near expiration, they are replaced by contracts that have a later expiration. Thus, for example, a contract purchased in March may specify a June expiration. As that contract nears expiration, it may be replaced by selling the June contract and purchas</w:t>
      </w:r>
      <w:r>
        <w:rPr>
          <w:rFonts w:ascii="Arial" w:hAnsi="Arial" w:cs="Arial"/>
          <w:sz w:val="20"/>
          <w:szCs w:val="20"/>
        </w:rPr>
        <w:t>ing the contract expiring in September. This process is referred to as “rolling.” Historically, the prices of some futures contracts (generally those relating to commodities that are typically consumed immediately rather than stored) have frequently been h</w:t>
      </w:r>
      <w:r>
        <w:rPr>
          <w:rFonts w:ascii="Arial" w:hAnsi="Arial" w:cs="Arial"/>
          <w:sz w:val="20"/>
          <w:szCs w:val="20"/>
        </w:rPr>
        <w:t>igher for contracts with shorter-term expirations than for contracts with longer-term expirations, which is referred to as “backwardation.” In these circumstances, absent other factors, the sale of the earlier contract would take place at a price that is h</w:t>
      </w:r>
      <w:r>
        <w:rPr>
          <w:rFonts w:ascii="Arial" w:hAnsi="Arial" w:cs="Arial"/>
          <w:sz w:val="20"/>
          <w:szCs w:val="20"/>
        </w:rPr>
        <w:t>igher than the price at which the later contract is purchased, thereby allowing the contract holder to purchase a greater quantity of the later contract. While some of the contracts included in the S&amp;P GSCI-ER have historically exhibited periods of backwar</w:t>
      </w:r>
      <w:r>
        <w:rPr>
          <w:rFonts w:ascii="Arial" w:hAnsi="Arial" w:cs="Arial"/>
          <w:sz w:val="20"/>
          <w:szCs w:val="20"/>
        </w:rPr>
        <w:t>dation, backwardation will likely not exist at all times. Moreover, some of the commodities reflected in the S&amp;P GSCI-ER have historically exhibited characteristics typical of “contango” markets rather than backwardation. Contango markets are those in whic</w:t>
      </w:r>
      <w:r>
        <w:rPr>
          <w:rFonts w:ascii="Arial" w:hAnsi="Arial" w:cs="Arial"/>
          <w:sz w:val="20"/>
          <w:szCs w:val="20"/>
        </w:rPr>
        <w:t>h the prices of contracts are higher in the distant delivery months than in the nearer delivery months due to the costs of long-term storage of a physical commodity prior to delivery or other factors. The forward price of a commodity futures contract may a</w:t>
      </w:r>
      <w:r>
        <w:rPr>
          <w:rFonts w:ascii="Arial" w:hAnsi="Arial" w:cs="Arial"/>
          <w:sz w:val="20"/>
          <w:szCs w:val="20"/>
        </w:rPr>
        <w:t>lso fluctuate between backwardation and contango.</w:t>
      </w:r>
    </w:p>
    <w:p w14:paraId="6A374FC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6FD44EF"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absence of backwardation or the existence of contango in the commodity markets could result in losses, which could adversely affect the value of the S&amp;P GSCI-ER and accordingly, decrease the value of </w:t>
      </w:r>
      <w:r>
        <w:rPr>
          <w:rFonts w:ascii="Arial" w:hAnsi="Arial" w:cs="Arial"/>
          <w:sz w:val="20"/>
          <w:szCs w:val="20"/>
        </w:rPr>
        <w:t>your Shares. Moreover, because the Trust must pay certain ongoing fees and expenses, the value of the Shares may decrease even in periods where commodity prices are otherwise stationary.</w:t>
      </w:r>
    </w:p>
    <w:p w14:paraId="1D4A806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E2BF7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While contango and backwardation are consistently present in tradin</w:t>
      </w:r>
      <w:r>
        <w:rPr>
          <w:rFonts w:ascii="Arial" w:hAnsi="Arial" w:cs="Arial"/>
          <w:sz w:val="20"/>
          <w:szCs w:val="20"/>
        </w:rPr>
        <w:t>g in the commodity markets, such conditions can be exacerbated by market forces. For example, following the onset of the COVID-19 pandemic, as a result of an excess supply of crude oil and weak demand as well as disputes among oil</w:t>
      </w:r>
      <w:r>
        <w:rPr>
          <w:rFonts w:ascii="Arial" w:hAnsi="Arial" w:cs="Arial"/>
          <w:sz w:val="20"/>
          <w:szCs w:val="20"/>
        </w:rPr>
        <w:noBreakHyphen/>
        <w:t>producing countries regar</w:t>
      </w:r>
      <w:r>
        <w:rPr>
          <w:rFonts w:ascii="Arial" w:hAnsi="Arial" w:cs="Arial"/>
          <w:sz w:val="20"/>
          <w:szCs w:val="20"/>
        </w:rPr>
        <w:t>ding limitations on oil production, the crude oil futures markets experienced extraordinarily high levels of contango in the first half of 2020, resulting in a negative price in the May 2020 WTI crude oil futures contract on April 20, 2020.</w:t>
      </w:r>
    </w:p>
    <w:p w14:paraId="07B8852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CD8E02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effects o</w:t>
      </w:r>
      <w:r>
        <w:rPr>
          <w:rFonts w:ascii="Arial" w:hAnsi="Arial" w:cs="Arial"/>
          <w:sz w:val="20"/>
          <w:szCs w:val="20"/>
        </w:rPr>
        <w:t>f rolling futures contracts under such conditions generally are more severe than rolling futures contracts in the absence of such conditions. Such conditions may continue to exist, which could adversely affect the value of the S&amp;P GSCI-ER and the Index Fut</w:t>
      </w:r>
      <w:r>
        <w:rPr>
          <w:rFonts w:ascii="Arial" w:hAnsi="Arial" w:cs="Arial"/>
          <w:sz w:val="20"/>
          <w:szCs w:val="20"/>
        </w:rPr>
        <w:t>ures and, accordingly, adversely affect the value of your Shares.</w:t>
      </w:r>
    </w:p>
    <w:p w14:paraId="371C918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E080C49"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Regulatory developments with respect to the futures and over-the-counter derivatives markets, and in particular, with respect to speculative trading in futures contracts and over-the-counter derivatives involving commodities and commodity indices, could ad</w:t>
      </w:r>
      <w:r>
        <w:rPr>
          <w:rFonts w:ascii="Arial" w:hAnsi="Arial" w:cs="Arial"/>
          <w:i/>
          <w:iCs/>
          <w:sz w:val="20"/>
          <w:szCs w:val="20"/>
        </w:rPr>
        <w:t>versely affect the value of your Shares.</w:t>
      </w:r>
    </w:p>
    <w:p w14:paraId="75CC2C5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4CE5EC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Many bills have been introduced in the U.S. Congress targeting excessive speculation in commodities and commodity indices, including by institutional index funds, on regulated futures markets and in the over-the-c</w:t>
      </w:r>
      <w:r>
        <w:rPr>
          <w:rFonts w:ascii="Arial" w:hAnsi="Arial" w:cs="Arial"/>
          <w:sz w:val="20"/>
          <w:szCs w:val="20"/>
        </w:rPr>
        <w:t>ounter (“OTC”) derivatives markets. Many of these legislative proposals have not been enacted but could be in the future.</w:t>
      </w:r>
    </w:p>
    <w:p w14:paraId="6C15AE8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6D4AB5D" w14:textId="77777777" w:rsidR="00000000" w:rsidRDefault="004206B0">
      <w:pPr>
        <w:jc w:val="center"/>
        <w:divId w:val="84424270"/>
        <w:rPr>
          <w:rFonts w:ascii="Arial" w:eastAsia="Times New Roman" w:hAnsi="Arial" w:cs="Arial"/>
          <w:sz w:val="20"/>
          <w:szCs w:val="20"/>
        </w:rPr>
      </w:pPr>
      <w:r>
        <w:rPr>
          <w:rFonts w:ascii="Arial" w:eastAsia="Times New Roman" w:hAnsi="Arial" w:cs="Arial"/>
          <w:sz w:val="20"/>
          <w:szCs w:val="20"/>
        </w:rPr>
        <w:t xml:space="preserve">13 </w:t>
      </w:r>
    </w:p>
    <w:p w14:paraId="77BEC541" w14:textId="77777777" w:rsidR="00000000" w:rsidRDefault="004206B0">
      <w:pPr>
        <w:divId w:val="876549836"/>
        <w:rPr>
          <w:rFonts w:eastAsia="Times New Roman"/>
          <w:sz w:val="20"/>
          <w:szCs w:val="20"/>
        </w:rPr>
      </w:pPr>
      <w:r>
        <w:rPr>
          <w:rFonts w:eastAsia="Times New Roman"/>
          <w:sz w:val="20"/>
          <w:szCs w:val="20"/>
        </w:rPr>
        <w:pict w14:anchorId="75ED0EFF">
          <v:rect id="_x0000_i1052" style="width:415.3pt;height:1.5pt" o:hralign="center" o:hrstd="t" o:hrnoshade="t" o:hr="t" fillcolor="black" stroked="f"/>
        </w:pict>
      </w:r>
    </w:p>
    <w:p w14:paraId="6CA250D6" w14:textId="77777777" w:rsidR="00000000" w:rsidRDefault="004206B0">
      <w:pPr>
        <w:divId w:val="1632442815"/>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2A041642" w14:textId="77777777" w:rsidR="00000000" w:rsidRDefault="004206B0">
      <w:pPr>
        <w:pStyle w:val="a3"/>
        <w:spacing w:before="0" w:beforeAutospacing="0" w:after="0" w:afterAutospacing="0"/>
        <w:rPr>
          <w:sz w:val="20"/>
          <w:szCs w:val="20"/>
        </w:rPr>
      </w:pPr>
      <w:r>
        <w:rPr>
          <w:sz w:val="20"/>
          <w:szCs w:val="20"/>
        </w:rPr>
        <w:t> </w:t>
      </w:r>
    </w:p>
    <w:p w14:paraId="79D6A6D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CFTC has adopted federal position limits for commodity derivatives (the “Final Position Limits Rules”), which include as referenced contracts, a number of the futures contra</w:t>
      </w:r>
      <w:r>
        <w:rPr>
          <w:rFonts w:ascii="Arial" w:hAnsi="Arial" w:cs="Arial"/>
          <w:sz w:val="20"/>
          <w:szCs w:val="20"/>
        </w:rPr>
        <w:t>cts included in the S&amp;P GSCI-ER, and as of the date of this report such contracts represent a substantial portion of the weight of the S&amp;P GSCI-ER. Consequently, under the Final Position Limits Rules, the maximum positions that market participants can hold</w:t>
      </w:r>
      <w:r>
        <w:rPr>
          <w:rFonts w:ascii="Arial" w:hAnsi="Arial" w:cs="Arial"/>
          <w:sz w:val="20"/>
          <w:szCs w:val="20"/>
        </w:rPr>
        <w:t xml:space="preserve"> for the spot month in the referenced contracts that underlie the S&amp;P GSCI-ER are limited, which could reduce the liquidity of such referenced contracts and adversely affect the performance of the S&amp;P GSCI-ER and the value of your Shares. Moreover, because</w:t>
      </w:r>
      <w:r>
        <w:rPr>
          <w:rFonts w:ascii="Arial" w:hAnsi="Arial" w:cs="Arial"/>
          <w:sz w:val="20"/>
          <w:szCs w:val="20"/>
        </w:rPr>
        <w:t xml:space="preserve"> the relative weights of the commodities in the S&amp;P GSCI-ER are largely determined based on the trading volume of the futures contracts designated for such commodities, a reduction in the trading volume of such futures contracts could significantly alter t</w:t>
      </w:r>
      <w:r>
        <w:rPr>
          <w:rFonts w:ascii="Arial" w:hAnsi="Arial" w:cs="Arial"/>
          <w:sz w:val="20"/>
          <w:szCs w:val="20"/>
        </w:rPr>
        <w:t>he weights of the futures contracts underlying the S&amp;P GSCI-ER, which could have further adverse effects on the level of the S&amp;P GSCI-ER and the value of your Shares.</w:t>
      </w:r>
    </w:p>
    <w:p w14:paraId="3ACB36C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1027FB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Final Position Limits Rules also revise the definition of “bona fide hedging transa</w:t>
      </w:r>
      <w:r>
        <w:rPr>
          <w:rFonts w:ascii="Arial" w:hAnsi="Arial" w:cs="Arial"/>
          <w:sz w:val="20"/>
          <w:szCs w:val="20"/>
        </w:rPr>
        <w:t>ction or position,” including revisions to expand the current list of enumerated bona fide hedging activities that are exempt from position limits rules and to provide more flexibility for market participants to qualify for bona fide hedge exemptions. Such</w:t>
      </w:r>
      <w:r>
        <w:rPr>
          <w:rFonts w:ascii="Arial" w:hAnsi="Arial" w:cs="Arial"/>
          <w:sz w:val="20"/>
          <w:szCs w:val="20"/>
        </w:rPr>
        <w:t xml:space="preserve"> revisions may affect the hedging and investing activities of participants in the markets for the Index Futures and the futures contracts and commodities underlying the S&amp;P GSCI-ER, which in turn could reduce the liquidity and adversely affect the pricing </w:t>
      </w:r>
      <w:r>
        <w:rPr>
          <w:rFonts w:ascii="Arial" w:hAnsi="Arial" w:cs="Arial"/>
          <w:sz w:val="20"/>
          <w:szCs w:val="20"/>
        </w:rPr>
        <w:t>of the Index Futures and such futures contracts and commodities. Any of these effects could increase volatility in and otherwise adversely affect the price of the Shares.</w:t>
      </w:r>
    </w:p>
    <w:p w14:paraId="77EB35A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575FFC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With respect to the position aggregation rules adopted by the CFTC in December 2016</w:t>
      </w:r>
      <w:r>
        <w:rPr>
          <w:rFonts w:ascii="Arial" w:hAnsi="Arial" w:cs="Arial"/>
          <w:sz w:val="20"/>
          <w:szCs w:val="20"/>
        </w:rPr>
        <w:t xml:space="preserve">, those final rules, which became effective on February 14, 2017, expand the circumstances requiring persons to aggregate referenced contracts that are owned or controlled by such persons. Specifically, the final aggregation rules require a person holding </w:t>
      </w:r>
      <w:r>
        <w:rPr>
          <w:rFonts w:ascii="Arial" w:hAnsi="Arial" w:cs="Arial"/>
          <w:sz w:val="20"/>
          <w:szCs w:val="20"/>
        </w:rPr>
        <w:t>positions in multiple commodity pools with substantially identical trading strategies to aggregate the pools’ positions in referenced contracts, on a pro</w:t>
      </w:r>
      <w:r>
        <w:rPr>
          <w:rFonts w:ascii="Arial" w:hAnsi="Arial" w:cs="Arial"/>
          <w:sz w:val="20"/>
          <w:szCs w:val="20"/>
        </w:rPr>
        <w:noBreakHyphen/>
        <w:t>rata basis, with other positions in referenced contracts held or controlled by such person. These aggr</w:t>
      </w:r>
      <w:r>
        <w:rPr>
          <w:rFonts w:ascii="Arial" w:hAnsi="Arial" w:cs="Arial"/>
          <w:sz w:val="20"/>
          <w:szCs w:val="20"/>
        </w:rPr>
        <w:t>egation rules will apply to all commodity derivative contracts that are subject to position limits under the Final Position Limits Rules. CFTC staff has granted relief, until the earlier of August 12, 2025 or the effective date of a rulemaking codifying su</w:t>
      </w:r>
      <w:r>
        <w:rPr>
          <w:rFonts w:ascii="Arial" w:hAnsi="Arial" w:cs="Arial"/>
          <w:sz w:val="20"/>
          <w:szCs w:val="20"/>
        </w:rPr>
        <w:t>ch relief, from various conditions and requirements in the final aggregation rules, including the “substantially identical trading strategies” aggregation requirement. Under this relief, a person would not be required to aggregate positions on the basis of</w:t>
      </w:r>
      <w:r>
        <w:rPr>
          <w:rFonts w:ascii="Arial" w:hAnsi="Arial" w:cs="Arial"/>
          <w:sz w:val="20"/>
          <w:szCs w:val="20"/>
        </w:rPr>
        <w:t xml:space="preserve"> the “substantially identical trading strategies” aggregation requirement unless the person is holding or controlling the trading of positions in multiple accounts or commodity pools with substantially identical trading strategies in order to willfully cir</w:t>
      </w:r>
      <w:r>
        <w:rPr>
          <w:rFonts w:ascii="Arial" w:hAnsi="Arial" w:cs="Arial"/>
          <w:sz w:val="20"/>
          <w:szCs w:val="20"/>
        </w:rPr>
        <w:t>cumvent applicable position limits. Although Index Futures are not among the referenced contracts identified in the Final Position Limits Rules, if federal position limits are extended to Index Futures or if the Exchange adopts similar aggregation rules, s</w:t>
      </w:r>
      <w:r>
        <w:rPr>
          <w:rFonts w:ascii="Arial" w:hAnsi="Arial" w:cs="Arial"/>
          <w:sz w:val="20"/>
          <w:szCs w:val="20"/>
        </w:rPr>
        <w:t xml:space="preserve">ome participants in the market for Index Futures may be encumbered in trying to hedge their exposure, which could reduce liquidity in such Index Futures and the futures contracts and commodities underlying the S&amp;P GSCI-ER and adversely affect the value of </w:t>
      </w:r>
      <w:r>
        <w:rPr>
          <w:rFonts w:ascii="Arial" w:hAnsi="Arial" w:cs="Arial"/>
          <w:sz w:val="20"/>
          <w:szCs w:val="20"/>
        </w:rPr>
        <w:t>the Shares.</w:t>
      </w:r>
    </w:p>
    <w:p w14:paraId="6AE2C42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88C930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addition to the Final Position Limits Rules, the CFTC could propose other rules that may lower the applicable position limits, apply position limits to a broader range of contracts (including commodity index contracts such as the Index Fut</w:t>
      </w:r>
      <w:r>
        <w:rPr>
          <w:rFonts w:ascii="Arial" w:hAnsi="Arial" w:cs="Arial"/>
          <w:sz w:val="20"/>
          <w:szCs w:val="20"/>
        </w:rPr>
        <w:t>ures) or further restrict position limit exemptions. If any of these actions is taken, such measures could further reduce the size of positions that the Trust and other investors could hold directly in Index Futures and the underlying futures contracts and</w:t>
      </w:r>
      <w:r>
        <w:rPr>
          <w:rFonts w:ascii="Arial" w:hAnsi="Arial" w:cs="Arial"/>
          <w:sz w:val="20"/>
          <w:szCs w:val="20"/>
        </w:rPr>
        <w:t xml:space="preserve"> commodities, with potential reductions in liquidity and adverse effects on the pricing of Index Futures. See also “The value of the Shares depends on the value of Index Futures, which fluctuates based on the prices of commodity futures contracts reflected</w:t>
      </w:r>
      <w:r>
        <w:rPr>
          <w:rFonts w:ascii="Arial" w:hAnsi="Arial" w:cs="Arial"/>
          <w:sz w:val="20"/>
          <w:szCs w:val="20"/>
        </w:rPr>
        <w:t xml:space="preserve"> in the S&amp;P GSCI-ER. These prices may be volatile, thereby creating the potential for losses regardless of the length of time you intend to hold your Shares.”</w:t>
      </w:r>
    </w:p>
    <w:p w14:paraId="63F0E1C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B12B3F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addition to federal position limits adopted by the CFTC, the CME has established position li</w:t>
      </w:r>
      <w:r>
        <w:rPr>
          <w:rFonts w:ascii="Arial" w:hAnsi="Arial" w:cs="Arial"/>
          <w:sz w:val="20"/>
          <w:szCs w:val="20"/>
        </w:rPr>
        <w:t>mits applicable to the Index Futures held by the Trust. In addition, the Trust’s Clearing FCM may reduce its internal risk limits on the size of positions in Index Futures that the Clearing FCM trades or clears for the Trust. As of the date of this report,</w:t>
      </w:r>
      <w:r>
        <w:rPr>
          <w:rFonts w:ascii="Arial" w:hAnsi="Arial" w:cs="Arial"/>
          <w:sz w:val="20"/>
          <w:szCs w:val="20"/>
        </w:rPr>
        <w:t xml:space="preserve"> internal risk limits implemented by the Clearing FCM do not constrain the size of positions in Index Futures that it will trade or clear for the Trust. If the Trust were to reach a position limit established by the CME or if the Trust’s Clearing FCM were </w:t>
      </w:r>
      <w:r>
        <w:rPr>
          <w:rFonts w:ascii="Arial" w:hAnsi="Arial" w:cs="Arial"/>
          <w:sz w:val="20"/>
          <w:szCs w:val="20"/>
        </w:rPr>
        <w:t>to reduce its internal risk limits on the size of positions in Index Futures that it trades or clears for the Trust, this could adversely impact the Trust’s ability to transact in Index Futures, issue new Shares or reinvest income in additional Index Futur</w:t>
      </w:r>
      <w:r>
        <w:rPr>
          <w:rFonts w:ascii="Arial" w:hAnsi="Arial" w:cs="Arial"/>
          <w:sz w:val="20"/>
          <w:szCs w:val="20"/>
        </w:rPr>
        <w:t>es positions. From August 24, 2009 to April 26, 2010, the Trust suspended the issuance of new Shares because the Trust could not invest the proceeds of new issuances in additional Index Futures positions due to restrictions on speculative position limits i</w:t>
      </w:r>
      <w:r>
        <w:rPr>
          <w:rFonts w:ascii="Arial" w:hAnsi="Arial" w:cs="Arial"/>
          <w:sz w:val="20"/>
          <w:szCs w:val="20"/>
        </w:rPr>
        <w:t>mposed by the CME. The liquidity of the Shares and the correlation between the value of the Shares and the level of the S&amp;P GSCI-ER may be adversely affected in the event of any such suspension of issuance.</w:t>
      </w:r>
    </w:p>
    <w:p w14:paraId="078FADD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E0C6B58"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Trust may be negatively impacted by the eff</w:t>
      </w:r>
      <w:r>
        <w:rPr>
          <w:rFonts w:ascii="Arial" w:hAnsi="Arial" w:cs="Arial"/>
          <w:i/>
          <w:iCs/>
          <w:sz w:val="20"/>
          <w:szCs w:val="20"/>
        </w:rPr>
        <w:t>ects of the spread of illnesses or other public health emergencies on the global economy and the markets and service providers relevant to the performance of the Trust.</w:t>
      </w:r>
    </w:p>
    <w:p w14:paraId="2D7ED3D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591431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impact of the COVID-19 pandemic has adversely affected the economies of many nati</w:t>
      </w:r>
      <w:r>
        <w:rPr>
          <w:rFonts w:ascii="Arial" w:hAnsi="Arial" w:cs="Arial"/>
          <w:sz w:val="20"/>
          <w:szCs w:val="20"/>
        </w:rPr>
        <w:t>ons and the entire global economy as well as individual issuers, assets and capital markets and could continue to, and other future public health emergencies could, have serious negative effects on social, economic and financial systems, including signific</w:t>
      </w:r>
      <w:r>
        <w:rPr>
          <w:rFonts w:ascii="Arial" w:hAnsi="Arial" w:cs="Arial"/>
          <w:sz w:val="20"/>
          <w:szCs w:val="20"/>
        </w:rPr>
        <w:t>ant uncertainty and volatility in the financial markets. For instance, the COVID-19 pandemic caused increased volatility in the market for the Index Futures and the underlying futures contracts, which led to increased trading spreads in the Index Futures a</w:t>
      </w:r>
      <w:r>
        <w:rPr>
          <w:rFonts w:ascii="Arial" w:hAnsi="Arial" w:cs="Arial"/>
          <w:sz w:val="20"/>
          <w:szCs w:val="20"/>
        </w:rPr>
        <w:t>nd the underlying futures contracts, a higher than usual number of trading or price limits for certain underlying futures, reduced liquidity in the markets for the underlying futures contracts, and increased premium or discount in the Shares. Future infect</w:t>
      </w:r>
      <w:r>
        <w:rPr>
          <w:rFonts w:ascii="Arial" w:hAnsi="Arial" w:cs="Arial"/>
          <w:sz w:val="20"/>
          <w:szCs w:val="20"/>
        </w:rPr>
        <w:t>ious illness outbreaks or other public health emergencies could have similar or other unforeseen impacts and may exacerbate pre-existing political, social and economic risks in certain countries or globally, which could adversely affect the value of the Sh</w:t>
      </w:r>
      <w:r>
        <w:rPr>
          <w:rFonts w:ascii="Arial" w:hAnsi="Arial" w:cs="Arial"/>
          <w:sz w:val="20"/>
          <w:szCs w:val="20"/>
        </w:rPr>
        <w:t>ares.</w:t>
      </w:r>
    </w:p>
    <w:p w14:paraId="60C7590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AAEC6F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 prolonged COVID-19 pandemic or other future public health emergencies could result in an increase of the costs of the Trust and affect liquidity in the market for the Index Futures or the underlying futures contracts, as well as the correlation b</w:t>
      </w:r>
      <w:r>
        <w:rPr>
          <w:rFonts w:ascii="Arial" w:hAnsi="Arial" w:cs="Arial"/>
          <w:sz w:val="20"/>
          <w:szCs w:val="20"/>
        </w:rPr>
        <w:t>etween the price of the Shares and the net asset value of the Trust, any of which could adversely affect the value of your Shares. In addition, the COVID-19 pandemic or other future public health emergencies could impair the information technology and othe</w:t>
      </w:r>
      <w:r>
        <w:rPr>
          <w:rFonts w:ascii="Arial" w:hAnsi="Arial" w:cs="Arial"/>
          <w:sz w:val="20"/>
          <w:szCs w:val="20"/>
        </w:rPr>
        <w:t>r operational systems upon which the Trust's service providers, including the Sponsor, the Trustee and the Advisor, rely, and could otherwise disrupt the ability of employees of the Trust's service providers to perform essential tasks on behalf of the Trus</w:t>
      </w:r>
      <w:r>
        <w:rPr>
          <w:rFonts w:ascii="Arial" w:hAnsi="Arial" w:cs="Arial"/>
          <w:sz w:val="20"/>
          <w:szCs w:val="20"/>
        </w:rPr>
        <w:t>t. </w:t>
      </w:r>
    </w:p>
    <w:p w14:paraId="7E12F93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8F0BCB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Governmental and quasi-governmental authorities and regulators throughout the world have at times responded to major economic disruptions with a variety of fiscal and monetary policy changes, including, but not limited to, direct capital infusions in</w:t>
      </w:r>
      <w:r>
        <w:rPr>
          <w:rFonts w:ascii="Arial" w:hAnsi="Arial" w:cs="Arial"/>
          <w:sz w:val="20"/>
          <w:szCs w:val="20"/>
        </w:rPr>
        <w:t>to companies and other issuers, new monetary tools and lower interest rates. An unexpected or sudden reversal of these policies, or the ineffectiveness of these policies, is likely to increase volatility in the market for the Index Futures or the underlyin</w:t>
      </w:r>
      <w:r>
        <w:rPr>
          <w:rFonts w:ascii="Arial" w:hAnsi="Arial" w:cs="Arial"/>
          <w:sz w:val="20"/>
          <w:szCs w:val="20"/>
        </w:rPr>
        <w:t>g futures contracts, which could adversely affect the price of the Shares. </w:t>
      </w:r>
    </w:p>
    <w:p w14:paraId="0685197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B2FBC28" w14:textId="77777777" w:rsidR="00000000" w:rsidRDefault="004206B0">
      <w:pPr>
        <w:jc w:val="center"/>
        <w:divId w:val="494339055"/>
        <w:rPr>
          <w:rFonts w:ascii="Arial" w:eastAsia="Times New Roman" w:hAnsi="Arial" w:cs="Arial"/>
          <w:sz w:val="20"/>
          <w:szCs w:val="20"/>
        </w:rPr>
      </w:pPr>
      <w:r>
        <w:rPr>
          <w:rFonts w:ascii="Arial" w:eastAsia="Times New Roman" w:hAnsi="Arial" w:cs="Arial"/>
          <w:sz w:val="20"/>
          <w:szCs w:val="20"/>
        </w:rPr>
        <w:t xml:space="preserve">14 </w:t>
      </w:r>
    </w:p>
    <w:p w14:paraId="31522C04" w14:textId="77777777" w:rsidR="00000000" w:rsidRDefault="004206B0">
      <w:pPr>
        <w:divId w:val="2117209798"/>
        <w:rPr>
          <w:rFonts w:eastAsia="Times New Roman"/>
          <w:sz w:val="20"/>
          <w:szCs w:val="20"/>
        </w:rPr>
      </w:pPr>
      <w:r>
        <w:rPr>
          <w:rFonts w:eastAsia="Times New Roman"/>
          <w:sz w:val="20"/>
          <w:szCs w:val="20"/>
        </w:rPr>
        <w:pict w14:anchorId="22654C2B">
          <v:rect id="_x0000_i1053" style="width:415.3pt;height:1.5pt" o:hralign="center" o:hrstd="t" o:hrnoshade="t" o:hr="t" fillcolor="black" stroked="f"/>
        </w:pict>
      </w:r>
    </w:p>
    <w:p w14:paraId="386F54FE" w14:textId="77777777" w:rsidR="00000000" w:rsidRDefault="004206B0">
      <w:pPr>
        <w:divId w:val="1776242547"/>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221C6F50" w14:textId="77777777" w:rsidR="00000000" w:rsidRDefault="004206B0">
      <w:pPr>
        <w:pStyle w:val="a3"/>
        <w:spacing w:before="0" w:beforeAutospacing="0" w:after="0" w:afterAutospacing="0"/>
        <w:rPr>
          <w:sz w:val="20"/>
          <w:szCs w:val="20"/>
        </w:rPr>
      </w:pPr>
      <w:r>
        <w:rPr>
          <w:sz w:val="20"/>
          <w:szCs w:val="20"/>
        </w:rPr>
        <w:t> </w:t>
      </w:r>
    </w:p>
    <w:p w14:paraId="37E71E2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Russia's invasion of Ukraine, and sanctions brought by the United States and other countries against Russ</w:t>
      </w:r>
      <w:r>
        <w:rPr>
          <w:rFonts w:ascii="Arial" w:hAnsi="Arial" w:cs="Arial"/>
          <w:i/>
          <w:iCs/>
          <w:sz w:val="20"/>
          <w:szCs w:val="20"/>
        </w:rPr>
        <w:t>ia, have resulted in significant disruptions and increased volatility in the markets for certain commodities, including energy, precious metals, agriculture and other sectors.</w:t>
      </w:r>
    </w:p>
    <w:p w14:paraId="387C08E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96E0D6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Russia launched a large-scale invasion of Ukraine on February 24, 2022. Among </w:t>
      </w:r>
      <w:r>
        <w:rPr>
          <w:rFonts w:ascii="Arial" w:hAnsi="Arial" w:cs="Arial"/>
          <w:sz w:val="20"/>
          <w:szCs w:val="20"/>
        </w:rPr>
        <w:t>other things, the conflict has led to disruptions and increased volatility in the markets for certain commodities, including energy, precious metals, agriculture and other sectors, as well as for certain commodity futures contracts that make up the S&amp;P GSC</w:t>
      </w:r>
      <w:r>
        <w:rPr>
          <w:rFonts w:ascii="Arial" w:hAnsi="Arial" w:cs="Arial"/>
          <w:sz w:val="20"/>
          <w:szCs w:val="20"/>
        </w:rPr>
        <w:t>I-ER due to actual and potential disruptions in the supply of commodities underlying such contracts. The United States, other countries and certain international organizations have imposed broad ranging economic sanctions on Russia and certain Russian corp</w:t>
      </w:r>
      <w:r>
        <w:rPr>
          <w:rFonts w:ascii="Arial" w:hAnsi="Arial" w:cs="Arial"/>
          <w:sz w:val="20"/>
          <w:szCs w:val="20"/>
        </w:rPr>
        <w:t>orations and individuals. In March 2022, the United States announced that it would ban imports of oil, natural gas and coal from Russia. As a result, the invasion of</w:t>
      </w:r>
    </w:p>
    <w:p w14:paraId="5E05554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Ukraine and related events have contributed to backwardation (i.e., when current prices ar</w:t>
      </w:r>
      <w:r>
        <w:rPr>
          <w:rFonts w:ascii="Arial" w:hAnsi="Arial" w:cs="Arial"/>
          <w:sz w:val="20"/>
          <w:szCs w:val="20"/>
        </w:rPr>
        <w:t>e higher than future prices) in the market for energy futures contracts such as crude oil, heating oil and natural gas. The impact on commodities and futures prices of the U.S. ban, as well as the extent and duration of the military action, resulting sanct</w:t>
      </w:r>
      <w:r>
        <w:rPr>
          <w:rFonts w:ascii="Arial" w:hAnsi="Arial" w:cs="Arial"/>
          <w:sz w:val="20"/>
          <w:szCs w:val="20"/>
        </w:rPr>
        <w:t>ions and associated market disruptions, are impossible to predict and depend on a number of factors. The impact of these events or any related developments could be significant and may have a severe adverse effect on the performance of the Index and the va</w:t>
      </w:r>
      <w:r>
        <w:rPr>
          <w:rFonts w:ascii="Arial" w:hAnsi="Arial" w:cs="Arial"/>
          <w:sz w:val="20"/>
          <w:szCs w:val="20"/>
        </w:rPr>
        <w:t>lue of the Shares.</w:t>
      </w:r>
    </w:p>
    <w:p w14:paraId="0DA5605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C6E5B8D"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Risk Factors Relating to Index Futures and the S&amp;P GSCI-ER</w:t>
      </w:r>
    </w:p>
    <w:p w14:paraId="50BAF78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FB7D96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trading of various Index Futures presents risks unrelated to the S&amp;</w:t>
      </w:r>
      <w:r>
        <w:rPr>
          <w:rFonts w:ascii="Arial" w:hAnsi="Arial" w:cs="Arial"/>
          <w:i/>
          <w:iCs/>
          <w:sz w:val="20"/>
          <w:szCs w:val="20"/>
        </w:rPr>
        <w:t>P GSCI-ER that could adversely affect the value of your Shares</w:t>
      </w:r>
      <w:r>
        <w:rPr>
          <w:rFonts w:ascii="Arial" w:hAnsi="Arial" w:cs="Arial"/>
          <w:sz w:val="20"/>
          <w:szCs w:val="20"/>
        </w:rPr>
        <w:t>.</w:t>
      </w:r>
    </w:p>
    <w:p w14:paraId="3B1D18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63F8BD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Although Index Futures are based on the S&amp;P GSCI-ER, the value of the Index Futures could be affected by factors that do not directly affect the S&amp;P GSCI-ER and, accordingly, the value of th</w:t>
      </w:r>
      <w:r>
        <w:rPr>
          <w:rFonts w:ascii="Arial" w:hAnsi="Arial" w:cs="Arial"/>
          <w:sz w:val="20"/>
          <w:szCs w:val="20"/>
        </w:rPr>
        <w:t>e Index Futures and the level of the S&amp;P GSCI-ER may vary from each other. The activities of market participants in trading Index Futures, or in trading other instruments related to the S&amp;P GSCI-ER, could affect the value of the Index Futures independent o</w:t>
      </w:r>
      <w:r>
        <w:rPr>
          <w:rFonts w:ascii="Arial" w:hAnsi="Arial" w:cs="Arial"/>
          <w:sz w:val="20"/>
          <w:szCs w:val="20"/>
        </w:rPr>
        <w:t>f any change in the S&amp;P GSCI-ER and adversely affect the correlation between the value of the Index Futures and the level of the S&amp;P GSCI-ER.</w:t>
      </w:r>
    </w:p>
    <w:p w14:paraId="2EE4299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21D77E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prices of the various Index Futures are expected to reflect supply and demand in the market for such Index F</w:t>
      </w:r>
      <w:r>
        <w:rPr>
          <w:rFonts w:ascii="Arial" w:hAnsi="Arial" w:cs="Arial"/>
          <w:sz w:val="20"/>
          <w:szCs w:val="20"/>
        </w:rPr>
        <w:t>utures, which in turn may reflect market expectations at any given time about prospective changes in the level of the S&amp;P GSCI-ER and other market conditions. In this way, trading in the market for an Index Futures contract might cause a divergence between</w:t>
      </w:r>
      <w:r>
        <w:rPr>
          <w:rFonts w:ascii="Arial" w:hAnsi="Arial" w:cs="Arial"/>
          <w:sz w:val="20"/>
          <w:szCs w:val="20"/>
        </w:rPr>
        <w:t xml:space="preserve"> the price of such Index Futures contract and the level of the S&amp;P GSCI-ER. Similarly, actions by the applicable Exchange with respect to Index Futures, such as the imposition of trading or price limits, could adversely affect this correlation. In these ci</w:t>
      </w:r>
      <w:r>
        <w:rPr>
          <w:rFonts w:ascii="Arial" w:hAnsi="Arial" w:cs="Arial"/>
          <w:sz w:val="20"/>
          <w:szCs w:val="20"/>
        </w:rPr>
        <w:t>rcumstances, it is possible that changes in the NAV, which is calculated based on the value of the Index Futures, will not adequately reflect changes in the level of the S&amp;P GSCI-ER. In the event of market disruptions with respect to the Index Futures, suc</w:t>
      </w:r>
      <w:r>
        <w:rPr>
          <w:rFonts w:ascii="Arial" w:hAnsi="Arial" w:cs="Arial"/>
          <w:sz w:val="20"/>
          <w:szCs w:val="20"/>
        </w:rPr>
        <w:t>h as a suspension of trading by the related Exchange as a result of market activity, systems or communications failures or other causes, the value of the Index Futures and the level of the S&amp;P GSCI-ER could diverge, which could adversely affect the value o</w:t>
      </w:r>
      <w:r>
        <w:rPr>
          <w:rFonts w:ascii="Arial" w:hAnsi="Arial" w:cs="Arial"/>
          <w:sz w:val="20"/>
          <w:szCs w:val="20"/>
        </w:rPr>
        <w:t>f the Shares.</w:t>
      </w:r>
    </w:p>
    <w:p w14:paraId="3F8E9DA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D4318B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Although arbitrage activity by market participants is expected to have the effect of reducing or mitigating divergence between the value of the Index Futures and the level of the S&amp;P GSCI-ER, such arbitrage activity may not fully offset any</w:t>
      </w:r>
      <w:r>
        <w:rPr>
          <w:rFonts w:ascii="Arial" w:hAnsi="Arial" w:cs="Arial"/>
          <w:sz w:val="20"/>
          <w:szCs w:val="20"/>
        </w:rPr>
        <w:t xml:space="preserve"> divergence at all times during which the Shares are outstanding. During any period the Trust is trading Index Futures of more than one type, differences in the settlement values of such Index Futures, to the extent not offset by arbitrage activity between</w:t>
      </w:r>
      <w:r>
        <w:rPr>
          <w:rFonts w:ascii="Arial" w:hAnsi="Arial" w:cs="Arial"/>
          <w:sz w:val="20"/>
          <w:szCs w:val="20"/>
        </w:rPr>
        <w:t xml:space="preserve"> such Index Futures, may limit the expected benefits of, or otherwise adversely affect, arbitrage activity between the Shares and the Index Futures. In the event that any such divergence between the value of the Index Futures and the level of the S&amp;P GSCI-</w:t>
      </w:r>
      <w:r>
        <w:rPr>
          <w:rFonts w:ascii="Arial" w:hAnsi="Arial" w:cs="Arial"/>
          <w:sz w:val="20"/>
          <w:szCs w:val="20"/>
        </w:rPr>
        <w:t>ER exists from time to time, changes in the NAV, which is calculated based on the value of the Index Futures, may not adequately reflect changes in the level of the S&amp;P GSCI-ER, which could adversely affect the value of the Shares. The impact of certain of</w:t>
      </w:r>
      <w:r>
        <w:rPr>
          <w:rFonts w:ascii="Arial" w:hAnsi="Arial" w:cs="Arial"/>
          <w:sz w:val="20"/>
          <w:szCs w:val="20"/>
        </w:rPr>
        <w:t xml:space="preserve"> these considerations may be heightened in cases where the Trust’s positions are concentrated in a particular Index Futures contract or in cases where the Trust represents a substantial portion of the open interest in a particular Index Futures contract.</w:t>
      </w:r>
    </w:p>
    <w:p w14:paraId="7217F76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C7BED5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In addition, other actions taken by an Exchange, including rule changes relating to clearing fees, margin requirements, or the minimum price fluctuations applicable to an Index Futures contract, may result in economic, tax or other consequences to market </w:t>
      </w:r>
      <w:r>
        <w:rPr>
          <w:rFonts w:ascii="Arial" w:hAnsi="Arial" w:cs="Arial"/>
          <w:sz w:val="20"/>
          <w:szCs w:val="20"/>
        </w:rPr>
        <w:t>participants that trade or hold Index Futures. Such actions may result in consequences that adversely affect Shareholders without necessarily affecting the correlation between the settlement price of the Index Futures and the level of the S&amp;P GSCI-ER.</w:t>
      </w:r>
    </w:p>
    <w:p w14:paraId="594DB77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584304B"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w:t>
      </w:r>
      <w:r>
        <w:rPr>
          <w:rFonts w:ascii="Arial" w:hAnsi="Arial" w:cs="Arial"/>
          <w:i/>
          <w:iCs/>
          <w:sz w:val="20"/>
          <w:szCs w:val="20"/>
        </w:rPr>
        <w:t>e S&amp;P GSCI-ER may in the future include contracts that are not traded on regulated futures exchanges and that offer different or diminished protections to investors.</w:t>
      </w:r>
    </w:p>
    <w:p w14:paraId="0B3D5B7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BEB33E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Currently, the S&amp;P GSCI-ER is composed exclusively of futures contracts traded on design</w:t>
      </w:r>
      <w:r>
        <w:rPr>
          <w:rFonts w:ascii="Arial" w:hAnsi="Arial" w:cs="Arial"/>
          <w:sz w:val="20"/>
          <w:szCs w:val="20"/>
        </w:rPr>
        <w:t>ated contract markets (“DCMs”), or regulated futures exchanges. The S&amp;P GSCI-ER may in the future include contracts (such as swaps and forward contracts) traded in the over-the-counter market or on trading facilities that are subject to lesser degrees of r</w:t>
      </w:r>
      <w:r>
        <w:rPr>
          <w:rFonts w:ascii="Arial" w:hAnsi="Arial" w:cs="Arial"/>
          <w:sz w:val="20"/>
          <w:szCs w:val="20"/>
        </w:rPr>
        <w:t>egulation or, in some cases, no substantive regulation. As a result, trading in such contracts, and the manner in which prices and volumes are reported by the relevant trading facilities, may not be subject to the same provisions of, and the protections af</w:t>
      </w:r>
      <w:r>
        <w:rPr>
          <w:rFonts w:ascii="Arial" w:hAnsi="Arial" w:cs="Arial"/>
          <w:sz w:val="20"/>
          <w:szCs w:val="20"/>
        </w:rPr>
        <w:t xml:space="preserve">forded by, the CEA or other applicable statutes and related regulations that govern trading on regulated futures exchanges. In addition, many electronic trading facilities do not have significant trading histories. As a result, the trading of contracts on </w:t>
      </w:r>
      <w:r>
        <w:rPr>
          <w:rFonts w:ascii="Arial" w:hAnsi="Arial" w:cs="Arial"/>
          <w:sz w:val="20"/>
          <w:szCs w:val="20"/>
        </w:rPr>
        <w:t>such facilities and the inclusion of such contracts in the S&amp;P GSCI-ER may be subject to risks not presented by most exchange-traded futures contracts, including risks related to the liquidity and price histories of the relevant contracts.</w:t>
      </w:r>
    </w:p>
    <w:p w14:paraId="19341EC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F8DB904"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Changes in the</w:t>
      </w:r>
      <w:r>
        <w:rPr>
          <w:rFonts w:ascii="Arial" w:hAnsi="Arial" w:cs="Arial"/>
          <w:i/>
          <w:iCs/>
          <w:sz w:val="20"/>
          <w:szCs w:val="20"/>
        </w:rPr>
        <w:t xml:space="preserve"> composition and valuation of the S&amp;P GSCI-ER may adversely affect your Shares.</w:t>
      </w:r>
    </w:p>
    <w:p w14:paraId="7AFFD0E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2FE10E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composition of the S&amp;</w:t>
      </w:r>
      <w:r>
        <w:rPr>
          <w:rFonts w:ascii="Arial" w:hAnsi="Arial" w:cs="Arial"/>
          <w:sz w:val="20"/>
          <w:szCs w:val="20"/>
        </w:rPr>
        <w:t>P GSCI-ER may change over time as additional commodities satisfy the eligibility criteria or commodities currently included in the S&amp;P GSCI</w:t>
      </w:r>
      <w:r>
        <w:rPr>
          <w:rFonts w:ascii="Arial" w:hAnsi="Arial" w:cs="Arial"/>
          <w:sz w:val="20"/>
          <w:szCs w:val="20"/>
        </w:rPr>
        <w:noBreakHyphen/>
        <w:t>ER fail to satisfy those criteria. The weighting factors applied to each commodity included in the S&amp;P GSCI-ER chang</w:t>
      </w:r>
      <w:r>
        <w:rPr>
          <w:rFonts w:ascii="Arial" w:hAnsi="Arial" w:cs="Arial"/>
          <w:sz w:val="20"/>
          <w:szCs w:val="20"/>
        </w:rPr>
        <w:t>e annually, based on changes in commodity production statistics and changes in the trading volume of the related futures contracts. In addition, the Index Sponsor may modify the method for determining the composition and weighting of the S&amp;P GSCI-ER and fo</w:t>
      </w:r>
      <w:r>
        <w:rPr>
          <w:rFonts w:ascii="Arial" w:hAnsi="Arial" w:cs="Arial"/>
          <w:sz w:val="20"/>
          <w:szCs w:val="20"/>
        </w:rPr>
        <w:t>r calculating its value. The methodology for determining the contracts to be included in the S&amp;P GSCI-ER may be modified from time to time. Such changes could adversely affect the value of your Shares or otherwise affect the risks associated with owning th</w:t>
      </w:r>
      <w:r>
        <w:rPr>
          <w:rFonts w:ascii="Arial" w:hAnsi="Arial" w:cs="Arial"/>
          <w:sz w:val="20"/>
          <w:szCs w:val="20"/>
        </w:rPr>
        <w:t>e Shares, such as by increasing relative concentrations in particular commodities and causing the value of the Shares to become more sensitive to fluctuations in the prices of those commodities. For more information about the methodology for determining th</w:t>
      </w:r>
      <w:r>
        <w:rPr>
          <w:rFonts w:ascii="Arial" w:hAnsi="Arial" w:cs="Arial"/>
          <w:sz w:val="20"/>
          <w:szCs w:val="20"/>
        </w:rPr>
        <w:t>e composition and weighting of the S&amp;P GSCI-ER, see “Business — The Index and the S&amp;P GSCI-ER.”</w:t>
      </w:r>
    </w:p>
    <w:p w14:paraId="27DB1F7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C5234B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Based on market conditions, futures contracts included in the S&amp;P GSCI-ER may trade or settle at or below zero, and the zero or negative value will be used in</w:t>
      </w:r>
      <w:r>
        <w:rPr>
          <w:rFonts w:ascii="Arial" w:hAnsi="Arial" w:cs="Arial"/>
          <w:sz w:val="20"/>
          <w:szCs w:val="20"/>
        </w:rPr>
        <w:t xml:space="preserve"> the calculation of impacted indices, including the S&amp;P GSCI-ER. Zero or negative values of futures contracts included in the S&amp;P GSCI-ER occurring during a roll period may impact the composition of the S&amp;P GSCI-ER.</w:t>
      </w:r>
    </w:p>
    <w:p w14:paraId="18BD950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C0AA54D" w14:textId="77777777" w:rsidR="00000000" w:rsidRDefault="004206B0">
      <w:pPr>
        <w:jc w:val="center"/>
        <w:divId w:val="1471246450"/>
        <w:rPr>
          <w:rFonts w:ascii="Arial" w:eastAsia="Times New Roman" w:hAnsi="Arial" w:cs="Arial"/>
          <w:sz w:val="20"/>
          <w:szCs w:val="20"/>
        </w:rPr>
      </w:pPr>
      <w:r>
        <w:rPr>
          <w:rFonts w:ascii="Arial" w:eastAsia="Times New Roman" w:hAnsi="Arial" w:cs="Arial"/>
          <w:sz w:val="20"/>
          <w:szCs w:val="20"/>
        </w:rPr>
        <w:t xml:space="preserve">15 </w:t>
      </w:r>
    </w:p>
    <w:p w14:paraId="7F74558F" w14:textId="77777777" w:rsidR="00000000" w:rsidRDefault="004206B0">
      <w:pPr>
        <w:divId w:val="1669943915"/>
        <w:rPr>
          <w:rFonts w:eastAsia="Times New Roman"/>
          <w:sz w:val="20"/>
          <w:szCs w:val="20"/>
        </w:rPr>
      </w:pPr>
      <w:r>
        <w:rPr>
          <w:rFonts w:eastAsia="Times New Roman"/>
          <w:sz w:val="20"/>
          <w:szCs w:val="20"/>
        </w:rPr>
        <w:pict w14:anchorId="2327C718">
          <v:rect id="_x0000_i1054" style="width:415.3pt;height:1.5pt" o:hralign="center" o:hrstd="t" o:hrnoshade="t" o:hr="t" fillcolor="black" stroked="f"/>
        </w:pict>
      </w:r>
    </w:p>
    <w:p w14:paraId="2D033FF1" w14:textId="77777777" w:rsidR="00000000" w:rsidRDefault="004206B0">
      <w:pPr>
        <w:divId w:val="1790078052"/>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70B8D71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E2085B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For example, based on market conditions, the Index Committee may elect to implement an unscheduled designated contract roll in relation to the normal parameters of the roll of one or more futures contracts included in the S&amp;P GSCI-ER. Among other things, t</w:t>
      </w:r>
      <w:r>
        <w:rPr>
          <w:rFonts w:ascii="Arial" w:hAnsi="Arial" w:cs="Arial"/>
          <w:sz w:val="20"/>
          <w:szCs w:val="20"/>
        </w:rPr>
        <w:t>his may entail adjustments to when the roll occurs, the length of the roll, the proportions of the roll, or the roll-in contract.</w:t>
      </w:r>
    </w:p>
    <w:p w14:paraId="40B5A65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3BB967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the event of the foregoing circumstances, the Index Committee has indicated it will aim to conform to the index’s objecti</w:t>
      </w:r>
      <w:r>
        <w:rPr>
          <w:rFonts w:ascii="Arial" w:hAnsi="Arial" w:cs="Arial"/>
          <w:sz w:val="20"/>
          <w:szCs w:val="20"/>
        </w:rPr>
        <w:t>ve to the greatest extent possible, and will typically roll into the next most viable contract as published in the methodology. However, the Index Committee retains the right to roll into a further dated contract based on market conditions at the time of i</w:t>
      </w:r>
      <w:r>
        <w:rPr>
          <w:rFonts w:ascii="Arial" w:hAnsi="Arial" w:cs="Arial"/>
          <w:sz w:val="20"/>
          <w:szCs w:val="20"/>
        </w:rPr>
        <w:t>ts decision.</w:t>
      </w:r>
    </w:p>
    <w:p w14:paraId="1E8785C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0231DF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the case of an unscheduled roll event, if there are no viable designated contracts to roll into, the Index Committee will convene and determine the appropriate course of action, which may include, but not be limited to, the removal of the</w:t>
      </w:r>
      <w:r>
        <w:rPr>
          <w:rFonts w:ascii="Arial" w:hAnsi="Arial" w:cs="Arial"/>
          <w:sz w:val="20"/>
          <w:szCs w:val="20"/>
        </w:rPr>
        <w:t xml:space="preserve"> contract from the S&amp;P GSCI-ER. The Index Committee may review the contract roll schedule at any time and as market conditions warrant. Such changes could adversely affect the value of your Shares or otherwise affect the risks associated with owning the Sh</w:t>
      </w:r>
      <w:r>
        <w:rPr>
          <w:rFonts w:ascii="Arial" w:hAnsi="Arial" w:cs="Arial"/>
          <w:sz w:val="20"/>
          <w:szCs w:val="20"/>
        </w:rPr>
        <w:t>ares, such as by increasing relative concentrations in particular commodities and causing the value of the Shares to become more sensitive to fluctuations in the prices of those commodities.</w:t>
      </w:r>
    </w:p>
    <w:p w14:paraId="6E42942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B3A982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A cessation of publication of the S&amp;P GSCI-ER could materially </w:t>
      </w:r>
      <w:r>
        <w:rPr>
          <w:rFonts w:ascii="Arial" w:hAnsi="Arial" w:cs="Arial"/>
          <w:i/>
          <w:iCs/>
          <w:sz w:val="20"/>
          <w:szCs w:val="20"/>
        </w:rPr>
        <w:t>and adversely affect the activities of the Trust.</w:t>
      </w:r>
    </w:p>
    <w:p w14:paraId="61ECC18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2C82C7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S&amp;P GSCI-ER is administered, calculated and published by the Index Sponsor, which has the right to cease publication of the S&amp;P GSCI-ER at its discretion at any time. Under the terms of its agreement </w:t>
      </w:r>
      <w:r>
        <w:rPr>
          <w:rFonts w:ascii="Arial" w:hAnsi="Arial" w:cs="Arial"/>
          <w:sz w:val="20"/>
          <w:szCs w:val="20"/>
        </w:rPr>
        <w:t xml:space="preserve">with the CME, the Index Sponsor is required, if it ceases publication of the S&amp;P GSCI-ER, to negotiate in good faith with the CME to permit the CME to continue to calculate the S&amp;P GSCI-ER in order to permit Index Futures on the S&amp;P GSCI-ER to continue to </w:t>
      </w:r>
      <w:r>
        <w:rPr>
          <w:rFonts w:ascii="Arial" w:hAnsi="Arial" w:cs="Arial"/>
          <w:sz w:val="20"/>
          <w:szCs w:val="20"/>
        </w:rPr>
        <w:t>trade. However, even if the Index Sponsor satisfies its obligations under its agreement with the CME, the Sponsor may determine that, upon a cessation of publication of the S&amp;P GSCI-ER, it is no longer advisable to invest in Index Futures and no other futu</w:t>
      </w:r>
      <w:r>
        <w:rPr>
          <w:rFonts w:ascii="Arial" w:hAnsi="Arial" w:cs="Arial"/>
          <w:sz w:val="20"/>
          <w:szCs w:val="20"/>
        </w:rPr>
        <w:t>res contract that reflects the performance of a successor or reasonably similar index presents an acceptable alternative investment, in which event the Trust may be liquidated.</w:t>
      </w:r>
    </w:p>
    <w:p w14:paraId="645E5FF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39564CC"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Futures contracts (including the Index Futures) are not assets with intrinsic</w:t>
      </w:r>
      <w:r>
        <w:rPr>
          <w:rFonts w:ascii="Arial" w:hAnsi="Arial" w:cs="Arial"/>
          <w:i/>
          <w:iCs/>
          <w:sz w:val="20"/>
          <w:szCs w:val="20"/>
        </w:rPr>
        <w:t xml:space="preserve"> value.</w:t>
      </w:r>
    </w:p>
    <w:p w14:paraId="6548B18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0D0B7C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Trading in futures transfers the risk of future price movements from one market participant to another. This means that for every gain, there is an equal and offsetting loss. Futures contracts themselves (including Index Futures) are not assets w</w:t>
      </w:r>
      <w:r>
        <w:rPr>
          <w:rFonts w:ascii="Arial" w:hAnsi="Arial" w:cs="Arial"/>
          <w:sz w:val="20"/>
          <w:szCs w:val="20"/>
        </w:rPr>
        <w:t>ith intrinsic value and simply reflect, in the case of cash-settled contracts, certain rights to payment or obligations to make payments to the other party to the contract, and in the case of physically-settled contracts, such as the futures contracts unde</w:t>
      </w:r>
      <w:r>
        <w:rPr>
          <w:rFonts w:ascii="Arial" w:hAnsi="Arial" w:cs="Arial"/>
          <w:sz w:val="20"/>
          <w:szCs w:val="20"/>
        </w:rPr>
        <w:t>rlying the Index, an agreement to make or take delivery of a particular asset at a specified price. Accordingly, market participants taking the opposite side of the Trust’s Index Futures trades may believe that the price of such Index Futures will move aga</w:t>
      </w:r>
      <w:r>
        <w:rPr>
          <w:rFonts w:ascii="Arial" w:hAnsi="Arial" w:cs="Arial"/>
          <w:sz w:val="20"/>
          <w:szCs w:val="20"/>
        </w:rPr>
        <w:t>inst the Trust, and the Trust may be at an informational or other disadvantage relative to such market participants.</w:t>
      </w:r>
    </w:p>
    <w:p w14:paraId="52273EA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69BAC6A"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Trust</w:t>
      </w:r>
      <w:r>
        <w:rPr>
          <w:rFonts w:ascii="Arial" w:hAnsi="Arial" w:cs="Arial"/>
          <w:sz w:val="20"/>
          <w:szCs w:val="20"/>
        </w:rPr>
        <w:t>’</w:t>
      </w:r>
      <w:r>
        <w:rPr>
          <w:rFonts w:ascii="Arial" w:hAnsi="Arial" w:cs="Arial"/>
          <w:i/>
          <w:iCs/>
          <w:sz w:val="20"/>
          <w:szCs w:val="20"/>
        </w:rPr>
        <w:t>s trading activity in Index Futures could expose it to additional risks.</w:t>
      </w:r>
    </w:p>
    <w:p w14:paraId="5D3242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C23EEE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order for the Trust to achieve its investment obj</w:t>
      </w:r>
      <w:r>
        <w:rPr>
          <w:rFonts w:ascii="Arial" w:hAnsi="Arial" w:cs="Arial"/>
          <w:sz w:val="20"/>
          <w:szCs w:val="20"/>
        </w:rPr>
        <w:t>ective on an ongoing basis, it is anticipated that existing positions in Index Futures will need to be closed out and new positions in Index Futures will need to be established from time to time. The Trust may further close out of existing positions and es</w:t>
      </w:r>
      <w:r>
        <w:rPr>
          <w:rFonts w:ascii="Arial" w:hAnsi="Arial" w:cs="Arial"/>
          <w:sz w:val="20"/>
          <w:szCs w:val="20"/>
        </w:rPr>
        <w:t>tablish new positions in Index Futures from time to time, including new positions in earlier expiring Index Futures, which may allow it to reduce its concentration in any particular Index Futures contract or to benefit from more liquid markets or otherwise</w:t>
      </w:r>
      <w:r>
        <w:rPr>
          <w:rFonts w:ascii="Arial" w:hAnsi="Arial" w:cs="Arial"/>
          <w:sz w:val="20"/>
          <w:szCs w:val="20"/>
        </w:rPr>
        <w:t xml:space="preserve"> beneficial market activity in Index Futures listed with different expirations or on different Exchanges. This activity is expected to cause the Trust to incur transaction costs, such as brokerage fees and commissions, and may cause the Shares to under-per</w:t>
      </w:r>
      <w:r>
        <w:rPr>
          <w:rFonts w:ascii="Arial" w:hAnsi="Arial" w:cs="Arial"/>
          <w:sz w:val="20"/>
          <w:szCs w:val="20"/>
        </w:rPr>
        <w:t>form the Index. In particular, the prices obtained in connection with rolling Index Futures positions may be adversely affected by market conditions (including the possibility of market disruptions) and by the trading activities of other market participant</w:t>
      </w:r>
      <w:r>
        <w:rPr>
          <w:rFonts w:ascii="Arial" w:hAnsi="Arial" w:cs="Arial"/>
          <w:sz w:val="20"/>
          <w:szCs w:val="20"/>
        </w:rPr>
        <w:t>s, which may reflect market awareness of the Trust’s position in its Index Futures. For example, if other market participants are able to anticipate the timing of the Trust’s transactions, they may be able to execute transactions in advance of the Trust, w</w:t>
      </w:r>
      <w:r>
        <w:rPr>
          <w:rFonts w:ascii="Arial" w:hAnsi="Arial" w:cs="Arial"/>
          <w:sz w:val="20"/>
          <w:szCs w:val="20"/>
        </w:rPr>
        <w:t>hich would allow these market participants to benefit from the transactions executed by the Trust but adversely affect the prices obtained by the Trust. In addition, if the Trust’s Index Futures positions represent a significant part of the open long inter</w:t>
      </w:r>
      <w:r>
        <w:rPr>
          <w:rFonts w:ascii="Arial" w:hAnsi="Arial" w:cs="Arial"/>
          <w:sz w:val="20"/>
          <w:szCs w:val="20"/>
        </w:rPr>
        <w:t>est in such Index Futures, as historically has been the case from time to time, other market participants may take this into account, with a potential adverse impact on the prices at which the Trust is able to execute such transactions. There can be no ass</w:t>
      </w:r>
      <w:r>
        <w:rPr>
          <w:rFonts w:ascii="Arial" w:hAnsi="Arial" w:cs="Arial"/>
          <w:sz w:val="20"/>
          <w:szCs w:val="20"/>
        </w:rPr>
        <w:t>urance that the Trust will be able to effect its transactions in a manner that will allow it to avoid these risks. The Exchange may cease to list other Index Futures that the Trust will be able to roll its positions into, and any Index Futures listed by an</w:t>
      </w:r>
      <w:r>
        <w:rPr>
          <w:rFonts w:ascii="Arial" w:hAnsi="Arial" w:cs="Arial"/>
          <w:sz w:val="20"/>
          <w:szCs w:val="20"/>
        </w:rPr>
        <w:t xml:space="preserve"> Exchange in the future may have terms that differ from those currently held by the Trust.</w:t>
      </w:r>
    </w:p>
    <w:p w14:paraId="3992195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4E2382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liquidation of Index Futures could expose the Trust to the effects of temporary aberrations or distortions in the market, which could adversely affect the pric</w:t>
      </w:r>
      <w:r>
        <w:rPr>
          <w:rFonts w:ascii="Arial" w:hAnsi="Arial" w:cs="Arial"/>
          <w:i/>
          <w:iCs/>
          <w:sz w:val="20"/>
          <w:szCs w:val="20"/>
        </w:rPr>
        <w:t>es at which the Trust</w:t>
      </w:r>
      <w:r>
        <w:rPr>
          <w:rFonts w:ascii="Arial" w:hAnsi="Arial" w:cs="Arial"/>
          <w:sz w:val="20"/>
          <w:szCs w:val="20"/>
        </w:rPr>
        <w:t>’</w:t>
      </w:r>
      <w:r>
        <w:rPr>
          <w:rFonts w:ascii="Arial" w:hAnsi="Arial" w:cs="Arial"/>
          <w:i/>
          <w:iCs/>
          <w:sz w:val="20"/>
          <w:szCs w:val="20"/>
        </w:rPr>
        <w:t>s Index Futures positions are liquidated.</w:t>
      </w:r>
    </w:p>
    <w:p w14:paraId="65920AE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EBA64F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the Trust liquidates positions in Index Futures in order to satisfy redemption requests or to pay expenses and liabilities, it does so by entering sell orders with its Clearing FCM for execution on the Exchange. The resulting sales serve to offset a por</w:t>
      </w:r>
      <w:r>
        <w:rPr>
          <w:rFonts w:ascii="Arial" w:hAnsi="Arial" w:cs="Arial"/>
          <w:sz w:val="20"/>
          <w:szCs w:val="20"/>
        </w:rPr>
        <w:t xml:space="preserve">tion of the Trust’s long positions in Index Futures. However, in entering sell orders, the Trust is subject to the risk that temporary aberrations or distortions will occur in the market at the time these sales are effected and that the prices received by </w:t>
      </w:r>
      <w:r>
        <w:rPr>
          <w:rFonts w:ascii="Arial" w:hAnsi="Arial" w:cs="Arial"/>
          <w:sz w:val="20"/>
          <w:szCs w:val="20"/>
        </w:rPr>
        <w:t>the Trust on its sales could be adversely affected, thereby adversely affecting the value of the Shares. Such aberrations or distortions could occur as a result of trading activities by other market participants or actions taken by the Clearing FCM, an Exc</w:t>
      </w:r>
      <w:r>
        <w:rPr>
          <w:rFonts w:ascii="Arial" w:hAnsi="Arial" w:cs="Arial"/>
          <w:sz w:val="20"/>
          <w:szCs w:val="20"/>
        </w:rPr>
        <w:t>hange, other self</w:t>
      </w:r>
      <w:r>
        <w:rPr>
          <w:rFonts w:ascii="Arial" w:hAnsi="Arial" w:cs="Arial"/>
          <w:sz w:val="20"/>
          <w:szCs w:val="20"/>
        </w:rPr>
        <w:noBreakHyphen/>
        <w:t>regulatory organizations or regulatory authorities, including the liquidation of the Trust’s Index Futures to satisfy applicable margin requirements. If the Trust’s Index Futures are liquidated at inopportune times or in a manner that cau</w:t>
      </w:r>
      <w:r>
        <w:rPr>
          <w:rFonts w:ascii="Arial" w:hAnsi="Arial" w:cs="Arial"/>
          <w:sz w:val="20"/>
          <w:szCs w:val="20"/>
        </w:rPr>
        <w:t>ses a temporary market distortion, this may adversely affect the NAV and the value of your Shares.</w:t>
      </w:r>
    </w:p>
    <w:p w14:paraId="3FBF3D8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6A844ED"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Clearing FCM or an Exchange</w:t>
      </w:r>
      <w:r>
        <w:rPr>
          <w:rFonts w:ascii="Arial" w:hAnsi="Arial" w:cs="Arial"/>
          <w:sz w:val="20"/>
          <w:szCs w:val="20"/>
        </w:rPr>
        <w:t>’</w:t>
      </w:r>
      <w:r>
        <w:rPr>
          <w:rFonts w:ascii="Arial" w:hAnsi="Arial" w:cs="Arial"/>
          <w:i/>
          <w:iCs/>
          <w:sz w:val="20"/>
          <w:szCs w:val="20"/>
        </w:rPr>
        <w:t>s clearing house could fail.</w:t>
      </w:r>
    </w:p>
    <w:p w14:paraId="20690C9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915DF0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the event of the bankruptcy of the Clearing FCM or an Exchange’s clearing house, the Trus</w:t>
      </w:r>
      <w:r>
        <w:rPr>
          <w:rFonts w:ascii="Arial" w:hAnsi="Arial" w:cs="Arial"/>
          <w:sz w:val="20"/>
          <w:szCs w:val="20"/>
        </w:rPr>
        <w:t>t could be exposed to a risk of loss with respect to its assets that are posted as margin. If such a bankruptcy were to occur, the Trust would be afforded the protections granted to customers of a FCM and participants to transactions cleared through a clea</w:t>
      </w:r>
      <w:r>
        <w:rPr>
          <w:rFonts w:ascii="Arial" w:hAnsi="Arial" w:cs="Arial"/>
          <w:sz w:val="20"/>
          <w:szCs w:val="20"/>
        </w:rPr>
        <w:t>ring house, under the United States Bankruptcy Code and applicable CFTC regulations. Such provisions generally provide for a pro rata distribution to customers of customer property held by the bankrupt FCM or an Exchange’s clearing house if the customer pr</w:t>
      </w:r>
      <w:r>
        <w:rPr>
          <w:rFonts w:ascii="Arial" w:hAnsi="Arial" w:cs="Arial"/>
          <w:sz w:val="20"/>
          <w:szCs w:val="20"/>
        </w:rPr>
        <w:t>operty held by the FCM or the Exchange’s clearing house is insufficient to satisfy all customer claims. In any case, there can be no assurance that these protections will be effective in allowing the Trust to recover all, or even any, of the amounts it has</w:t>
      </w:r>
      <w:r>
        <w:rPr>
          <w:rFonts w:ascii="Arial" w:hAnsi="Arial" w:cs="Arial"/>
          <w:sz w:val="20"/>
          <w:szCs w:val="20"/>
        </w:rPr>
        <w:t xml:space="preserve"> deposited as margin.</w:t>
      </w:r>
    </w:p>
    <w:p w14:paraId="571A741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CE3D70B" w14:textId="77777777" w:rsidR="00000000" w:rsidRDefault="004206B0">
      <w:pPr>
        <w:jc w:val="center"/>
        <w:divId w:val="1988853401"/>
        <w:rPr>
          <w:rFonts w:ascii="Arial" w:eastAsia="Times New Roman" w:hAnsi="Arial" w:cs="Arial"/>
          <w:sz w:val="20"/>
          <w:szCs w:val="20"/>
        </w:rPr>
      </w:pPr>
      <w:r>
        <w:rPr>
          <w:rFonts w:ascii="Arial" w:eastAsia="Times New Roman" w:hAnsi="Arial" w:cs="Arial"/>
          <w:sz w:val="20"/>
          <w:szCs w:val="20"/>
        </w:rPr>
        <w:t xml:space="preserve">16 </w:t>
      </w:r>
    </w:p>
    <w:p w14:paraId="3BBD882E" w14:textId="77777777" w:rsidR="00000000" w:rsidRDefault="004206B0">
      <w:pPr>
        <w:divId w:val="1526750449"/>
        <w:rPr>
          <w:rFonts w:eastAsia="Times New Roman"/>
          <w:sz w:val="20"/>
          <w:szCs w:val="20"/>
        </w:rPr>
      </w:pPr>
      <w:r>
        <w:rPr>
          <w:rFonts w:eastAsia="Times New Roman"/>
          <w:sz w:val="20"/>
          <w:szCs w:val="20"/>
        </w:rPr>
        <w:pict w14:anchorId="480DA368">
          <v:rect id="_x0000_i1055" style="width:415.3pt;height:1.5pt" o:hralign="center" o:hrstd="t" o:hrnoshade="t" o:hr="t" fillcolor="black" stroked="f"/>
        </w:pict>
      </w:r>
    </w:p>
    <w:p w14:paraId="711E159D" w14:textId="77777777" w:rsidR="00000000" w:rsidRDefault="004206B0">
      <w:pPr>
        <w:divId w:val="1807820932"/>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2A301E2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3006F4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Bankruptcy of the Clearing FCM can be caused by, among other things, the default of one of the Clearing FCM’s customers. In this event, t</w:t>
      </w:r>
      <w:r>
        <w:rPr>
          <w:rFonts w:ascii="Arial" w:hAnsi="Arial" w:cs="Arial"/>
          <w:sz w:val="20"/>
          <w:szCs w:val="20"/>
        </w:rPr>
        <w:t>he Exchange’s clearing house is permitted to use the entire amount of margin posted by the Trust (as well as margin posted by other customers of the Clearing FCM) to cover the amounts owed by the bankrupt Clearing FCM. Consequently, the Trust could be unab</w:t>
      </w:r>
      <w:r>
        <w:rPr>
          <w:rFonts w:ascii="Arial" w:hAnsi="Arial" w:cs="Arial"/>
          <w:sz w:val="20"/>
          <w:szCs w:val="20"/>
        </w:rPr>
        <w:t>le to recover amounts due to it on its Index Futures positions, including assets posted as margin, and could sustain substantial losses, even if the level of the S&amp;P GSCI-ER increases.</w:t>
      </w:r>
    </w:p>
    <w:p w14:paraId="12BA568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196616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Clearing FCM is subject to regulations relating to enhanced custo</w:t>
      </w:r>
      <w:r>
        <w:rPr>
          <w:rFonts w:ascii="Arial" w:hAnsi="Arial" w:cs="Arial"/>
          <w:sz w:val="20"/>
          <w:szCs w:val="20"/>
        </w:rPr>
        <w:t>mer protections, risk management programs, internal monitoring and controls, capital and liquidity standards, customer disclosures and auditing and examination programs for FCMs. There can be no assurance that the implementation of these regulations will p</w:t>
      </w:r>
      <w:r>
        <w:rPr>
          <w:rFonts w:ascii="Arial" w:hAnsi="Arial" w:cs="Arial"/>
          <w:sz w:val="20"/>
          <w:szCs w:val="20"/>
        </w:rPr>
        <w:t>revent losses to, or not materially adversely affect, the Trust or the Shareholders.</w:t>
      </w:r>
    </w:p>
    <w:p w14:paraId="512420A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206B91B"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Trust</w:t>
      </w:r>
      <w:r>
        <w:rPr>
          <w:rFonts w:ascii="Arial" w:hAnsi="Arial" w:cs="Arial"/>
          <w:sz w:val="20"/>
          <w:szCs w:val="20"/>
        </w:rPr>
        <w:t>’</w:t>
      </w:r>
      <w:r>
        <w:rPr>
          <w:rFonts w:ascii="Arial" w:hAnsi="Arial" w:cs="Arial"/>
          <w:i/>
          <w:iCs/>
          <w:sz w:val="20"/>
          <w:szCs w:val="20"/>
        </w:rPr>
        <w:t>s performance could be adversely affected if the Clearing FCM reduces its internal risk limits for the Trust.</w:t>
      </w:r>
    </w:p>
    <w:p w14:paraId="06F8315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A8A1CF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CFTC requires FCMs, such as the Clearing FC</w:t>
      </w:r>
      <w:r>
        <w:rPr>
          <w:rFonts w:ascii="Arial" w:hAnsi="Arial" w:cs="Arial"/>
          <w:sz w:val="20"/>
          <w:szCs w:val="20"/>
        </w:rPr>
        <w:t xml:space="preserve">M, to implement and periodically evaluate risk-based limits on futures positions and order sizes. Under this regime, the Clearing FCM could determine to reduce its internal risk limits on the size of futures positions it will trade or clear for the Trust. </w:t>
      </w:r>
      <w:r>
        <w:rPr>
          <w:rFonts w:ascii="Arial" w:hAnsi="Arial" w:cs="Arial"/>
          <w:sz w:val="20"/>
          <w:szCs w:val="20"/>
        </w:rPr>
        <w:t>Such a development would reduce the Trust’s capacity to transact in Index Futures. In this scenario, the Trust could seek to enter into clearing relationships with one or more other clearing FCMs with the goal of increasing its overall capacity to trade an</w:t>
      </w:r>
      <w:r>
        <w:rPr>
          <w:rFonts w:ascii="Arial" w:hAnsi="Arial" w:cs="Arial"/>
          <w:sz w:val="20"/>
          <w:szCs w:val="20"/>
        </w:rPr>
        <w:t>d clear Index Futures. The introduction of one or more additional clearing broker relationships would be likely to increase the Trust’s trading costs and could make its overall trading less efficient and more prone to error. These consequences could have a</w:t>
      </w:r>
      <w:r>
        <w:rPr>
          <w:rFonts w:ascii="Arial" w:hAnsi="Arial" w:cs="Arial"/>
          <w:sz w:val="20"/>
          <w:szCs w:val="20"/>
        </w:rPr>
        <w:t>n adverse impact on the Trust’s performance.</w:t>
      </w:r>
    </w:p>
    <w:p w14:paraId="1F851BD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0893236"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Recourse to the Index Sponsor may be limited.</w:t>
      </w:r>
    </w:p>
    <w:p w14:paraId="3A58232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24A3BD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Shares are not sponsored, endorsed, sold or promoted by the Index Sponsor. The Index Sponsor makes no representation or warranty, express or implied, to the </w:t>
      </w:r>
      <w:r>
        <w:rPr>
          <w:rFonts w:ascii="Arial" w:hAnsi="Arial" w:cs="Arial"/>
          <w:sz w:val="20"/>
          <w:szCs w:val="20"/>
        </w:rPr>
        <w:t>owners of the Shares or any member of the public regarding the advisability of investing in securities generally or in the Shares particularly or the ability of the S&amp;P GSCI™, the S&amp;P GSCI-ER or the Index, including, without limitation, all sub-indices, to</w:t>
      </w:r>
      <w:r>
        <w:rPr>
          <w:rFonts w:ascii="Arial" w:hAnsi="Arial" w:cs="Arial"/>
          <w:sz w:val="20"/>
          <w:szCs w:val="20"/>
        </w:rPr>
        <w:t xml:space="preserve"> track the appropriate market performance.</w:t>
      </w:r>
    </w:p>
    <w:p w14:paraId="54E7177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07C71C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Index Sponsor’s only relationship to the Sponsor, the Trustee, or the Trust is the licensing of certain trademarks, trade names of the Index Sponsor and the S&amp;P GSCI™ and other intellectual property. The S&amp;P</w:t>
      </w:r>
      <w:r>
        <w:rPr>
          <w:rFonts w:ascii="Arial" w:hAnsi="Arial" w:cs="Arial"/>
          <w:sz w:val="20"/>
          <w:szCs w:val="20"/>
        </w:rPr>
        <w:t xml:space="preserve"> GSCI™, the S&amp;P GSCI-ER and the Index are determined and composed by the Index Sponsor and calculated by the Index Sponsor or its agents without regard to the Sponsor, the Trustee or the Trust. The Index Sponsor has no obligation to take the needs of the S</w:t>
      </w:r>
      <w:r>
        <w:rPr>
          <w:rFonts w:ascii="Arial" w:hAnsi="Arial" w:cs="Arial"/>
          <w:sz w:val="20"/>
          <w:szCs w:val="20"/>
        </w:rPr>
        <w:t>ponsor, the Trustee, the Trust or the Shareholders into consideration in determining, composing or calculating the S&amp;P GSCI™, the S&amp;P GSCI-ER or the Index. The Index Sponsor is not responsible for and has not participated in the determination of the prices</w:t>
      </w:r>
      <w:r>
        <w:rPr>
          <w:rFonts w:ascii="Arial" w:hAnsi="Arial" w:cs="Arial"/>
          <w:sz w:val="20"/>
          <w:szCs w:val="20"/>
        </w:rPr>
        <w:t xml:space="preserve"> and the number of Shares or the timing of the issuance or sale of Shares or in the determination or calculation of the Basket Amount. The Index Sponsor has no obligation or liability in connection with the administration, marketing or trading of the Share</w:t>
      </w:r>
      <w:r>
        <w:rPr>
          <w:rFonts w:ascii="Arial" w:hAnsi="Arial" w:cs="Arial"/>
          <w:sz w:val="20"/>
          <w:szCs w:val="20"/>
        </w:rPr>
        <w:t>s.</w:t>
      </w:r>
    </w:p>
    <w:p w14:paraId="0125733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4C237B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Index Sponsor does not guarantee the accuracy or the completeness of the S&amp;P GSCI™, the S&amp;P GSCI-ER or the Index or any data included therein, and the Index Sponsor disclaims any and all liability for any errors, omissions, or interruptions therei</w:t>
      </w:r>
      <w:r>
        <w:rPr>
          <w:rFonts w:ascii="Arial" w:hAnsi="Arial" w:cs="Arial"/>
          <w:sz w:val="20"/>
          <w:szCs w:val="20"/>
        </w:rPr>
        <w:t>n. The Index Sponsor makes no warranty, express or implied, as to the results to be obtained by the Trust, the Shareholders or any other person or entity from use of the S&amp;P GSCI™, the S&amp;P GSCI-ER or the Index or any data included therein. The Index Sponso</w:t>
      </w:r>
      <w:r>
        <w:rPr>
          <w:rFonts w:ascii="Arial" w:hAnsi="Arial" w:cs="Arial"/>
          <w:sz w:val="20"/>
          <w:szCs w:val="20"/>
        </w:rPr>
        <w:t>r makes no express or implied warranties, and expressly disclaims all warranties of merchantability or fitness for a particular purpose or use, with respect to the S&amp;P GSCI™, the S&amp;P GSCI-ER or the Index or any data included therein. Without limiting any o</w:t>
      </w:r>
      <w:r>
        <w:rPr>
          <w:rFonts w:ascii="Arial" w:hAnsi="Arial" w:cs="Arial"/>
          <w:sz w:val="20"/>
          <w:szCs w:val="20"/>
        </w:rPr>
        <w:t>f the foregoing, the Index Sponsor expressly disclaims any and all liability for any special, punitive, indirect, or consequential damages (including lost profits), even if notified of the possibility of such damages.</w:t>
      </w:r>
    </w:p>
    <w:p w14:paraId="79DF169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E722795"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Risk Factors Relating to the Trust</w:t>
      </w:r>
    </w:p>
    <w:p w14:paraId="7C6572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AE447D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returns on the Shares will not precisely correlate with the performance of the Index.</w:t>
      </w:r>
    </w:p>
    <w:p w14:paraId="02A6025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5B5872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value of and returns on the Shares are expected to reflect the value of and returns on the Trust’s underlying investments i</w:t>
      </w:r>
      <w:r>
        <w:rPr>
          <w:rFonts w:ascii="Arial" w:hAnsi="Arial" w:cs="Arial"/>
          <w:sz w:val="20"/>
          <w:szCs w:val="20"/>
        </w:rPr>
        <w:t xml:space="preserve">n Index Futures and the cash or other Collateral Assets used to collateralize the Index Futures positions. The returns on the Shares will not precisely correlate with the performance of the Index due to, among other factors, differences between the return </w:t>
      </w:r>
      <w:r>
        <w:rPr>
          <w:rFonts w:ascii="Arial" w:hAnsi="Arial" w:cs="Arial"/>
          <w:sz w:val="20"/>
          <w:szCs w:val="20"/>
        </w:rPr>
        <w:t>on the Collateral Assets and the U.S. Treasury rate used to calculate the U.S. Treasury return component of the Index, timing differences, differences between the portion of the Trust’s assets invested in Index Futures versus the portion of the return of t</w:t>
      </w:r>
      <w:r>
        <w:rPr>
          <w:rFonts w:ascii="Arial" w:hAnsi="Arial" w:cs="Arial"/>
          <w:sz w:val="20"/>
          <w:szCs w:val="20"/>
        </w:rPr>
        <w:t>he Index contributed by the S&amp;P GSCI-ER, differences between the settlement price of Index Futures and the closing level of the S&amp;P GSCI-ER and the payment of expenses and liabilities by the Trust.</w:t>
      </w:r>
    </w:p>
    <w:p w14:paraId="100E7CB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6D38D5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The Trust is a passive investment vehicle. The Trust is </w:t>
      </w:r>
      <w:r>
        <w:rPr>
          <w:rFonts w:ascii="Arial" w:hAnsi="Arial" w:cs="Arial"/>
          <w:i/>
          <w:iCs/>
          <w:sz w:val="20"/>
          <w:szCs w:val="20"/>
        </w:rPr>
        <w:t>not actively managed and will be affected by a general decline in the price of commodities.</w:t>
      </w:r>
    </w:p>
    <w:p w14:paraId="4CE2FF8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B72AB1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Advisor manages the Trust’s assets in a manner that seeks to obtain returns that correspond generally, but are not necessarily identical, to the performance o</w:t>
      </w:r>
      <w:r>
        <w:rPr>
          <w:rFonts w:ascii="Arial" w:hAnsi="Arial" w:cs="Arial"/>
          <w:sz w:val="20"/>
          <w:szCs w:val="20"/>
        </w:rPr>
        <w:t xml:space="preserve">f the Index, before the payment of expenses and liabilities of the Trust. This means that the net asset value of the Trust and, consequently, the NAV are intended to generally track the Index when it is flat or declining, as well as when it is rising, and </w:t>
      </w:r>
      <w:r>
        <w:rPr>
          <w:rFonts w:ascii="Arial" w:hAnsi="Arial" w:cs="Arial"/>
          <w:sz w:val="20"/>
          <w:szCs w:val="20"/>
        </w:rPr>
        <w:t xml:space="preserve">therefore, it is highly likely that the value of the Shares will be adversely affected by a decline in commodity futures prices reflected in the Index. The Advisor does not engage in any activities designed to obtain a profit from, or to ameliorate losses </w:t>
      </w:r>
      <w:r>
        <w:rPr>
          <w:rFonts w:ascii="Arial" w:hAnsi="Arial" w:cs="Arial"/>
          <w:sz w:val="20"/>
          <w:szCs w:val="20"/>
        </w:rPr>
        <w:t>caused by, changes in the level of the Index or the S&amp;P GSCI-ER or the value of the Collateral Assets, including making use of any of the hedging techniques available to professional commodity futures traders to attempt to reduce the risks of losses result</w:t>
      </w:r>
      <w:r>
        <w:rPr>
          <w:rFonts w:ascii="Arial" w:hAnsi="Arial" w:cs="Arial"/>
          <w:sz w:val="20"/>
          <w:szCs w:val="20"/>
        </w:rPr>
        <w:t>ing from commodity price decreases.</w:t>
      </w:r>
    </w:p>
    <w:p w14:paraId="391AC6FB" w14:textId="77777777" w:rsidR="00000000" w:rsidRDefault="004206B0">
      <w:pPr>
        <w:pStyle w:val="a3"/>
        <w:spacing w:before="0" w:beforeAutospacing="0" w:after="0" w:afterAutospacing="0"/>
        <w:rPr>
          <w:sz w:val="20"/>
          <w:szCs w:val="20"/>
        </w:rPr>
      </w:pPr>
      <w:r>
        <w:rPr>
          <w:sz w:val="20"/>
          <w:szCs w:val="20"/>
        </w:rPr>
        <w:t> </w:t>
      </w:r>
    </w:p>
    <w:p w14:paraId="53507069"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Fees and expenses payable by the Trust are charged regardless of profitability and may result in a depletion of its assets.</w:t>
      </w:r>
    </w:p>
    <w:p w14:paraId="4FF5553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1D22BF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is subject to the fees and expenses described in this report, which are payable ir</w:t>
      </w:r>
      <w:r>
        <w:rPr>
          <w:rFonts w:ascii="Arial" w:hAnsi="Arial" w:cs="Arial"/>
          <w:sz w:val="20"/>
          <w:szCs w:val="20"/>
        </w:rPr>
        <w:t>respective of profitability. These fees and expenses include an allocation to the Sponsor that accrues daily at an annualized rate of up to 0.75% of the Adjusted Net Asset Value of the Trust and is payable by the Trust monthly in arrears. The Sponsor’s Fee</w:t>
      </w:r>
      <w:r>
        <w:rPr>
          <w:rFonts w:ascii="Arial" w:hAnsi="Arial" w:cs="Arial"/>
          <w:sz w:val="20"/>
          <w:szCs w:val="20"/>
        </w:rPr>
        <w:t xml:space="preserve"> may be adjusted by the Sponsor in its discretion from time to time to any amount up to 0.75% of the Adjusted Net Asset Value of the Trust. The Sponsor’s Fee may not be adjusted to above 0.75% of the Adjusted Net Asset Value of the Trust absent an amendmen</w:t>
      </w:r>
      <w:r>
        <w:rPr>
          <w:rFonts w:ascii="Arial" w:hAnsi="Arial" w:cs="Arial"/>
          <w:sz w:val="20"/>
          <w:szCs w:val="20"/>
        </w:rPr>
        <w:t>t to the Trust Agreement in accordance with its terms, and such an adjustment may only become effective thirty days after the Trustee has notified the registered holders of the amendment.</w:t>
      </w:r>
    </w:p>
    <w:p w14:paraId="46ED838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0DC12B0" w14:textId="77777777" w:rsidR="00000000" w:rsidRDefault="004206B0">
      <w:pPr>
        <w:jc w:val="center"/>
        <w:divId w:val="598611375"/>
        <w:rPr>
          <w:rFonts w:ascii="Arial" w:eastAsia="Times New Roman" w:hAnsi="Arial" w:cs="Arial"/>
          <w:sz w:val="20"/>
          <w:szCs w:val="20"/>
        </w:rPr>
      </w:pPr>
      <w:r>
        <w:rPr>
          <w:rFonts w:ascii="Arial" w:eastAsia="Times New Roman" w:hAnsi="Arial" w:cs="Arial"/>
          <w:sz w:val="20"/>
          <w:szCs w:val="20"/>
        </w:rPr>
        <w:t xml:space="preserve">17 </w:t>
      </w:r>
    </w:p>
    <w:p w14:paraId="35C59D57" w14:textId="77777777" w:rsidR="00000000" w:rsidRDefault="004206B0">
      <w:pPr>
        <w:divId w:val="369458836"/>
        <w:rPr>
          <w:rFonts w:eastAsia="Times New Roman"/>
          <w:sz w:val="20"/>
          <w:szCs w:val="20"/>
        </w:rPr>
      </w:pPr>
      <w:r>
        <w:rPr>
          <w:rFonts w:eastAsia="Times New Roman"/>
          <w:sz w:val="20"/>
          <w:szCs w:val="20"/>
        </w:rPr>
        <w:pict w14:anchorId="4E42B5C1">
          <v:rect id="_x0000_i1056" style="width:415.3pt;height:1.5pt" o:hralign="center" o:hrstd="t" o:hrnoshade="t" o:hr="t" fillcolor="black" stroked="f"/>
        </w:pict>
      </w:r>
    </w:p>
    <w:p w14:paraId="7931DD4E" w14:textId="77777777" w:rsidR="00000000" w:rsidRDefault="004206B0">
      <w:pPr>
        <w:divId w:val="1824852630"/>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0903FD37" w14:textId="77777777" w:rsidR="00000000" w:rsidRDefault="004206B0">
      <w:pPr>
        <w:pStyle w:val="a3"/>
        <w:spacing w:before="0" w:beforeAutospacing="0" w:after="0" w:afterAutospacing="0"/>
        <w:rPr>
          <w:sz w:val="20"/>
          <w:szCs w:val="20"/>
        </w:rPr>
      </w:pPr>
      <w:r>
        <w:rPr>
          <w:sz w:val="20"/>
          <w:szCs w:val="20"/>
        </w:rPr>
        <w:t> </w:t>
      </w:r>
    </w:p>
    <w:p w14:paraId="7915CE7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Interest earned on the assets posted as collateral is paid to the Trust and is used to pay the fixed fee to the Sponsor. A prolonged decline in interest rates could materially a</w:t>
      </w:r>
      <w:r>
        <w:rPr>
          <w:rFonts w:ascii="Arial" w:hAnsi="Arial" w:cs="Arial"/>
          <w:sz w:val="20"/>
          <w:szCs w:val="20"/>
        </w:rPr>
        <w:t>ffect the amount of interest paid to the Trust. In the case of either an extraordinary expense and/or insufficient interest income to cover ordinary expenses, the Trust could be forced to liquidate its Index Futures positions to pay such expenses.</w:t>
      </w:r>
    </w:p>
    <w:p w14:paraId="549EA0D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48E4561"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Tr</w:t>
      </w:r>
      <w:r>
        <w:rPr>
          <w:rFonts w:ascii="Arial" w:hAnsi="Arial" w:cs="Arial"/>
          <w:i/>
          <w:iCs/>
          <w:sz w:val="20"/>
          <w:szCs w:val="20"/>
        </w:rPr>
        <w:t>ust</w:t>
      </w:r>
      <w:r>
        <w:rPr>
          <w:rFonts w:ascii="Arial" w:hAnsi="Arial" w:cs="Arial"/>
          <w:sz w:val="20"/>
          <w:szCs w:val="20"/>
        </w:rPr>
        <w:t>’</w:t>
      </w:r>
      <w:r>
        <w:rPr>
          <w:rFonts w:ascii="Arial" w:hAnsi="Arial" w:cs="Arial"/>
          <w:i/>
          <w:iCs/>
          <w:sz w:val="20"/>
          <w:szCs w:val="20"/>
        </w:rPr>
        <w:t>s ability to operate is dependent on the Sponsor, the Trustee, the Advisor and certain other key service providers and other parties.</w:t>
      </w:r>
    </w:p>
    <w:p w14:paraId="4108872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F36F3F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Trust’s ability to operate and to achieve its investment objective is dependent on a number of parties, includin</w:t>
      </w:r>
      <w:r>
        <w:rPr>
          <w:rFonts w:ascii="Arial" w:hAnsi="Arial" w:cs="Arial"/>
          <w:sz w:val="20"/>
          <w:szCs w:val="20"/>
        </w:rPr>
        <w:t>g:</w:t>
      </w:r>
    </w:p>
    <w:p w14:paraId="7A39EEB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2A4C6F7A" w14:textId="77777777">
        <w:trPr>
          <w:tblCellSpacing w:w="0" w:type="dxa"/>
        </w:trPr>
        <w:tc>
          <w:tcPr>
            <w:tcW w:w="400" w:type="dxa"/>
            <w:vAlign w:val="center"/>
            <w:hideMark/>
          </w:tcPr>
          <w:p w14:paraId="1B8703B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25A5A63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EE5A08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who exercises general oversight and authority over the Trust</w:t>
            </w:r>
            <w:r>
              <w:rPr>
                <w:rFonts w:ascii="Arial" w:hAnsi="Arial" w:cs="Arial"/>
                <w:sz w:val="20"/>
                <w:szCs w:val="20"/>
              </w:rPr>
              <w:t>;</w:t>
            </w:r>
          </w:p>
        </w:tc>
      </w:tr>
    </w:tbl>
    <w:p w14:paraId="515D6EA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78BB4324" w14:textId="77777777">
        <w:trPr>
          <w:tblCellSpacing w:w="0" w:type="dxa"/>
        </w:trPr>
        <w:tc>
          <w:tcPr>
            <w:tcW w:w="400" w:type="dxa"/>
            <w:vAlign w:val="center"/>
            <w:hideMark/>
          </w:tcPr>
          <w:p w14:paraId="086A62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745DD29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4E644BC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Trustee, who is responsible for the day-to-day administration of the Trust</w:t>
            </w:r>
            <w:r>
              <w:rPr>
                <w:rFonts w:ascii="Arial" w:hAnsi="Arial" w:cs="Arial"/>
                <w:sz w:val="20"/>
                <w:szCs w:val="20"/>
              </w:rPr>
              <w:t>;</w:t>
            </w:r>
          </w:p>
        </w:tc>
      </w:tr>
    </w:tbl>
    <w:p w14:paraId="430BAAF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0787A73F" w14:textId="77777777">
        <w:trPr>
          <w:tblCellSpacing w:w="0" w:type="dxa"/>
        </w:trPr>
        <w:tc>
          <w:tcPr>
            <w:tcW w:w="400" w:type="dxa"/>
            <w:vAlign w:val="center"/>
            <w:hideMark/>
          </w:tcPr>
          <w:p w14:paraId="31AAE5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043AFC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65FBCA2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Administrator, who provides certain administrative and custodial services to the Trust</w:t>
            </w:r>
            <w:r>
              <w:rPr>
                <w:rFonts w:ascii="Arial" w:hAnsi="Arial" w:cs="Arial"/>
                <w:sz w:val="20"/>
                <w:szCs w:val="20"/>
              </w:rPr>
              <w:t>;</w:t>
            </w:r>
          </w:p>
        </w:tc>
      </w:tr>
    </w:tbl>
    <w:p w14:paraId="7A27C44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38F355CB" w14:textId="77777777">
        <w:trPr>
          <w:tblCellSpacing w:w="0" w:type="dxa"/>
        </w:trPr>
        <w:tc>
          <w:tcPr>
            <w:tcW w:w="400" w:type="dxa"/>
            <w:vAlign w:val="center"/>
            <w:hideMark/>
          </w:tcPr>
          <w:p w14:paraId="62A187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69DBCE3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3083522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Advisor, who exercises general oversight over the Trust’s investment activities</w:t>
            </w:r>
            <w:r>
              <w:rPr>
                <w:rFonts w:ascii="Arial" w:hAnsi="Arial" w:cs="Arial"/>
                <w:sz w:val="20"/>
                <w:szCs w:val="20"/>
              </w:rPr>
              <w:t>;</w:t>
            </w:r>
          </w:p>
        </w:tc>
      </w:tr>
    </w:tbl>
    <w:p w14:paraId="6A2F2C5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7579F092" w14:textId="77777777">
        <w:trPr>
          <w:tblCellSpacing w:w="0" w:type="dxa"/>
        </w:trPr>
        <w:tc>
          <w:tcPr>
            <w:tcW w:w="400" w:type="dxa"/>
            <w:vAlign w:val="center"/>
            <w:hideMark/>
          </w:tcPr>
          <w:p w14:paraId="2EC570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676E703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12D44C2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Clearing FCM, through which the Trust transacts in Inde</w:t>
            </w:r>
            <w:r>
              <w:rPr>
                <w:rFonts w:ascii="Arial" w:hAnsi="Arial" w:cs="Arial"/>
                <w:sz w:val="20"/>
                <w:szCs w:val="20"/>
              </w:rPr>
              <w:t>x Futures and maintains its Index Futures positions</w:t>
            </w:r>
            <w:r>
              <w:rPr>
                <w:rFonts w:ascii="Arial" w:hAnsi="Arial" w:cs="Arial"/>
                <w:sz w:val="20"/>
                <w:szCs w:val="20"/>
              </w:rPr>
              <w:t>;</w:t>
            </w:r>
          </w:p>
        </w:tc>
      </w:tr>
    </w:tbl>
    <w:p w14:paraId="620EF5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516DCC78" w14:textId="77777777">
        <w:trPr>
          <w:tblCellSpacing w:w="0" w:type="dxa"/>
        </w:trPr>
        <w:tc>
          <w:tcPr>
            <w:tcW w:w="400" w:type="dxa"/>
            <w:vAlign w:val="center"/>
            <w:hideMark/>
          </w:tcPr>
          <w:p w14:paraId="72F378D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017084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49E21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Exchange, through which the Trust’s Index Futures transactions clear and settle</w:t>
            </w:r>
            <w:r>
              <w:rPr>
                <w:rFonts w:ascii="Arial" w:hAnsi="Arial" w:cs="Arial"/>
                <w:sz w:val="20"/>
                <w:szCs w:val="20"/>
              </w:rPr>
              <w:t>;</w:t>
            </w:r>
          </w:p>
        </w:tc>
      </w:tr>
    </w:tbl>
    <w:p w14:paraId="7C49FC7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62D82873" w14:textId="77777777">
        <w:trPr>
          <w:tblCellSpacing w:w="0" w:type="dxa"/>
        </w:trPr>
        <w:tc>
          <w:tcPr>
            <w:tcW w:w="400" w:type="dxa"/>
            <w:vAlign w:val="center"/>
            <w:hideMark/>
          </w:tcPr>
          <w:p w14:paraId="3D668DF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2261DE0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1F8F987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Index Sponsor, who maintains the Index, and whose affiliates own the rights to the Index on which the Trust’s investment objective is based</w:t>
            </w:r>
            <w:r>
              <w:rPr>
                <w:rFonts w:ascii="Arial" w:hAnsi="Arial" w:cs="Arial"/>
                <w:sz w:val="20"/>
                <w:szCs w:val="20"/>
              </w:rPr>
              <w:t>;</w:t>
            </w:r>
          </w:p>
        </w:tc>
      </w:tr>
    </w:tbl>
    <w:p w14:paraId="1994B83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51DE36AF" w14:textId="77777777">
        <w:trPr>
          <w:tblCellSpacing w:w="0" w:type="dxa"/>
        </w:trPr>
        <w:tc>
          <w:tcPr>
            <w:tcW w:w="400" w:type="dxa"/>
            <w:vAlign w:val="center"/>
            <w:hideMark/>
          </w:tcPr>
          <w:p w14:paraId="796BFA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3E68CB1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5544F7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Authorized Participants, whose creation and redemption activities allow Index Futures and Collateral</w:t>
            </w:r>
            <w:r>
              <w:rPr>
                <w:rFonts w:ascii="Arial" w:hAnsi="Arial" w:cs="Arial"/>
                <w:sz w:val="20"/>
                <w:szCs w:val="20"/>
              </w:rPr>
              <w:t xml:space="preserve"> Assets to be converted to Shares and vice versa, to help maintain the relationship between the Index and the Shares</w:t>
            </w:r>
            <w:r>
              <w:rPr>
                <w:rFonts w:ascii="Arial" w:hAnsi="Arial" w:cs="Arial"/>
                <w:sz w:val="20"/>
                <w:szCs w:val="20"/>
              </w:rPr>
              <w:t>;</w:t>
            </w:r>
            <w:r>
              <w:rPr>
                <w:rFonts w:ascii="Arial" w:hAnsi="Arial" w:cs="Arial"/>
                <w:sz w:val="20"/>
                <w:szCs w:val="20"/>
              </w:rPr>
              <w:t> and</w:t>
            </w:r>
          </w:p>
        </w:tc>
      </w:tr>
    </w:tbl>
    <w:p w14:paraId="54E4B01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0"/>
        <w:gridCol w:w="360"/>
        <w:gridCol w:w="7546"/>
      </w:tblGrid>
      <w:tr w:rsidR="00000000" w14:paraId="4D5BA798" w14:textId="77777777">
        <w:trPr>
          <w:tblCellSpacing w:w="0" w:type="dxa"/>
        </w:trPr>
        <w:tc>
          <w:tcPr>
            <w:tcW w:w="400" w:type="dxa"/>
            <w:vAlign w:val="center"/>
            <w:hideMark/>
          </w:tcPr>
          <w:p w14:paraId="6443438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14:paraId="0381A91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203FDF0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tax administrator, who provides tax reporting and tax administrative services.</w:t>
            </w:r>
          </w:p>
        </w:tc>
      </w:tr>
    </w:tbl>
    <w:p w14:paraId="503957D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2EAF8D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Disruptions in the business of any of the</w:t>
      </w:r>
      <w:r>
        <w:rPr>
          <w:rFonts w:ascii="Arial" w:hAnsi="Arial" w:cs="Arial"/>
          <w:sz w:val="20"/>
          <w:szCs w:val="20"/>
        </w:rPr>
        <w:t xml:space="preserve"> foregoing parties or the termination of the Trust’s relationship with any of the foregoing parties could adversely affect the Trust’s operations. Shared ownership of a number of the foregoing parties may heighten this risk. The Sponsor, the Trustee and th</w:t>
      </w:r>
      <w:r>
        <w:rPr>
          <w:rFonts w:ascii="Arial" w:hAnsi="Arial" w:cs="Arial"/>
          <w:sz w:val="20"/>
          <w:szCs w:val="20"/>
        </w:rPr>
        <w:t>e Advisor are commonly controlled subsidiaries of BlackRock. The Clearing FCM and one of its affiliates are Authorized Participants. A number of the foregoing parties are publicly traded companies or subsidiaries of publicly traded companies, and a portion</w:t>
      </w:r>
      <w:r>
        <w:rPr>
          <w:rFonts w:ascii="Arial" w:hAnsi="Arial" w:cs="Arial"/>
          <w:sz w:val="20"/>
          <w:szCs w:val="20"/>
        </w:rPr>
        <w:t xml:space="preserve"> of their shares may be owned by one or more of the other foregoing parties.</w:t>
      </w:r>
    </w:p>
    <w:p w14:paraId="4B58487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4E19FBB"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Trust is exposed to various operational risks.</w:t>
      </w:r>
    </w:p>
    <w:p w14:paraId="2EB984E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E2B6B3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is exposed to various operational risks, including human error, information technology failures and failure to comply with formal procedures intended to mitigate these risks, and is particularly dependent on electronic means of communicating, rec</w:t>
      </w:r>
      <w:r>
        <w:rPr>
          <w:rFonts w:ascii="Arial" w:hAnsi="Arial" w:cs="Arial"/>
          <w:sz w:val="20"/>
          <w:szCs w:val="20"/>
        </w:rPr>
        <w:t>ord-keeping and otherwise conducting business. In addition, the Trust generally exculpates, and in some cases indemnifies, its service providers and agents with respect to losses arising from unforeseen circumstances and events, which may include the inter</w:t>
      </w:r>
      <w:r>
        <w:rPr>
          <w:rFonts w:ascii="Arial" w:hAnsi="Arial" w:cs="Arial"/>
          <w:sz w:val="20"/>
          <w:szCs w:val="20"/>
        </w:rPr>
        <w:t>ruption, suspension or restriction of trading on or the closure of NYSE Arca, an Exchange, or an exchange on which the futures contracts underlying the Index trade, power or other mechanical or technological failures or interruptions, computer viruses, com</w:t>
      </w:r>
      <w:r>
        <w:rPr>
          <w:rFonts w:ascii="Arial" w:hAnsi="Arial" w:cs="Arial"/>
          <w:sz w:val="20"/>
          <w:szCs w:val="20"/>
        </w:rPr>
        <w:t>munications disruptions, work stoppages, natural disasters, fire, war, terrorism, riots, rebellions or other circumstances beyond the control of the Trust or its service providers and agents. Accordingly, the Trust generally bears the risk of loss with res</w:t>
      </w:r>
      <w:r>
        <w:rPr>
          <w:rFonts w:ascii="Arial" w:hAnsi="Arial" w:cs="Arial"/>
          <w:sz w:val="20"/>
          <w:szCs w:val="20"/>
        </w:rPr>
        <w:t>pect to these unforeseen circumstances and events to the extent relating to the Trust or the Shares, which may limit or prevent the Trust from generating returns corresponding to those of the Index or otherwise expose it to loss.</w:t>
      </w:r>
    </w:p>
    <w:p w14:paraId="02BC7DF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439189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Although it is generally</w:t>
      </w:r>
      <w:r>
        <w:rPr>
          <w:rFonts w:ascii="Arial" w:hAnsi="Arial" w:cs="Arial"/>
          <w:sz w:val="20"/>
          <w:szCs w:val="20"/>
        </w:rPr>
        <w:t xml:space="preserve"> expected that the Trust’s direct service providers and agents will have disaster recovery or similar programs or safeguards in place to mitigate the effect of such unforeseen circumstances and events, there can be no assurance that these safeguards are in</w:t>
      </w:r>
      <w:r>
        <w:rPr>
          <w:rFonts w:ascii="Arial" w:hAnsi="Arial" w:cs="Arial"/>
          <w:sz w:val="20"/>
          <w:szCs w:val="20"/>
        </w:rPr>
        <w:t xml:space="preserve"> place for all parties whose activities may affect the performance of the Trust, or that these safeguards, even if implemented, will be successful in preventing losses associated with such unforeseen circumstances and events. Nor can there be any assurance</w:t>
      </w:r>
      <w:r>
        <w:rPr>
          <w:rFonts w:ascii="Arial" w:hAnsi="Arial" w:cs="Arial"/>
          <w:sz w:val="20"/>
          <w:szCs w:val="20"/>
        </w:rPr>
        <w:t xml:space="preserve"> that the systems and applications on which the Trust relies will continue to operate as intended. In addition to potentially causing performance failures at, or direct losses to, the Trust, any such unforeseen circumstances and events or operational failu</w:t>
      </w:r>
      <w:r>
        <w:rPr>
          <w:rFonts w:ascii="Arial" w:hAnsi="Arial" w:cs="Arial"/>
          <w:sz w:val="20"/>
          <w:szCs w:val="20"/>
        </w:rPr>
        <w:t>res may further distract the service providers, agents or personnel on which the Trust relies, reducing their ability to conduct the activities on which the Trust is dependent. These risks cannot be fully mitigated or prevented, and further efforts or expe</w:t>
      </w:r>
      <w:r>
        <w:rPr>
          <w:rFonts w:ascii="Arial" w:hAnsi="Arial" w:cs="Arial"/>
          <w:sz w:val="20"/>
          <w:szCs w:val="20"/>
        </w:rPr>
        <w:t>nditures to do so may not be cost</w:t>
      </w:r>
      <w:r>
        <w:rPr>
          <w:rFonts w:ascii="Arial" w:hAnsi="Arial" w:cs="Arial"/>
          <w:sz w:val="20"/>
          <w:szCs w:val="20"/>
        </w:rPr>
        <w:noBreakHyphen/>
        <w:t>effective, whether due to reduced benefits from implementing additional or redundant safeguards or due to increases in associated maintenance requirements and other expenses that may make it more costly for the Trust to op</w:t>
      </w:r>
      <w:r>
        <w:rPr>
          <w:rFonts w:ascii="Arial" w:hAnsi="Arial" w:cs="Arial"/>
          <w:sz w:val="20"/>
          <w:szCs w:val="20"/>
        </w:rPr>
        <w:t>erate in more typical circumstances.</w:t>
      </w:r>
    </w:p>
    <w:p w14:paraId="6D70301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3F2DDA5"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Trust relies on the information and technology systems of the Custodian, the Trustee and, to a lesser degree, the Sponsor, which could be adversely affected by information systems interruptions, cybersecurity atta</w:t>
      </w:r>
      <w:r>
        <w:rPr>
          <w:rFonts w:ascii="Arial" w:hAnsi="Arial" w:cs="Arial"/>
          <w:i/>
          <w:iCs/>
          <w:sz w:val="20"/>
          <w:szCs w:val="20"/>
        </w:rPr>
        <w:t>cks or other disruptions which could have a material adverse effect on our record keeping and operations.</w:t>
      </w:r>
    </w:p>
    <w:p w14:paraId="172DC86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26DD98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Trustee, the Trust Administrator, the Advisor, the Clearing FCM and, to a lesser degree, the Sponsor, depend upon information technology infrast</w:t>
      </w:r>
      <w:r>
        <w:rPr>
          <w:rFonts w:ascii="Arial" w:hAnsi="Arial" w:cs="Arial"/>
          <w:sz w:val="20"/>
          <w:szCs w:val="20"/>
        </w:rPr>
        <w:t>ructure, including network, hardware and software systems to conduct their business as it relates to the Trust. A cybersecurity incident, or a failure to protect their computer systems, networks and information against cybersecurity threats, could result i</w:t>
      </w:r>
      <w:r>
        <w:rPr>
          <w:rFonts w:ascii="Arial" w:hAnsi="Arial" w:cs="Arial"/>
          <w:sz w:val="20"/>
          <w:szCs w:val="20"/>
        </w:rPr>
        <w:t xml:space="preserve">n loss or unintended disclosure of information or loss or theft of the Trust assets, and could adversely impact the ability of the Trust’s service providers to conduct their business, including their business on behalf of the Trust. Despite implementation </w:t>
      </w:r>
      <w:r>
        <w:rPr>
          <w:rFonts w:ascii="Arial" w:hAnsi="Arial" w:cs="Arial"/>
          <w:sz w:val="20"/>
          <w:szCs w:val="20"/>
        </w:rPr>
        <w:t>of network and other cybersecurity measures, these security measures may not be adequate to protect against all cybersecurity threats.</w:t>
      </w:r>
    </w:p>
    <w:p w14:paraId="5B3E0BA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651945A" w14:textId="77777777" w:rsidR="00000000" w:rsidRDefault="004206B0">
      <w:pPr>
        <w:jc w:val="center"/>
        <w:divId w:val="1531800813"/>
        <w:rPr>
          <w:rFonts w:ascii="Arial" w:eastAsia="Times New Roman" w:hAnsi="Arial" w:cs="Arial"/>
          <w:sz w:val="20"/>
          <w:szCs w:val="20"/>
        </w:rPr>
      </w:pPr>
      <w:r>
        <w:rPr>
          <w:rFonts w:ascii="Arial" w:eastAsia="Times New Roman" w:hAnsi="Arial" w:cs="Arial"/>
          <w:sz w:val="20"/>
          <w:szCs w:val="20"/>
        </w:rPr>
        <w:t xml:space="preserve">18 </w:t>
      </w:r>
    </w:p>
    <w:p w14:paraId="32B5319D" w14:textId="77777777" w:rsidR="00000000" w:rsidRDefault="004206B0">
      <w:pPr>
        <w:divId w:val="1313216023"/>
        <w:rPr>
          <w:rFonts w:eastAsia="Times New Roman"/>
          <w:sz w:val="20"/>
          <w:szCs w:val="20"/>
        </w:rPr>
      </w:pPr>
      <w:r>
        <w:rPr>
          <w:rFonts w:eastAsia="Times New Roman"/>
          <w:sz w:val="20"/>
          <w:szCs w:val="20"/>
        </w:rPr>
        <w:pict w14:anchorId="7043994F">
          <v:rect id="_x0000_i1057" style="width:415.3pt;height:1.5pt" o:hralign="center" o:hrstd="t" o:hrnoshade="t" o:hr="t" fillcolor="black" stroked="f"/>
        </w:pict>
      </w:r>
    </w:p>
    <w:p w14:paraId="6C3D23AE" w14:textId="77777777" w:rsidR="00000000" w:rsidRDefault="004206B0">
      <w:pPr>
        <w:divId w:val="1994748458"/>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008ECDA4" w14:textId="77777777" w:rsidR="00000000" w:rsidRDefault="004206B0">
      <w:pPr>
        <w:pStyle w:val="a3"/>
        <w:spacing w:before="0" w:beforeAutospacing="0" w:after="0" w:afterAutospacing="0"/>
        <w:rPr>
          <w:sz w:val="20"/>
          <w:szCs w:val="20"/>
        </w:rPr>
      </w:pPr>
      <w:r>
        <w:rPr>
          <w:sz w:val="20"/>
          <w:szCs w:val="20"/>
        </w:rPr>
        <w:t> </w:t>
      </w:r>
    </w:p>
    <w:p w14:paraId="0173B0C6"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price you receive upon the sale of your Shares may be less than their NAV.</w:t>
      </w:r>
    </w:p>
    <w:p w14:paraId="4E51452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ED657A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Shares may trade at,</w:t>
      </w:r>
      <w:r>
        <w:rPr>
          <w:rFonts w:ascii="Arial" w:hAnsi="Arial" w:cs="Arial"/>
          <w:sz w:val="20"/>
          <w:szCs w:val="20"/>
        </w:rPr>
        <w:t xml:space="preserve"> above or below their NAV. The NAV fluctuates with changes in the market value of the Trust’s assets. The trading price of Shares fluctuates in accordance with changes in the NAV, intraday changes in the value of the Index Futures and market supply and dem</w:t>
      </w:r>
      <w:r>
        <w:rPr>
          <w:rFonts w:ascii="Arial" w:hAnsi="Arial" w:cs="Arial"/>
          <w:sz w:val="20"/>
          <w:szCs w:val="20"/>
        </w:rPr>
        <w:t>and. The amount of the discount or premium in the trading price of the Shares relative to their NAV may be influenced by non-concurrent trading hours between NYSE Arca, the exchange on which the Shares trade, the Exchanges on which Index Futures trade, and</w:t>
      </w:r>
      <w:r>
        <w:rPr>
          <w:rFonts w:ascii="Arial" w:hAnsi="Arial" w:cs="Arial"/>
          <w:sz w:val="20"/>
          <w:szCs w:val="20"/>
        </w:rPr>
        <w:t xml:space="preserve"> the principal commodities markets on which the futures contracts in the S&amp;P GSCI-ER trade. While the Shares are expected to trade on NYSE Arca until 4:00 p.m. (New York time), liquidity in the markets for the Index Futures and the futures contracts underl</w:t>
      </w:r>
      <w:r>
        <w:rPr>
          <w:rFonts w:ascii="Arial" w:hAnsi="Arial" w:cs="Arial"/>
          <w:sz w:val="20"/>
          <w:szCs w:val="20"/>
        </w:rPr>
        <w:t>ying the S&amp;P GSCI-ER is expected to be reduced whenever the principal markets for those contracts are closed. As a result, trading spreads, and the resulting premium or discount on Shares, may widen during these gaps in market trading hours.</w:t>
      </w:r>
    </w:p>
    <w:p w14:paraId="1FEE27B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E7592B6"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Trust is</w:t>
      </w:r>
      <w:r>
        <w:rPr>
          <w:rFonts w:ascii="Arial" w:hAnsi="Arial" w:cs="Arial"/>
          <w:i/>
          <w:iCs/>
          <w:sz w:val="20"/>
          <w:szCs w:val="20"/>
        </w:rPr>
        <w:t xml:space="preserve"> not obligated to pay periodic distributions or dividends to Shareholders.</w:t>
      </w:r>
    </w:p>
    <w:p w14:paraId="4F8A08B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D7C271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Interest or other income received with respect to the Trust’s assets may be used to acquire additional Index Futures or Collateral Assets or, in the discretion of the Sponsor, dis</w:t>
      </w:r>
      <w:r>
        <w:rPr>
          <w:rFonts w:ascii="Arial" w:hAnsi="Arial" w:cs="Arial"/>
          <w:sz w:val="20"/>
          <w:szCs w:val="20"/>
        </w:rPr>
        <w:t>tributed to the Shareholders. The Trust is not obligated, however, to make any distributions to Shareholders at any time prior to the dissolution of the Trust and will not make any distributions to Shareholders upon dissolution of the Trust unless there ar</w:t>
      </w:r>
      <w:r>
        <w:rPr>
          <w:rFonts w:ascii="Arial" w:hAnsi="Arial" w:cs="Arial"/>
          <w:sz w:val="20"/>
          <w:szCs w:val="20"/>
        </w:rPr>
        <w:t>e assets remaining following dissolution.</w:t>
      </w:r>
    </w:p>
    <w:p w14:paraId="1EF4B7C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D3B5B6F"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Trust could be liquidated at a time when the disposition of its interests will result in losses to investors in Shares.</w:t>
      </w:r>
    </w:p>
    <w:p w14:paraId="592F7AC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D85184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Certain events, such as the delisting of the Shares, the election by 75% of the Shareh</w:t>
      </w:r>
      <w:r>
        <w:rPr>
          <w:rFonts w:ascii="Arial" w:hAnsi="Arial" w:cs="Arial"/>
          <w:sz w:val="20"/>
          <w:szCs w:val="20"/>
        </w:rPr>
        <w:t>olders to dissolve the Trust, the resignation of the Trustee without a successor, the Trust becoming subject to regulation as an investment company, the determination by the Sponsor that the dissolution of the Trust is advisable, the Trust becoming subject</w:t>
      </w:r>
      <w:r>
        <w:rPr>
          <w:rFonts w:ascii="Arial" w:hAnsi="Arial" w:cs="Arial"/>
          <w:sz w:val="20"/>
          <w:szCs w:val="20"/>
        </w:rPr>
        <w:t xml:space="preserve"> to taxation as an association taxable as a corporation, or the DTC becoming unable or unwilling to perform its functions, may prompt the Trust’s dissolution. Upon dissolution of the Trust, the Trust will in most circumstances sell the Index Futures and se</w:t>
      </w:r>
      <w:r>
        <w:rPr>
          <w:rFonts w:ascii="Arial" w:hAnsi="Arial" w:cs="Arial"/>
          <w:sz w:val="20"/>
          <w:szCs w:val="20"/>
        </w:rPr>
        <w:t>curities held by it in the amount necessary to cover all expenses of liquidation and to pay any outstanding liabilities of the Trust. The remaining assets will be distributed among investors surrendering Shares. In the event the Trustee cannot distribute s</w:t>
      </w:r>
      <w:r>
        <w:rPr>
          <w:rFonts w:ascii="Arial" w:hAnsi="Arial" w:cs="Arial"/>
          <w:sz w:val="20"/>
          <w:szCs w:val="20"/>
        </w:rPr>
        <w:t>uch assets proportionately among the Shareholders entitled thereto or if the Trustee determines that such distribution is not lawful or feasible, the Trustee may use any other method of distribution that it deems to be lawful, equitable and feasible, inclu</w:t>
      </w:r>
      <w:r>
        <w:rPr>
          <w:rFonts w:ascii="Arial" w:hAnsi="Arial" w:cs="Arial"/>
          <w:sz w:val="20"/>
          <w:szCs w:val="20"/>
        </w:rPr>
        <w:t>ding the public or private sale of Trust assets and the distribution of the proceeds thereof. Any property remaining in the possession of the Trustee after ninety days may be sold by the Trustee, and the proceeds of the sale will be held by the Trustee unt</w:t>
      </w:r>
      <w:r>
        <w:rPr>
          <w:rFonts w:ascii="Arial" w:hAnsi="Arial" w:cs="Arial"/>
          <w:sz w:val="20"/>
          <w:szCs w:val="20"/>
        </w:rPr>
        <w:t>il claimed by any remaining Shareholders.</w:t>
      </w:r>
    </w:p>
    <w:p w14:paraId="46003CC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229270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connection with any such liquidation, Trust property may be sold for prices that are less than the portion of the NAV attributable to such Trust property. Accordingly, the liquidation of Trust property may res</w:t>
      </w:r>
      <w:r>
        <w:rPr>
          <w:rFonts w:ascii="Arial" w:hAnsi="Arial" w:cs="Arial"/>
          <w:sz w:val="20"/>
          <w:szCs w:val="20"/>
        </w:rPr>
        <w:t>ult in losses, or adversely affect your gains, on your investment in Shares.</w:t>
      </w:r>
    </w:p>
    <w:p w14:paraId="4FCA942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9A36661"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Sponsor has broad discretion to liquidate the Trust at any time.</w:t>
      </w:r>
    </w:p>
    <w:p w14:paraId="7C9B5D8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F5F9FB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Agreement provides the Sponsor with broad discretion to liquidate the Trust at any time the Sponsor determines that liquidation of the Trust is advisable. It cannot be predicted when or under what circumstances, if any, the Sponsor would use this</w:t>
      </w:r>
      <w:r>
        <w:rPr>
          <w:rFonts w:ascii="Arial" w:hAnsi="Arial" w:cs="Arial"/>
          <w:sz w:val="20"/>
          <w:szCs w:val="20"/>
        </w:rPr>
        <w:t xml:space="preserve"> discretion to liquidate the Trust. Any such liquidation may occur at a time when you are suffering a loss on your investment in the Shares and may upset the overall maturity and timing of your investment portfolio.</w:t>
      </w:r>
    </w:p>
    <w:p w14:paraId="427E243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C3F2C0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Shareholders with large holdings may c</w:t>
      </w:r>
      <w:r>
        <w:rPr>
          <w:rFonts w:ascii="Arial" w:hAnsi="Arial" w:cs="Arial"/>
          <w:i/>
          <w:iCs/>
          <w:sz w:val="20"/>
          <w:szCs w:val="20"/>
        </w:rPr>
        <w:t>hoose to dissolve the Trust and thereby adversely affect your investment in the Shares.</w:t>
      </w:r>
    </w:p>
    <w:p w14:paraId="1E88627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136D80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Owners of 75% or more of the Shares have the power to dissolve the Trust. This power may be exercised by a relatively small number of holders. If it is so exercised, </w:t>
      </w:r>
      <w:r>
        <w:rPr>
          <w:rFonts w:ascii="Arial" w:hAnsi="Arial" w:cs="Arial"/>
          <w:sz w:val="20"/>
          <w:szCs w:val="20"/>
        </w:rPr>
        <w:t>investors who wished to continue to invest in the performance of the Index through the vehicle of the Trust will have to find another vehicle, and may not be able to find another vehicle that offers the same features as the Trust. Moreover, such a dissolut</w:t>
      </w:r>
      <w:r>
        <w:rPr>
          <w:rFonts w:ascii="Arial" w:hAnsi="Arial" w:cs="Arial"/>
          <w:sz w:val="20"/>
          <w:szCs w:val="20"/>
        </w:rPr>
        <w:t>ion may occur at a time when you are suffering a loss on your investment in the Shares and may upset the overall maturity and timing of your investment portfolio.</w:t>
      </w:r>
    </w:p>
    <w:p w14:paraId="600A927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0A16D8C"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Affiliate shareholders with large holdings may choose to conduct a large sale of their Shar</w:t>
      </w:r>
      <w:r>
        <w:rPr>
          <w:rFonts w:ascii="Arial" w:hAnsi="Arial" w:cs="Arial"/>
          <w:i/>
          <w:iCs/>
          <w:sz w:val="20"/>
          <w:szCs w:val="20"/>
        </w:rPr>
        <w:t>es, which may have an adverse effect on the Shares.</w:t>
      </w:r>
    </w:p>
    <w:p w14:paraId="1BF43B9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39E343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BlackRock or other accounts managed by the Trustee or an affiliate may purchase and hold Shares of the Trust. These entities reserve the right, subject to compliance with applicable law, to sell Shares </w:t>
      </w:r>
      <w:r>
        <w:rPr>
          <w:rFonts w:ascii="Arial" w:hAnsi="Arial" w:cs="Arial"/>
          <w:sz w:val="20"/>
          <w:szCs w:val="20"/>
        </w:rPr>
        <w:t>into the market or redeem in Baskets some or all of their Shares. A large-scale disposition of Shares could significantly reduce the asset size of the Trust, which would have an adverse effect on your Shares. Historically, such affiliated entities and acco</w:t>
      </w:r>
      <w:r>
        <w:rPr>
          <w:rFonts w:ascii="Arial" w:hAnsi="Arial" w:cs="Arial"/>
          <w:sz w:val="20"/>
          <w:szCs w:val="20"/>
        </w:rPr>
        <w:t>unts have owned a substantial portion of the Trust’s total Shares outstanding from time to time, and may own a substantial portion of the Trust’s total Shares outstanding from time to time in the future.</w:t>
      </w:r>
    </w:p>
    <w:p w14:paraId="67461C9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7C2A07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Shares may not provide anticipated benefits of</w:t>
      </w:r>
      <w:r>
        <w:rPr>
          <w:rFonts w:ascii="Arial" w:hAnsi="Arial" w:cs="Arial"/>
          <w:i/>
          <w:iCs/>
          <w:sz w:val="20"/>
          <w:szCs w:val="20"/>
        </w:rPr>
        <w:t xml:space="preserve"> diversification from other asset classes.</w:t>
      </w:r>
    </w:p>
    <w:p w14:paraId="509210F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EA21F5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Historically, the performance of physical commodity futures prices generally has not been correlated to the performance of financial asset classes, such as stocks and bonds. Non-correlation means that there is n</w:t>
      </w:r>
      <w:r>
        <w:rPr>
          <w:rFonts w:ascii="Arial" w:hAnsi="Arial" w:cs="Arial"/>
          <w:sz w:val="20"/>
          <w:szCs w:val="20"/>
        </w:rPr>
        <w:t xml:space="preserve">o statistically significant relationship, positive or negative, between the past performance of futures contracts on physical commodities, on the one hand, and stocks or bonds, on the other hand. Despite this lack of correlation, Shares cannot be expected </w:t>
      </w:r>
      <w:r>
        <w:rPr>
          <w:rFonts w:ascii="Arial" w:hAnsi="Arial" w:cs="Arial"/>
          <w:sz w:val="20"/>
          <w:szCs w:val="20"/>
        </w:rPr>
        <w:t>to be automatically profitable during unfavorable periods for the stock or bond markets, or automatically unprofitable during favorable periods for the stock or bond markets. The commodity futures markets are fundamentally different from the securities mar</w:t>
      </w:r>
      <w:r>
        <w:rPr>
          <w:rFonts w:ascii="Arial" w:hAnsi="Arial" w:cs="Arial"/>
          <w:sz w:val="20"/>
          <w:szCs w:val="20"/>
        </w:rPr>
        <w:t>kets in that for every gain in commodity futures trading, there is an equal and offsetting loss. The performance of the Shares may reflect positive or negative correlation to one or more financial asset classes, in which case any investment strategy relyin</w:t>
      </w:r>
      <w:r>
        <w:rPr>
          <w:rFonts w:ascii="Arial" w:hAnsi="Arial" w:cs="Arial"/>
          <w:sz w:val="20"/>
          <w:szCs w:val="20"/>
        </w:rPr>
        <w:t>g on the absence of any such correlation may not be successful.</w:t>
      </w:r>
    </w:p>
    <w:p w14:paraId="7C98076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F608488" w14:textId="77777777" w:rsidR="00000000" w:rsidRDefault="004206B0">
      <w:pPr>
        <w:jc w:val="center"/>
        <w:divId w:val="2065062232"/>
        <w:rPr>
          <w:rFonts w:ascii="Arial" w:eastAsia="Times New Roman" w:hAnsi="Arial" w:cs="Arial"/>
          <w:sz w:val="20"/>
          <w:szCs w:val="20"/>
        </w:rPr>
      </w:pPr>
      <w:r>
        <w:rPr>
          <w:rFonts w:ascii="Arial" w:eastAsia="Times New Roman" w:hAnsi="Arial" w:cs="Arial"/>
          <w:sz w:val="20"/>
          <w:szCs w:val="20"/>
        </w:rPr>
        <w:t xml:space="preserve">19 </w:t>
      </w:r>
    </w:p>
    <w:p w14:paraId="64C94353" w14:textId="77777777" w:rsidR="00000000" w:rsidRDefault="004206B0">
      <w:pPr>
        <w:divId w:val="832261408"/>
        <w:rPr>
          <w:rFonts w:eastAsia="Times New Roman"/>
          <w:sz w:val="20"/>
          <w:szCs w:val="20"/>
        </w:rPr>
      </w:pPr>
      <w:r>
        <w:rPr>
          <w:rFonts w:eastAsia="Times New Roman"/>
          <w:sz w:val="20"/>
          <w:szCs w:val="20"/>
        </w:rPr>
        <w:pict w14:anchorId="6C5D50A0">
          <v:rect id="_x0000_i1058" style="width:415.3pt;height:1.5pt" o:hralign="center" o:hrstd="t" o:hrnoshade="t" o:hr="t" fillcolor="black" stroked="f"/>
        </w:pict>
      </w:r>
    </w:p>
    <w:p w14:paraId="1828B2FA" w14:textId="77777777" w:rsidR="00000000" w:rsidRDefault="004206B0">
      <w:pPr>
        <w:divId w:val="806431021"/>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6C66E2E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21BC010"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liquidity of the Shares may be affected by the withdrawal from participation of Authorized Participants or by the suspension of issuance, transfers or redemptions of Shares by the Trustee</w:t>
      </w:r>
      <w:r>
        <w:rPr>
          <w:rFonts w:ascii="Arial" w:hAnsi="Arial" w:cs="Arial"/>
          <w:sz w:val="20"/>
          <w:szCs w:val="20"/>
        </w:rPr>
        <w:t>.</w:t>
      </w:r>
    </w:p>
    <w:p w14:paraId="3DA4014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7D2B87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one or more Aut</w:t>
      </w:r>
      <w:r>
        <w:rPr>
          <w:rFonts w:ascii="Arial" w:hAnsi="Arial" w:cs="Arial"/>
          <w:sz w:val="20"/>
          <w:szCs w:val="20"/>
        </w:rPr>
        <w:t>horized Participants withdraw from participation, it may become more difficult to create or redeem Baskets, which may reduce the liquidity of the Shares. If it becomes more difficult to create or redeem Baskets, the correlation between the price of the Sha</w:t>
      </w:r>
      <w:r>
        <w:rPr>
          <w:rFonts w:ascii="Arial" w:hAnsi="Arial" w:cs="Arial"/>
          <w:sz w:val="20"/>
          <w:szCs w:val="20"/>
        </w:rPr>
        <w:t xml:space="preserve">res and the NAV may be affected, which may affect the trading market for the Shares. Having fewer participants in the market for the Shares could also adversely affect the ability to arbitrage any price difference between the Index Futures and the Shares, </w:t>
      </w:r>
      <w:r>
        <w:rPr>
          <w:rFonts w:ascii="Arial" w:hAnsi="Arial" w:cs="Arial"/>
          <w:sz w:val="20"/>
          <w:szCs w:val="20"/>
        </w:rPr>
        <w:t>which may affect the trading market and liquidity of the Shares.</w:t>
      </w:r>
    </w:p>
    <w:p w14:paraId="49FCAB9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D4F965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addition, the Trustee has the power to suspend the delivery of Shares, registration of transfers of Shares and surrenders of Shares for the purpose of withdrawing Trust property generall</w:t>
      </w:r>
      <w:r>
        <w:rPr>
          <w:rFonts w:ascii="Arial" w:hAnsi="Arial" w:cs="Arial"/>
          <w:sz w:val="20"/>
          <w:szCs w:val="20"/>
        </w:rPr>
        <w:t xml:space="preserve">y, or to refuse a particular deposit, transfer or withdrawal at any time, if the Trustee or the Sponsor determines that it is advisable to do so for any reason. From August 24, 2009 to April 26, 2010, the Trust suspended the issuance of new Shares because </w:t>
      </w:r>
      <w:r>
        <w:rPr>
          <w:rFonts w:ascii="Arial" w:hAnsi="Arial" w:cs="Arial"/>
          <w:sz w:val="20"/>
          <w:szCs w:val="20"/>
        </w:rPr>
        <w:t>the Trust could not invest the proceeds of new issuances in additional Index Futures positions due to restrictions on speculative position limits imposed by the CME. The liquidity of the Shares and the correlation between the value of the Shares and the le</w:t>
      </w:r>
      <w:r>
        <w:rPr>
          <w:rFonts w:ascii="Arial" w:hAnsi="Arial" w:cs="Arial"/>
          <w:sz w:val="20"/>
          <w:szCs w:val="20"/>
        </w:rPr>
        <w:t>vel of the Index may be adversely affected in the event of any such suspension of issuance, transfer or redemption.</w:t>
      </w:r>
    </w:p>
    <w:p w14:paraId="7146B92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13A06A1"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lack of an active trading market for the Shares may result in losses on your investment at the time of disposition of your Shares.</w:t>
      </w:r>
    </w:p>
    <w:p w14:paraId="6A1D12E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86AD52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Although the Shares are listed on NYSE Arca, there can be no guarantee that an active trading market for the Shares will develop or be maintained. If you need to sell your Shares at a time when no active market for them exists, the price you receive for yo</w:t>
      </w:r>
      <w:r>
        <w:rPr>
          <w:rFonts w:ascii="Arial" w:hAnsi="Arial" w:cs="Arial"/>
          <w:sz w:val="20"/>
          <w:szCs w:val="20"/>
        </w:rPr>
        <w:t>ur Shares, assuming that you are able to sell them, will likely be lower than that you would receive if an active market did exist.</w:t>
      </w:r>
    </w:p>
    <w:p w14:paraId="3580EE1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E3B0B5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You may be adversely affected by redemption orders that are subject to postponement, suspension or rejection under certain</w:t>
      </w:r>
      <w:r>
        <w:rPr>
          <w:rFonts w:ascii="Arial" w:hAnsi="Arial" w:cs="Arial"/>
          <w:i/>
          <w:iCs/>
          <w:sz w:val="20"/>
          <w:szCs w:val="20"/>
        </w:rPr>
        <w:t xml:space="preserve"> circumstances.</w:t>
      </w:r>
    </w:p>
    <w:p w14:paraId="2A2E4B9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D17A56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Trustee may suspend the right of redemption or postpone the redemption settlement date for such periods as it or the Sponsor deems to be necessary for any reason. In addition, the Trustee has the right to reject any redemption order f</w:t>
      </w:r>
      <w:r>
        <w:rPr>
          <w:rFonts w:ascii="Arial" w:hAnsi="Arial" w:cs="Arial"/>
          <w:sz w:val="20"/>
          <w:szCs w:val="20"/>
        </w:rPr>
        <w:t>or any reason, including, among others, (1) the related order not being in proper form as described in the Authorized Participant Agreement, (2) market conditions or other circumstances that make transactions in or delivery of the Shares or the Index Futur</w:t>
      </w:r>
      <w:r>
        <w:rPr>
          <w:rFonts w:ascii="Arial" w:hAnsi="Arial" w:cs="Arial"/>
          <w:sz w:val="20"/>
          <w:szCs w:val="20"/>
        </w:rPr>
        <w:t>es impossible or impractical, (3) a determination by the Trustee that the acceptance of the related order would have adverse tax or other consequences to the Trust or the Shareholders, or (4) circumstances that would cause the acceptance of the related ord</w:t>
      </w:r>
      <w:r>
        <w:rPr>
          <w:rFonts w:ascii="Arial" w:hAnsi="Arial" w:cs="Arial"/>
          <w:sz w:val="20"/>
          <w:szCs w:val="20"/>
        </w:rPr>
        <w:t xml:space="preserve">er to result in a violation of law in the opinion of counsel to the Trustee, the Sponsor or the Trust Administrator. Any such postponement, suspension or rejection could adversely affect a redeeming Authorized Participant. For example, the resulting delay </w:t>
      </w:r>
      <w:r>
        <w:rPr>
          <w:rFonts w:ascii="Arial" w:hAnsi="Arial" w:cs="Arial"/>
          <w:sz w:val="20"/>
          <w:szCs w:val="20"/>
        </w:rPr>
        <w:t>may adversely affect the value of the redemption proceeds if the NAV declines during the period of the delay. Under the Authorized Participant Agreement, the Trustee disclaims any liability that may result from any such suspension, postponement or rejectio</w:t>
      </w:r>
      <w:r>
        <w:rPr>
          <w:rFonts w:ascii="Arial" w:hAnsi="Arial" w:cs="Arial"/>
          <w:sz w:val="20"/>
          <w:szCs w:val="20"/>
        </w:rPr>
        <w:t>n.</w:t>
      </w:r>
    </w:p>
    <w:p w14:paraId="1F31DC7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6E40FA8"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Competition from other commodities-related investments could limit the market for, and reduce the liquidity of, the Shares.</w:t>
      </w:r>
    </w:p>
    <w:p w14:paraId="063989F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86F35E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Demand for the Shares is expected to be affected by the attractiveness of an investment in the Shares relative to other inves</w:t>
      </w:r>
      <w:r>
        <w:rPr>
          <w:rFonts w:ascii="Arial" w:hAnsi="Arial" w:cs="Arial"/>
          <w:sz w:val="20"/>
          <w:szCs w:val="20"/>
        </w:rPr>
        <w:t>tment vehicles, including other commodity pools, hedge funds, traditional debt and equity securities issued by companies in the commodities industry, other securities backed by or linked to commodities, and direct investments in commodities or commodity fu</w:t>
      </w:r>
      <w:r>
        <w:rPr>
          <w:rFonts w:ascii="Arial" w:hAnsi="Arial" w:cs="Arial"/>
          <w:sz w:val="20"/>
          <w:szCs w:val="20"/>
        </w:rPr>
        <w:t>tures contracts. Market, financial and other conditions or factors may make it more attractive to invest in other investment vehicles or to invest in such commodities directly, which could limit the market for, and reduce the liquidity of, the Shares.</w:t>
      </w:r>
    </w:p>
    <w:p w14:paraId="0D72CE7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867308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w:t>
      </w:r>
      <w:r>
        <w:rPr>
          <w:rFonts w:ascii="Arial" w:hAnsi="Arial" w:cs="Arial"/>
          <w:i/>
          <w:iCs/>
          <w:sz w:val="20"/>
          <w:szCs w:val="20"/>
        </w:rPr>
        <w:t>e price of the Shares could decrease if unanticipated operational or trading problems arise.</w:t>
      </w:r>
    </w:p>
    <w:p w14:paraId="79BE671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885BD5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the processes of creation and redemption of Shares encounter any unanticipated difficulties, potential market participants who would otherwise be willing to p</w:t>
      </w:r>
      <w:r>
        <w:rPr>
          <w:rFonts w:ascii="Arial" w:hAnsi="Arial" w:cs="Arial"/>
          <w:sz w:val="20"/>
          <w:szCs w:val="20"/>
        </w:rPr>
        <w:t>urchase or redeem Baskets to take advantage of any arbitrage opportunity arising from discrepancies between the price of the Shares and the price of the underlying Index Futures may choose not to do so. If this is the case, the price of the Shares may vary</w:t>
      </w:r>
      <w:r>
        <w:rPr>
          <w:rFonts w:ascii="Arial" w:hAnsi="Arial" w:cs="Arial"/>
          <w:sz w:val="20"/>
          <w:szCs w:val="20"/>
        </w:rPr>
        <w:t xml:space="preserve"> from the price of an equivalent position in Index Futures and may trade at a discount to their NAV. In addition, in some circumstances, such as the failure of the registration statement covering the Shares to be effective, the Trust may be unable to creat</w:t>
      </w:r>
      <w:r>
        <w:rPr>
          <w:rFonts w:ascii="Arial" w:hAnsi="Arial" w:cs="Arial"/>
          <w:sz w:val="20"/>
          <w:szCs w:val="20"/>
        </w:rPr>
        <w:t>e or redeem Shares, which may have similar consequences.</w:t>
      </w:r>
    </w:p>
    <w:p w14:paraId="5DBD804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9F01809"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Exchange position limits and other rules may restrict the creation of Baskets and the operation of the Trust.</w:t>
      </w:r>
    </w:p>
    <w:p w14:paraId="1AD6FA1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44548F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CME imposes speculative position limits on market participants trading in Index F</w:t>
      </w:r>
      <w:r>
        <w:rPr>
          <w:rFonts w:ascii="Arial" w:hAnsi="Arial" w:cs="Arial"/>
          <w:sz w:val="20"/>
          <w:szCs w:val="20"/>
        </w:rPr>
        <w:t>utures, including the Trust, that typically prohibit any person from holding a position in excess of a specified number of contracts. The Trust may from time to time seek to obtain exemptions from those position limits from the CME, but these exemptions ma</w:t>
      </w:r>
      <w:r>
        <w:rPr>
          <w:rFonts w:ascii="Arial" w:hAnsi="Arial" w:cs="Arial"/>
          <w:sz w:val="20"/>
          <w:szCs w:val="20"/>
        </w:rPr>
        <w:t>y be limited, including with respect to the additional number of contracts permitted to be held under such exemption and the time period for which the exemption applies. Position limits may also apply to other Index Futures traded by the Trust. The availab</w:t>
      </w:r>
      <w:r>
        <w:rPr>
          <w:rFonts w:ascii="Arial" w:hAnsi="Arial" w:cs="Arial"/>
          <w:sz w:val="20"/>
          <w:szCs w:val="20"/>
        </w:rPr>
        <w:t>ility of obtaining any exemption from any such position limits is expected to be subject to the ability or willingness of the applicable Exchange to grant such exemption, as well as applicable law.</w:t>
      </w:r>
    </w:p>
    <w:p w14:paraId="310D8BF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FC05BB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Trust’s ability to issue new Baskets or reinvest inc</w:t>
      </w:r>
      <w:r>
        <w:rPr>
          <w:rFonts w:ascii="Arial" w:hAnsi="Arial" w:cs="Arial"/>
          <w:sz w:val="20"/>
          <w:szCs w:val="20"/>
        </w:rPr>
        <w:t>ome in additional Index Futures may be limited to the extent these activities would cause the Trust to exceed the position limits then applicable to those Index Futures. The Trust may also be required to liquidate any existing contracts in excess of the th</w:t>
      </w:r>
      <w:r>
        <w:rPr>
          <w:rFonts w:ascii="Arial" w:hAnsi="Arial" w:cs="Arial"/>
          <w:sz w:val="20"/>
          <w:szCs w:val="20"/>
        </w:rPr>
        <w:t>en-applicable position limits, including as a result of changes to applicable position limits or as a result of the loss of an exemption, or be required to take other actions with potentially adverse effects on the liquidity or value of the Shares.</w:t>
      </w:r>
    </w:p>
    <w:p w14:paraId="418AC65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3E8734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Addit</w:t>
      </w:r>
      <w:r>
        <w:rPr>
          <w:rFonts w:ascii="Arial" w:hAnsi="Arial" w:cs="Arial"/>
          <w:sz w:val="20"/>
          <w:szCs w:val="20"/>
        </w:rPr>
        <w:t>ionally, legislative or regulatory action, actions by a DCM or actions by the Clearing FCM may impose limitations on the size of positions that the Trust may take in Index Futures and/or impose limitations on the size of positions that may be carried by ot</w:t>
      </w:r>
      <w:r>
        <w:rPr>
          <w:rFonts w:ascii="Arial" w:hAnsi="Arial" w:cs="Arial"/>
          <w:sz w:val="20"/>
          <w:szCs w:val="20"/>
        </w:rPr>
        <w:t>her market participants, adversely affecting the liquidity and price of Index Futures and the underlying futures. Such events could force the Trust or other market participants to sell Index Futures, or encourage market participants to sell or redeem their</w:t>
      </w:r>
      <w:r>
        <w:rPr>
          <w:rFonts w:ascii="Arial" w:hAnsi="Arial" w:cs="Arial"/>
          <w:sz w:val="20"/>
          <w:szCs w:val="20"/>
        </w:rPr>
        <w:t xml:space="preserve"> Shares. In addition, the current maximum position in Index Futures permitted to be held by the Trust could be reduced relative to the maximum position otherwise permitted, which could in turn require the Trust to liquidate some or all of its positions in </w:t>
      </w:r>
      <w:r>
        <w:rPr>
          <w:rFonts w:ascii="Arial" w:hAnsi="Arial" w:cs="Arial"/>
          <w:sz w:val="20"/>
          <w:szCs w:val="20"/>
        </w:rPr>
        <w:t>Index Futures. Any such reduction could affect the liquidity of Index Futures and adversely impact the price of the Shares as well as the correlation between the price of the Shares and the net asset value of the Trust.</w:t>
      </w:r>
    </w:p>
    <w:p w14:paraId="079BBCB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CA49D36" w14:textId="77777777" w:rsidR="00000000" w:rsidRDefault="004206B0">
      <w:pPr>
        <w:jc w:val="center"/>
        <w:divId w:val="1813253941"/>
        <w:rPr>
          <w:rFonts w:ascii="Arial" w:eastAsia="Times New Roman" w:hAnsi="Arial" w:cs="Arial"/>
          <w:sz w:val="20"/>
          <w:szCs w:val="20"/>
        </w:rPr>
      </w:pPr>
      <w:r>
        <w:rPr>
          <w:rFonts w:ascii="Arial" w:eastAsia="Times New Roman" w:hAnsi="Arial" w:cs="Arial"/>
          <w:sz w:val="20"/>
          <w:szCs w:val="20"/>
        </w:rPr>
        <w:t xml:space="preserve">20 </w:t>
      </w:r>
    </w:p>
    <w:p w14:paraId="523018CD" w14:textId="77777777" w:rsidR="00000000" w:rsidRDefault="004206B0">
      <w:pPr>
        <w:divId w:val="2055692876"/>
        <w:rPr>
          <w:rFonts w:eastAsia="Times New Roman"/>
          <w:sz w:val="20"/>
          <w:szCs w:val="20"/>
        </w:rPr>
      </w:pPr>
      <w:r>
        <w:rPr>
          <w:rFonts w:eastAsia="Times New Roman"/>
          <w:sz w:val="20"/>
          <w:szCs w:val="20"/>
        </w:rPr>
        <w:pict w14:anchorId="52EAFDBD">
          <v:rect id="_x0000_i1059" style="width:415.3pt;height:1.5pt" o:hralign="center" o:hrstd="t" o:hrnoshade="t" o:hr="t" fillcolor="black" stroked="f"/>
        </w:pict>
      </w:r>
    </w:p>
    <w:p w14:paraId="1A3457CD" w14:textId="77777777" w:rsidR="00000000" w:rsidRDefault="004206B0">
      <w:pPr>
        <w:divId w:val="1986616129"/>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6519197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EF26A0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DCMs may also take steps, such as requiring liquidation of open posit</w:t>
      </w:r>
      <w:r>
        <w:rPr>
          <w:rFonts w:ascii="Arial" w:hAnsi="Arial" w:cs="Arial"/>
          <w:sz w:val="20"/>
          <w:szCs w:val="20"/>
        </w:rPr>
        <w:t>ions, in the case of disorderly markets, market congestion and other market disruptions. These actions could require the Trust to liquidate all or part of its Index Futures positions or require holders of positions in the futures contracts underlying the S</w:t>
      </w:r>
      <w:r>
        <w:rPr>
          <w:rFonts w:ascii="Arial" w:hAnsi="Arial" w:cs="Arial"/>
          <w:sz w:val="20"/>
          <w:szCs w:val="20"/>
        </w:rPr>
        <w:t>&amp;P GSCI-ER to liquidate their positions. This could affect the level of the Index and the NAV. See also “Risk Factors Relating to Commodities Markets—Regulatory developments with respect to the futures and over-the-counter derivatives markets, and in parti</w:t>
      </w:r>
      <w:r>
        <w:rPr>
          <w:rFonts w:ascii="Arial" w:hAnsi="Arial" w:cs="Arial"/>
          <w:sz w:val="20"/>
          <w:szCs w:val="20"/>
        </w:rPr>
        <w:t>cular, with respect to speculative trading in futures contracts and over-the-counter derivatives involving commodities and commodity indices, could adversely affect the value of your Shares.”</w:t>
      </w:r>
    </w:p>
    <w:p w14:paraId="04D993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A02986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Shareholders do not have the rights normally associated with ownership of common shares</w:t>
      </w:r>
      <w:r>
        <w:rPr>
          <w:rFonts w:ascii="Arial" w:hAnsi="Arial" w:cs="Arial"/>
          <w:sz w:val="20"/>
          <w:szCs w:val="20"/>
        </w:rPr>
        <w:t>;</w:t>
      </w:r>
      <w:r>
        <w:rPr>
          <w:rFonts w:ascii="Arial" w:hAnsi="Arial" w:cs="Arial"/>
          <w:sz w:val="20"/>
          <w:szCs w:val="20"/>
        </w:rPr>
        <w:t xml:space="preserve"> </w:t>
      </w:r>
      <w:r>
        <w:rPr>
          <w:rFonts w:ascii="Arial" w:hAnsi="Arial" w:cs="Arial"/>
          <w:i/>
          <w:iCs/>
          <w:sz w:val="20"/>
          <w:szCs w:val="20"/>
        </w:rPr>
        <w:t>the Sponsor and the Trustee exercise substantial control over the Trust.</w:t>
      </w:r>
    </w:p>
    <w:p w14:paraId="409E8C3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D7665D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Shareholders are not entitled to the same rights as owners of shares issued by a corporation. By acquiring Shares, you are not acquiring the right to elect directors, to receive dividends, to vote on certain matters regarding the Trust or to take other act</w:t>
      </w:r>
      <w:r>
        <w:rPr>
          <w:rFonts w:ascii="Arial" w:hAnsi="Arial" w:cs="Arial"/>
          <w:sz w:val="20"/>
          <w:szCs w:val="20"/>
        </w:rPr>
        <w:t>ions normally associated with the ownership of common shares.</w:t>
      </w:r>
    </w:p>
    <w:p w14:paraId="622E8C2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EC2945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Additionally, the Sponsor and the Trustee exercise substantial control over the Trust’s activities. Among other things, the Trust Agreement authorizes the Sponsor to determine whether to make </w:t>
      </w:r>
      <w:r>
        <w:rPr>
          <w:rFonts w:ascii="Arial" w:hAnsi="Arial" w:cs="Arial"/>
          <w:sz w:val="20"/>
          <w:szCs w:val="20"/>
        </w:rPr>
        <w:t xml:space="preserve">distributions to Shareholders, gives the Sponsor oversight over NAV calculations and the creation and redemption process and permits the Sponsor to dissolve the Trust if it deems such dissolution advisable. The Trustee also retains the right to reject any </w:t>
      </w:r>
      <w:r>
        <w:rPr>
          <w:rFonts w:ascii="Arial" w:hAnsi="Arial" w:cs="Arial"/>
          <w:sz w:val="20"/>
          <w:szCs w:val="20"/>
        </w:rPr>
        <w:t>order for the creation or redemption of Baskets. The Sponsor and the Trustee may amend the provisions of the Trust Agreement, including in a manner adverse to Shareholders, without Shareholder consent, including to change the assets through which the Trust</w:t>
      </w:r>
      <w:r>
        <w:rPr>
          <w:rFonts w:ascii="Arial" w:hAnsi="Arial" w:cs="Arial"/>
          <w:sz w:val="20"/>
          <w:szCs w:val="20"/>
        </w:rPr>
        <w:t xml:space="preserve"> seeks to achieve its investment objective, which may alter the nature of an investment in, and the performance of, the Shares.</w:t>
      </w:r>
    </w:p>
    <w:p w14:paraId="79C1E34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E3A4AC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in the case of a conflict of interest between the Trustee, the Sponsor and their affiliates,</w:t>
      </w:r>
      <w:r>
        <w:rPr>
          <w:rFonts w:ascii="Arial" w:hAnsi="Arial" w:cs="Arial"/>
          <w:sz w:val="20"/>
          <w:szCs w:val="20"/>
        </w:rPr>
        <w:t xml:space="preserve"> on the one hand, and the holders of Shares, on the other, the Trustee and the Sponsor will resolve such conflict considering the relevant interests of each party (including their own interests) and related benefits and burdens, any customary or accepted i</w:t>
      </w:r>
      <w:r>
        <w:rPr>
          <w:rFonts w:ascii="Arial" w:hAnsi="Arial" w:cs="Arial"/>
          <w:sz w:val="20"/>
          <w:szCs w:val="20"/>
        </w:rPr>
        <w:t>ndustry practices, and any applicable generally accepted accounting practices or principles. The Trust Agreement further provides that in the absence of bad faith by the Trustee or the Sponsor, such a resolution will not constitute a breach of the Trust Ag</w:t>
      </w:r>
      <w:r>
        <w:rPr>
          <w:rFonts w:ascii="Arial" w:hAnsi="Arial" w:cs="Arial"/>
          <w:sz w:val="20"/>
          <w:szCs w:val="20"/>
        </w:rPr>
        <w:t>reement or any duty or obligation of the Trustee or the Sponsor.</w:t>
      </w:r>
    </w:p>
    <w:p w14:paraId="3D52AE1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7EDC2B6"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Shareholders do not have the protections normally associated with the ownership of shares in an investment company registered under the Investment Company Act.</w:t>
      </w:r>
    </w:p>
    <w:p w14:paraId="67537A7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88ED3F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is not registered</w:t>
      </w:r>
      <w:r>
        <w:rPr>
          <w:rFonts w:ascii="Arial" w:hAnsi="Arial" w:cs="Arial"/>
          <w:sz w:val="20"/>
          <w:szCs w:val="20"/>
        </w:rPr>
        <w:t xml:space="preserve"> as an investment company for purposes of United States federal securities laws, and is not subject to regulation by the SEC as an investment company. Consequently, Shareholders do not have the regulatory protections provided to investors in investment com</w:t>
      </w:r>
      <w:r>
        <w:rPr>
          <w:rFonts w:ascii="Arial" w:hAnsi="Arial" w:cs="Arial"/>
          <w:sz w:val="20"/>
          <w:szCs w:val="20"/>
        </w:rPr>
        <w:t xml:space="preserve">panies registered under the Investment Company Act. For example, the provisions of the Investment Company Act that limit transactions with affiliates, prohibit the suspension of redemptions (except under limited circumstances) and limit sales loads do not </w:t>
      </w:r>
      <w:r>
        <w:rPr>
          <w:rFonts w:ascii="Arial" w:hAnsi="Arial" w:cs="Arial"/>
          <w:sz w:val="20"/>
          <w:szCs w:val="20"/>
        </w:rPr>
        <w:t>apply to the Trust. The Sponsor is registered with the CFTC as a commodity pool operator and the Advisor is registered with the CFTC as a commodity trading advisor. The CFTC therefore has jurisdiction over these entities and regulatory authority over certa</w:t>
      </w:r>
      <w:r>
        <w:rPr>
          <w:rFonts w:ascii="Arial" w:hAnsi="Arial" w:cs="Arial"/>
          <w:sz w:val="20"/>
          <w:szCs w:val="20"/>
        </w:rPr>
        <w:t>in activities of the Trust. The nature and degree of this regulation differs from the regulatory scheme imposed under the Investment Company Act.</w:t>
      </w:r>
    </w:p>
    <w:p w14:paraId="6A67952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2D2103A"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Competing claims over ownership of relevant intellectual property rights could adversely affect the Trust or</w:t>
      </w:r>
      <w:r>
        <w:rPr>
          <w:rFonts w:ascii="Arial" w:hAnsi="Arial" w:cs="Arial"/>
          <w:i/>
          <w:iCs/>
          <w:sz w:val="20"/>
          <w:szCs w:val="20"/>
        </w:rPr>
        <w:t xml:space="preserve"> an investment in the Shares</w:t>
      </w:r>
      <w:r>
        <w:rPr>
          <w:rFonts w:ascii="Arial" w:hAnsi="Arial" w:cs="Arial"/>
          <w:sz w:val="20"/>
          <w:szCs w:val="20"/>
        </w:rPr>
        <w:t>.</w:t>
      </w:r>
    </w:p>
    <w:p w14:paraId="6FC53BB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C91A41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While the Sponsor believes that it has all of the intellectual property rights needed to operate the Trust in the manner described in the Trust’s prospectus, third parties may allege or assert ownership of intellectual prope</w:t>
      </w:r>
      <w:r>
        <w:rPr>
          <w:rFonts w:ascii="Arial" w:hAnsi="Arial" w:cs="Arial"/>
          <w:sz w:val="20"/>
          <w:szCs w:val="20"/>
        </w:rPr>
        <w:t>rty rights that may be related to the design, structure and operation of the Trust or the Index. To the extent any claims of such ownership are brought or any proceedings are instituted to assert such claims, the negotiation, litigation or settlement of su</w:t>
      </w:r>
      <w:r>
        <w:rPr>
          <w:rFonts w:ascii="Arial" w:hAnsi="Arial" w:cs="Arial"/>
          <w:sz w:val="20"/>
          <w:szCs w:val="20"/>
        </w:rPr>
        <w:t>ch claims, the issuance of any restraining orders or injunctions, or the ultimate disposition of such claims in a court of law, may adversely affect the Trust and the value of the Shares. For example, such actions could result in expenses or damages payabl</w:t>
      </w:r>
      <w:r>
        <w:rPr>
          <w:rFonts w:ascii="Arial" w:hAnsi="Arial" w:cs="Arial"/>
          <w:sz w:val="20"/>
          <w:szCs w:val="20"/>
        </w:rPr>
        <w:t>e by the Trust or the suspension of activities or dissolution of the Trust.</w:t>
      </w:r>
    </w:p>
    <w:p w14:paraId="7A51E07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21C759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value of the Shares will be adversely affected if the Trust is required to indemnify the Sponsor, the Advisor or the Trustee or their respective agents.</w:t>
      </w:r>
    </w:p>
    <w:p w14:paraId="08D9002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7E76BC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Under the Trust Agr</w:t>
      </w:r>
      <w:r>
        <w:rPr>
          <w:rFonts w:ascii="Arial" w:hAnsi="Arial" w:cs="Arial"/>
          <w:sz w:val="20"/>
          <w:szCs w:val="20"/>
        </w:rPr>
        <w:t>eement, the Sponsor, the Trustee and their respective agents have the right to be indemnified by the Trust for any liability or expense they incur without negligence, bad faith, willful misconduct or reckless disregard of their duties on their part. That m</w:t>
      </w:r>
      <w:r>
        <w:rPr>
          <w:rFonts w:ascii="Arial" w:hAnsi="Arial" w:cs="Arial"/>
          <w:sz w:val="20"/>
          <w:szCs w:val="20"/>
        </w:rPr>
        <w:t>eans the Sponsor and the Trustee may require the assets of the Trust to be sold in order to cover losses or liabilities suffered by it, which would reduce the net asset value of the Trust and the value of the Shares. Likewise, under the Trust’s advisory ag</w:t>
      </w:r>
      <w:r>
        <w:rPr>
          <w:rFonts w:ascii="Arial" w:hAnsi="Arial" w:cs="Arial"/>
          <w:sz w:val="20"/>
          <w:szCs w:val="20"/>
        </w:rPr>
        <w:t>reement, the Advisor and its agents have the right to be indemnified by the Trust for any liability or expense they incur without negligence, bad faith, willful misconduct or reckless disregard of their duties on their part. That means the Advisor may requ</w:t>
      </w:r>
      <w:r>
        <w:rPr>
          <w:rFonts w:ascii="Arial" w:hAnsi="Arial" w:cs="Arial"/>
          <w:sz w:val="20"/>
          <w:szCs w:val="20"/>
        </w:rPr>
        <w:t>ire the assets of the Trust to be sold in order to cover losses or liabilities suffered by it, which would reduce the net asset value of the Trust and the value of the Shares.</w:t>
      </w:r>
    </w:p>
    <w:p w14:paraId="541F619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2EF36E4" w14:textId="77777777" w:rsidR="00000000" w:rsidRDefault="004206B0">
      <w:pPr>
        <w:jc w:val="center"/>
        <w:divId w:val="518544740"/>
        <w:rPr>
          <w:rFonts w:ascii="Arial" w:eastAsia="Times New Roman" w:hAnsi="Arial" w:cs="Arial"/>
          <w:sz w:val="20"/>
          <w:szCs w:val="20"/>
        </w:rPr>
      </w:pPr>
      <w:r>
        <w:rPr>
          <w:rFonts w:ascii="Arial" w:eastAsia="Times New Roman" w:hAnsi="Arial" w:cs="Arial"/>
          <w:sz w:val="20"/>
          <w:szCs w:val="20"/>
        </w:rPr>
        <w:t xml:space="preserve">21 </w:t>
      </w:r>
    </w:p>
    <w:p w14:paraId="3E19B7A6" w14:textId="77777777" w:rsidR="00000000" w:rsidRDefault="004206B0">
      <w:pPr>
        <w:divId w:val="2093430521"/>
        <w:rPr>
          <w:rFonts w:eastAsia="Times New Roman"/>
          <w:sz w:val="20"/>
          <w:szCs w:val="20"/>
        </w:rPr>
      </w:pPr>
      <w:r>
        <w:rPr>
          <w:rFonts w:eastAsia="Times New Roman"/>
          <w:sz w:val="20"/>
          <w:szCs w:val="20"/>
        </w:rPr>
        <w:pict w14:anchorId="1C151FFE">
          <v:rect id="_x0000_i1060" style="width:415.3pt;height:1.5pt" o:hralign="center" o:hrstd="t" o:hrnoshade="t" o:hr="t" fillcolor="black" stroked="f"/>
        </w:pict>
      </w:r>
    </w:p>
    <w:p w14:paraId="7BA72794" w14:textId="77777777" w:rsidR="00000000" w:rsidRDefault="004206B0">
      <w:pPr>
        <w:divId w:val="172243637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56A6558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62BB9CA"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Regulatory changes or actions may affect the Shares.</w:t>
      </w:r>
    </w:p>
    <w:p w14:paraId="1683587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7E6B90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futures markets are subject to comprehensive regulation. In addition, the CFTC and the exchanges are authorized to take extraordinary actions in the event of a market emergency, including, for example, implementing speculative position limits (includin</w:t>
      </w:r>
      <w:r>
        <w:rPr>
          <w:rFonts w:ascii="Arial" w:hAnsi="Arial" w:cs="Arial"/>
          <w:sz w:val="20"/>
          <w:szCs w:val="20"/>
        </w:rPr>
        <w:t>g retroactively) or higher margin requirements, establishing daily price limits and suspending trading. The regulation of futures transactions in the United States is subject to modification by government, exchange and judicial action. The effect of any fu</w:t>
      </w:r>
      <w:r>
        <w:rPr>
          <w:rFonts w:ascii="Arial" w:hAnsi="Arial" w:cs="Arial"/>
          <w:sz w:val="20"/>
          <w:szCs w:val="20"/>
        </w:rPr>
        <w:t>ture regulatory change on the Trust could be substantial and adverse. See also “—Exchange position limits and other rules may restrict the creation of Baskets and the operation of the Trust” above and “Risk Factors Relating to Commodities Markets — Regulat</w:t>
      </w:r>
      <w:r>
        <w:rPr>
          <w:rFonts w:ascii="Arial" w:hAnsi="Arial" w:cs="Arial"/>
          <w:sz w:val="20"/>
          <w:szCs w:val="20"/>
        </w:rPr>
        <w:t>ory developments with respect to the futures and over-the-counter derivatives markets, and in particular, with respect to speculative trading in futures contracts and over-the-counter derivatives involving commodities and commodity indices, could adversely</w:t>
      </w:r>
      <w:r>
        <w:rPr>
          <w:rFonts w:ascii="Arial" w:hAnsi="Arial" w:cs="Arial"/>
          <w:sz w:val="20"/>
          <w:szCs w:val="20"/>
        </w:rPr>
        <w:t xml:space="preserve"> affect the value of your Shares.”</w:t>
      </w:r>
    </w:p>
    <w:p w14:paraId="7954566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3834446"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NYSE Arca may halt trading in the Shares, which would adversely impact your ability to sell your Shares.</w:t>
      </w:r>
    </w:p>
    <w:p w14:paraId="4DDEF45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D508F4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Shares are listed for trading on NYSE Arca under the ticker symbol GSG. Trading in the Shares may be halted </w:t>
      </w:r>
      <w:r>
        <w:rPr>
          <w:rFonts w:ascii="Arial" w:hAnsi="Arial" w:cs="Arial"/>
          <w:sz w:val="20"/>
          <w:szCs w:val="20"/>
        </w:rPr>
        <w:t>due to market conditions or, in light of NYSE Arca rules and procedures, for reasons that, in the view of NYSE Arca, make trading in the Shares inadvisable, or in the event certain information about the Index, the value of the Shares and the NAV is not mad</w:t>
      </w:r>
      <w:r>
        <w:rPr>
          <w:rFonts w:ascii="Arial" w:hAnsi="Arial" w:cs="Arial"/>
          <w:sz w:val="20"/>
          <w:szCs w:val="20"/>
        </w:rPr>
        <w:t>e available as required by such rules and procedures. In addition, trading generally on NYSE Arca is subject to trading halts caused by extraordinary market volatility pursuant to “circuit breaker” rules that require trading to be halted for a specified pe</w:t>
      </w:r>
      <w:r>
        <w:rPr>
          <w:rFonts w:ascii="Arial" w:hAnsi="Arial" w:cs="Arial"/>
          <w:sz w:val="20"/>
          <w:szCs w:val="20"/>
        </w:rPr>
        <w:t>riod based on a specified market decline. There can be no assurance that the requirements necessary to maintain the listing of the Shares will continue to be met or will remain unchanged. The Trust will be dissolved if the Shares are delisted from NYSE Arc</w:t>
      </w:r>
      <w:r>
        <w:rPr>
          <w:rFonts w:ascii="Arial" w:hAnsi="Arial" w:cs="Arial"/>
          <w:sz w:val="20"/>
          <w:szCs w:val="20"/>
        </w:rPr>
        <w:t>a and are not approved for listing on another national securities exchange within five business days of their delisting.</w:t>
      </w:r>
    </w:p>
    <w:p w14:paraId="1696C48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0FD7DFA"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Risk Factors Relating to Conflicts of Interest</w:t>
      </w:r>
    </w:p>
    <w:p w14:paraId="07D6B5F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3108067"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Sponsor</w:t>
      </w:r>
      <w:r>
        <w:rPr>
          <w:rFonts w:ascii="Arial" w:hAnsi="Arial" w:cs="Arial"/>
          <w:sz w:val="20"/>
          <w:szCs w:val="20"/>
        </w:rPr>
        <w:t>’</w:t>
      </w:r>
      <w:r>
        <w:rPr>
          <w:rFonts w:ascii="Arial" w:hAnsi="Arial" w:cs="Arial"/>
          <w:i/>
          <w:iCs/>
          <w:sz w:val="20"/>
          <w:szCs w:val="20"/>
        </w:rPr>
        <w:t xml:space="preserve">s relationship with the Trustee and the Advisor and the proprietary and </w:t>
      </w:r>
      <w:r>
        <w:rPr>
          <w:rFonts w:ascii="Arial" w:hAnsi="Arial" w:cs="Arial"/>
          <w:i/>
          <w:iCs/>
          <w:sz w:val="20"/>
          <w:szCs w:val="20"/>
        </w:rPr>
        <w:t>managed trading activities of the Sponsor and its affiliates could conflict with your interests as a Shareholder.</w:t>
      </w:r>
    </w:p>
    <w:p w14:paraId="3B1AD2E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F1A89F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is an affiliate of the Trustee and therefore may have a conflict of interest with respect to its oversight of the Trustee. In pa</w:t>
      </w:r>
      <w:r>
        <w:rPr>
          <w:rFonts w:ascii="Arial" w:hAnsi="Arial" w:cs="Arial"/>
          <w:sz w:val="20"/>
          <w:szCs w:val="20"/>
        </w:rPr>
        <w:t>rticular, the Sponsor, which has authority to remove the Trustee in its discretion, has an incentive not to exercise this authority, even when it is in the best interests of the Shareholders to do so, because of the affiliation between the entities. The Tr</w:t>
      </w:r>
      <w:r>
        <w:rPr>
          <w:rFonts w:ascii="Arial" w:hAnsi="Arial" w:cs="Arial"/>
          <w:sz w:val="20"/>
          <w:szCs w:val="20"/>
        </w:rPr>
        <w:t>ustee is authorized to appoint an unaffiliated Trust Administrator or other agent to carry out all or some of its duties under the Trust Agreement, but is not required to delegate any of its duties to an unaffiliated third party.</w:t>
      </w:r>
    </w:p>
    <w:p w14:paraId="082BA79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DC9240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is an affili</w:t>
      </w:r>
      <w:r>
        <w:rPr>
          <w:rFonts w:ascii="Arial" w:hAnsi="Arial" w:cs="Arial"/>
          <w:sz w:val="20"/>
          <w:szCs w:val="20"/>
        </w:rPr>
        <w:t>ate of the Advisor and therefore may have a similar conflict of interest with respect to its oversight of the Advisor. For example, although the Sponsor has the authority to terminate the Trust’s advisory agreement with the Advisor, it has an incentive not</w:t>
      </w:r>
      <w:r>
        <w:rPr>
          <w:rFonts w:ascii="Arial" w:hAnsi="Arial" w:cs="Arial"/>
          <w:sz w:val="20"/>
          <w:szCs w:val="20"/>
        </w:rPr>
        <w:t xml:space="preserve"> to exercise this authority, even when it is in the best interests of the Shareholders to do so, because of the affiliation between the entities.</w:t>
      </w:r>
    </w:p>
    <w:p w14:paraId="7878B22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958760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As described elsewhere in this report, in return for paying certain amounts that would otherwise be consider</w:t>
      </w:r>
      <w:r>
        <w:rPr>
          <w:rFonts w:ascii="Arial" w:hAnsi="Arial" w:cs="Arial"/>
          <w:sz w:val="20"/>
          <w:szCs w:val="20"/>
        </w:rPr>
        <w:t>ed ordinary operating expenses of the Trust, the Sponsor receives an allocation from the Trust that accrues daily at an annualized rate of up to 0.75% of the Adjusted Net Asset Value of the Trust, is payable monthly in arrears, and is subject to adjustment</w:t>
      </w:r>
      <w:r>
        <w:rPr>
          <w:rFonts w:ascii="Arial" w:hAnsi="Arial" w:cs="Arial"/>
          <w:sz w:val="20"/>
          <w:szCs w:val="20"/>
        </w:rPr>
        <w:t xml:space="preserve"> from time to time, except that the Sponsor’s Fee may not be adjusted to above 0.75% of the Adjusted Net Asset Value absent an amendment to the Trust Agreement and thirty days’ prior notice to registered holders of the Shares. The allocation received by th</w:t>
      </w:r>
      <w:r>
        <w:rPr>
          <w:rFonts w:ascii="Arial" w:hAnsi="Arial" w:cs="Arial"/>
          <w:sz w:val="20"/>
          <w:szCs w:val="20"/>
        </w:rPr>
        <w:t>e Sponsor from the Trust may be higher than the amount the Trust would negotiate with an unaffiliated third party manager on an arms-length basis.</w:t>
      </w:r>
    </w:p>
    <w:p w14:paraId="61B523B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D2710C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addition, the Sponsor and its affiliates (including the Trustee and the Advisor) collectively exercise s</w:t>
      </w:r>
      <w:r>
        <w:rPr>
          <w:rFonts w:ascii="Arial" w:hAnsi="Arial" w:cs="Arial"/>
          <w:sz w:val="20"/>
          <w:szCs w:val="20"/>
        </w:rPr>
        <w:t>ubstantial control over the Trust. To the extent the interests of the Sponsor and its affiliates conflict with those of the Trust and the Shareholders, the risks associated with such conflicts may be greater than they would otherwise be for a party that ca</w:t>
      </w:r>
      <w:r>
        <w:rPr>
          <w:rFonts w:ascii="Arial" w:hAnsi="Arial" w:cs="Arial"/>
          <w:sz w:val="20"/>
          <w:szCs w:val="20"/>
        </w:rPr>
        <w:t xml:space="preserve">nnot exercise such control over the Trust. The Trust Agreement provides that in the case of a conflict of interest between the Trustee, the Sponsor and their affiliates, on the one hand, and the holders of Shares, on the other, the Trustee and the Sponsor </w:t>
      </w:r>
      <w:r>
        <w:rPr>
          <w:rFonts w:ascii="Arial" w:hAnsi="Arial" w:cs="Arial"/>
          <w:sz w:val="20"/>
          <w:szCs w:val="20"/>
        </w:rPr>
        <w:t>will resolve such conflict considering the relevant interests of each party (including their own interests) and related benefits and burdens, any customary or accepted industry practices, and any applicable generally accepted accounting practices or princi</w:t>
      </w:r>
      <w:r>
        <w:rPr>
          <w:rFonts w:ascii="Arial" w:hAnsi="Arial" w:cs="Arial"/>
          <w:sz w:val="20"/>
          <w:szCs w:val="20"/>
        </w:rPr>
        <w:t>ples. The Trust Agreement further provides that in the absence of bad faith by the Trustee or the Sponsor, such a resolution will not constitute a breach of the Trust Agreement or any duty or obligation of the Trustee or the Sponsor.</w:t>
      </w:r>
    </w:p>
    <w:p w14:paraId="5EBB3CB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016238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Sponsor and its </w:t>
      </w:r>
      <w:r>
        <w:rPr>
          <w:rFonts w:ascii="Arial" w:hAnsi="Arial" w:cs="Arial"/>
          <w:sz w:val="20"/>
          <w:szCs w:val="20"/>
        </w:rPr>
        <w:t>affiliates may also engage in trading activities relating to the Index Futures, the components of the Index or the S&amp;P GSCI-ER or other derivative instruments related to those indices that are not for the account of, or on behalf of, the Trust or the Share</w:t>
      </w:r>
      <w:r>
        <w:rPr>
          <w:rFonts w:ascii="Arial" w:hAnsi="Arial" w:cs="Arial"/>
          <w:sz w:val="20"/>
          <w:szCs w:val="20"/>
        </w:rPr>
        <w:t>holders and that may compete with trading activity in the Shares. These activities may present a conflict between the Shareholders’ interest in the Shares and the interest of the Sponsor and its affiliates in their proprietary accounts, in facilitating tra</w:t>
      </w:r>
      <w:r>
        <w:rPr>
          <w:rFonts w:ascii="Arial" w:hAnsi="Arial" w:cs="Arial"/>
          <w:sz w:val="20"/>
          <w:szCs w:val="20"/>
        </w:rPr>
        <w:t>nsactions, including derivatives transactions, for their customers’ accounts and in accounts under their management. These trading activities could be adverse to the interests of the Shareholders. Moreover, the Sponsor and its affiliates have published and</w:t>
      </w:r>
      <w:r>
        <w:rPr>
          <w:rFonts w:ascii="Arial" w:hAnsi="Arial" w:cs="Arial"/>
          <w:sz w:val="20"/>
          <w:szCs w:val="20"/>
        </w:rPr>
        <w:t xml:space="preserve"> in the future expect to publish research reports with respect to commodities markets. This research may express opinions or provide recommendations that are inconsistent with purchasing or holding Shares. The research should not be viewed as a recommendat</w:t>
      </w:r>
      <w:r>
        <w:rPr>
          <w:rFonts w:ascii="Arial" w:hAnsi="Arial" w:cs="Arial"/>
          <w:sz w:val="20"/>
          <w:szCs w:val="20"/>
        </w:rPr>
        <w:t>ion or endorsement of the Shares in any way, and investors must make their own independent investigation of the merits of this investment. Any of these activities by the Sponsor and its affiliates may affect the level of the S&amp;P GSCI-ER or its components a</w:t>
      </w:r>
      <w:r>
        <w:rPr>
          <w:rFonts w:ascii="Arial" w:hAnsi="Arial" w:cs="Arial"/>
          <w:sz w:val="20"/>
          <w:szCs w:val="20"/>
        </w:rPr>
        <w:t>nd, therefore, the value of the Index Futures and the price of the Shares.</w:t>
      </w:r>
    </w:p>
    <w:p w14:paraId="7C5D0DE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8EC969E" w14:textId="77777777" w:rsidR="00000000" w:rsidRDefault="004206B0">
      <w:pPr>
        <w:jc w:val="center"/>
        <w:divId w:val="323362062"/>
        <w:rPr>
          <w:rFonts w:ascii="Arial" w:eastAsia="Times New Roman" w:hAnsi="Arial" w:cs="Arial"/>
          <w:sz w:val="20"/>
          <w:szCs w:val="20"/>
        </w:rPr>
      </w:pPr>
      <w:r>
        <w:rPr>
          <w:rFonts w:ascii="Arial" w:eastAsia="Times New Roman" w:hAnsi="Arial" w:cs="Arial"/>
          <w:sz w:val="20"/>
          <w:szCs w:val="20"/>
        </w:rPr>
        <w:t xml:space="preserve">22 </w:t>
      </w:r>
    </w:p>
    <w:p w14:paraId="475AEA90" w14:textId="77777777" w:rsidR="00000000" w:rsidRDefault="004206B0">
      <w:pPr>
        <w:divId w:val="719207321"/>
        <w:rPr>
          <w:rFonts w:eastAsia="Times New Roman"/>
          <w:sz w:val="20"/>
          <w:szCs w:val="20"/>
        </w:rPr>
      </w:pPr>
      <w:r>
        <w:rPr>
          <w:rFonts w:eastAsia="Times New Roman"/>
          <w:sz w:val="20"/>
          <w:szCs w:val="20"/>
        </w:rPr>
        <w:pict w14:anchorId="71790F10">
          <v:rect id="_x0000_i1061" style="width:415.3pt;height:1.5pt" o:hralign="center" o:hrstd="t" o:hrnoshade="t" o:hr="t" fillcolor="black" stroked="f"/>
        </w:pict>
      </w:r>
    </w:p>
    <w:p w14:paraId="05E574E0" w14:textId="77777777" w:rsidR="00000000" w:rsidRDefault="004206B0">
      <w:pPr>
        <w:divId w:val="893153332"/>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4EC171B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E33759B"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Proprietary trading and other activities by Goldman Sachs and its affiliates could conflict with your interests as a Shareholder.</w:t>
      </w:r>
    </w:p>
    <w:p w14:paraId="4733A12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2B98FD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Activ</w:t>
      </w:r>
      <w:r>
        <w:rPr>
          <w:rFonts w:ascii="Arial" w:hAnsi="Arial" w:cs="Arial"/>
          <w:sz w:val="20"/>
          <w:szCs w:val="20"/>
        </w:rPr>
        <w:t>ities conducted by Goldman Sachs and its affiliates may conflict with your interests as a Shareholder. For example, the Advisor may execute a substantial amount, and potentially all, of the purchases and sales of Index Futures through Goldman Sachs, as the</w:t>
      </w:r>
      <w:r>
        <w:rPr>
          <w:rFonts w:ascii="Arial" w:hAnsi="Arial" w:cs="Arial"/>
          <w:sz w:val="20"/>
          <w:szCs w:val="20"/>
        </w:rPr>
        <w:t xml:space="preserve"> Trust’s Clearing FCM. In addition, it is expected that Goldman Sachs or its accountholders will represent, directly or indirectly, a substantial portion of the short-side market for the Index Futures. Further, Goldman Sachs and its affiliates actively tra</w:t>
      </w:r>
      <w:r>
        <w:rPr>
          <w:rFonts w:ascii="Arial" w:hAnsi="Arial" w:cs="Arial"/>
          <w:sz w:val="20"/>
          <w:szCs w:val="20"/>
        </w:rPr>
        <w:t xml:space="preserve">de futures contracts and options on futures contracts on the commodities that underlie the S&amp;P GSCI™, over-the-counter contracts on these commodities, the underlying commodities included in the S&amp;P GSCI™ and other instruments and derivative products based </w:t>
      </w:r>
      <w:r>
        <w:rPr>
          <w:rFonts w:ascii="Arial" w:hAnsi="Arial" w:cs="Arial"/>
          <w:sz w:val="20"/>
          <w:szCs w:val="20"/>
        </w:rPr>
        <w:t>on the S&amp;P GSCI™ and the S&amp;P GSCI-ER. Any of these activities of Goldman Sachs or its affiliates could adversely affect the level of the S&amp;P GSCI-ER or the Index Futures, directly or indirectly, by affecting the price of the underlying commodities and, the</w:t>
      </w:r>
      <w:r>
        <w:rPr>
          <w:rFonts w:ascii="Arial" w:hAnsi="Arial" w:cs="Arial"/>
          <w:sz w:val="20"/>
          <w:szCs w:val="20"/>
        </w:rPr>
        <w:t>refore, the value of the S&amp;P GSCI</w:t>
      </w:r>
      <w:r>
        <w:rPr>
          <w:rFonts w:ascii="Arial" w:hAnsi="Arial" w:cs="Arial"/>
          <w:sz w:val="20"/>
          <w:szCs w:val="20"/>
        </w:rPr>
        <w:noBreakHyphen/>
        <w:t>ER, the Index Futures and the price of the Shares.</w:t>
      </w:r>
    </w:p>
    <w:p w14:paraId="43D0C41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AFF5FA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Goldman Sachs and its affiliates may also issue or underwrite other securities or financial or derivative instruments with returns indexed to the S&amp;P GSCI™, the S&amp;P GSCI-ER or the Index, which would compete with the Shares. By introducing competing product</w:t>
      </w:r>
      <w:r>
        <w:rPr>
          <w:rFonts w:ascii="Arial" w:hAnsi="Arial" w:cs="Arial"/>
          <w:sz w:val="20"/>
          <w:szCs w:val="20"/>
        </w:rPr>
        <w:t>s into the marketplace, Goldman Sachs and its affiliates could adversely affect the price of the Shares. To the extent that Goldman Sachs or any of its affiliates serve as issuer, agent or underwriter of those securities or other similar instruments, their</w:t>
      </w:r>
      <w:r>
        <w:rPr>
          <w:rFonts w:ascii="Arial" w:hAnsi="Arial" w:cs="Arial"/>
          <w:sz w:val="20"/>
          <w:szCs w:val="20"/>
        </w:rPr>
        <w:t xml:space="preserve"> interests with respect to those products may be adverse to your interests as a Shareholder.</w:t>
      </w:r>
    </w:p>
    <w:p w14:paraId="720647F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6039995"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Risk Factors Relating to Taxes</w:t>
      </w:r>
    </w:p>
    <w:p w14:paraId="0327D4A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A15D752"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Your tax liability could exceed cash distributions on your Shares.</w:t>
      </w:r>
    </w:p>
    <w:p w14:paraId="22F237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14E3B3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You will be required to pay U.S. federal income taxes on yo</w:t>
      </w:r>
      <w:r>
        <w:rPr>
          <w:rFonts w:ascii="Arial" w:hAnsi="Arial" w:cs="Arial"/>
          <w:sz w:val="20"/>
          <w:szCs w:val="20"/>
        </w:rPr>
        <w:t xml:space="preserve">ur allocable share of the Trust’s income, without regard to the receipt of cash distributions on the Shares. There is no obligation to make distributions on the Shares. Accordingly, it is anticipated that you will not receive cash distributions sufficient </w:t>
      </w:r>
      <w:r>
        <w:rPr>
          <w:rFonts w:ascii="Arial" w:hAnsi="Arial" w:cs="Arial"/>
          <w:sz w:val="20"/>
          <w:szCs w:val="20"/>
        </w:rPr>
        <w:t>to cover your allocable share of such taxable income or even the tax liability resulting from that income.</w:t>
      </w:r>
    </w:p>
    <w:p w14:paraId="714196B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C411651"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The Internal Revenue Service (the </w:t>
      </w:r>
      <w:r>
        <w:rPr>
          <w:rFonts w:ascii="Arial" w:hAnsi="Arial" w:cs="Arial"/>
          <w:sz w:val="20"/>
          <w:szCs w:val="20"/>
        </w:rPr>
        <w:t>“</w:t>
      </w:r>
      <w:r>
        <w:rPr>
          <w:rFonts w:ascii="Arial" w:hAnsi="Arial" w:cs="Arial"/>
          <w:i/>
          <w:iCs/>
          <w:sz w:val="20"/>
          <w:szCs w:val="20"/>
        </w:rPr>
        <w:t>IRS</w:t>
      </w:r>
      <w:r>
        <w:rPr>
          <w:rFonts w:ascii="Arial" w:hAnsi="Arial" w:cs="Arial"/>
          <w:sz w:val="20"/>
          <w:szCs w:val="20"/>
        </w:rPr>
        <w:t>”</w:t>
      </w:r>
      <w:r>
        <w:rPr>
          <w:rFonts w:ascii="Arial" w:hAnsi="Arial" w:cs="Arial"/>
          <w:i/>
          <w:iCs/>
          <w:sz w:val="20"/>
          <w:szCs w:val="20"/>
        </w:rPr>
        <w:t>) could adjust or reallocate items of income, gain, deduction, loss and credit with respect to the Shares if</w:t>
      </w:r>
      <w:r>
        <w:rPr>
          <w:rFonts w:ascii="Arial" w:hAnsi="Arial" w:cs="Arial"/>
          <w:i/>
          <w:iCs/>
          <w:sz w:val="20"/>
          <w:szCs w:val="20"/>
        </w:rPr>
        <w:t xml:space="preserve"> the IRS does not accept the assumptions or conventions utilized by the Trust.</w:t>
      </w:r>
    </w:p>
    <w:p w14:paraId="6802283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5CDE3D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U.S. federal income tax rules that apply to partnerships are complex and their application is not always clear. Moreover, the rules generally were not written for, and in </w:t>
      </w:r>
      <w:r>
        <w:rPr>
          <w:rFonts w:ascii="Arial" w:hAnsi="Arial" w:cs="Arial"/>
          <w:sz w:val="20"/>
          <w:szCs w:val="20"/>
        </w:rPr>
        <w:t>some respects are difficult to apply to, publicly traded interests in partnerships. In addition, the Trust will report tax information to you on IRS Schedule K-1 with respect to the Shares. The Trustee shall deliver or cause to be delivered to each Shareho</w:t>
      </w:r>
      <w:r>
        <w:rPr>
          <w:rFonts w:ascii="Arial" w:hAnsi="Arial" w:cs="Arial"/>
          <w:sz w:val="20"/>
          <w:szCs w:val="20"/>
        </w:rPr>
        <w:t>lder an IRS Schedule K-1 as soon as practicable following each fiscal year but generally not later than March 15. Reporting on IRS Schedule K-1 may be somewhat more complex than comparable reporting on IRS Form 1099. Each Shareholder, by its acquisition of</w:t>
      </w:r>
      <w:r>
        <w:rPr>
          <w:rFonts w:ascii="Arial" w:hAnsi="Arial" w:cs="Arial"/>
          <w:sz w:val="20"/>
          <w:szCs w:val="20"/>
        </w:rPr>
        <w:t xml:space="preserve"> Shares, will be deemed to agree to allow brokers and nominees to provide to the Trust its name and address and the other information and forms as may be reasonably requested by the Trust for purposes of complying with their tax reporting and withholding o</w:t>
      </w:r>
      <w:r>
        <w:rPr>
          <w:rFonts w:ascii="Arial" w:hAnsi="Arial" w:cs="Arial"/>
          <w:sz w:val="20"/>
          <w:szCs w:val="20"/>
        </w:rPr>
        <w:t>bligations (and to waive any confidentiality rights with respect to the information and forms for this purpose) and to provide information or forms upon request.</w:t>
      </w:r>
    </w:p>
    <w:p w14:paraId="36AB178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CB2A77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Investors in the Shares should consult their tax advisors in determining how to use the info</w:t>
      </w:r>
      <w:r>
        <w:rPr>
          <w:rFonts w:ascii="Arial" w:hAnsi="Arial" w:cs="Arial"/>
          <w:sz w:val="20"/>
          <w:szCs w:val="20"/>
        </w:rPr>
        <w:t>rmation reported on IRS Schedule K-1 to complete their income tax returns. The Trust will apply certain assumptions and conventions intended to comply with the intent of the rules and to report income, gain, deduction, loss and credit to investors in a man</w:t>
      </w:r>
      <w:r>
        <w:rPr>
          <w:rFonts w:ascii="Arial" w:hAnsi="Arial" w:cs="Arial"/>
          <w:sz w:val="20"/>
          <w:szCs w:val="20"/>
        </w:rPr>
        <w:t xml:space="preserve">ner that reflects the investors’ economic gains and losses, but these assumptions and conventions may not comply with all aspects of the applicable Treasury regulations. It is possible therefore that the IRS will successfully assert that these assumptions </w:t>
      </w:r>
      <w:r>
        <w:rPr>
          <w:rFonts w:ascii="Arial" w:hAnsi="Arial" w:cs="Arial"/>
          <w:sz w:val="20"/>
          <w:szCs w:val="20"/>
        </w:rPr>
        <w:t>or conventions do not satisfy the technical requirements of the U.S. Internal Revenue Code of 1986, as amended, (the “Code”) or the Treasury regulations promulgated thereunder and will require that items of income, gain, deduction, loss and credit be adjus</w:t>
      </w:r>
      <w:r>
        <w:rPr>
          <w:rFonts w:ascii="Arial" w:hAnsi="Arial" w:cs="Arial"/>
          <w:sz w:val="20"/>
          <w:szCs w:val="20"/>
        </w:rPr>
        <w:t>ted or reallocated in a manner that could be adverse to you.</w:t>
      </w:r>
    </w:p>
    <w:p w14:paraId="4CCFE2D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E3D2A31"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i/>
          <w:iCs/>
          <w:sz w:val="20"/>
          <w:szCs w:val="20"/>
        </w:rPr>
        <w:t>If the Trust were to fail to qualify as a partnership for U.S. federal income tax purposes, the Trust</w:t>
      </w:r>
      <w:r>
        <w:rPr>
          <w:rFonts w:ascii="Arial" w:hAnsi="Arial" w:cs="Arial"/>
          <w:sz w:val="20"/>
          <w:szCs w:val="20"/>
        </w:rPr>
        <w:t>’</w:t>
      </w:r>
      <w:r>
        <w:rPr>
          <w:rFonts w:ascii="Arial" w:hAnsi="Arial" w:cs="Arial"/>
          <w:i/>
          <w:iCs/>
          <w:sz w:val="20"/>
          <w:szCs w:val="20"/>
        </w:rPr>
        <w:t>s income and items of deduction would not pass through to the Shareholders, the Trust would</w:t>
      </w:r>
      <w:r>
        <w:rPr>
          <w:rFonts w:ascii="Arial" w:hAnsi="Arial" w:cs="Arial"/>
          <w:i/>
          <w:iCs/>
          <w:sz w:val="20"/>
          <w:szCs w:val="20"/>
        </w:rPr>
        <w:t xml:space="preserve"> be required to pay tax at corporate rates on any portion of the Trust</w:t>
      </w:r>
      <w:r>
        <w:rPr>
          <w:rFonts w:ascii="Arial" w:hAnsi="Arial" w:cs="Arial"/>
          <w:sz w:val="20"/>
          <w:szCs w:val="20"/>
        </w:rPr>
        <w:t>’</w:t>
      </w:r>
      <w:r>
        <w:rPr>
          <w:rFonts w:ascii="Arial" w:hAnsi="Arial" w:cs="Arial"/>
          <w:i/>
          <w:iCs/>
          <w:sz w:val="20"/>
          <w:szCs w:val="20"/>
        </w:rPr>
        <w:t>s net income that does not constitute tax-exempt income and distributions by the Trust to the Trust</w:t>
      </w:r>
      <w:r>
        <w:rPr>
          <w:rFonts w:ascii="Arial" w:hAnsi="Arial" w:cs="Arial"/>
          <w:sz w:val="20"/>
          <w:szCs w:val="20"/>
        </w:rPr>
        <w:t>’</w:t>
      </w:r>
      <w:r>
        <w:rPr>
          <w:rFonts w:ascii="Arial" w:hAnsi="Arial" w:cs="Arial"/>
          <w:i/>
          <w:iCs/>
          <w:sz w:val="20"/>
          <w:szCs w:val="20"/>
        </w:rPr>
        <w:t>s Shareholders would be taxable dividends to the extent of the Trust</w:t>
      </w:r>
      <w:r>
        <w:rPr>
          <w:rFonts w:ascii="Arial" w:hAnsi="Arial" w:cs="Arial"/>
          <w:sz w:val="20"/>
          <w:szCs w:val="20"/>
        </w:rPr>
        <w:t>’</w:t>
      </w:r>
      <w:r>
        <w:rPr>
          <w:rFonts w:ascii="Arial" w:hAnsi="Arial" w:cs="Arial"/>
          <w:i/>
          <w:iCs/>
          <w:sz w:val="20"/>
          <w:szCs w:val="20"/>
        </w:rPr>
        <w:t>s earnings and p</w:t>
      </w:r>
      <w:r>
        <w:rPr>
          <w:rFonts w:ascii="Arial" w:hAnsi="Arial" w:cs="Arial"/>
          <w:i/>
          <w:iCs/>
          <w:sz w:val="20"/>
          <w:szCs w:val="20"/>
        </w:rPr>
        <w:t>rofits.</w:t>
      </w:r>
    </w:p>
    <w:p w14:paraId="6B88717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C75CFF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 is expected that the Trust will operate and be classified as a partnership for U.S. federal income tax purposes. So long as the Trust qualifies as a partnership, it will be able to pass through its income, including the Trust’s federally tax-e</w:t>
      </w:r>
      <w:r>
        <w:rPr>
          <w:rFonts w:ascii="Arial" w:hAnsi="Arial" w:cs="Arial"/>
          <w:sz w:val="20"/>
          <w:szCs w:val="20"/>
        </w:rPr>
        <w:t>xempt income, if any, and deductions to the Shareholders. The Trust’s qualification as a partnership for U.S. federal income tax purposes involves the application of numerous technical provisions under which there is a lack of direct authority. In general,</w:t>
      </w:r>
      <w:r>
        <w:rPr>
          <w:rFonts w:ascii="Arial" w:hAnsi="Arial" w:cs="Arial"/>
          <w:sz w:val="20"/>
          <w:szCs w:val="20"/>
        </w:rPr>
        <w:t xml:space="preserve"> if a partnership is “publicly traded”, as defined in the Code, it will be treated as a corporation for U.S. federal income tax purposes. It is expected that the Trust will be treated as a publicly traded partnership. A publicly traded partnership will, ho</w:t>
      </w:r>
      <w:r>
        <w:rPr>
          <w:rFonts w:ascii="Arial" w:hAnsi="Arial" w:cs="Arial"/>
          <w:sz w:val="20"/>
          <w:szCs w:val="20"/>
        </w:rPr>
        <w:t>wever, be taxed as a partnership, and not as a corporation, for U.S. federal income tax purposes, so long as 90% or more of its gross income for each taxable year constitutes “qualifying income” within the meaning of Section 7704(d) of the Code and the par</w:t>
      </w:r>
      <w:r>
        <w:rPr>
          <w:rFonts w:ascii="Arial" w:hAnsi="Arial" w:cs="Arial"/>
          <w:sz w:val="20"/>
          <w:szCs w:val="20"/>
        </w:rPr>
        <w:t>tnership is not required to register under the Investment Company Act. This exception is referred to as the “qualifying income exception.” Qualifying income generally includes interest (other than certain contingent interest and interest derived in the con</w:t>
      </w:r>
      <w:r>
        <w:rPr>
          <w:rFonts w:ascii="Arial" w:hAnsi="Arial" w:cs="Arial"/>
          <w:sz w:val="20"/>
          <w:szCs w:val="20"/>
        </w:rPr>
        <w:t>duct of a financial or insurance business), dividends, real property rents and income from certain commodities transactions.</w:t>
      </w:r>
    </w:p>
    <w:p w14:paraId="7EB96DE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AB967D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less than 90% of the Trust’s gross income for any tax year constitutes qualifying income, for any reason, other than a failure</w:t>
      </w:r>
      <w:r>
        <w:rPr>
          <w:rFonts w:ascii="Arial" w:hAnsi="Arial" w:cs="Arial"/>
          <w:sz w:val="20"/>
          <w:szCs w:val="20"/>
        </w:rPr>
        <w:t xml:space="preserve"> that is determined to be inadvertent and that is cured within a reasonable time after discovery, or if the Trust is required to register under the Investment Company Act, the Trust’s items of income and deduction would not pass through to the Trust’s Shar</w:t>
      </w:r>
      <w:r>
        <w:rPr>
          <w:rFonts w:ascii="Arial" w:hAnsi="Arial" w:cs="Arial"/>
          <w:sz w:val="20"/>
          <w:szCs w:val="20"/>
        </w:rPr>
        <w:t>eholders and the Trust’s Shareholders would be treated for U.S. federal income tax purposes as stockholders in a corporation. The Trust would be required to pay income tax at corporate rates on its net taxable income. Distributions by the Trust to its Shar</w:t>
      </w:r>
      <w:r>
        <w:rPr>
          <w:rFonts w:ascii="Arial" w:hAnsi="Arial" w:cs="Arial"/>
          <w:sz w:val="20"/>
          <w:szCs w:val="20"/>
        </w:rPr>
        <w:t xml:space="preserve">eholders would constitute dividend income taxable to such holders to the extent of the Trust’s earnings and profits and the payment of these distributions would not be deductible by the Trust. These consequences could have a material adverse effect on the </w:t>
      </w:r>
      <w:r>
        <w:rPr>
          <w:rFonts w:ascii="Arial" w:hAnsi="Arial" w:cs="Arial"/>
          <w:sz w:val="20"/>
          <w:szCs w:val="20"/>
        </w:rPr>
        <w:t>Trust, its Shareholders and the value of the Shares.</w:t>
      </w:r>
    </w:p>
    <w:p w14:paraId="25D297B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B137983" w14:textId="77777777" w:rsidR="00000000" w:rsidRDefault="004206B0">
      <w:pPr>
        <w:jc w:val="center"/>
        <w:divId w:val="46952754"/>
        <w:rPr>
          <w:rFonts w:ascii="Arial" w:eastAsia="Times New Roman" w:hAnsi="Arial" w:cs="Arial"/>
          <w:sz w:val="20"/>
          <w:szCs w:val="20"/>
        </w:rPr>
      </w:pPr>
      <w:r>
        <w:rPr>
          <w:rFonts w:ascii="Arial" w:eastAsia="Times New Roman" w:hAnsi="Arial" w:cs="Arial"/>
          <w:sz w:val="20"/>
          <w:szCs w:val="20"/>
        </w:rPr>
        <w:t xml:space="preserve">23 </w:t>
      </w:r>
    </w:p>
    <w:p w14:paraId="5529603E" w14:textId="77777777" w:rsidR="00000000" w:rsidRDefault="004206B0">
      <w:pPr>
        <w:divId w:val="925847460"/>
        <w:rPr>
          <w:rFonts w:eastAsia="Times New Roman"/>
          <w:sz w:val="20"/>
          <w:szCs w:val="20"/>
        </w:rPr>
      </w:pPr>
      <w:r>
        <w:rPr>
          <w:rFonts w:eastAsia="Times New Roman"/>
          <w:sz w:val="20"/>
          <w:szCs w:val="20"/>
        </w:rPr>
        <w:pict w14:anchorId="4C43D711">
          <v:rect id="_x0000_i1062" style="width:415.3pt;height:1.5pt" o:hralign="center" o:hrstd="t" o:hrnoshade="t" o:hr="t" fillcolor="black" stroked="f"/>
        </w:pict>
      </w:r>
    </w:p>
    <w:p w14:paraId="2F5E1992" w14:textId="77777777" w:rsidR="00000000" w:rsidRDefault="004206B0">
      <w:pPr>
        <w:divId w:val="893201049"/>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4807B0D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A18B1F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If the IRS makes audit adjustments to the Trust</w:t>
      </w:r>
      <w:r>
        <w:rPr>
          <w:rFonts w:ascii="Arial" w:hAnsi="Arial" w:cs="Arial"/>
          <w:sz w:val="20"/>
          <w:szCs w:val="20"/>
        </w:rPr>
        <w:t>’</w:t>
      </w:r>
      <w:r>
        <w:rPr>
          <w:rFonts w:ascii="Arial" w:hAnsi="Arial" w:cs="Arial"/>
          <w:i/>
          <w:iCs/>
          <w:sz w:val="20"/>
          <w:szCs w:val="20"/>
        </w:rPr>
        <w:t>s income tax returns for tax years beginning after 2017, it may collect any resulting taxes (</w:t>
      </w:r>
      <w:r>
        <w:rPr>
          <w:rFonts w:ascii="Arial" w:hAnsi="Arial" w:cs="Arial"/>
          <w:i/>
          <w:iCs/>
          <w:sz w:val="20"/>
          <w:szCs w:val="20"/>
        </w:rPr>
        <w:t>including any applicable penalties and interest) directly from the Trust, in which case the cash available for the distribution to the Trust</w:t>
      </w:r>
      <w:r>
        <w:rPr>
          <w:rFonts w:ascii="Arial" w:hAnsi="Arial" w:cs="Arial"/>
          <w:sz w:val="20"/>
          <w:szCs w:val="20"/>
        </w:rPr>
        <w:t>’</w:t>
      </w:r>
      <w:r>
        <w:rPr>
          <w:rFonts w:ascii="Arial" w:hAnsi="Arial" w:cs="Arial"/>
          <w:i/>
          <w:iCs/>
          <w:sz w:val="20"/>
          <w:szCs w:val="20"/>
        </w:rPr>
        <w:t>s Shareholders might be substantially reduced.</w:t>
      </w:r>
    </w:p>
    <w:p w14:paraId="506FA2C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5C55F0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If the IRS makes audit adjustments to the Trust’s U.S. federal income tax returns for the Trust’s taxable years beginning after December 31, 2017, it may collect any resulting taxes (including any applicable penalties and interest) directly from the Trust.</w:t>
      </w:r>
      <w:r>
        <w:rPr>
          <w:rFonts w:ascii="Arial" w:hAnsi="Arial" w:cs="Arial"/>
          <w:sz w:val="20"/>
          <w:szCs w:val="20"/>
        </w:rPr>
        <w:t xml:space="preserve"> The Trust may have the ability to shift any such tax liability to the Sponsor and the Trust’s Shareholders in accordance with their interests in the Trust during the year under audit, but there can be no assurance that it will be able to do so, in which c</w:t>
      </w:r>
      <w:r>
        <w:rPr>
          <w:rFonts w:ascii="Arial" w:hAnsi="Arial" w:cs="Arial"/>
          <w:sz w:val="20"/>
          <w:szCs w:val="20"/>
        </w:rPr>
        <w:t xml:space="preserve">ase the current Shareholders would economically bear the burden of the tax even if they were not Shareholders during the year under audit (or if they had a different percentage interest in the Trust in that year). If the Trust is required to make payments </w:t>
      </w:r>
      <w:r>
        <w:rPr>
          <w:rFonts w:ascii="Arial" w:hAnsi="Arial" w:cs="Arial"/>
          <w:sz w:val="20"/>
          <w:szCs w:val="20"/>
        </w:rPr>
        <w:t>of taxes, penalties and interest resulting from audit adjustments, the cash available for distribution to the Trust’s Shareholders might be substantially reduced. Investors in the Shares are urged to consult their tax advisors regarding these rules and the</w:t>
      </w:r>
      <w:r>
        <w:rPr>
          <w:rFonts w:ascii="Arial" w:hAnsi="Arial" w:cs="Arial"/>
          <w:sz w:val="20"/>
          <w:szCs w:val="20"/>
        </w:rPr>
        <w:t>ir potential impact.</w:t>
      </w:r>
    </w:p>
    <w:p w14:paraId="5FDC41A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FCE710B"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Shareholders that are not U.S. persons could be subject to U.S. federal income tax, including a 10% withholding tax, on the disposition of their Shares.</w:t>
      </w:r>
    </w:p>
    <w:p w14:paraId="4DD3654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1E103B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 is expected that the Trust will be treated as a publicly traded partnership</w:t>
      </w:r>
      <w:r>
        <w:rPr>
          <w:rFonts w:ascii="Arial" w:hAnsi="Arial" w:cs="Arial"/>
          <w:sz w:val="20"/>
          <w:szCs w:val="20"/>
        </w:rPr>
        <w:t xml:space="preserve"> for U.S. federal income tax purposes, and investors are expected to be taxed as partners in a partnership. Although the Trust intends to conduct its activities in a manner that avoids the conduct of a U.S. trade or business, if the IRS were to determine t</w:t>
      </w:r>
      <w:r>
        <w:rPr>
          <w:rFonts w:ascii="Arial" w:hAnsi="Arial" w:cs="Arial"/>
          <w:sz w:val="20"/>
          <w:szCs w:val="20"/>
        </w:rPr>
        <w:t>hat the Trust is engaged in a U.S. trade or business for U.S. federal income tax purposes, any gain recognized by a foreign transferor on the sale, exchange or other disposition of Shares would generally be treated as “effectively connected” with such trad</w:t>
      </w:r>
      <w:r>
        <w:rPr>
          <w:rFonts w:ascii="Arial" w:hAnsi="Arial" w:cs="Arial"/>
          <w:sz w:val="20"/>
          <w:szCs w:val="20"/>
        </w:rPr>
        <w:t>e or business to the extent it does not exceed the effectively connected gain that would be allocable to the transferor if the Trust sold all of its assets at their fair market value as of the date of the transferor’s disposition. Any such gain that is tre</w:t>
      </w:r>
      <w:r>
        <w:rPr>
          <w:rFonts w:ascii="Arial" w:hAnsi="Arial" w:cs="Arial"/>
          <w:sz w:val="20"/>
          <w:szCs w:val="20"/>
        </w:rPr>
        <w:t>ated as effectively connected will generally be subject to U.S. federal income tax.</w:t>
      </w:r>
    </w:p>
    <w:p w14:paraId="7057B8A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052C0B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 addition, the transferee of the Shares or the applicable withholding agent generally would be required to deduct and withhold a tax equal to 10% of the amount realized</w:t>
      </w:r>
      <w:r>
        <w:rPr>
          <w:rFonts w:ascii="Arial" w:hAnsi="Arial" w:cs="Arial"/>
          <w:sz w:val="20"/>
          <w:szCs w:val="20"/>
        </w:rPr>
        <w:t xml:space="preserve"> by the transferor on the disposition, which would include an allocable portion of the Trust’s liabilities and would therefore generally exceed the amount of cash received by the transferor in the disposition, unless an exception to withholding applies, in</w:t>
      </w:r>
      <w:r>
        <w:rPr>
          <w:rFonts w:ascii="Arial" w:hAnsi="Arial" w:cs="Arial"/>
          <w:sz w:val="20"/>
          <w:szCs w:val="20"/>
        </w:rPr>
        <w:t>cluding if the transferor provides an affidavit stating the transferor’s taxpayer identification number and that the transferor is not a foreign person. Another exception to this withholding requirement applies if the Trust properly certifies via public no</w:t>
      </w:r>
      <w:r>
        <w:rPr>
          <w:rFonts w:ascii="Arial" w:hAnsi="Arial" w:cs="Arial"/>
          <w:sz w:val="20"/>
          <w:szCs w:val="20"/>
        </w:rPr>
        <w:t>tice that it was not engaged in a trade or business within the United States at any time during the Trust's taxable year through the date designated on the public notice. The Trust intends to post a quarterly notice to the Fund's website confirming that it</w:t>
      </w:r>
      <w:r>
        <w:rPr>
          <w:rFonts w:ascii="Arial" w:hAnsi="Arial" w:cs="Arial"/>
          <w:sz w:val="20"/>
          <w:szCs w:val="20"/>
        </w:rPr>
        <w:t xml:space="preserve"> has not engaged in a U.S. trade or business. This notice is intended to allow non-U.S. Shareholders to indicate that the amount realized on the transfer of their Shares should not be subject to this withholding tax. If the transferee fails to properly wit</w:t>
      </w:r>
      <w:r>
        <w:rPr>
          <w:rFonts w:ascii="Arial" w:hAnsi="Arial" w:cs="Arial"/>
          <w:sz w:val="20"/>
          <w:szCs w:val="20"/>
        </w:rPr>
        <w:t>hhold such tax when required to do so, the Trust would be required to deduct and withhold from distributions to the transferee a tax in an amount equal to the amount the transferee failed to withhold, plus interest.</w:t>
      </w:r>
    </w:p>
    <w:p w14:paraId="31B8309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22C809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withholding requirements with resp</w:t>
      </w:r>
      <w:r>
        <w:rPr>
          <w:rFonts w:ascii="Arial" w:hAnsi="Arial" w:cs="Arial"/>
          <w:sz w:val="20"/>
          <w:szCs w:val="20"/>
        </w:rPr>
        <w:t>ect to the disposition of an interest in a publicly traded partnership apply to dispositions made on or after January 1, 2023. Investors in the Shares are urged to consult their tax advisors regarding these rules and their potential impact.</w:t>
      </w:r>
    </w:p>
    <w:p w14:paraId="004E377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3B2877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30358F6"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1B. Unresolved Staff Comments.</w:t>
      </w:r>
    </w:p>
    <w:p w14:paraId="3278873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4E75AF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None.</w:t>
      </w:r>
    </w:p>
    <w:p w14:paraId="4A9A73E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25C3BA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769695B"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2. Properties.</w:t>
      </w:r>
    </w:p>
    <w:p w14:paraId="31FBB34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019A83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13576F1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C4DC42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E6A3313"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3. Legal Proceedings.</w:t>
      </w:r>
    </w:p>
    <w:p w14:paraId="7B36613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03CDBB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None.</w:t>
      </w:r>
    </w:p>
    <w:p w14:paraId="69C4E53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19B9AE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9922A72"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14:paraId="4773166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5304A9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48AA210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1C2D148" w14:textId="77777777" w:rsidR="00000000" w:rsidRDefault="004206B0">
      <w:pPr>
        <w:jc w:val="center"/>
        <w:divId w:val="1879733102"/>
        <w:rPr>
          <w:rFonts w:ascii="Arial" w:eastAsia="Times New Roman" w:hAnsi="Arial" w:cs="Arial"/>
          <w:sz w:val="20"/>
          <w:szCs w:val="20"/>
        </w:rPr>
      </w:pPr>
      <w:r>
        <w:rPr>
          <w:rFonts w:ascii="Arial" w:eastAsia="Times New Roman" w:hAnsi="Arial" w:cs="Arial"/>
          <w:sz w:val="20"/>
          <w:szCs w:val="20"/>
        </w:rPr>
        <w:t xml:space="preserve">24 </w:t>
      </w:r>
    </w:p>
    <w:p w14:paraId="69E37DA9" w14:textId="77777777" w:rsidR="00000000" w:rsidRDefault="004206B0">
      <w:pPr>
        <w:divId w:val="1238125165"/>
        <w:rPr>
          <w:rFonts w:eastAsia="Times New Roman"/>
          <w:sz w:val="20"/>
          <w:szCs w:val="20"/>
        </w:rPr>
      </w:pPr>
      <w:r>
        <w:rPr>
          <w:rFonts w:eastAsia="Times New Roman"/>
          <w:sz w:val="20"/>
          <w:szCs w:val="20"/>
        </w:rPr>
        <w:pict w14:anchorId="619E8390">
          <v:rect id="_x0000_i1063" style="width:415.3pt;height:1.5pt" o:hralign="center" o:hrstd="t" o:hrnoshade="t" o:hr="t" fillcolor="black" stroked="f"/>
        </w:pict>
      </w:r>
    </w:p>
    <w:p w14:paraId="5758B9AC" w14:textId="77777777" w:rsidR="00000000" w:rsidRDefault="004206B0">
      <w:pPr>
        <w:divId w:val="187191155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01D7F04D" w14:textId="77777777" w:rsidR="00000000" w:rsidRDefault="004206B0">
      <w:pPr>
        <w:pStyle w:val="a3"/>
        <w:spacing w:before="0" w:beforeAutospacing="0" w:after="0" w:afterAutospacing="0"/>
        <w:rPr>
          <w:sz w:val="20"/>
          <w:szCs w:val="20"/>
        </w:rPr>
      </w:pPr>
      <w:r>
        <w:rPr>
          <w:sz w:val="20"/>
          <w:szCs w:val="20"/>
        </w:rPr>
        <w:t> </w:t>
      </w:r>
    </w:p>
    <w:p w14:paraId="542A744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PART II</w:t>
      </w:r>
    </w:p>
    <w:p w14:paraId="7BBB3AA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8C71E38"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5. Market for Registrant</w:t>
      </w:r>
      <w:r>
        <w:rPr>
          <w:rFonts w:ascii="Arial" w:hAnsi="Arial" w:cs="Arial"/>
          <w:sz w:val="20"/>
          <w:szCs w:val="20"/>
        </w:rPr>
        <w:t>’</w:t>
      </w:r>
      <w:r>
        <w:rPr>
          <w:rFonts w:ascii="Arial" w:hAnsi="Arial" w:cs="Arial"/>
          <w:b/>
          <w:bCs/>
          <w:sz w:val="20"/>
          <w:szCs w:val="20"/>
        </w:rPr>
        <w:t>s Common Equity, Related Stockholder Matters and Issuer Purchases of Equity Sec</w:t>
      </w:r>
      <w:r>
        <w:rPr>
          <w:rFonts w:ascii="Arial" w:hAnsi="Arial" w:cs="Arial"/>
          <w:b/>
          <w:bCs/>
          <w:sz w:val="20"/>
          <w:szCs w:val="20"/>
        </w:rPr>
        <w:t>urities.</w:t>
      </w:r>
    </w:p>
    <w:p w14:paraId="69DF31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2815978"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Market Information</w:t>
      </w:r>
    </w:p>
    <w:p w14:paraId="27521D1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4330D0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On December 27, 2007, the Shares commenced trading on NYSE Arca under the ticker symbol GSG. Prior to that, the Shares were traded on the NYSE, also under the symbol GSG, since their initial public offering on July 19, 2006.</w:t>
      </w:r>
    </w:p>
    <w:p w14:paraId="0587307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E5C03AD"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Holders</w:t>
      </w:r>
    </w:p>
    <w:p w14:paraId="1B05DCA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AEE3C6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As of December 31, 2022, there were approximately 114 DTC participating shareholders of record of the Trust. Because most of the Trust’s Shares are held by brokers and other institutions on behalf of shareholders, we are unable to estimate the</w:t>
      </w:r>
      <w:r>
        <w:rPr>
          <w:rFonts w:ascii="Arial" w:hAnsi="Arial" w:cs="Arial"/>
          <w:sz w:val="20"/>
          <w:szCs w:val="20"/>
        </w:rPr>
        <w:t xml:space="preserve"> total number of shareholders represented by these record holders.</w:t>
      </w:r>
    </w:p>
    <w:p w14:paraId="3090C19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C5FAD3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Dividends</w:t>
      </w:r>
    </w:p>
    <w:p w14:paraId="3D84543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89FC84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did not declare any cash distributions to Shareholders during the fiscal years ended December 31, 2022 and 2021. The Trust has no obligation to make periodic distrib</w:t>
      </w:r>
      <w:r>
        <w:rPr>
          <w:rFonts w:ascii="Arial" w:hAnsi="Arial" w:cs="Arial"/>
          <w:sz w:val="20"/>
          <w:szCs w:val="20"/>
        </w:rPr>
        <w:t>utions to Shareholders.</w:t>
      </w:r>
    </w:p>
    <w:p w14:paraId="44D22C4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DF937EB"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Use of Proceeds from Registered Securities</w:t>
      </w:r>
    </w:p>
    <w:p w14:paraId="6CE31EF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026E4F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4F2A69F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92EFB59"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Purchases of Equity Securities by the Issuers and Affiliated Purchasers</w:t>
      </w:r>
    </w:p>
    <w:p w14:paraId="0A6D530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F17419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12,900,000 Shares (258 Baskets) were redeemed during the fourth quarter of the year ended December 31, 2022.</w:t>
      </w:r>
    </w:p>
    <w:p w14:paraId="5A3CC02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81"/>
        <w:gridCol w:w="79"/>
        <w:gridCol w:w="79"/>
        <w:gridCol w:w="1657"/>
        <w:gridCol w:w="79"/>
        <w:gridCol w:w="80"/>
        <w:gridCol w:w="113"/>
        <w:gridCol w:w="1658"/>
        <w:gridCol w:w="80"/>
      </w:tblGrid>
      <w:tr w:rsidR="00000000" w14:paraId="39C92350" w14:textId="77777777">
        <w:trPr>
          <w:tblCellSpacing w:w="0" w:type="dxa"/>
        </w:trPr>
        <w:tc>
          <w:tcPr>
            <w:tcW w:w="2700" w:type="pct"/>
            <w:tcBorders>
              <w:bottom w:val="single" w:sz="6" w:space="0" w:color="000000"/>
            </w:tcBorders>
            <w:vAlign w:val="bottom"/>
            <w:hideMark/>
          </w:tcPr>
          <w:p w14:paraId="67A3B69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Period</w:t>
            </w:r>
          </w:p>
        </w:tc>
        <w:tc>
          <w:tcPr>
            <w:tcW w:w="50" w:type="pct"/>
            <w:vAlign w:val="bottom"/>
            <w:hideMark/>
          </w:tcPr>
          <w:p w14:paraId="0EA16BD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1B309E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Total Number of Shares Redeemed</w:t>
            </w:r>
          </w:p>
        </w:tc>
        <w:tc>
          <w:tcPr>
            <w:tcW w:w="50" w:type="pct"/>
            <w:tcMar>
              <w:top w:w="0" w:type="dxa"/>
              <w:left w:w="0" w:type="dxa"/>
              <w:bottom w:w="15" w:type="dxa"/>
              <w:right w:w="0" w:type="dxa"/>
            </w:tcMar>
            <w:vAlign w:val="bottom"/>
            <w:hideMark/>
          </w:tcPr>
          <w:p w14:paraId="2C8F7A8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175C227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44A353D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Average Price</w:t>
            </w:r>
          </w:p>
          <w:p w14:paraId="48D4882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Per Share</w:t>
            </w:r>
          </w:p>
        </w:tc>
        <w:tc>
          <w:tcPr>
            <w:tcW w:w="50" w:type="pct"/>
            <w:tcMar>
              <w:top w:w="0" w:type="dxa"/>
              <w:left w:w="0" w:type="dxa"/>
              <w:bottom w:w="15" w:type="dxa"/>
              <w:right w:w="0" w:type="dxa"/>
            </w:tcMar>
            <w:vAlign w:val="bottom"/>
            <w:hideMark/>
          </w:tcPr>
          <w:p w14:paraId="1C77C4E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D9A2D1D" w14:textId="77777777">
        <w:trPr>
          <w:tblCellSpacing w:w="0" w:type="dxa"/>
        </w:trPr>
        <w:tc>
          <w:tcPr>
            <w:tcW w:w="2700" w:type="pct"/>
            <w:shd w:val="clear" w:color="auto" w:fill="CCEEFF"/>
            <w:vAlign w:val="bottom"/>
            <w:hideMark/>
          </w:tcPr>
          <w:p w14:paraId="745C8EA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10/01/22 to 10/31/22</w:t>
            </w:r>
          </w:p>
        </w:tc>
        <w:tc>
          <w:tcPr>
            <w:tcW w:w="50" w:type="pct"/>
            <w:shd w:val="clear" w:color="auto" w:fill="CCEEFF"/>
            <w:vAlign w:val="bottom"/>
            <w:hideMark/>
          </w:tcPr>
          <w:p w14:paraId="1DD9674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5CA52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5389B2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650,000</w:t>
            </w:r>
          </w:p>
        </w:tc>
        <w:tc>
          <w:tcPr>
            <w:tcW w:w="50" w:type="pct"/>
            <w:shd w:val="clear" w:color="auto" w:fill="CCEEFF"/>
            <w:vAlign w:val="bottom"/>
            <w:hideMark/>
          </w:tcPr>
          <w:p w14:paraId="77A482F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4194E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7FB155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14:paraId="566EDBA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22.05</w:t>
            </w:r>
          </w:p>
        </w:tc>
        <w:tc>
          <w:tcPr>
            <w:tcW w:w="50" w:type="pct"/>
            <w:shd w:val="clear" w:color="auto" w:fill="CCEEFF"/>
            <w:vAlign w:val="bottom"/>
            <w:hideMark/>
          </w:tcPr>
          <w:p w14:paraId="75EDC48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3FAD479" w14:textId="77777777">
        <w:trPr>
          <w:tblCellSpacing w:w="0" w:type="dxa"/>
        </w:trPr>
        <w:tc>
          <w:tcPr>
            <w:tcW w:w="2700" w:type="pct"/>
            <w:shd w:val="clear" w:color="auto" w:fill="FFFFFF"/>
            <w:vAlign w:val="bottom"/>
            <w:hideMark/>
          </w:tcPr>
          <w:p w14:paraId="5EC18DE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11/01/22 to 11/30/22</w:t>
            </w:r>
          </w:p>
        </w:tc>
        <w:tc>
          <w:tcPr>
            <w:tcW w:w="50" w:type="pct"/>
            <w:shd w:val="clear" w:color="auto" w:fill="FFFFFF"/>
            <w:vAlign w:val="bottom"/>
            <w:hideMark/>
          </w:tcPr>
          <w:p w14:paraId="426E6F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AAEB8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351A9B5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800,000</w:t>
            </w:r>
          </w:p>
        </w:tc>
        <w:tc>
          <w:tcPr>
            <w:tcW w:w="50" w:type="pct"/>
            <w:shd w:val="clear" w:color="auto" w:fill="FFFFFF"/>
            <w:vAlign w:val="bottom"/>
            <w:hideMark/>
          </w:tcPr>
          <w:p w14:paraId="58C752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1B95F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F9929D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61E833B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21.44</w:t>
            </w:r>
          </w:p>
        </w:tc>
        <w:tc>
          <w:tcPr>
            <w:tcW w:w="50" w:type="pct"/>
            <w:shd w:val="clear" w:color="auto" w:fill="FFFFFF"/>
            <w:vAlign w:val="bottom"/>
            <w:hideMark/>
          </w:tcPr>
          <w:p w14:paraId="2415D0E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7B4AB86" w14:textId="77777777">
        <w:trPr>
          <w:tblCellSpacing w:w="0" w:type="dxa"/>
        </w:trPr>
        <w:tc>
          <w:tcPr>
            <w:tcW w:w="2700" w:type="pct"/>
            <w:shd w:val="clear" w:color="auto" w:fill="CCEEFF"/>
            <w:vAlign w:val="bottom"/>
            <w:hideMark/>
          </w:tcPr>
          <w:p w14:paraId="78B6218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12/01/22 to 12/31/22</w:t>
            </w:r>
          </w:p>
        </w:tc>
        <w:tc>
          <w:tcPr>
            <w:tcW w:w="50" w:type="pct"/>
            <w:shd w:val="clear" w:color="auto" w:fill="CCEEFF"/>
            <w:vAlign w:val="bottom"/>
            <w:hideMark/>
          </w:tcPr>
          <w:p w14:paraId="7E308CA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79102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shd w:val="clear" w:color="auto" w:fill="CCEEFF"/>
            <w:vAlign w:val="bottom"/>
            <w:hideMark/>
          </w:tcPr>
          <w:p w14:paraId="0124DFA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11,450,000</w:t>
            </w:r>
          </w:p>
        </w:tc>
        <w:tc>
          <w:tcPr>
            <w:tcW w:w="50" w:type="pct"/>
            <w:shd w:val="clear" w:color="auto" w:fill="CCEEFF"/>
            <w:tcMar>
              <w:top w:w="0" w:type="dxa"/>
              <w:left w:w="0" w:type="dxa"/>
              <w:bottom w:w="15" w:type="dxa"/>
              <w:right w:w="0" w:type="dxa"/>
            </w:tcMar>
            <w:vAlign w:val="bottom"/>
            <w:hideMark/>
          </w:tcPr>
          <w:p w14:paraId="7EA566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50C23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37FEC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A357AE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20.59</w:t>
            </w:r>
          </w:p>
        </w:tc>
        <w:tc>
          <w:tcPr>
            <w:tcW w:w="50" w:type="pct"/>
            <w:shd w:val="clear" w:color="auto" w:fill="CCEEFF"/>
            <w:tcMar>
              <w:top w:w="0" w:type="dxa"/>
              <w:left w:w="0" w:type="dxa"/>
              <w:bottom w:w="15" w:type="dxa"/>
              <w:right w:w="0" w:type="dxa"/>
            </w:tcMar>
            <w:vAlign w:val="bottom"/>
            <w:hideMark/>
          </w:tcPr>
          <w:p w14:paraId="30B981C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561CF7E" w14:textId="77777777">
        <w:trPr>
          <w:tblCellSpacing w:w="0" w:type="dxa"/>
        </w:trPr>
        <w:tc>
          <w:tcPr>
            <w:tcW w:w="2700" w:type="pct"/>
            <w:shd w:val="clear" w:color="auto" w:fill="FFFFFF"/>
            <w:vAlign w:val="bottom"/>
            <w:hideMark/>
          </w:tcPr>
          <w:p w14:paraId="492513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14:paraId="2E702E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0B046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double" w:sz="6" w:space="0" w:color="000000"/>
            </w:tcBorders>
            <w:shd w:val="clear" w:color="auto" w:fill="FFFFFF"/>
            <w:vAlign w:val="bottom"/>
            <w:hideMark/>
          </w:tcPr>
          <w:p w14:paraId="258717D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12,900,000</w:t>
            </w:r>
          </w:p>
        </w:tc>
        <w:tc>
          <w:tcPr>
            <w:tcW w:w="50" w:type="pct"/>
            <w:shd w:val="clear" w:color="auto" w:fill="FFFFFF"/>
            <w:tcMar>
              <w:top w:w="0" w:type="dxa"/>
              <w:left w:w="0" w:type="dxa"/>
              <w:bottom w:w="45" w:type="dxa"/>
              <w:right w:w="0" w:type="dxa"/>
            </w:tcMar>
            <w:vAlign w:val="bottom"/>
            <w:hideMark/>
          </w:tcPr>
          <w:p w14:paraId="4AA9D78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0BE93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A2BF6E6"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63ABB81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20.74</w:t>
            </w:r>
          </w:p>
        </w:tc>
        <w:tc>
          <w:tcPr>
            <w:tcW w:w="50" w:type="pct"/>
            <w:shd w:val="clear" w:color="auto" w:fill="FFFFFF"/>
            <w:tcMar>
              <w:top w:w="0" w:type="dxa"/>
              <w:left w:w="0" w:type="dxa"/>
              <w:bottom w:w="45" w:type="dxa"/>
              <w:right w:w="0" w:type="dxa"/>
            </w:tcMar>
            <w:vAlign w:val="bottom"/>
            <w:hideMark/>
          </w:tcPr>
          <w:p w14:paraId="4DC1F85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3461E81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B11B9F6" w14:textId="77777777" w:rsidR="00000000" w:rsidRDefault="004206B0">
      <w:pPr>
        <w:jc w:val="center"/>
        <w:divId w:val="1105077813"/>
        <w:rPr>
          <w:rFonts w:ascii="Arial" w:eastAsia="Times New Roman" w:hAnsi="Arial" w:cs="Arial"/>
          <w:sz w:val="20"/>
          <w:szCs w:val="20"/>
        </w:rPr>
      </w:pPr>
      <w:r>
        <w:rPr>
          <w:rFonts w:ascii="Arial" w:eastAsia="Times New Roman" w:hAnsi="Arial" w:cs="Arial"/>
          <w:sz w:val="20"/>
          <w:szCs w:val="20"/>
        </w:rPr>
        <w:t xml:space="preserve">25 </w:t>
      </w:r>
    </w:p>
    <w:p w14:paraId="6217D2A7" w14:textId="77777777" w:rsidR="00000000" w:rsidRDefault="004206B0">
      <w:pPr>
        <w:divId w:val="969869315"/>
        <w:rPr>
          <w:rFonts w:eastAsia="Times New Roman"/>
          <w:sz w:val="20"/>
          <w:szCs w:val="20"/>
        </w:rPr>
      </w:pPr>
      <w:r>
        <w:rPr>
          <w:rFonts w:eastAsia="Times New Roman"/>
          <w:sz w:val="20"/>
          <w:szCs w:val="20"/>
        </w:rPr>
        <w:pict w14:anchorId="192A03BB">
          <v:rect id="_x0000_i1064" style="width:415.3pt;height:1.5pt" o:hralign="center" o:hrstd="t" o:hrnoshade="t" o:hr="t" fillcolor="black" stroked="f"/>
        </w:pict>
      </w:r>
    </w:p>
    <w:p w14:paraId="46F94B07" w14:textId="77777777" w:rsidR="00000000" w:rsidRDefault="004206B0">
      <w:pPr>
        <w:divId w:val="135649344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64C016C5" w14:textId="77777777" w:rsidR="00000000" w:rsidRDefault="004206B0">
      <w:pPr>
        <w:pStyle w:val="a3"/>
        <w:spacing w:before="0" w:beforeAutospacing="0" w:after="0" w:afterAutospacing="0"/>
        <w:rPr>
          <w:sz w:val="20"/>
          <w:szCs w:val="20"/>
        </w:rPr>
      </w:pPr>
      <w:r>
        <w:rPr>
          <w:sz w:val="20"/>
          <w:szCs w:val="20"/>
        </w:rPr>
        <w:t> </w:t>
      </w:r>
    </w:p>
    <w:p w14:paraId="38366B7E"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6. [Reserved]</w:t>
      </w:r>
    </w:p>
    <w:p w14:paraId="1AC6982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FC76EF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0F934C1"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7. Management</w:t>
      </w:r>
      <w:r>
        <w:rPr>
          <w:rFonts w:ascii="Arial" w:hAnsi="Arial" w:cs="Arial"/>
          <w:sz w:val="20"/>
          <w:szCs w:val="20"/>
        </w:rPr>
        <w:t>’</w:t>
      </w:r>
      <w:r>
        <w:rPr>
          <w:rFonts w:ascii="Arial" w:hAnsi="Arial" w:cs="Arial"/>
          <w:b/>
          <w:bCs/>
          <w:sz w:val="20"/>
          <w:szCs w:val="20"/>
        </w:rPr>
        <w:t>s Discussion and Analysis of Financial Condition and Results of Operations.</w:t>
      </w:r>
    </w:p>
    <w:p w14:paraId="636991F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411F0B2"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w:t>
      </w:r>
      <w:r>
        <w:rPr>
          <w:rFonts w:ascii="Arial" w:hAnsi="Arial" w:cs="Arial"/>
          <w:i/>
          <w:iCs/>
          <w:sz w:val="20"/>
          <w:szCs w:val="20"/>
        </w:rPr>
        <w:t>nancial statements and notes to financial statements included with this report. The discussion and analysis that follows may contain statements that relate to future events or future performance. In some cases, such forward-looking statements can be identi</w:t>
      </w:r>
      <w:r>
        <w:rPr>
          <w:rFonts w:ascii="Arial" w:hAnsi="Arial" w:cs="Arial"/>
          <w:i/>
          <w:iCs/>
          <w:sz w:val="20"/>
          <w:szCs w:val="20"/>
        </w:rPr>
        <w:t xml:space="preserve">fied by terminology such as </w:t>
      </w:r>
      <w:r>
        <w:rPr>
          <w:rFonts w:ascii="Arial" w:hAnsi="Arial" w:cs="Arial"/>
          <w:sz w:val="20"/>
          <w:szCs w:val="20"/>
        </w:rPr>
        <w:t>“</w:t>
      </w:r>
      <w:r>
        <w:rPr>
          <w:rFonts w:ascii="Arial" w:hAnsi="Arial" w:cs="Arial"/>
          <w:i/>
          <w:iCs/>
          <w:sz w:val="20"/>
          <w:szCs w:val="20"/>
        </w:rPr>
        <w:t>may,</w:t>
      </w:r>
      <w:r>
        <w:rPr>
          <w:rFonts w:ascii="Arial" w:hAnsi="Arial" w:cs="Arial"/>
          <w:sz w:val="20"/>
          <w:szCs w:val="20"/>
        </w:rPr>
        <w:t>” “</w:t>
      </w:r>
      <w:r>
        <w:rPr>
          <w:rFonts w:ascii="Arial" w:hAnsi="Arial" w:cs="Arial"/>
          <w:i/>
          <w:iCs/>
          <w:sz w:val="20"/>
          <w:szCs w:val="20"/>
        </w:rPr>
        <w:t>should,</w:t>
      </w:r>
      <w:r>
        <w:rPr>
          <w:rFonts w:ascii="Arial" w:hAnsi="Arial" w:cs="Arial"/>
          <w:sz w:val="20"/>
          <w:szCs w:val="20"/>
        </w:rPr>
        <w:t>” “</w:t>
      </w:r>
      <w:r>
        <w:rPr>
          <w:rFonts w:ascii="Arial" w:hAnsi="Arial" w:cs="Arial"/>
          <w:i/>
          <w:iCs/>
          <w:sz w:val="20"/>
          <w:szCs w:val="20"/>
        </w:rPr>
        <w:t>could,</w:t>
      </w:r>
      <w:r>
        <w:rPr>
          <w:rFonts w:ascii="Arial" w:hAnsi="Arial" w:cs="Arial"/>
          <w:sz w:val="20"/>
          <w:szCs w:val="20"/>
        </w:rPr>
        <w:t>” “</w:t>
      </w:r>
      <w:r>
        <w:rPr>
          <w:rFonts w:ascii="Arial" w:hAnsi="Arial" w:cs="Arial"/>
          <w:i/>
          <w:iCs/>
          <w:sz w:val="20"/>
          <w:szCs w:val="20"/>
        </w:rPr>
        <w:t>expect,</w:t>
      </w:r>
      <w:r>
        <w:rPr>
          <w:rFonts w:ascii="Arial" w:hAnsi="Arial" w:cs="Arial"/>
          <w:sz w:val="20"/>
          <w:szCs w:val="20"/>
        </w:rPr>
        <w:t>” “</w:t>
      </w:r>
      <w:r>
        <w:rPr>
          <w:rFonts w:ascii="Arial" w:hAnsi="Arial" w:cs="Arial"/>
          <w:i/>
          <w:iCs/>
          <w:sz w:val="20"/>
          <w:szCs w:val="20"/>
        </w:rPr>
        <w:t>plan,</w:t>
      </w:r>
      <w:r>
        <w:rPr>
          <w:rFonts w:ascii="Arial" w:hAnsi="Arial" w:cs="Arial"/>
          <w:sz w:val="20"/>
          <w:szCs w:val="20"/>
        </w:rPr>
        <w:t>” “</w:t>
      </w:r>
      <w:r>
        <w:rPr>
          <w:rFonts w:ascii="Arial" w:hAnsi="Arial" w:cs="Arial"/>
          <w:i/>
          <w:iCs/>
          <w:sz w:val="20"/>
          <w:szCs w:val="20"/>
        </w:rPr>
        <w:t>anticipate,</w:t>
      </w:r>
      <w:r>
        <w:rPr>
          <w:rFonts w:ascii="Arial" w:hAnsi="Arial" w:cs="Arial"/>
          <w:sz w:val="20"/>
          <w:szCs w:val="20"/>
        </w:rPr>
        <w:t>” “</w:t>
      </w:r>
      <w:r>
        <w:rPr>
          <w:rFonts w:ascii="Arial" w:hAnsi="Arial" w:cs="Arial"/>
          <w:i/>
          <w:iCs/>
          <w:sz w:val="20"/>
          <w:szCs w:val="20"/>
        </w:rPr>
        <w:t>believe,</w:t>
      </w:r>
      <w:r>
        <w:rPr>
          <w:rFonts w:ascii="Arial" w:hAnsi="Arial" w:cs="Arial"/>
          <w:sz w:val="20"/>
          <w:szCs w:val="20"/>
        </w:rPr>
        <w:t>” “</w:t>
      </w:r>
      <w:r>
        <w:rPr>
          <w:rFonts w:ascii="Arial" w:hAnsi="Arial" w:cs="Arial"/>
          <w:i/>
          <w:iCs/>
          <w:sz w:val="20"/>
          <w:szCs w:val="20"/>
        </w:rPr>
        <w:t>estimate,</w:t>
      </w:r>
      <w:r>
        <w:rPr>
          <w:rFonts w:ascii="Arial" w:hAnsi="Arial" w:cs="Arial"/>
          <w:sz w:val="20"/>
          <w:szCs w:val="20"/>
        </w:rPr>
        <w:t>” “</w:t>
      </w:r>
      <w:r>
        <w:rPr>
          <w:rFonts w:ascii="Arial" w:hAnsi="Arial" w:cs="Arial"/>
          <w:i/>
          <w:iCs/>
          <w:sz w:val="20"/>
          <w:szCs w:val="20"/>
        </w:rPr>
        <w:t>predict,</w:t>
      </w:r>
      <w:r>
        <w:rPr>
          <w:rFonts w:ascii="Arial" w:hAnsi="Arial" w:cs="Arial"/>
          <w:sz w:val="20"/>
          <w:szCs w:val="20"/>
        </w:rPr>
        <w:t>” “</w:t>
      </w:r>
      <w:r>
        <w:rPr>
          <w:rFonts w:ascii="Arial" w:hAnsi="Arial" w:cs="Arial"/>
          <w:i/>
          <w:iCs/>
          <w:sz w:val="20"/>
          <w:szCs w:val="20"/>
        </w:rPr>
        <w:t>potential</w:t>
      </w:r>
      <w:r>
        <w:rPr>
          <w:rFonts w:ascii="Arial" w:hAnsi="Arial" w:cs="Arial"/>
          <w:sz w:val="20"/>
          <w:szCs w:val="20"/>
        </w:rPr>
        <w:t xml:space="preserve">” </w:t>
      </w:r>
      <w:r>
        <w:rPr>
          <w:rFonts w:ascii="Arial" w:hAnsi="Arial" w:cs="Arial"/>
          <w:i/>
          <w:iCs/>
          <w:sz w:val="20"/>
          <w:szCs w:val="20"/>
        </w:rPr>
        <w:t xml:space="preserve">or the negative of these terms or other comparable terminology. None of the Trust, the Sponsor, the Advisor, the Trustee or </w:t>
      </w:r>
      <w:r>
        <w:rPr>
          <w:rFonts w:ascii="Arial" w:hAnsi="Arial" w:cs="Arial"/>
          <w:i/>
          <w:iCs/>
          <w:sz w:val="20"/>
          <w:szCs w:val="20"/>
        </w:rPr>
        <w:t>the Delaware Trustee assumes responsibility for the accuracy or completeness of any forward-looking statements. Except as required by applicable disclosure laws, none of the Trust, the Sponsor, the Advisor, the Trustee or the Delaware Trustee is under a du</w:t>
      </w:r>
      <w:r>
        <w:rPr>
          <w:rFonts w:ascii="Arial" w:hAnsi="Arial" w:cs="Arial"/>
          <w:i/>
          <w:iCs/>
          <w:sz w:val="20"/>
          <w:szCs w:val="20"/>
        </w:rPr>
        <w:t>ty to update any of the forward-looking statements to conform such statements to actual results or to a change in expectations or predictions.</w:t>
      </w:r>
    </w:p>
    <w:p w14:paraId="1F4BC4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8BBEC7B"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Introduction</w:t>
      </w:r>
    </w:p>
    <w:p w14:paraId="1C6C04D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701D9D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was originally part of a two-tiered structure that transacted in Index Futures through</w:t>
      </w:r>
      <w:r>
        <w:rPr>
          <w:rFonts w:ascii="Arial" w:hAnsi="Arial" w:cs="Arial"/>
          <w:sz w:val="20"/>
          <w:szCs w:val="20"/>
        </w:rPr>
        <w:t xml:space="preserve"> its subsidiary, the Investing Pool. Following the close of business on December 31, 2013, the Investing Pool was liquidated and the interests in the Investing Pool held by the Trust and the Investing Pool’s manager were redeemed for all assets and liabili</w:t>
      </w:r>
      <w:r>
        <w:rPr>
          <w:rFonts w:ascii="Arial" w:hAnsi="Arial" w:cs="Arial"/>
          <w:sz w:val="20"/>
          <w:szCs w:val="20"/>
        </w:rPr>
        <w:t>ties held by the Investing Pool. As a result of the liquidation of the Investing Pool, the Trust now holds and transacts in Index Futures directly. Historical results reflect the Trust’s activities, had it conducted its activities directly rather than thro</w:t>
      </w:r>
      <w:r>
        <w:rPr>
          <w:rFonts w:ascii="Arial" w:hAnsi="Arial" w:cs="Arial"/>
          <w:sz w:val="20"/>
          <w:szCs w:val="20"/>
        </w:rPr>
        <w:t>ugh the Investing Pool.</w:t>
      </w:r>
    </w:p>
    <w:p w14:paraId="1D0EAFA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775431A"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During the period beginning July 10, 2006 (commencement of operations) and ending on December 31, 2022 (the Trust’s most recent fiscal year-end), the Trust’</w:t>
      </w:r>
      <w:r>
        <w:rPr>
          <w:rFonts w:ascii="Arial" w:hAnsi="Arial" w:cs="Arial"/>
          <w:sz w:val="20"/>
          <w:szCs w:val="20"/>
        </w:rPr>
        <w:t>s net asset value grew from $7,358,911 at July 10, 2006 to $1,221,109,857 at December 31, 2022. Outstanding Shares in the Trust grew from 150,000 Shares at July 10, 2006 to 57,550,000 Shares at December 31, 2022.</w:t>
      </w:r>
    </w:p>
    <w:p w14:paraId="489C27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9A2029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As described in Part I above, the Trust s</w:t>
      </w:r>
      <w:r>
        <w:rPr>
          <w:rFonts w:ascii="Arial" w:hAnsi="Arial" w:cs="Arial"/>
          <w:sz w:val="20"/>
          <w:szCs w:val="20"/>
        </w:rPr>
        <w:t>eeks to track the results of a fully collateralized investment in futures contracts on an index composed of a diversified group of commodity futures. The Trust seeks to track the investment returns of the Index before payment of the Trust’s expenses and li</w:t>
      </w:r>
      <w:r>
        <w:rPr>
          <w:rFonts w:ascii="Arial" w:hAnsi="Arial" w:cs="Arial"/>
          <w:sz w:val="20"/>
          <w:szCs w:val="20"/>
        </w:rPr>
        <w:t xml:space="preserve">abilities. The Index is a statistical composite that tracks a diversified group of commodity futures. The Index does not actually hold a portfolio of futures contracts and does not incur the fees and expenses incurred by the Trust. These fees and expenses </w:t>
      </w:r>
      <w:r>
        <w:rPr>
          <w:rFonts w:ascii="Arial" w:hAnsi="Arial" w:cs="Arial"/>
          <w:sz w:val="20"/>
          <w:szCs w:val="20"/>
        </w:rPr>
        <w:t>negatively impact the Trust’s performance relative to that of the Index.</w:t>
      </w:r>
    </w:p>
    <w:p w14:paraId="4749AA2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011717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following graph presents the change in NAV of the Trust and the closing level of the Index for the years ended December 31, 2022, 2021 and 2020:</w:t>
      </w:r>
    </w:p>
    <w:p w14:paraId="683A86C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8520C2A" w14:textId="77777777" w:rsidR="00000000" w:rsidRDefault="004206B0">
      <w:pPr>
        <w:jc w:val="center"/>
        <w:rPr>
          <w:rFonts w:eastAsia="Times New Roman"/>
          <w:sz w:val="20"/>
          <w:szCs w:val="20"/>
        </w:rPr>
      </w:pPr>
      <w:r>
        <w:rPr>
          <w:rFonts w:eastAsia="Times New Roman"/>
          <w:noProof/>
          <w:sz w:val="20"/>
          <w:szCs w:val="20"/>
        </w:rPr>
        <w:drawing>
          <wp:inline distT="0" distB="0" distL="0" distR="0" wp14:anchorId="7BDDDD4B" wp14:editId="097F8793">
            <wp:extent cx="30480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A968B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42437C8" w14:textId="77777777" w:rsidR="00000000" w:rsidRDefault="004206B0">
      <w:pPr>
        <w:jc w:val="center"/>
        <w:divId w:val="1898584762"/>
        <w:rPr>
          <w:rFonts w:ascii="Arial" w:eastAsia="Times New Roman" w:hAnsi="Arial" w:cs="Arial"/>
          <w:sz w:val="20"/>
          <w:szCs w:val="20"/>
        </w:rPr>
      </w:pPr>
      <w:r>
        <w:rPr>
          <w:rFonts w:ascii="Arial" w:eastAsia="Times New Roman" w:hAnsi="Arial" w:cs="Arial"/>
          <w:sz w:val="20"/>
          <w:szCs w:val="20"/>
        </w:rPr>
        <w:t xml:space="preserve">26 </w:t>
      </w:r>
    </w:p>
    <w:p w14:paraId="2C7CF01D" w14:textId="77777777" w:rsidR="00000000" w:rsidRDefault="004206B0">
      <w:pPr>
        <w:divId w:val="271254165"/>
        <w:rPr>
          <w:rFonts w:eastAsia="Times New Roman"/>
          <w:sz w:val="20"/>
          <w:szCs w:val="20"/>
        </w:rPr>
      </w:pPr>
      <w:r>
        <w:rPr>
          <w:rFonts w:eastAsia="Times New Roman"/>
          <w:sz w:val="20"/>
          <w:szCs w:val="20"/>
        </w:rPr>
        <w:pict w14:anchorId="7C80D9A8">
          <v:rect id="_x0000_i1066" style="width:415.3pt;height:1.5pt" o:hralign="center" o:hrstd="t" o:hrnoshade="t" o:hr="t" fillcolor="black" stroked="f"/>
        </w:pict>
      </w:r>
    </w:p>
    <w:p w14:paraId="50145722" w14:textId="77777777" w:rsidR="00000000" w:rsidRDefault="004206B0">
      <w:pPr>
        <w:divId w:val="1746681190"/>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375FA1F2" w14:textId="77777777" w:rsidR="00000000" w:rsidRDefault="004206B0">
      <w:pPr>
        <w:pStyle w:val="a3"/>
        <w:spacing w:before="0" w:beforeAutospacing="0" w:after="0" w:afterAutospacing="0"/>
        <w:rPr>
          <w:sz w:val="20"/>
          <w:szCs w:val="20"/>
        </w:rPr>
      </w:pPr>
      <w:r>
        <w:rPr>
          <w:sz w:val="20"/>
          <w:szCs w:val="20"/>
        </w:rPr>
        <w:t> </w:t>
      </w:r>
    </w:p>
    <w:p w14:paraId="6AD49EA6"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14:paraId="79D7290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E4F0DDF"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2022</w:t>
      </w:r>
    </w:p>
    <w:p w14:paraId="49D413B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805C01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Trust’s net asset value decreased from $1,431,810,115 at December 31, 2021 to $1,221,109,857 at December 31, 2</w:t>
      </w:r>
      <w:r>
        <w:rPr>
          <w:rFonts w:ascii="Arial" w:hAnsi="Arial" w:cs="Arial"/>
          <w:sz w:val="20"/>
          <w:szCs w:val="20"/>
        </w:rPr>
        <w:t>022. The decrease in the Trust’s net asset value resulted primarily from a net decrease in the number of outstanding Shares, which fell from 83,750,000 Shares at December 31, 2021 to 57,550,000 Shares at December 31, 2022, a consequence of 22,900,000 Share</w:t>
      </w:r>
      <w:r>
        <w:rPr>
          <w:rFonts w:ascii="Arial" w:hAnsi="Arial" w:cs="Arial"/>
          <w:sz w:val="20"/>
          <w:szCs w:val="20"/>
        </w:rPr>
        <w:t>s (458 Baskets) being created and 49,100,000 Shares (982 Baskets) being redeemed during the year. The decrease in the Trust’s net asset value was partially offset by a net increase in net assets resulting from operations.</w:t>
      </w:r>
    </w:p>
    <w:p w14:paraId="3FA7971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B5CFC1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24.09% increase in the NAV f</w:t>
      </w:r>
      <w:r>
        <w:rPr>
          <w:rFonts w:ascii="Arial" w:hAnsi="Arial" w:cs="Arial"/>
          <w:sz w:val="20"/>
          <w:szCs w:val="20"/>
        </w:rPr>
        <w:t>rom $17.10 at December 31, 2021 to $21.22 at December 31, 2022 is directly related to the 23.44% increase in the settlement price for the Index Futures. The NAV increased slightly more than the settlement price for the Index Futures on a percentage basis d</w:t>
      </w:r>
      <w:r>
        <w:rPr>
          <w:rFonts w:ascii="Arial" w:hAnsi="Arial" w:cs="Arial"/>
          <w:sz w:val="20"/>
          <w:szCs w:val="20"/>
        </w:rPr>
        <w:t>ue to the interest income from U.S. Treasury bills.</w:t>
      </w:r>
    </w:p>
    <w:p w14:paraId="593EEB6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DDA608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net increase in net assets resulting from operations for the year ended December 31, 2022 was $390,808,622, resulting from a net investment income of $7,523,923 and a net realized and unrealized gai</w:t>
      </w:r>
      <w:r>
        <w:rPr>
          <w:rFonts w:ascii="Arial" w:hAnsi="Arial" w:cs="Arial"/>
          <w:sz w:val="20"/>
          <w:szCs w:val="20"/>
        </w:rPr>
        <w:t>n of $383,284,699. For the year ended December 31, 2022, the Trust had a net realized and unrealized gain of $315,841 on short-term investments and a net realized and unrealized gain of $382,968,858 on futures contracts. Other than the Sponsor’s fees of $1</w:t>
      </w:r>
      <w:r>
        <w:rPr>
          <w:rFonts w:ascii="Arial" w:hAnsi="Arial" w:cs="Arial"/>
          <w:sz w:val="20"/>
          <w:szCs w:val="20"/>
        </w:rPr>
        <w:t>3,482,545 and brokerage commissions and fees of $1,299,610, the Trust had no expenses during the year.</w:t>
      </w:r>
    </w:p>
    <w:p w14:paraId="1DB51FA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88B83D6"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2021</w:t>
      </w:r>
    </w:p>
    <w:p w14:paraId="2B4D777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5EDF2F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$827,346,620 at December 31, 2020 to $1,431,810,115 at December 31, 2021.</w:t>
      </w:r>
      <w:r>
        <w:rPr>
          <w:rFonts w:ascii="Arial" w:hAnsi="Arial" w:cs="Arial"/>
          <w:sz w:val="20"/>
          <w:szCs w:val="20"/>
        </w:rPr>
        <w:t xml:space="preserve"> The increase in the Trust’s net asset value resulted primarily from a net increase in net assets resulting from operations. The Trust’s net asset value also benefitted from an increase in the number of outstanding Shares, which rose from 67,250,000 Shares</w:t>
      </w:r>
      <w:r>
        <w:rPr>
          <w:rFonts w:ascii="Arial" w:hAnsi="Arial" w:cs="Arial"/>
          <w:sz w:val="20"/>
          <w:szCs w:val="20"/>
        </w:rPr>
        <w:t xml:space="preserve"> at December 31, 2020 to 83,750,000 Shares at December 31, 2021, a consequence of 34,750,000 Shares (695 Baskets) being created and 18,250,000 Shares (365 Baskets) being redeemed during the year.</w:t>
      </w:r>
    </w:p>
    <w:p w14:paraId="248DDD0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165D280"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The 39.02% increase in the NAV from $12.30 at December 31, 2020 to $17.10 at December 31, 2021 is directly related to the 40.29% increase in the settlement price for the Index Futures. The NAV increased slightly less than the settlement price for the Index</w:t>
      </w:r>
      <w:r>
        <w:rPr>
          <w:rFonts w:ascii="Arial" w:hAnsi="Arial" w:cs="Arial"/>
          <w:sz w:val="20"/>
          <w:szCs w:val="20"/>
        </w:rPr>
        <w:t xml:space="preserve"> Futures on a percentage basis due to the Sponsor’s fees and brokerage commissions.</w:t>
      </w:r>
    </w:p>
    <w:p w14:paraId="6A495AB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B2A96D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net increase in net assets resulting from operations for the year ended December 31, 2021 was $366,008,957, resulting from a net investment loss of $10,385,215 and a </w:t>
      </w:r>
      <w:r>
        <w:rPr>
          <w:rFonts w:ascii="Arial" w:hAnsi="Arial" w:cs="Arial"/>
          <w:sz w:val="20"/>
          <w:szCs w:val="20"/>
        </w:rPr>
        <w:t>net investment gain of $376,394,172. For the year ended December 31, 2021, the Trust had a net realized and unrealized gain of $4,847 on short-term investments and a net realized and unrealized gain of $376,389,325 on futures contracts. Other than the Spon</w:t>
      </w:r>
      <w:r>
        <w:rPr>
          <w:rFonts w:ascii="Arial" w:hAnsi="Arial" w:cs="Arial"/>
          <w:sz w:val="20"/>
          <w:szCs w:val="20"/>
        </w:rPr>
        <w:t>sor’s fees of $9,465,137 and brokerage commissions and fees of $1,346,112, the Trust had no expenses during the year.</w:t>
      </w:r>
    </w:p>
    <w:p w14:paraId="4BEAA1C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34E4FE7"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2020</w:t>
      </w:r>
    </w:p>
    <w:p w14:paraId="6E5C124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D35307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$775,343,105 at December 31, 2019 to $827,346,620 at Decem</w:t>
      </w:r>
      <w:r>
        <w:rPr>
          <w:rFonts w:ascii="Arial" w:hAnsi="Arial" w:cs="Arial"/>
          <w:sz w:val="20"/>
          <w:szCs w:val="20"/>
        </w:rPr>
        <w:t>ber 31, 2020. The increase in the Trust’s net asset value resulted primarily from a net increase in the number of outstanding Shares, which rose from 47,750,000 Shares at December 31, 2019 to 67,250,000 Shares at December 31, 2020, a consequence of 31,850,</w:t>
      </w:r>
      <w:r>
        <w:rPr>
          <w:rFonts w:ascii="Arial" w:hAnsi="Arial" w:cs="Arial"/>
          <w:sz w:val="20"/>
          <w:szCs w:val="20"/>
        </w:rPr>
        <w:t>000 Shares (637 Baskets) being created and 12,350,000 Shares (247 Baskets) being redeemed during the year. The increase in the Trust’s net asset value was partially offset by a net decrease in net assets resulting from operations.</w:t>
      </w:r>
    </w:p>
    <w:p w14:paraId="5C902DF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23FA762"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24.26% decrease in </w:t>
      </w:r>
      <w:r>
        <w:rPr>
          <w:rFonts w:ascii="Arial" w:hAnsi="Arial" w:cs="Arial"/>
          <w:sz w:val="20"/>
          <w:szCs w:val="20"/>
        </w:rPr>
        <w:t>the NAV from $16.24 at December 31, 2019 to $12.30 at December 31, 2020 is directly related to the 24.02% decrease in the settlement price for the Index Futures. The NAV decreased slightly more than the settlement price for the Index Futures on a percentag</w:t>
      </w:r>
      <w:r>
        <w:rPr>
          <w:rFonts w:ascii="Arial" w:hAnsi="Arial" w:cs="Arial"/>
          <w:sz w:val="20"/>
          <w:szCs w:val="20"/>
        </w:rPr>
        <w:t>e basis due to the Sponsor’s fees and brokerage commissions.</w:t>
      </w:r>
    </w:p>
    <w:p w14:paraId="7F0527D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3D6BA7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net decrease in net assets resulting from operations for the year ended December 31, 2020 was $183,615,251, resulting from a net realized and unrealized loss of $181,338,900 and by a net in</w:t>
      </w:r>
      <w:r>
        <w:rPr>
          <w:rFonts w:ascii="Arial" w:hAnsi="Arial" w:cs="Arial"/>
          <w:sz w:val="20"/>
          <w:szCs w:val="20"/>
        </w:rPr>
        <w:t>vestment loss of $2,276,351. For the year ended December 31, 2020, the Trust had a net realized and unrealized loss of $19,454 on short-term investments and a net realized and unrealized loss of $181,319,446 on futures contracts. Other than the Sponsor’s F</w:t>
      </w:r>
      <w:r>
        <w:rPr>
          <w:rFonts w:ascii="Arial" w:hAnsi="Arial" w:cs="Arial"/>
          <w:sz w:val="20"/>
          <w:szCs w:val="20"/>
        </w:rPr>
        <w:t>ees of $5,005,767 and brokerage commissions and fees of $1,013,439, the Trust had no expenses during the year.</w:t>
      </w:r>
    </w:p>
    <w:p w14:paraId="5FBBA91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D53A77C"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14:paraId="4D4D13B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0FB35B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Trust’s assets as of December 31, 2022 consist of Index Futures and Collateral Assets used to satisfy app</w:t>
      </w:r>
      <w:r>
        <w:rPr>
          <w:rFonts w:ascii="Arial" w:hAnsi="Arial" w:cs="Arial"/>
          <w:sz w:val="20"/>
          <w:szCs w:val="20"/>
        </w:rPr>
        <w:t xml:space="preserve">licable margin requirements for those Index Futures positions. The Trust does not anticipate any further need for liquidity, because creations and redemptions of Shares generally occur in kind and ordinary expenses are met by cash on hand. Interest earned </w:t>
      </w:r>
      <w:r>
        <w:rPr>
          <w:rFonts w:ascii="Arial" w:hAnsi="Arial" w:cs="Arial"/>
          <w:sz w:val="20"/>
          <w:szCs w:val="20"/>
        </w:rPr>
        <w:t>on the assets posted as collateral is paid to the Trust and is used to pay the Sponsor’s Fees and purchase additional Index Futures and Collateral Assets, or, in the discretion of the Sponsor, distributed to Shareholders. For the year ended December 31, 20</w:t>
      </w:r>
      <w:r>
        <w:rPr>
          <w:rFonts w:ascii="Arial" w:hAnsi="Arial" w:cs="Arial"/>
          <w:sz w:val="20"/>
          <w:szCs w:val="20"/>
        </w:rPr>
        <w:t>22, interest income was $22,306,078, while the Sponsor’s Fees totaled $13,482,545. For the year ended December 31, 2021, interest income was $426,034, while the Sponsor’s Fees totaled $9,465,137. For the year ended December 31, 2020, interest income was $3</w:t>
      </w:r>
      <w:r>
        <w:rPr>
          <w:rFonts w:ascii="Arial" w:hAnsi="Arial" w:cs="Arial"/>
          <w:sz w:val="20"/>
          <w:szCs w:val="20"/>
        </w:rPr>
        <w:t>,742,855, while the Sponsor’s Fees totaled $5,005,767. In exchange for a fee based on the net asset value of the Trust, the Sponsor has assumed most of the ordinary expenses incurred by the Trust. In the case of an extraordinary expense and/or insufficient</w:t>
      </w:r>
      <w:r>
        <w:rPr>
          <w:rFonts w:ascii="Arial" w:hAnsi="Arial" w:cs="Arial"/>
          <w:sz w:val="20"/>
          <w:szCs w:val="20"/>
        </w:rPr>
        <w:t xml:space="preserve"> interest income to cover ordinary expenses, however, the Trust could be forced to liquidate its positions in Index Futures and Collateral Assets to pay such expenses. As of December 31, 2022, the market for Index Futures had not developed significant liqu</w:t>
      </w:r>
      <w:r>
        <w:rPr>
          <w:rFonts w:ascii="Arial" w:hAnsi="Arial" w:cs="Arial"/>
          <w:sz w:val="20"/>
          <w:szCs w:val="20"/>
        </w:rPr>
        <w:t xml:space="preserve">idity and the Trust represented substantially all of the long-side open interest in Index Futures. In addition, it is expected that Goldman Sachs or its accountholders may represent, directly or indirectly, a substantial portion of the short-side interest </w:t>
      </w:r>
      <w:r>
        <w:rPr>
          <w:rFonts w:ascii="Arial" w:hAnsi="Arial" w:cs="Arial"/>
          <w:sz w:val="20"/>
          <w:szCs w:val="20"/>
        </w:rPr>
        <w:t>in such market.</w:t>
      </w:r>
    </w:p>
    <w:p w14:paraId="60498C1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08F646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existence of such a limited number of market participants could cause or exacerbate losses to the Trust if the Trust were required to liquidate its Index Futures positions.</w:t>
      </w:r>
    </w:p>
    <w:p w14:paraId="180BC9C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74831D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demands, condit</w:t>
      </w:r>
      <w:r>
        <w:rPr>
          <w:rFonts w:ascii="Arial" w:hAnsi="Arial" w:cs="Arial"/>
          <w:sz w:val="20"/>
          <w:szCs w:val="20"/>
        </w:rPr>
        <w:t>ions or events that are reasonably likely to result in material changes to the Trust’s liquidity needs.</w:t>
      </w:r>
    </w:p>
    <w:p w14:paraId="47AC7E4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F74327B" w14:textId="77777777" w:rsidR="00000000" w:rsidRDefault="004206B0">
      <w:pPr>
        <w:jc w:val="center"/>
        <w:divId w:val="193421342"/>
        <w:rPr>
          <w:rFonts w:ascii="Arial" w:eastAsia="Times New Roman" w:hAnsi="Arial" w:cs="Arial"/>
          <w:sz w:val="20"/>
          <w:szCs w:val="20"/>
        </w:rPr>
      </w:pPr>
      <w:r>
        <w:rPr>
          <w:rFonts w:ascii="Arial" w:eastAsia="Times New Roman" w:hAnsi="Arial" w:cs="Arial"/>
          <w:sz w:val="20"/>
          <w:szCs w:val="20"/>
        </w:rPr>
        <w:t xml:space="preserve">27 </w:t>
      </w:r>
    </w:p>
    <w:p w14:paraId="67C176F1" w14:textId="77777777" w:rsidR="00000000" w:rsidRDefault="004206B0">
      <w:pPr>
        <w:divId w:val="1028675427"/>
        <w:rPr>
          <w:rFonts w:eastAsia="Times New Roman"/>
          <w:sz w:val="20"/>
          <w:szCs w:val="20"/>
        </w:rPr>
      </w:pPr>
      <w:r>
        <w:rPr>
          <w:rFonts w:eastAsia="Times New Roman"/>
          <w:sz w:val="20"/>
          <w:szCs w:val="20"/>
        </w:rPr>
        <w:pict w14:anchorId="762AF844">
          <v:rect id="_x0000_i1067" style="width:415.3pt;height:1.5pt" o:hralign="center" o:hrstd="t" o:hrnoshade="t" o:hr="t" fillcolor="black" stroked="f"/>
        </w:pict>
      </w:r>
    </w:p>
    <w:p w14:paraId="03FCE8BA" w14:textId="77777777" w:rsidR="00000000" w:rsidRDefault="004206B0">
      <w:pPr>
        <w:divId w:val="154221814"/>
        <w:rPr>
          <w:rFonts w:eastAsia="Times New Roman"/>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eastAsia="Times New Roman"/>
          <w:sz w:val="20"/>
          <w:szCs w:val="20"/>
        </w:rPr>
        <w:t xml:space="preserve"> </w:t>
      </w:r>
    </w:p>
    <w:p w14:paraId="1878CDA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D75A42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risk) or the inability of counterparties to perform (credit risk).</w:t>
      </w:r>
    </w:p>
    <w:p w14:paraId="55285AD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832CEB1"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Market Risk</w:t>
      </w:r>
    </w:p>
    <w:p w14:paraId="2030203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14F9AA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diversification of the Trust’s assets, fluctuations in the value of the Index Futures are expe</w:t>
      </w:r>
      <w:r>
        <w:rPr>
          <w:rFonts w:ascii="Arial" w:hAnsi="Arial" w:cs="Arial"/>
          <w:sz w:val="20"/>
          <w:szCs w:val="20"/>
        </w:rPr>
        <w:t xml:space="preserve">cted to directly affect the value of the Shares. The value of the Index Futures is expected to track generally the S&amp;P GSCI-ER, although this correlation may not be exact. The S&amp;P GSCI-ER, in turn, reflects the value of a diversified group of commodities. </w:t>
      </w:r>
      <w:r>
        <w:rPr>
          <w:rFonts w:ascii="Arial" w:hAnsi="Arial" w:cs="Arial"/>
          <w:sz w:val="20"/>
          <w:szCs w:val="20"/>
        </w:rPr>
        <w:t>The Trust’s exposure to market risk will be influenced by a number of factors, including the lack of liquidity of the Index Futures market and activities of other market participants.</w:t>
      </w:r>
    </w:p>
    <w:p w14:paraId="15EC712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ABE9EE5"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Credit Risk</w:t>
      </w:r>
    </w:p>
    <w:p w14:paraId="6DE27EF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52DF0B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w:t>
      </w:r>
      <w:r>
        <w:rPr>
          <w:rFonts w:ascii="Arial" w:hAnsi="Arial" w:cs="Arial"/>
          <w:sz w:val="20"/>
          <w:szCs w:val="20"/>
        </w:rPr>
        <w:t xml:space="preserve">xposed to the credit risk of a default by the CME’s clearing house, which serves as the counterparty to each Index Futures position, and of a default by its FCM or Clearing FCM. In the case of such a default, the Trust may be unable to recover amounts due </w:t>
      </w:r>
      <w:r>
        <w:rPr>
          <w:rFonts w:ascii="Arial" w:hAnsi="Arial" w:cs="Arial"/>
          <w:sz w:val="20"/>
          <w:szCs w:val="20"/>
        </w:rPr>
        <w:t>to it on its Index Futures positions and Collateral Assets posted as margin. The Trust is also exposed to credit risk as a result of its ownership of U.S. Treasury bills.</w:t>
      </w:r>
    </w:p>
    <w:p w14:paraId="6E79A49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BABAFC3"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Obligations</w:t>
      </w:r>
    </w:p>
    <w:p w14:paraId="1482983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1156D2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does not use</w:t>
      </w:r>
      <w:r>
        <w:rPr>
          <w:rFonts w:ascii="Arial" w:hAnsi="Arial" w:cs="Arial"/>
          <w:sz w:val="20"/>
          <w:szCs w:val="20"/>
        </w:rPr>
        <w:t xml:space="preserve"> and is not expected to use special purpose entities to facilitate off-balance sheet financing arrangements. The Trust does not have and is not expected to have loan guarantee arrangements or other off-balance sheet arrangements of any kind other than agre</w:t>
      </w:r>
      <w:r>
        <w:rPr>
          <w:rFonts w:ascii="Arial" w:hAnsi="Arial" w:cs="Arial"/>
          <w:sz w:val="20"/>
          <w:szCs w:val="20"/>
        </w:rPr>
        <w:t>ements entered into in the normal course of business, which may include indemnification provisions related to certain risks service providers undertake in performing services that are in the interest of the Trust. While the Trust’s exposure under such inde</w:t>
      </w:r>
      <w:r>
        <w:rPr>
          <w:rFonts w:ascii="Arial" w:hAnsi="Arial" w:cs="Arial"/>
          <w:sz w:val="20"/>
          <w:szCs w:val="20"/>
        </w:rPr>
        <w:t>mnification provisions cannot be estimated, these general business indemnifications are not expected to have a material impact on the Trust’s financial position.</w:t>
      </w:r>
    </w:p>
    <w:p w14:paraId="5E09A42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2EC0394"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Critical Accounting Policies</w:t>
      </w:r>
    </w:p>
    <w:p w14:paraId="2352053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C9E7DD3"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financial statements and accompanying notes are prepared </w:t>
      </w:r>
      <w:r>
        <w:rPr>
          <w:rFonts w:ascii="Arial" w:hAnsi="Arial" w:cs="Arial"/>
          <w:sz w:val="20"/>
          <w:szCs w:val="20"/>
        </w:rPr>
        <w:t>in accordance with accounting principles generally accepted in the United States of America. The preparation of these financial statements relies on estimates and assumptions that impact the Trust’s financial position and results of operations. These estim</w:t>
      </w:r>
      <w:r>
        <w:rPr>
          <w:rFonts w:ascii="Arial" w:hAnsi="Arial" w:cs="Arial"/>
          <w:sz w:val="20"/>
          <w:szCs w:val="20"/>
        </w:rPr>
        <w:t>ates and assumptions affect the Trust’s application of accounting policies. In addition, please refer to Note 2 to the financial statements of the Trust for further discussion of the Trust’s accounting policies.</w:t>
      </w:r>
    </w:p>
    <w:p w14:paraId="074DCAA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E63B7E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2927626"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7A. Quanti</w:t>
      </w:r>
      <w:r>
        <w:rPr>
          <w:rFonts w:ascii="Arial" w:hAnsi="Arial" w:cs="Arial"/>
          <w:b/>
          <w:bCs/>
          <w:sz w:val="20"/>
          <w:szCs w:val="20"/>
        </w:rPr>
        <w:t>tative and Qualitative Disclosures About Market Risk.</w:t>
      </w:r>
    </w:p>
    <w:p w14:paraId="27CB853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5C28105"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14:paraId="51DC883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4617E7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is exposed to commodity price risk through the Trust’s holdings of Index Futures. The following table provides information about the Trust’s futures contract positi</w:t>
      </w:r>
      <w:r>
        <w:rPr>
          <w:rFonts w:ascii="Arial" w:hAnsi="Arial" w:cs="Arial"/>
          <w:sz w:val="20"/>
          <w:szCs w:val="20"/>
        </w:rPr>
        <w:t>ons, which are sensitive to changes in commodity prices. As of December 31, 2022, the Trust’s open Index Futures long positions were as follows:</w:t>
      </w:r>
    </w:p>
    <w:p w14:paraId="7B3C893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4250" w:type="pct"/>
        <w:tblCellSpacing w:w="0" w:type="dxa"/>
        <w:tblCellMar>
          <w:left w:w="0" w:type="dxa"/>
          <w:right w:w="0" w:type="dxa"/>
        </w:tblCellMar>
        <w:tblLook w:val="04A0" w:firstRow="1" w:lastRow="0" w:firstColumn="1" w:lastColumn="0" w:noHBand="0" w:noVBand="1"/>
      </w:tblPr>
      <w:tblGrid>
        <w:gridCol w:w="5556"/>
        <w:gridCol w:w="56"/>
        <w:gridCol w:w="112"/>
        <w:gridCol w:w="1280"/>
        <w:gridCol w:w="56"/>
      </w:tblGrid>
      <w:tr w:rsidR="00000000" w14:paraId="5862DF82" w14:textId="77777777">
        <w:trPr>
          <w:tblCellSpacing w:w="0" w:type="dxa"/>
        </w:trPr>
        <w:tc>
          <w:tcPr>
            <w:tcW w:w="4100" w:type="pct"/>
            <w:shd w:val="clear" w:color="auto" w:fill="CCEEFF"/>
            <w:vAlign w:val="bottom"/>
            <w:hideMark/>
          </w:tcPr>
          <w:p w14:paraId="5C681C5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14:paraId="2113A2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4816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2D8F969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38,848</w:t>
            </w:r>
          </w:p>
        </w:tc>
        <w:tc>
          <w:tcPr>
            <w:tcW w:w="50" w:type="pct"/>
            <w:shd w:val="clear" w:color="auto" w:fill="CCEEFF"/>
            <w:vAlign w:val="bottom"/>
            <w:hideMark/>
          </w:tcPr>
          <w:p w14:paraId="789071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4017282" w14:textId="77777777">
        <w:trPr>
          <w:tblCellSpacing w:w="0" w:type="dxa"/>
        </w:trPr>
        <w:tc>
          <w:tcPr>
            <w:tcW w:w="0" w:type="auto"/>
            <w:shd w:val="clear" w:color="auto" w:fill="FFFFFF"/>
            <w:vAlign w:val="bottom"/>
            <w:hideMark/>
          </w:tcPr>
          <w:p w14:paraId="642571D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0" w:type="auto"/>
            <w:shd w:val="clear" w:color="auto" w:fill="FFFFFF"/>
            <w:vAlign w:val="bottom"/>
            <w:hideMark/>
          </w:tcPr>
          <w:p w14:paraId="0B8D295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shd w:val="clear" w:color="auto" w:fill="FFFFFF"/>
            <w:vAlign w:val="bottom"/>
            <w:hideMark/>
          </w:tcPr>
          <w:p w14:paraId="4178899C" w14:textId="77777777" w:rsidR="00000000" w:rsidRDefault="004206B0">
            <w:pPr>
              <w:pStyle w:val="a3"/>
              <w:spacing w:before="0" w:beforeAutospacing="0" w:after="0" w:afterAutospacing="0"/>
              <w:jc w:val="right"/>
              <w:rPr>
                <w:rFonts w:ascii="Arial" w:hAnsi="Arial" w:cs="Arial"/>
                <w:sz w:val="20"/>
                <w:szCs w:val="20"/>
              </w:rPr>
            </w:pPr>
            <w:r>
              <w:rPr>
                <w:rFonts w:ascii="Arial" w:hAnsi="Arial" w:cs="Arial"/>
                <w:sz w:val="20"/>
                <w:szCs w:val="20"/>
              </w:rPr>
              <w:t>March 2023</w:t>
            </w:r>
          </w:p>
        </w:tc>
        <w:tc>
          <w:tcPr>
            <w:tcW w:w="0" w:type="auto"/>
            <w:shd w:val="clear" w:color="auto" w:fill="FFFFFF"/>
            <w:vAlign w:val="bottom"/>
            <w:hideMark/>
          </w:tcPr>
          <w:p w14:paraId="484401A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F788FC0" w14:textId="77777777">
        <w:trPr>
          <w:tblCellSpacing w:w="0" w:type="dxa"/>
        </w:trPr>
        <w:tc>
          <w:tcPr>
            <w:tcW w:w="0" w:type="auto"/>
            <w:shd w:val="clear" w:color="auto" w:fill="CCEEFF"/>
            <w:vAlign w:val="bottom"/>
            <w:hideMark/>
          </w:tcPr>
          <w:p w14:paraId="7692E08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14:paraId="7BBDA72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5C3C32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14:paraId="3222FD4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297.42</w:t>
            </w:r>
          </w:p>
        </w:tc>
        <w:tc>
          <w:tcPr>
            <w:tcW w:w="50" w:type="pct"/>
            <w:shd w:val="clear" w:color="auto" w:fill="CCEEFF"/>
            <w:vAlign w:val="bottom"/>
            <w:hideMark/>
          </w:tcPr>
          <w:p w14:paraId="035C1AB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8CC98B2" w14:textId="77777777">
        <w:trPr>
          <w:tblCellSpacing w:w="0" w:type="dxa"/>
        </w:trPr>
        <w:tc>
          <w:tcPr>
            <w:tcW w:w="0" w:type="auto"/>
            <w:shd w:val="clear" w:color="auto" w:fill="FFFFFF"/>
            <w:vAlign w:val="bottom"/>
            <w:hideMark/>
          </w:tcPr>
          <w:p w14:paraId="4F2FB35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14:paraId="73FFA4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43E2A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145AF95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1,215,724,851</w:t>
            </w:r>
          </w:p>
        </w:tc>
        <w:tc>
          <w:tcPr>
            <w:tcW w:w="50" w:type="pct"/>
            <w:shd w:val="clear" w:color="auto" w:fill="FFFFFF"/>
            <w:vAlign w:val="bottom"/>
            <w:hideMark/>
          </w:tcPr>
          <w:p w14:paraId="011B20F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2C0AACE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097B66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notional amount </w:t>
      </w:r>
      <w:r>
        <w:rPr>
          <w:rFonts w:ascii="Arial" w:hAnsi="Arial" w:cs="Arial"/>
          <w:sz w:val="20"/>
          <w:szCs w:val="20"/>
        </w:rPr>
        <w:t>is calculated using the settlement price for the Index Futures on the CME on December 31, 2022, which was $312.94 per contract, and the $100 multiplier applicable under the contract terms.</w:t>
      </w:r>
    </w:p>
    <w:p w14:paraId="473E650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FB59AB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result of investing in</w:t>
      </w:r>
      <w:r>
        <w:rPr>
          <w:rFonts w:ascii="Arial" w:hAnsi="Arial" w:cs="Arial"/>
          <w:sz w:val="20"/>
          <w:szCs w:val="20"/>
        </w:rPr>
        <w:t xml:space="preserve"> short-term United States Treasury bills and such market risk is expected to be immaterial.</w:t>
      </w:r>
    </w:p>
    <w:p w14:paraId="34FC207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776367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14:paraId="1D1561A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84F3FD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As described herein, the Trust seeks to track the results of a fully collateralized investment in futures contracts on an index composed </w:t>
      </w:r>
      <w:r>
        <w:rPr>
          <w:rFonts w:ascii="Arial" w:hAnsi="Arial" w:cs="Arial"/>
          <w:sz w:val="20"/>
          <w:szCs w:val="20"/>
        </w:rPr>
        <w:t>of a diversified group of commodity futures. The Trust seeks to track the investment returns of the Index before payment of the Trust’s expenses and liabilities. The Index itself is intended to reflect the performance of a diversified group of physical com</w:t>
      </w:r>
      <w:r>
        <w:rPr>
          <w:rFonts w:ascii="Arial" w:hAnsi="Arial" w:cs="Arial"/>
          <w:sz w:val="20"/>
          <w:szCs w:val="20"/>
        </w:rPr>
        <w:t>modities, including energy commodities, precious and industrial metal commodities, agricultural commodities and livestock commodities. The Trust obtains this exposure to commodity prices through the Trust’s Index Futures positions. As a result, fluctuation</w:t>
      </w:r>
      <w:r>
        <w:rPr>
          <w:rFonts w:ascii="Arial" w:hAnsi="Arial" w:cs="Arial"/>
          <w:sz w:val="20"/>
          <w:szCs w:val="20"/>
        </w:rPr>
        <w:t>s in the value of the Trust’s Index Futures are expected to directly affect the value of the Shares.</w:t>
      </w:r>
    </w:p>
    <w:p w14:paraId="735214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EE7295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losses caused by, changes in the level of the Index or the S&amp;</w:t>
      </w:r>
      <w:r>
        <w:rPr>
          <w:rFonts w:ascii="Arial" w:hAnsi="Arial" w:cs="Arial"/>
          <w:sz w:val="20"/>
          <w:szCs w:val="20"/>
        </w:rPr>
        <w:t>P GSCI-ER, or the value of any Collateral Assets. The Trust’s exposure to market risk may be influenced by a number of factors, including the lack of liquidity of the Index Futures market and activities of other market participants.</w:t>
      </w:r>
    </w:p>
    <w:p w14:paraId="752AA76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0660E37" w14:textId="77777777" w:rsidR="00000000" w:rsidRDefault="004206B0">
      <w:pPr>
        <w:jc w:val="center"/>
        <w:divId w:val="998928032"/>
        <w:rPr>
          <w:rFonts w:ascii="Arial" w:eastAsia="Times New Roman" w:hAnsi="Arial" w:cs="Arial"/>
          <w:sz w:val="20"/>
          <w:szCs w:val="20"/>
        </w:rPr>
      </w:pPr>
      <w:r>
        <w:rPr>
          <w:rFonts w:ascii="Arial" w:eastAsia="Times New Roman" w:hAnsi="Arial" w:cs="Arial"/>
          <w:sz w:val="20"/>
          <w:szCs w:val="20"/>
        </w:rPr>
        <w:t xml:space="preserve">28 </w:t>
      </w:r>
    </w:p>
    <w:p w14:paraId="663C1325" w14:textId="77777777" w:rsidR="00000000" w:rsidRDefault="004206B0">
      <w:pPr>
        <w:divId w:val="1169710036"/>
        <w:rPr>
          <w:rFonts w:eastAsia="Times New Roman"/>
          <w:sz w:val="20"/>
          <w:szCs w:val="20"/>
        </w:rPr>
      </w:pPr>
      <w:r>
        <w:rPr>
          <w:rFonts w:eastAsia="Times New Roman"/>
          <w:sz w:val="20"/>
          <w:szCs w:val="20"/>
        </w:rPr>
        <w:pict w14:anchorId="69833AD1">
          <v:rect id="_x0000_i1068" style="width:415.3pt;height:1.5pt" o:hralign="center" o:hrstd="t" o:hrnoshade="t" o:hr="t" fillcolor="black" stroked="f"/>
        </w:pict>
      </w:r>
    </w:p>
    <w:p w14:paraId="29B75101" w14:textId="77777777" w:rsidR="00000000" w:rsidRDefault="004206B0">
      <w:pPr>
        <w:divId w:val="61499064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78AB5E10" w14:textId="77777777" w:rsidR="00000000" w:rsidRDefault="004206B0">
      <w:pPr>
        <w:pStyle w:val="a3"/>
        <w:spacing w:before="0" w:beforeAutospacing="0" w:after="0" w:afterAutospacing="0"/>
        <w:rPr>
          <w:sz w:val="20"/>
          <w:szCs w:val="20"/>
        </w:rPr>
      </w:pPr>
      <w:r>
        <w:rPr>
          <w:sz w:val="20"/>
          <w:szCs w:val="20"/>
        </w:rPr>
        <w:t> </w:t>
      </w:r>
    </w:p>
    <w:p w14:paraId="61448FAF"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8. Financial Statements and Supplementary Data.</w:t>
      </w:r>
    </w:p>
    <w:p w14:paraId="1E4920C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67BB4A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following tables show the Trust’s quarterly financial information for each of the four quarters of 2022 and 2021.</w:t>
      </w:r>
    </w:p>
    <w:p w14:paraId="02CE719E" w14:textId="77777777" w:rsidR="00000000" w:rsidRDefault="004206B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82"/>
        <w:gridCol w:w="56"/>
        <w:gridCol w:w="112"/>
        <w:gridCol w:w="1179"/>
        <w:gridCol w:w="67"/>
        <w:gridCol w:w="56"/>
        <w:gridCol w:w="112"/>
        <w:gridCol w:w="1113"/>
        <w:gridCol w:w="67"/>
        <w:gridCol w:w="56"/>
        <w:gridCol w:w="112"/>
        <w:gridCol w:w="1179"/>
        <w:gridCol w:w="67"/>
        <w:gridCol w:w="56"/>
        <w:gridCol w:w="112"/>
        <w:gridCol w:w="1113"/>
        <w:gridCol w:w="67"/>
      </w:tblGrid>
      <w:tr w:rsidR="00000000" w14:paraId="088802D7" w14:textId="77777777">
        <w:trPr>
          <w:tblCellSpacing w:w="0" w:type="dxa"/>
        </w:trPr>
        <w:tc>
          <w:tcPr>
            <w:tcW w:w="2400" w:type="pct"/>
            <w:vAlign w:val="bottom"/>
            <w:hideMark/>
          </w:tcPr>
          <w:p w14:paraId="44E9731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4AF232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2000" w:type="pct"/>
            <w:gridSpan w:val="14"/>
            <w:tcBorders>
              <w:bottom w:val="single" w:sz="6" w:space="0" w:color="000000"/>
            </w:tcBorders>
            <w:vAlign w:val="bottom"/>
            <w:hideMark/>
          </w:tcPr>
          <w:p w14:paraId="489B3D19"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Three Months Ended (Unaud</w:t>
            </w:r>
            <w:r>
              <w:rPr>
                <w:rFonts w:ascii="Arial" w:eastAsia="Times New Roman" w:hAnsi="Arial" w:cs="Arial"/>
                <w:b/>
                <w:bCs/>
                <w:sz w:val="20"/>
                <w:szCs w:val="20"/>
              </w:rPr>
              <w:t>ited)</w:t>
            </w:r>
          </w:p>
        </w:tc>
        <w:tc>
          <w:tcPr>
            <w:tcW w:w="50" w:type="pct"/>
            <w:tcMar>
              <w:top w:w="0" w:type="dxa"/>
              <w:left w:w="0" w:type="dxa"/>
              <w:bottom w:w="15" w:type="dxa"/>
              <w:right w:w="0" w:type="dxa"/>
            </w:tcMar>
            <w:vAlign w:val="bottom"/>
            <w:hideMark/>
          </w:tcPr>
          <w:p w14:paraId="0683C77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5962779" w14:textId="77777777">
        <w:trPr>
          <w:tblCellSpacing w:w="0" w:type="dxa"/>
        </w:trPr>
        <w:tc>
          <w:tcPr>
            <w:tcW w:w="2400" w:type="pct"/>
            <w:vAlign w:val="bottom"/>
            <w:hideMark/>
          </w:tcPr>
          <w:p w14:paraId="64E1A7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FD3943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2E9D5AD" w14:textId="77777777" w:rsidR="00000000" w:rsidRDefault="004206B0">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March 31,</w:t>
            </w:r>
          </w:p>
          <w:p w14:paraId="4FB72391" w14:textId="77777777" w:rsidR="00000000" w:rsidRDefault="004206B0">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2022</w:t>
            </w:r>
          </w:p>
        </w:tc>
        <w:tc>
          <w:tcPr>
            <w:tcW w:w="50" w:type="pct"/>
            <w:tcMar>
              <w:top w:w="0" w:type="dxa"/>
              <w:left w:w="0" w:type="dxa"/>
              <w:bottom w:w="15" w:type="dxa"/>
              <w:right w:w="0" w:type="dxa"/>
            </w:tcMar>
            <w:vAlign w:val="bottom"/>
            <w:hideMark/>
          </w:tcPr>
          <w:p w14:paraId="3FDC43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001EE6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C6D46E3" w14:textId="77777777" w:rsidR="00000000" w:rsidRDefault="004206B0">
            <w:pPr>
              <w:pStyle w:val="a3"/>
              <w:spacing w:before="0" w:beforeAutospacing="0" w:after="0" w:afterAutospacing="0"/>
              <w:ind w:left="440"/>
              <w:jc w:val="center"/>
              <w:rPr>
                <w:rFonts w:ascii="Arial" w:hAnsi="Arial" w:cs="Arial"/>
                <w:sz w:val="20"/>
                <w:szCs w:val="20"/>
              </w:rPr>
            </w:pPr>
            <w:r>
              <w:rPr>
                <w:rFonts w:ascii="Arial" w:hAnsi="Arial" w:cs="Arial"/>
                <w:b/>
                <w:bCs/>
                <w:sz w:val="20"/>
                <w:szCs w:val="20"/>
              </w:rPr>
              <w:t>June 30,</w:t>
            </w:r>
          </w:p>
          <w:p w14:paraId="47454018" w14:textId="77777777" w:rsidR="00000000" w:rsidRDefault="004206B0">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2022</w:t>
            </w:r>
          </w:p>
        </w:tc>
        <w:tc>
          <w:tcPr>
            <w:tcW w:w="50" w:type="pct"/>
            <w:tcMar>
              <w:top w:w="0" w:type="dxa"/>
              <w:left w:w="0" w:type="dxa"/>
              <w:bottom w:w="15" w:type="dxa"/>
              <w:right w:w="0" w:type="dxa"/>
            </w:tcMar>
            <w:vAlign w:val="bottom"/>
            <w:hideMark/>
          </w:tcPr>
          <w:p w14:paraId="46B8A17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41787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05A7031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14:paraId="732E022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2022</w:t>
            </w:r>
          </w:p>
        </w:tc>
        <w:tc>
          <w:tcPr>
            <w:tcW w:w="50" w:type="pct"/>
            <w:tcMar>
              <w:top w:w="0" w:type="dxa"/>
              <w:left w:w="0" w:type="dxa"/>
              <w:bottom w:w="15" w:type="dxa"/>
              <w:right w:w="0" w:type="dxa"/>
            </w:tcMar>
            <w:vAlign w:val="bottom"/>
            <w:hideMark/>
          </w:tcPr>
          <w:p w14:paraId="4715CE5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2A98B0C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EC364DE"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14:paraId="69015B8F"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2022</w:t>
            </w:r>
          </w:p>
        </w:tc>
        <w:tc>
          <w:tcPr>
            <w:tcW w:w="50" w:type="pct"/>
            <w:tcMar>
              <w:top w:w="0" w:type="dxa"/>
              <w:left w:w="0" w:type="dxa"/>
              <w:bottom w:w="15" w:type="dxa"/>
              <w:right w:w="0" w:type="dxa"/>
            </w:tcMar>
            <w:vAlign w:val="bottom"/>
            <w:hideMark/>
          </w:tcPr>
          <w:p w14:paraId="74225E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2057E7E" w14:textId="77777777">
        <w:trPr>
          <w:tblCellSpacing w:w="0" w:type="dxa"/>
        </w:trPr>
        <w:tc>
          <w:tcPr>
            <w:tcW w:w="2400" w:type="pct"/>
            <w:shd w:val="clear" w:color="auto" w:fill="CCEEFF"/>
            <w:vAlign w:val="bottom"/>
            <w:hideMark/>
          </w:tcPr>
          <w:p w14:paraId="4C75421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Investment Income</w:t>
            </w:r>
          </w:p>
        </w:tc>
        <w:tc>
          <w:tcPr>
            <w:tcW w:w="50" w:type="pct"/>
            <w:shd w:val="clear" w:color="auto" w:fill="CCEEFF"/>
            <w:vAlign w:val="bottom"/>
            <w:hideMark/>
          </w:tcPr>
          <w:p w14:paraId="497482B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5C72F4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156C6765"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AC7498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A5DD1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C46CA8B"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12D4EFE5"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E03DCEA"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53EC3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3E8157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498CF82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018122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67C7DC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F192C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6E97EC1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54A64A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19F26746" w14:textId="77777777">
        <w:trPr>
          <w:tblCellSpacing w:w="0" w:type="dxa"/>
        </w:trPr>
        <w:tc>
          <w:tcPr>
            <w:tcW w:w="2400" w:type="pct"/>
            <w:shd w:val="clear" w:color="auto" w:fill="FFFFFF"/>
            <w:vAlign w:val="bottom"/>
            <w:hideMark/>
          </w:tcPr>
          <w:p w14:paraId="47D27759"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tcMar>
              <w:top w:w="0" w:type="dxa"/>
              <w:left w:w="0" w:type="dxa"/>
              <w:bottom w:w="15" w:type="dxa"/>
              <w:right w:w="0" w:type="dxa"/>
            </w:tcMar>
            <w:vAlign w:val="bottom"/>
            <w:hideMark/>
          </w:tcPr>
          <w:p w14:paraId="7039676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5418F1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1F1C7FE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447,870</w:t>
            </w:r>
          </w:p>
        </w:tc>
        <w:tc>
          <w:tcPr>
            <w:tcW w:w="50" w:type="pct"/>
            <w:shd w:val="clear" w:color="auto" w:fill="FFFFFF"/>
            <w:tcMar>
              <w:top w:w="0" w:type="dxa"/>
              <w:left w:w="0" w:type="dxa"/>
              <w:bottom w:w="15" w:type="dxa"/>
              <w:right w:w="0" w:type="dxa"/>
            </w:tcMar>
            <w:vAlign w:val="bottom"/>
            <w:hideMark/>
          </w:tcPr>
          <w:p w14:paraId="236309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296971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D276B6B"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7C50B7D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2,968,486</w:t>
            </w:r>
          </w:p>
        </w:tc>
        <w:tc>
          <w:tcPr>
            <w:tcW w:w="50" w:type="pct"/>
            <w:shd w:val="clear" w:color="auto" w:fill="FFFFFF"/>
            <w:tcMar>
              <w:top w:w="0" w:type="dxa"/>
              <w:left w:w="0" w:type="dxa"/>
              <w:bottom w:w="15" w:type="dxa"/>
              <w:right w:w="0" w:type="dxa"/>
            </w:tcMar>
            <w:vAlign w:val="bottom"/>
            <w:hideMark/>
          </w:tcPr>
          <w:p w14:paraId="3FA8C5D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48BB69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8C59921"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2F90755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7,031,116</w:t>
            </w:r>
          </w:p>
        </w:tc>
        <w:tc>
          <w:tcPr>
            <w:tcW w:w="50" w:type="pct"/>
            <w:shd w:val="clear" w:color="auto" w:fill="FFFFFF"/>
            <w:tcMar>
              <w:top w:w="0" w:type="dxa"/>
              <w:left w:w="0" w:type="dxa"/>
              <w:bottom w:w="15" w:type="dxa"/>
              <w:right w:w="0" w:type="dxa"/>
            </w:tcMar>
            <w:vAlign w:val="bottom"/>
            <w:hideMark/>
          </w:tcPr>
          <w:p w14:paraId="53F313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2F366D5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60E974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08CF2AE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11,858,606</w:t>
            </w:r>
          </w:p>
        </w:tc>
        <w:tc>
          <w:tcPr>
            <w:tcW w:w="50" w:type="pct"/>
            <w:shd w:val="clear" w:color="auto" w:fill="FFFFFF"/>
            <w:tcMar>
              <w:top w:w="0" w:type="dxa"/>
              <w:left w:w="0" w:type="dxa"/>
              <w:bottom w:w="15" w:type="dxa"/>
              <w:right w:w="0" w:type="dxa"/>
            </w:tcMar>
            <w:vAlign w:val="bottom"/>
            <w:hideMark/>
          </w:tcPr>
          <w:p w14:paraId="0EACE5A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5C43E4B" w14:textId="77777777">
        <w:trPr>
          <w:tblCellSpacing w:w="0" w:type="dxa"/>
        </w:trPr>
        <w:tc>
          <w:tcPr>
            <w:tcW w:w="2400" w:type="pct"/>
            <w:shd w:val="clear" w:color="auto" w:fill="CCEEFF"/>
            <w:vAlign w:val="bottom"/>
            <w:hideMark/>
          </w:tcPr>
          <w:p w14:paraId="03709FB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tcMar>
              <w:top w:w="0" w:type="dxa"/>
              <w:left w:w="0" w:type="dxa"/>
              <w:bottom w:w="15" w:type="dxa"/>
              <w:right w:w="0" w:type="dxa"/>
            </w:tcMar>
            <w:vAlign w:val="bottom"/>
            <w:hideMark/>
          </w:tcPr>
          <w:p w14:paraId="12AC7E5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E7856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999817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447,870</w:t>
            </w:r>
          </w:p>
        </w:tc>
        <w:tc>
          <w:tcPr>
            <w:tcW w:w="50" w:type="pct"/>
            <w:shd w:val="clear" w:color="auto" w:fill="CCEEFF"/>
            <w:tcMar>
              <w:top w:w="0" w:type="dxa"/>
              <w:left w:w="0" w:type="dxa"/>
              <w:bottom w:w="15" w:type="dxa"/>
              <w:right w:w="0" w:type="dxa"/>
            </w:tcMar>
            <w:vAlign w:val="bottom"/>
            <w:hideMark/>
          </w:tcPr>
          <w:p w14:paraId="4108D6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0B2CDEE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36F73A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5B552B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2,968,486</w:t>
            </w:r>
          </w:p>
        </w:tc>
        <w:tc>
          <w:tcPr>
            <w:tcW w:w="50" w:type="pct"/>
            <w:shd w:val="clear" w:color="auto" w:fill="CCEEFF"/>
            <w:tcMar>
              <w:top w:w="0" w:type="dxa"/>
              <w:left w:w="0" w:type="dxa"/>
              <w:bottom w:w="15" w:type="dxa"/>
              <w:right w:w="0" w:type="dxa"/>
            </w:tcMar>
            <w:vAlign w:val="bottom"/>
            <w:hideMark/>
          </w:tcPr>
          <w:p w14:paraId="483330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6ED4342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DE2D0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15F1E0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7,031,116</w:t>
            </w:r>
          </w:p>
        </w:tc>
        <w:tc>
          <w:tcPr>
            <w:tcW w:w="50" w:type="pct"/>
            <w:shd w:val="clear" w:color="auto" w:fill="CCEEFF"/>
            <w:tcMar>
              <w:top w:w="0" w:type="dxa"/>
              <w:left w:w="0" w:type="dxa"/>
              <w:bottom w:w="15" w:type="dxa"/>
              <w:right w:w="0" w:type="dxa"/>
            </w:tcMar>
            <w:vAlign w:val="bottom"/>
            <w:hideMark/>
          </w:tcPr>
          <w:p w14:paraId="190FC18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0C7FD00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E5C65A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59B55C1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11,858,606</w:t>
            </w:r>
          </w:p>
        </w:tc>
        <w:tc>
          <w:tcPr>
            <w:tcW w:w="50" w:type="pct"/>
            <w:shd w:val="clear" w:color="auto" w:fill="CCEEFF"/>
            <w:tcMar>
              <w:top w:w="0" w:type="dxa"/>
              <w:left w:w="0" w:type="dxa"/>
              <w:bottom w:w="15" w:type="dxa"/>
              <w:right w:w="0" w:type="dxa"/>
            </w:tcMar>
            <w:vAlign w:val="bottom"/>
            <w:hideMark/>
          </w:tcPr>
          <w:p w14:paraId="1D9B9C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17ACB15" w14:textId="77777777">
        <w:trPr>
          <w:tblCellSpacing w:w="0" w:type="dxa"/>
        </w:trPr>
        <w:tc>
          <w:tcPr>
            <w:tcW w:w="2400" w:type="pct"/>
            <w:shd w:val="clear" w:color="auto" w:fill="FFFFFF"/>
            <w:vAlign w:val="bottom"/>
            <w:hideMark/>
          </w:tcPr>
          <w:p w14:paraId="0496C76C"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50" w:type="pct"/>
            <w:shd w:val="clear" w:color="auto" w:fill="FFFFFF"/>
            <w:vAlign w:val="bottom"/>
            <w:hideMark/>
          </w:tcPr>
          <w:p w14:paraId="276D3D9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4E0D5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60667F9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739BB2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CCD348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6456A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6F5D7FC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0FB4B0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37A610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8E90B6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5F6761B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C1D31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707A58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B65B9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3896E40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FB72E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8D46BE4" w14:textId="77777777">
        <w:trPr>
          <w:tblCellSpacing w:w="0" w:type="dxa"/>
        </w:trPr>
        <w:tc>
          <w:tcPr>
            <w:tcW w:w="2400" w:type="pct"/>
            <w:shd w:val="clear" w:color="auto" w:fill="CCEEFF"/>
            <w:vAlign w:val="bottom"/>
            <w:hideMark/>
          </w:tcPr>
          <w:p w14:paraId="5ECD8C90"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CCEEFF"/>
            <w:vAlign w:val="bottom"/>
            <w:hideMark/>
          </w:tcPr>
          <w:p w14:paraId="0E96696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B5641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716D91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3,459,826</w:t>
            </w:r>
          </w:p>
        </w:tc>
        <w:tc>
          <w:tcPr>
            <w:tcW w:w="50" w:type="pct"/>
            <w:shd w:val="clear" w:color="auto" w:fill="CCEEFF"/>
            <w:vAlign w:val="bottom"/>
            <w:hideMark/>
          </w:tcPr>
          <w:p w14:paraId="4294143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D7499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F2EB24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D7AC6E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4,090,111</w:t>
            </w:r>
          </w:p>
        </w:tc>
        <w:tc>
          <w:tcPr>
            <w:tcW w:w="50" w:type="pct"/>
            <w:shd w:val="clear" w:color="auto" w:fill="CCEEFF"/>
            <w:vAlign w:val="bottom"/>
            <w:hideMark/>
          </w:tcPr>
          <w:p w14:paraId="1A2E70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A4889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17EA9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1990248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3,199,124</w:t>
            </w:r>
          </w:p>
        </w:tc>
        <w:tc>
          <w:tcPr>
            <w:tcW w:w="50" w:type="pct"/>
            <w:shd w:val="clear" w:color="auto" w:fill="CCEEFF"/>
            <w:vAlign w:val="bottom"/>
            <w:hideMark/>
          </w:tcPr>
          <w:p w14:paraId="49D67FA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4EBE20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84A7DB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4CC562D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2,733,484</w:t>
            </w:r>
          </w:p>
        </w:tc>
        <w:tc>
          <w:tcPr>
            <w:tcW w:w="50" w:type="pct"/>
            <w:shd w:val="clear" w:color="auto" w:fill="CCEEFF"/>
            <w:vAlign w:val="bottom"/>
            <w:hideMark/>
          </w:tcPr>
          <w:p w14:paraId="4B6CD28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9441CDD" w14:textId="77777777">
        <w:trPr>
          <w:tblCellSpacing w:w="0" w:type="dxa"/>
        </w:trPr>
        <w:tc>
          <w:tcPr>
            <w:tcW w:w="2400" w:type="pct"/>
            <w:shd w:val="clear" w:color="auto" w:fill="FFFFFF"/>
            <w:vAlign w:val="bottom"/>
            <w:hideMark/>
          </w:tcPr>
          <w:p w14:paraId="783BD92D"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FFFFFF"/>
            <w:tcMar>
              <w:top w:w="0" w:type="dxa"/>
              <w:left w:w="0" w:type="dxa"/>
              <w:bottom w:w="15" w:type="dxa"/>
              <w:right w:w="0" w:type="dxa"/>
            </w:tcMar>
            <w:vAlign w:val="bottom"/>
            <w:hideMark/>
          </w:tcPr>
          <w:p w14:paraId="2B077A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902A49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5571294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409,606</w:t>
            </w:r>
          </w:p>
        </w:tc>
        <w:tc>
          <w:tcPr>
            <w:tcW w:w="50" w:type="pct"/>
            <w:shd w:val="clear" w:color="auto" w:fill="FFFFFF"/>
            <w:tcMar>
              <w:top w:w="0" w:type="dxa"/>
              <w:left w:w="0" w:type="dxa"/>
              <w:bottom w:w="15" w:type="dxa"/>
              <w:right w:w="0" w:type="dxa"/>
            </w:tcMar>
            <w:vAlign w:val="bottom"/>
            <w:hideMark/>
          </w:tcPr>
          <w:p w14:paraId="714A066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3FE557D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C66CD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ED5940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387,291</w:t>
            </w:r>
          </w:p>
        </w:tc>
        <w:tc>
          <w:tcPr>
            <w:tcW w:w="50" w:type="pct"/>
            <w:shd w:val="clear" w:color="auto" w:fill="FFFFFF"/>
            <w:tcMar>
              <w:top w:w="0" w:type="dxa"/>
              <w:left w:w="0" w:type="dxa"/>
              <w:bottom w:w="15" w:type="dxa"/>
              <w:right w:w="0" w:type="dxa"/>
            </w:tcMar>
            <w:vAlign w:val="bottom"/>
            <w:hideMark/>
          </w:tcPr>
          <w:p w14:paraId="129C0F9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080E8E8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17EFB9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F86467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215,717</w:t>
            </w:r>
          </w:p>
        </w:tc>
        <w:tc>
          <w:tcPr>
            <w:tcW w:w="50" w:type="pct"/>
            <w:shd w:val="clear" w:color="auto" w:fill="FFFFFF"/>
            <w:tcMar>
              <w:top w:w="0" w:type="dxa"/>
              <w:left w:w="0" w:type="dxa"/>
              <w:bottom w:w="15" w:type="dxa"/>
              <w:right w:w="0" w:type="dxa"/>
            </w:tcMar>
            <w:vAlign w:val="bottom"/>
            <w:hideMark/>
          </w:tcPr>
          <w:p w14:paraId="0D4B0E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137A8C8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F6E8F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F7E6E4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286,996</w:t>
            </w:r>
          </w:p>
        </w:tc>
        <w:tc>
          <w:tcPr>
            <w:tcW w:w="50" w:type="pct"/>
            <w:shd w:val="clear" w:color="auto" w:fill="FFFFFF"/>
            <w:tcMar>
              <w:top w:w="0" w:type="dxa"/>
              <w:left w:w="0" w:type="dxa"/>
              <w:bottom w:w="15" w:type="dxa"/>
              <w:right w:w="0" w:type="dxa"/>
            </w:tcMar>
            <w:vAlign w:val="bottom"/>
            <w:hideMark/>
          </w:tcPr>
          <w:p w14:paraId="20585F1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D2A4224" w14:textId="77777777">
        <w:trPr>
          <w:tblCellSpacing w:w="0" w:type="dxa"/>
        </w:trPr>
        <w:tc>
          <w:tcPr>
            <w:tcW w:w="2400" w:type="pct"/>
            <w:shd w:val="clear" w:color="auto" w:fill="CCEEFF"/>
            <w:vAlign w:val="bottom"/>
            <w:hideMark/>
          </w:tcPr>
          <w:p w14:paraId="451436A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CCEEFF"/>
            <w:tcMar>
              <w:top w:w="0" w:type="dxa"/>
              <w:left w:w="0" w:type="dxa"/>
              <w:bottom w:w="15" w:type="dxa"/>
              <w:right w:w="0" w:type="dxa"/>
            </w:tcMar>
            <w:vAlign w:val="bottom"/>
            <w:hideMark/>
          </w:tcPr>
          <w:p w14:paraId="3380B18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B2674B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3D59261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3,869,432</w:t>
            </w:r>
          </w:p>
        </w:tc>
        <w:tc>
          <w:tcPr>
            <w:tcW w:w="50" w:type="pct"/>
            <w:shd w:val="clear" w:color="auto" w:fill="CCEEFF"/>
            <w:tcMar>
              <w:top w:w="0" w:type="dxa"/>
              <w:left w:w="0" w:type="dxa"/>
              <w:bottom w:w="15" w:type="dxa"/>
              <w:right w:w="0" w:type="dxa"/>
            </w:tcMar>
            <w:vAlign w:val="bottom"/>
            <w:hideMark/>
          </w:tcPr>
          <w:p w14:paraId="201719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3138032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CDCE53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5152AC8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4,477,402</w:t>
            </w:r>
          </w:p>
        </w:tc>
        <w:tc>
          <w:tcPr>
            <w:tcW w:w="50" w:type="pct"/>
            <w:shd w:val="clear" w:color="auto" w:fill="CCEEFF"/>
            <w:tcMar>
              <w:top w:w="0" w:type="dxa"/>
              <w:left w:w="0" w:type="dxa"/>
              <w:bottom w:w="15" w:type="dxa"/>
              <w:right w:w="0" w:type="dxa"/>
            </w:tcMar>
            <w:vAlign w:val="bottom"/>
            <w:hideMark/>
          </w:tcPr>
          <w:p w14:paraId="6BB265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35F9503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887B5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494E004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3,414,841</w:t>
            </w:r>
          </w:p>
        </w:tc>
        <w:tc>
          <w:tcPr>
            <w:tcW w:w="50" w:type="pct"/>
            <w:shd w:val="clear" w:color="auto" w:fill="CCEEFF"/>
            <w:tcMar>
              <w:top w:w="0" w:type="dxa"/>
              <w:left w:w="0" w:type="dxa"/>
              <w:bottom w:w="15" w:type="dxa"/>
              <w:right w:w="0" w:type="dxa"/>
            </w:tcMar>
            <w:vAlign w:val="bottom"/>
            <w:hideMark/>
          </w:tcPr>
          <w:p w14:paraId="506D73E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1203D25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7A9054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A3C856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3,020,480</w:t>
            </w:r>
          </w:p>
        </w:tc>
        <w:tc>
          <w:tcPr>
            <w:tcW w:w="50" w:type="pct"/>
            <w:shd w:val="clear" w:color="auto" w:fill="CCEEFF"/>
            <w:tcMar>
              <w:top w:w="0" w:type="dxa"/>
              <w:left w:w="0" w:type="dxa"/>
              <w:bottom w:w="15" w:type="dxa"/>
              <w:right w:w="0" w:type="dxa"/>
            </w:tcMar>
            <w:vAlign w:val="bottom"/>
            <w:hideMark/>
          </w:tcPr>
          <w:p w14:paraId="2ED6AFF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F66A79F" w14:textId="77777777">
        <w:trPr>
          <w:tblCellSpacing w:w="0" w:type="dxa"/>
        </w:trPr>
        <w:tc>
          <w:tcPr>
            <w:tcW w:w="2400" w:type="pct"/>
            <w:shd w:val="clear" w:color="auto" w:fill="FFFFFF"/>
            <w:vAlign w:val="bottom"/>
            <w:hideMark/>
          </w:tcPr>
          <w:p w14:paraId="593858F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FFFFFF"/>
            <w:tcMar>
              <w:top w:w="0" w:type="dxa"/>
              <w:left w:w="0" w:type="dxa"/>
              <w:bottom w:w="15" w:type="dxa"/>
              <w:right w:w="0" w:type="dxa"/>
            </w:tcMar>
            <w:vAlign w:val="bottom"/>
            <w:hideMark/>
          </w:tcPr>
          <w:p w14:paraId="61BAA9C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10FA5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04B70D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(3,421,562</w:t>
            </w:r>
          </w:p>
        </w:tc>
        <w:tc>
          <w:tcPr>
            <w:tcW w:w="50" w:type="pct"/>
            <w:shd w:val="clear" w:color="auto" w:fill="FFFFFF"/>
            <w:tcMar>
              <w:top w:w="0" w:type="dxa"/>
              <w:left w:w="0" w:type="dxa"/>
              <w:bottom w:w="15" w:type="dxa"/>
              <w:right w:w="0" w:type="dxa"/>
            </w:tcMar>
            <w:vAlign w:val="bottom"/>
            <w:hideMark/>
          </w:tcPr>
          <w:p w14:paraId="4935B5B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2C87EDE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5BE0C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6E738E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(1,508,916</w:t>
            </w:r>
          </w:p>
        </w:tc>
        <w:tc>
          <w:tcPr>
            <w:tcW w:w="50" w:type="pct"/>
            <w:shd w:val="clear" w:color="auto" w:fill="FFFFFF"/>
            <w:tcMar>
              <w:top w:w="0" w:type="dxa"/>
              <w:left w:w="0" w:type="dxa"/>
              <w:bottom w:w="15" w:type="dxa"/>
              <w:right w:w="0" w:type="dxa"/>
            </w:tcMar>
            <w:vAlign w:val="bottom"/>
            <w:hideMark/>
          </w:tcPr>
          <w:p w14:paraId="3F7FB6B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219048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73CB93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F9A6B5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3,616,275</w:t>
            </w:r>
          </w:p>
        </w:tc>
        <w:tc>
          <w:tcPr>
            <w:tcW w:w="50" w:type="pct"/>
            <w:shd w:val="clear" w:color="auto" w:fill="FFFFFF"/>
            <w:tcMar>
              <w:top w:w="0" w:type="dxa"/>
              <w:left w:w="0" w:type="dxa"/>
              <w:bottom w:w="15" w:type="dxa"/>
              <w:right w:w="0" w:type="dxa"/>
            </w:tcMar>
            <w:vAlign w:val="bottom"/>
            <w:hideMark/>
          </w:tcPr>
          <w:p w14:paraId="5213D1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5D5241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79E4E3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F2BEB5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8,838,126</w:t>
            </w:r>
          </w:p>
        </w:tc>
        <w:tc>
          <w:tcPr>
            <w:tcW w:w="50" w:type="pct"/>
            <w:shd w:val="clear" w:color="auto" w:fill="FFFFFF"/>
            <w:tcMar>
              <w:top w:w="0" w:type="dxa"/>
              <w:left w:w="0" w:type="dxa"/>
              <w:bottom w:w="15" w:type="dxa"/>
              <w:right w:w="0" w:type="dxa"/>
            </w:tcMar>
            <w:vAlign w:val="bottom"/>
            <w:hideMark/>
          </w:tcPr>
          <w:p w14:paraId="62EFAA5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98A0039" w14:textId="77777777">
        <w:trPr>
          <w:tblCellSpacing w:w="0" w:type="dxa"/>
        </w:trPr>
        <w:tc>
          <w:tcPr>
            <w:tcW w:w="2400" w:type="pct"/>
            <w:shd w:val="clear" w:color="auto" w:fill="CCEEFF"/>
            <w:vAlign w:val="center"/>
            <w:hideMark/>
          </w:tcPr>
          <w:p w14:paraId="4039345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Net Realized and Unrealized Gain (Loss)</w:t>
            </w:r>
          </w:p>
        </w:tc>
        <w:tc>
          <w:tcPr>
            <w:tcW w:w="50" w:type="pct"/>
            <w:shd w:val="clear" w:color="auto" w:fill="CCEEFF"/>
            <w:vAlign w:val="center"/>
            <w:hideMark/>
          </w:tcPr>
          <w:p w14:paraId="6D999C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390A9CB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672AA48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69F74BB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4F1FFEB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197CD4B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64F9E0A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612B3A0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525E31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02AE35F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705897D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11C6413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7DC1B72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0B9CF0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1EB1C6E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2528CE9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F37F96F" w14:textId="77777777">
        <w:trPr>
          <w:tblCellSpacing w:w="0" w:type="dxa"/>
        </w:trPr>
        <w:tc>
          <w:tcPr>
            <w:tcW w:w="2400" w:type="pct"/>
            <w:shd w:val="clear" w:color="auto" w:fill="FFFFFF"/>
            <w:vAlign w:val="bottom"/>
            <w:hideMark/>
          </w:tcPr>
          <w:p w14:paraId="2E37593C"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50" w:type="pct"/>
            <w:shd w:val="clear" w:color="auto" w:fill="FFFFFF"/>
            <w:vAlign w:val="bottom"/>
            <w:hideMark/>
          </w:tcPr>
          <w:p w14:paraId="1C67141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7965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013043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3A2B04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35163B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6C4E1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29FCDD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D02A2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0EF10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61D6F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5A806C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BE112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82348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22577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125FC76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F70A35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AB9971A" w14:textId="77777777">
        <w:trPr>
          <w:tblCellSpacing w:w="0" w:type="dxa"/>
        </w:trPr>
        <w:tc>
          <w:tcPr>
            <w:tcW w:w="2400" w:type="pct"/>
            <w:shd w:val="clear" w:color="auto" w:fill="CCEEFF"/>
            <w:vAlign w:val="bottom"/>
            <w:hideMark/>
          </w:tcPr>
          <w:p w14:paraId="4168D84A"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6E3E54D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84A95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1048BE2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1,339</w:t>
            </w:r>
          </w:p>
        </w:tc>
        <w:tc>
          <w:tcPr>
            <w:tcW w:w="50" w:type="pct"/>
            <w:shd w:val="clear" w:color="auto" w:fill="CCEEFF"/>
            <w:vAlign w:val="bottom"/>
            <w:hideMark/>
          </w:tcPr>
          <w:p w14:paraId="51B4A9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D1B5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A39D24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174480C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(4,298</w:t>
            </w:r>
          </w:p>
        </w:tc>
        <w:tc>
          <w:tcPr>
            <w:tcW w:w="50" w:type="pct"/>
            <w:shd w:val="clear" w:color="auto" w:fill="CCEEFF"/>
            <w:vAlign w:val="bottom"/>
            <w:hideMark/>
          </w:tcPr>
          <w:p w14:paraId="3A0C1DF1"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DE578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747BBD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45FDED2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(34,323</w:t>
            </w:r>
          </w:p>
        </w:tc>
        <w:tc>
          <w:tcPr>
            <w:tcW w:w="50" w:type="pct"/>
            <w:shd w:val="clear" w:color="auto" w:fill="CCEEFF"/>
            <w:vAlign w:val="bottom"/>
            <w:hideMark/>
          </w:tcPr>
          <w:p w14:paraId="398037BB"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6E6C1C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DA39A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87658D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(22,199</w:t>
            </w:r>
          </w:p>
        </w:tc>
        <w:tc>
          <w:tcPr>
            <w:tcW w:w="50" w:type="pct"/>
            <w:shd w:val="clear" w:color="auto" w:fill="CCEEFF"/>
            <w:vAlign w:val="bottom"/>
            <w:hideMark/>
          </w:tcPr>
          <w:p w14:paraId="1F3B8DB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6B1B3020" w14:textId="77777777">
        <w:trPr>
          <w:tblCellSpacing w:w="0" w:type="dxa"/>
        </w:trPr>
        <w:tc>
          <w:tcPr>
            <w:tcW w:w="2400" w:type="pct"/>
            <w:shd w:val="clear" w:color="auto" w:fill="FFFFFF"/>
            <w:vAlign w:val="bottom"/>
            <w:hideMark/>
          </w:tcPr>
          <w:p w14:paraId="4CE69B8F"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tcMar>
              <w:top w:w="0" w:type="dxa"/>
              <w:left w:w="0" w:type="dxa"/>
              <w:bottom w:w="15" w:type="dxa"/>
              <w:right w:w="0" w:type="dxa"/>
            </w:tcMar>
            <w:vAlign w:val="bottom"/>
            <w:hideMark/>
          </w:tcPr>
          <w:p w14:paraId="45EA91F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2EF9D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D739A7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736,763,238</w:t>
            </w:r>
          </w:p>
        </w:tc>
        <w:tc>
          <w:tcPr>
            <w:tcW w:w="50" w:type="pct"/>
            <w:shd w:val="clear" w:color="auto" w:fill="FFFFFF"/>
            <w:tcMar>
              <w:top w:w="0" w:type="dxa"/>
              <w:left w:w="0" w:type="dxa"/>
              <w:bottom w:w="15" w:type="dxa"/>
              <w:right w:w="0" w:type="dxa"/>
            </w:tcMar>
            <w:vAlign w:val="bottom"/>
            <w:hideMark/>
          </w:tcPr>
          <w:p w14:paraId="66F9F0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1D8ED80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C012C0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401D81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104,723,600</w:t>
            </w:r>
          </w:p>
        </w:tc>
        <w:tc>
          <w:tcPr>
            <w:tcW w:w="50" w:type="pct"/>
            <w:shd w:val="clear" w:color="auto" w:fill="FFFFFF"/>
            <w:tcMar>
              <w:top w:w="0" w:type="dxa"/>
              <w:left w:w="0" w:type="dxa"/>
              <w:bottom w:w="15" w:type="dxa"/>
              <w:right w:w="0" w:type="dxa"/>
            </w:tcMar>
            <w:vAlign w:val="bottom"/>
            <w:hideMark/>
          </w:tcPr>
          <w:p w14:paraId="75CBA6E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20CE966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06CC6F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5819812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(394,948,409</w:t>
            </w:r>
          </w:p>
        </w:tc>
        <w:tc>
          <w:tcPr>
            <w:tcW w:w="50" w:type="pct"/>
            <w:shd w:val="clear" w:color="auto" w:fill="FFFFFF"/>
            <w:tcMar>
              <w:top w:w="0" w:type="dxa"/>
              <w:left w:w="0" w:type="dxa"/>
              <w:bottom w:w="15" w:type="dxa"/>
              <w:right w:w="0" w:type="dxa"/>
            </w:tcMar>
            <w:vAlign w:val="bottom"/>
            <w:hideMark/>
          </w:tcPr>
          <w:p w14:paraId="657D1221"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0A2D6F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C0B2C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3A7D97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(86,887,348</w:t>
            </w:r>
          </w:p>
        </w:tc>
        <w:tc>
          <w:tcPr>
            <w:tcW w:w="50" w:type="pct"/>
            <w:shd w:val="clear" w:color="auto" w:fill="FFFFFF"/>
            <w:tcMar>
              <w:top w:w="0" w:type="dxa"/>
              <w:left w:w="0" w:type="dxa"/>
              <w:bottom w:w="15" w:type="dxa"/>
              <w:right w:w="0" w:type="dxa"/>
            </w:tcMar>
            <w:vAlign w:val="bottom"/>
            <w:hideMark/>
          </w:tcPr>
          <w:p w14:paraId="794F1D1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0974FCD7" w14:textId="77777777">
        <w:trPr>
          <w:tblCellSpacing w:w="0" w:type="dxa"/>
        </w:trPr>
        <w:tc>
          <w:tcPr>
            <w:tcW w:w="2400" w:type="pct"/>
            <w:shd w:val="clear" w:color="auto" w:fill="CCEEFF"/>
            <w:vAlign w:val="bottom"/>
            <w:hideMark/>
          </w:tcPr>
          <w:p w14:paraId="0D122DBF"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tcMar>
              <w:top w:w="0" w:type="dxa"/>
              <w:left w:w="0" w:type="dxa"/>
              <w:bottom w:w="15" w:type="dxa"/>
              <w:right w:w="0" w:type="dxa"/>
            </w:tcMar>
            <w:vAlign w:val="bottom"/>
            <w:hideMark/>
          </w:tcPr>
          <w:p w14:paraId="0D719E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ACA26C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83D8A8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736,764,577</w:t>
            </w:r>
          </w:p>
        </w:tc>
        <w:tc>
          <w:tcPr>
            <w:tcW w:w="50" w:type="pct"/>
            <w:shd w:val="clear" w:color="auto" w:fill="CCEEFF"/>
            <w:tcMar>
              <w:top w:w="0" w:type="dxa"/>
              <w:left w:w="0" w:type="dxa"/>
              <w:bottom w:w="15" w:type="dxa"/>
              <w:right w:w="0" w:type="dxa"/>
            </w:tcMar>
            <w:vAlign w:val="bottom"/>
            <w:hideMark/>
          </w:tcPr>
          <w:p w14:paraId="0BF799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34CCBD3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D8445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4677446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104,719,302</w:t>
            </w:r>
          </w:p>
        </w:tc>
        <w:tc>
          <w:tcPr>
            <w:tcW w:w="50" w:type="pct"/>
            <w:shd w:val="clear" w:color="auto" w:fill="CCEEFF"/>
            <w:tcMar>
              <w:top w:w="0" w:type="dxa"/>
              <w:left w:w="0" w:type="dxa"/>
              <w:bottom w:w="15" w:type="dxa"/>
              <w:right w:w="0" w:type="dxa"/>
            </w:tcMar>
            <w:vAlign w:val="bottom"/>
            <w:hideMark/>
          </w:tcPr>
          <w:p w14:paraId="68882F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4B9A279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3EE80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FB5965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(394,982,732</w:t>
            </w:r>
          </w:p>
        </w:tc>
        <w:tc>
          <w:tcPr>
            <w:tcW w:w="50" w:type="pct"/>
            <w:shd w:val="clear" w:color="auto" w:fill="CCEEFF"/>
            <w:tcMar>
              <w:top w:w="0" w:type="dxa"/>
              <w:left w:w="0" w:type="dxa"/>
              <w:bottom w:w="15" w:type="dxa"/>
              <w:right w:w="0" w:type="dxa"/>
            </w:tcMar>
            <w:vAlign w:val="bottom"/>
            <w:hideMark/>
          </w:tcPr>
          <w:p w14:paraId="1455CEF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3AF2A7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9FDF58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EC13B4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(86,909,547</w:t>
            </w:r>
          </w:p>
        </w:tc>
        <w:tc>
          <w:tcPr>
            <w:tcW w:w="50" w:type="pct"/>
            <w:shd w:val="clear" w:color="auto" w:fill="CCEEFF"/>
            <w:tcMar>
              <w:top w:w="0" w:type="dxa"/>
              <w:left w:w="0" w:type="dxa"/>
              <w:bottom w:w="15" w:type="dxa"/>
              <w:right w:w="0" w:type="dxa"/>
            </w:tcMar>
            <w:vAlign w:val="bottom"/>
            <w:hideMark/>
          </w:tcPr>
          <w:p w14:paraId="060BB03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4F629A9A" w14:textId="77777777">
        <w:trPr>
          <w:tblCellSpacing w:w="0" w:type="dxa"/>
        </w:trPr>
        <w:tc>
          <w:tcPr>
            <w:tcW w:w="2400" w:type="pct"/>
            <w:shd w:val="clear" w:color="auto" w:fill="FFFFFF"/>
            <w:vAlign w:val="bottom"/>
            <w:hideMark/>
          </w:tcPr>
          <w:p w14:paraId="68146E10"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50" w:type="pct"/>
            <w:shd w:val="clear" w:color="auto" w:fill="FFFFFF"/>
            <w:vAlign w:val="bottom"/>
            <w:hideMark/>
          </w:tcPr>
          <w:p w14:paraId="72CF513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6BE9C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44F32FE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81CA3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E37B8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AB212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2C7FDD2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53369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63405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A8F80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6A3F8F3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6507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D1CC1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C8ED69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5ECBF31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3A949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B245EA2" w14:textId="77777777">
        <w:trPr>
          <w:tblCellSpacing w:w="0" w:type="dxa"/>
        </w:trPr>
        <w:tc>
          <w:tcPr>
            <w:tcW w:w="2400" w:type="pct"/>
            <w:shd w:val="clear" w:color="auto" w:fill="CCEEFF"/>
            <w:vAlign w:val="bottom"/>
            <w:hideMark/>
          </w:tcPr>
          <w:p w14:paraId="14D1DF90"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527A54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9F8690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09E1B1E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31,515</w:t>
            </w:r>
          </w:p>
        </w:tc>
        <w:tc>
          <w:tcPr>
            <w:tcW w:w="50" w:type="pct"/>
            <w:shd w:val="clear" w:color="auto" w:fill="CCEEFF"/>
            <w:vAlign w:val="bottom"/>
            <w:hideMark/>
          </w:tcPr>
          <w:p w14:paraId="32735A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6AF55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53F2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0787892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(722,311</w:t>
            </w:r>
          </w:p>
        </w:tc>
        <w:tc>
          <w:tcPr>
            <w:tcW w:w="50" w:type="pct"/>
            <w:shd w:val="clear" w:color="auto" w:fill="CCEEFF"/>
            <w:vAlign w:val="bottom"/>
            <w:hideMark/>
          </w:tcPr>
          <w:p w14:paraId="75A4687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3F478C6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6E1D4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109BB25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717,056</w:t>
            </w:r>
          </w:p>
        </w:tc>
        <w:tc>
          <w:tcPr>
            <w:tcW w:w="50" w:type="pct"/>
            <w:shd w:val="clear" w:color="auto" w:fill="CCEEFF"/>
            <w:vAlign w:val="bottom"/>
            <w:hideMark/>
          </w:tcPr>
          <w:p w14:paraId="4014CDC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9272A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A5B11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586A83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349,062</w:t>
            </w:r>
          </w:p>
        </w:tc>
        <w:tc>
          <w:tcPr>
            <w:tcW w:w="50" w:type="pct"/>
            <w:shd w:val="clear" w:color="auto" w:fill="CCEEFF"/>
            <w:vAlign w:val="bottom"/>
            <w:hideMark/>
          </w:tcPr>
          <w:p w14:paraId="79F084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DC273DD" w14:textId="77777777">
        <w:trPr>
          <w:tblCellSpacing w:w="0" w:type="dxa"/>
        </w:trPr>
        <w:tc>
          <w:tcPr>
            <w:tcW w:w="2400" w:type="pct"/>
            <w:shd w:val="clear" w:color="auto" w:fill="FFFFFF"/>
            <w:vAlign w:val="bottom"/>
            <w:hideMark/>
          </w:tcPr>
          <w:p w14:paraId="5D4F2785"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tcMar>
              <w:top w:w="0" w:type="dxa"/>
              <w:left w:w="0" w:type="dxa"/>
              <w:bottom w:w="15" w:type="dxa"/>
              <w:right w:w="0" w:type="dxa"/>
            </w:tcMar>
            <w:vAlign w:val="bottom"/>
            <w:hideMark/>
          </w:tcPr>
          <w:p w14:paraId="40ABFB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0E6A8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BD490B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(224,589,428</w:t>
            </w:r>
          </w:p>
        </w:tc>
        <w:tc>
          <w:tcPr>
            <w:tcW w:w="50" w:type="pct"/>
            <w:shd w:val="clear" w:color="auto" w:fill="FFFFFF"/>
            <w:tcMar>
              <w:top w:w="0" w:type="dxa"/>
              <w:left w:w="0" w:type="dxa"/>
              <w:bottom w:w="15" w:type="dxa"/>
              <w:right w:w="0" w:type="dxa"/>
            </w:tcMar>
            <w:vAlign w:val="bottom"/>
            <w:hideMark/>
          </w:tcPr>
          <w:p w14:paraId="34C042B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4ECBA9C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63D7F4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304898E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(67,121,004</w:t>
            </w:r>
          </w:p>
        </w:tc>
        <w:tc>
          <w:tcPr>
            <w:tcW w:w="50" w:type="pct"/>
            <w:shd w:val="clear" w:color="auto" w:fill="FFFFFF"/>
            <w:tcMar>
              <w:top w:w="0" w:type="dxa"/>
              <w:left w:w="0" w:type="dxa"/>
              <w:bottom w:w="15" w:type="dxa"/>
              <w:right w:w="0" w:type="dxa"/>
            </w:tcMar>
            <w:vAlign w:val="bottom"/>
            <w:hideMark/>
          </w:tcPr>
          <w:p w14:paraId="6C1F25D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01FBAB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EE8AA0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ECFB9B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200,395,693</w:t>
            </w:r>
          </w:p>
        </w:tc>
        <w:tc>
          <w:tcPr>
            <w:tcW w:w="50" w:type="pct"/>
            <w:shd w:val="clear" w:color="auto" w:fill="FFFFFF"/>
            <w:tcMar>
              <w:top w:w="0" w:type="dxa"/>
              <w:left w:w="0" w:type="dxa"/>
              <w:bottom w:w="15" w:type="dxa"/>
              <w:right w:w="0" w:type="dxa"/>
            </w:tcMar>
            <w:vAlign w:val="bottom"/>
            <w:hideMark/>
          </w:tcPr>
          <w:p w14:paraId="7213A26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764A20D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4DB70D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185992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114,632,516</w:t>
            </w:r>
          </w:p>
        </w:tc>
        <w:tc>
          <w:tcPr>
            <w:tcW w:w="50" w:type="pct"/>
            <w:shd w:val="clear" w:color="auto" w:fill="FFFFFF"/>
            <w:tcMar>
              <w:top w:w="0" w:type="dxa"/>
              <w:left w:w="0" w:type="dxa"/>
              <w:bottom w:w="15" w:type="dxa"/>
              <w:right w:w="0" w:type="dxa"/>
            </w:tcMar>
            <w:vAlign w:val="bottom"/>
            <w:hideMark/>
          </w:tcPr>
          <w:p w14:paraId="3D50BF2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B0407B9" w14:textId="77777777">
        <w:trPr>
          <w:tblCellSpacing w:w="0" w:type="dxa"/>
        </w:trPr>
        <w:tc>
          <w:tcPr>
            <w:tcW w:w="2400" w:type="pct"/>
            <w:shd w:val="clear" w:color="auto" w:fill="CCEEFF"/>
            <w:vAlign w:val="bottom"/>
            <w:hideMark/>
          </w:tcPr>
          <w:p w14:paraId="07E3DBA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tcMar>
              <w:top w:w="0" w:type="dxa"/>
              <w:left w:w="0" w:type="dxa"/>
              <w:bottom w:w="15" w:type="dxa"/>
              <w:right w:w="0" w:type="dxa"/>
            </w:tcMar>
            <w:vAlign w:val="bottom"/>
            <w:hideMark/>
          </w:tcPr>
          <w:p w14:paraId="4B6F2F0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36BD55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5AE4547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(224,557,913</w:t>
            </w:r>
          </w:p>
        </w:tc>
        <w:tc>
          <w:tcPr>
            <w:tcW w:w="50" w:type="pct"/>
            <w:shd w:val="clear" w:color="auto" w:fill="CCEEFF"/>
            <w:tcMar>
              <w:top w:w="0" w:type="dxa"/>
              <w:left w:w="0" w:type="dxa"/>
              <w:bottom w:w="15" w:type="dxa"/>
              <w:right w:w="0" w:type="dxa"/>
            </w:tcMar>
            <w:vAlign w:val="bottom"/>
            <w:hideMark/>
          </w:tcPr>
          <w:p w14:paraId="0489BF6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3380F8F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5DCAD3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DEE16B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(67,843,315</w:t>
            </w:r>
          </w:p>
        </w:tc>
        <w:tc>
          <w:tcPr>
            <w:tcW w:w="50" w:type="pct"/>
            <w:shd w:val="clear" w:color="auto" w:fill="CCEEFF"/>
            <w:tcMar>
              <w:top w:w="0" w:type="dxa"/>
              <w:left w:w="0" w:type="dxa"/>
              <w:bottom w:w="15" w:type="dxa"/>
              <w:right w:w="0" w:type="dxa"/>
            </w:tcMar>
            <w:vAlign w:val="bottom"/>
            <w:hideMark/>
          </w:tcPr>
          <w:p w14:paraId="21EAF89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4E4FD84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829F03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BF0690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201,112,749</w:t>
            </w:r>
          </w:p>
        </w:tc>
        <w:tc>
          <w:tcPr>
            <w:tcW w:w="50" w:type="pct"/>
            <w:shd w:val="clear" w:color="auto" w:fill="CCEEFF"/>
            <w:tcMar>
              <w:top w:w="0" w:type="dxa"/>
              <w:left w:w="0" w:type="dxa"/>
              <w:bottom w:w="15" w:type="dxa"/>
              <w:right w:w="0" w:type="dxa"/>
            </w:tcMar>
            <w:vAlign w:val="bottom"/>
            <w:hideMark/>
          </w:tcPr>
          <w:p w14:paraId="40FB35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003E3D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ED647E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D904B1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114,981,578</w:t>
            </w:r>
          </w:p>
        </w:tc>
        <w:tc>
          <w:tcPr>
            <w:tcW w:w="50" w:type="pct"/>
            <w:shd w:val="clear" w:color="auto" w:fill="CCEEFF"/>
            <w:tcMar>
              <w:top w:w="0" w:type="dxa"/>
              <w:left w:w="0" w:type="dxa"/>
              <w:bottom w:w="15" w:type="dxa"/>
              <w:right w:w="0" w:type="dxa"/>
            </w:tcMar>
            <w:vAlign w:val="bottom"/>
            <w:hideMark/>
          </w:tcPr>
          <w:p w14:paraId="139EB7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DCEC9CC" w14:textId="77777777">
        <w:trPr>
          <w:tblCellSpacing w:w="0" w:type="dxa"/>
        </w:trPr>
        <w:tc>
          <w:tcPr>
            <w:tcW w:w="2400" w:type="pct"/>
            <w:shd w:val="clear" w:color="auto" w:fill="FFFFFF"/>
            <w:vAlign w:val="bottom"/>
            <w:hideMark/>
          </w:tcPr>
          <w:p w14:paraId="74A9164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tcMar>
              <w:top w:w="0" w:type="dxa"/>
              <w:left w:w="0" w:type="dxa"/>
              <w:bottom w:w="15" w:type="dxa"/>
              <w:right w:w="0" w:type="dxa"/>
            </w:tcMar>
            <w:vAlign w:val="bottom"/>
            <w:hideMark/>
          </w:tcPr>
          <w:p w14:paraId="15C7917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424FB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39DD5C7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512,206,664</w:t>
            </w:r>
          </w:p>
        </w:tc>
        <w:tc>
          <w:tcPr>
            <w:tcW w:w="50" w:type="pct"/>
            <w:shd w:val="clear" w:color="auto" w:fill="FFFFFF"/>
            <w:tcMar>
              <w:top w:w="0" w:type="dxa"/>
              <w:left w:w="0" w:type="dxa"/>
              <w:bottom w:w="15" w:type="dxa"/>
              <w:right w:w="0" w:type="dxa"/>
            </w:tcMar>
            <w:vAlign w:val="bottom"/>
            <w:hideMark/>
          </w:tcPr>
          <w:p w14:paraId="7C31FF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253308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1D0561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0839E3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36,875,987</w:t>
            </w:r>
          </w:p>
        </w:tc>
        <w:tc>
          <w:tcPr>
            <w:tcW w:w="50" w:type="pct"/>
            <w:shd w:val="clear" w:color="auto" w:fill="FFFFFF"/>
            <w:tcMar>
              <w:top w:w="0" w:type="dxa"/>
              <w:left w:w="0" w:type="dxa"/>
              <w:bottom w:w="15" w:type="dxa"/>
              <w:right w:w="0" w:type="dxa"/>
            </w:tcMar>
            <w:vAlign w:val="bottom"/>
            <w:hideMark/>
          </w:tcPr>
          <w:p w14:paraId="7458EF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12E168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C83A4B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152DF0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(193,869,983</w:t>
            </w:r>
          </w:p>
        </w:tc>
        <w:tc>
          <w:tcPr>
            <w:tcW w:w="50" w:type="pct"/>
            <w:shd w:val="clear" w:color="auto" w:fill="FFFFFF"/>
            <w:tcMar>
              <w:top w:w="0" w:type="dxa"/>
              <w:left w:w="0" w:type="dxa"/>
              <w:bottom w:w="15" w:type="dxa"/>
              <w:right w:w="0" w:type="dxa"/>
            </w:tcMar>
            <w:vAlign w:val="bottom"/>
            <w:hideMark/>
          </w:tcPr>
          <w:p w14:paraId="3343657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3B9850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D461FC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63D2A4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28,072,031</w:t>
            </w:r>
          </w:p>
        </w:tc>
        <w:tc>
          <w:tcPr>
            <w:tcW w:w="50" w:type="pct"/>
            <w:shd w:val="clear" w:color="auto" w:fill="FFFFFF"/>
            <w:tcMar>
              <w:top w:w="0" w:type="dxa"/>
              <w:left w:w="0" w:type="dxa"/>
              <w:bottom w:w="15" w:type="dxa"/>
              <w:right w:w="0" w:type="dxa"/>
            </w:tcMar>
            <w:vAlign w:val="bottom"/>
            <w:hideMark/>
          </w:tcPr>
          <w:p w14:paraId="538C70C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D344427" w14:textId="77777777">
        <w:trPr>
          <w:tblCellSpacing w:w="0" w:type="dxa"/>
        </w:trPr>
        <w:tc>
          <w:tcPr>
            <w:tcW w:w="2400" w:type="pct"/>
            <w:shd w:val="clear" w:color="auto" w:fill="CCEEFF"/>
            <w:vAlign w:val="bottom"/>
            <w:hideMark/>
          </w:tcPr>
          <w:p w14:paraId="1120729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tcMar>
              <w:top w:w="0" w:type="dxa"/>
              <w:left w:w="0" w:type="dxa"/>
              <w:bottom w:w="45" w:type="dxa"/>
              <w:right w:w="0" w:type="dxa"/>
            </w:tcMar>
            <w:vAlign w:val="bottom"/>
            <w:hideMark/>
          </w:tcPr>
          <w:p w14:paraId="24D929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A0ABC4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CCEEFF"/>
            <w:vAlign w:val="bottom"/>
            <w:hideMark/>
          </w:tcPr>
          <w:p w14:paraId="48E52CC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508,785,102</w:t>
            </w:r>
          </w:p>
        </w:tc>
        <w:tc>
          <w:tcPr>
            <w:tcW w:w="50" w:type="pct"/>
            <w:shd w:val="clear" w:color="auto" w:fill="CCEEFF"/>
            <w:tcMar>
              <w:top w:w="0" w:type="dxa"/>
              <w:left w:w="0" w:type="dxa"/>
              <w:bottom w:w="45" w:type="dxa"/>
              <w:right w:w="0" w:type="dxa"/>
            </w:tcMar>
            <w:vAlign w:val="bottom"/>
            <w:hideMark/>
          </w:tcPr>
          <w:p w14:paraId="1AF4CC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3C4AB9E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19CB036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CCEEFF"/>
            <w:vAlign w:val="bottom"/>
            <w:hideMark/>
          </w:tcPr>
          <w:p w14:paraId="1C4D4AA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35,367,071</w:t>
            </w:r>
          </w:p>
        </w:tc>
        <w:tc>
          <w:tcPr>
            <w:tcW w:w="50" w:type="pct"/>
            <w:shd w:val="clear" w:color="auto" w:fill="CCEEFF"/>
            <w:tcMar>
              <w:top w:w="0" w:type="dxa"/>
              <w:left w:w="0" w:type="dxa"/>
              <w:bottom w:w="45" w:type="dxa"/>
              <w:right w:w="0" w:type="dxa"/>
            </w:tcMar>
            <w:vAlign w:val="bottom"/>
            <w:hideMark/>
          </w:tcPr>
          <w:p w14:paraId="5C3594C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0E9A55C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51D9EDA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CCEEFF"/>
            <w:vAlign w:val="bottom"/>
            <w:hideMark/>
          </w:tcPr>
          <w:p w14:paraId="307E7C7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(190,253,708</w:t>
            </w:r>
          </w:p>
        </w:tc>
        <w:tc>
          <w:tcPr>
            <w:tcW w:w="50" w:type="pct"/>
            <w:shd w:val="clear" w:color="auto" w:fill="CCEEFF"/>
            <w:tcMar>
              <w:top w:w="0" w:type="dxa"/>
              <w:left w:w="0" w:type="dxa"/>
              <w:bottom w:w="45" w:type="dxa"/>
              <w:right w:w="0" w:type="dxa"/>
            </w:tcMar>
            <w:vAlign w:val="bottom"/>
            <w:hideMark/>
          </w:tcPr>
          <w:p w14:paraId="7F7939B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45" w:type="dxa"/>
              <w:right w:w="0" w:type="dxa"/>
            </w:tcMar>
            <w:vAlign w:val="bottom"/>
            <w:hideMark/>
          </w:tcPr>
          <w:p w14:paraId="68A912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934C8B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CCEEFF"/>
            <w:vAlign w:val="bottom"/>
            <w:hideMark/>
          </w:tcPr>
          <w:p w14:paraId="390534F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36,910,157</w:t>
            </w:r>
          </w:p>
        </w:tc>
        <w:tc>
          <w:tcPr>
            <w:tcW w:w="50" w:type="pct"/>
            <w:shd w:val="clear" w:color="auto" w:fill="CCEEFF"/>
            <w:tcMar>
              <w:top w:w="0" w:type="dxa"/>
              <w:left w:w="0" w:type="dxa"/>
              <w:bottom w:w="45" w:type="dxa"/>
              <w:right w:w="0" w:type="dxa"/>
            </w:tcMar>
            <w:vAlign w:val="bottom"/>
            <w:hideMark/>
          </w:tcPr>
          <w:p w14:paraId="17CE378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B1ADBB4" w14:textId="77777777">
        <w:trPr>
          <w:tblCellSpacing w:w="0" w:type="dxa"/>
        </w:trPr>
        <w:tc>
          <w:tcPr>
            <w:tcW w:w="2400" w:type="pct"/>
            <w:shd w:val="clear" w:color="auto" w:fill="FFFFFF"/>
            <w:vAlign w:val="bottom"/>
            <w:hideMark/>
          </w:tcPr>
          <w:p w14:paraId="3927626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p>
        </w:tc>
        <w:tc>
          <w:tcPr>
            <w:tcW w:w="50" w:type="pct"/>
            <w:shd w:val="clear" w:color="auto" w:fill="FFFFFF"/>
            <w:vAlign w:val="bottom"/>
            <w:hideMark/>
          </w:tcPr>
          <w:p w14:paraId="36F7329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5D43B1"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48FABFE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5.58</w:t>
            </w:r>
          </w:p>
        </w:tc>
        <w:tc>
          <w:tcPr>
            <w:tcW w:w="50" w:type="pct"/>
            <w:shd w:val="clear" w:color="auto" w:fill="FFFFFF"/>
            <w:vAlign w:val="bottom"/>
            <w:hideMark/>
          </w:tcPr>
          <w:p w14:paraId="56A102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9EE515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B3970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72B5BD5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0.39</w:t>
            </w:r>
          </w:p>
        </w:tc>
        <w:tc>
          <w:tcPr>
            <w:tcW w:w="50" w:type="pct"/>
            <w:shd w:val="clear" w:color="auto" w:fill="FFFFFF"/>
            <w:vAlign w:val="bottom"/>
            <w:hideMark/>
          </w:tcPr>
          <w:p w14:paraId="412D65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59266B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C7BA79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0ED82FC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(2.51</w:t>
            </w:r>
          </w:p>
        </w:tc>
        <w:tc>
          <w:tcPr>
            <w:tcW w:w="50" w:type="pct"/>
            <w:shd w:val="clear" w:color="auto" w:fill="FFFFFF"/>
            <w:vAlign w:val="bottom"/>
            <w:hideMark/>
          </w:tcPr>
          <w:p w14:paraId="16ADD7C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63C027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737CE98"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62FD99F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0.55</w:t>
            </w:r>
          </w:p>
        </w:tc>
        <w:tc>
          <w:tcPr>
            <w:tcW w:w="50" w:type="pct"/>
            <w:shd w:val="clear" w:color="auto" w:fill="FFFFFF"/>
            <w:vAlign w:val="bottom"/>
            <w:hideMark/>
          </w:tcPr>
          <w:p w14:paraId="3608CFD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206B4562" w14:textId="77777777" w:rsidR="00000000" w:rsidRDefault="004206B0">
      <w:pPr>
        <w:pStyle w:val="a3"/>
        <w:spacing w:before="0" w:beforeAutospacing="0" w:after="0" w:afterAutospacing="0"/>
        <w:ind w:left="1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71"/>
        <w:gridCol w:w="56"/>
        <w:gridCol w:w="112"/>
        <w:gridCol w:w="1113"/>
        <w:gridCol w:w="67"/>
        <w:gridCol w:w="56"/>
        <w:gridCol w:w="112"/>
        <w:gridCol w:w="1113"/>
        <w:gridCol w:w="67"/>
        <w:gridCol w:w="56"/>
        <w:gridCol w:w="112"/>
        <w:gridCol w:w="1001"/>
        <w:gridCol w:w="67"/>
        <w:gridCol w:w="56"/>
        <w:gridCol w:w="112"/>
        <w:gridCol w:w="1068"/>
        <w:gridCol w:w="67"/>
      </w:tblGrid>
      <w:tr w:rsidR="00000000" w14:paraId="1A389AA6" w14:textId="77777777">
        <w:trPr>
          <w:tblCellSpacing w:w="0" w:type="dxa"/>
        </w:trPr>
        <w:tc>
          <w:tcPr>
            <w:tcW w:w="2400" w:type="pct"/>
            <w:vAlign w:val="bottom"/>
            <w:hideMark/>
          </w:tcPr>
          <w:p w14:paraId="4E5194E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2AC9FC4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2000" w:type="pct"/>
            <w:gridSpan w:val="14"/>
            <w:tcBorders>
              <w:bottom w:val="single" w:sz="6" w:space="0" w:color="000000"/>
            </w:tcBorders>
            <w:vAlign w:val="bottom"/>
            <w:hideMark/>
          </w:tcPr>
          <w:p w14:paraId="21E0A0B1"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Three Months Ended (Unaudited)</w:t>
            </w:r>
          </w:p>
        </w:tc>
        <w:tc>
          <w:tcPr>
            <w:tcW w:w="50" w:type="pct"/>
            <w:tcMar>
              <w:top w:w="0" w:type="dxa"/>
              <w:left w:w="0" w:type="dxa"/>
              <w:bottom w:w="15" w:type="dxa"/>
              <w:right w:w="0" w:type="dxa"/>
            </w:tcMar>
            <w:vAlign w:val="bottom"/>
            <w:hideMark/>
          </w:tcPr>
          <w:p w14:paraId="418158C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2DBA33C" w14:textId="77777777">
        <w:trPr>
          <w:tblCellSpacing w:w="0" w:type="dxa"/>
        </w:trPr>
        <w:tc>
          <w:tcPr>
            <w:tcW w:w="2400" w:type="pct"/>
            <w:vAlign w:val="bottom"/>
            <w:hideMark/>
          </w:tcPr>
          <w:p w14:paraId="0891948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53FC61D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1442BB5E" w14:textId="77777777" w:rsidR="00000000" w:rsidRDefault="004206B0">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March 31,</w:t>
            </w:r>
          </w:p>
          <w:p w14:paraId="5F1AD073" w14:textId="77777777" w:rsidR="00000000" w:rsidRDefault="004206B0">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2021</w:t>
            </w:r>
          </w:p>
        </w:tc>
        <w:tc>
          <w:tcPr>
            <w:tcW w:w="50" w:type="pct"/>
            <w:tcMar>
              <w:top w:w="0" w:type="dxa"/>
              <w:left w:w="0" w:type="dxa"/>
              <w:bottom w:w="15" w:type="dxa"/>
              <w:right w:w="0" w:type="dxa"/>
            </w:tcMar>
            <w:vAlign w:val="bottom"/>
            <w:hideMark/>
          </w:tcPr>
          <w:p w14:paraId="22BBBAA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16F52BB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569B7734" w14:textId="77777777" w:rsidR="00000000" w:rsidRDefault="004206B0">
            <w:pPr>
              <w:pStyle w:val="a3"/>
              <w:spacing w:before="0" w:beforeAutospacing="0" w:after="0" w:afterAutospacing="0"/>
              <w:ind w:left="440"/>
              <w:jc w:val="center"/>
              <w:rPr>
                <w:rFonts w:ascii="Arial" w:hAnsi="Arial" w:cs="Arial"/>
                <w:sz w:val="20"/>
                <w:szCs w:val="20"/>
              </w:rPr>
            </w:pPr>
            <w:r>
              <w:rPr>
                <w:rFonts w:ascii="Arial" w:hAnsi="Arial" w:cs="Arial"/>
                <w:b/>
                <w:bCs/>
                <w:sz w:val="20"/>
                <w:szCs w:val="20"/>
              </w:rPr>
              <w:t>June 30,</w:t>
            </w:r>
          </w:p>
          <w:p w14:paraId="2538F0AA" w14:textId="77777777" w:rsidR="00000000" w:rsidRDefault="004206B0">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2021</w:t>
            </w:r>
          </w:p>
        </w:tc>
        <w:tc>
          <w:tcPr>
            <w:tcW w:w="50" w:type="pct"/>
            <w:tcMar>
              <w:top w:w="0" w:type="dxa"/>
              <w:left w:w="0" w:type="dxa"/>
              <w:bottom w:w="15" w:type="dxa"/>
              <w:right w:w="0" w:type="dxa"/>
            </w:tcMar>
            <w:vAlign w:val="bottom"/>
            <w:hideMark/>
          </w:tcPr>
          <w:p w14:paraId="14757D6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7A57C0F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1393801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14:paraId="1CA554E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50" w:type="pct"/>
            <w:tcMar>
              <w:top w:w="0" w:type="dxa"/>
              <w:left w:w="0" w:type="dxa"/>
              <w:bottom w:w="15" w:type="dxa"/>
              <w:right w:w="0" w:type="dxa"/>
            </w:tcMar>
            <w:vAlign w:val="bottom"/>
            <w:hideMark/>
          </w:tcPr>
          <w:p w14:paraId="0DB739B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14:paraId="492E48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0F9485C7"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14:paraId="4FDCCE1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50" w:type="pct"/>
            <w:tcMar>
              <w:top w:w="0" w:type="dxa"/>
              <w:left w:w="0" w:type="dxa"/>
              <w:bottom w:w="15" w:type="dxa"/>
              <w:right w:w="0" w:type="dxa"/>
            </w:tcMar>
            <w:vAlign w:val="bottom"/>
            <w:hideMark/>
          </w:tcPr>
          <w:p w14:paraId="64DAA4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13513C3" w14:textId="77777777">
        <w:trPr>
          <w:tblCellSpacing w:w="0" w:type="dxa"/>
        </w:trPr>
        <w:tc>
          <w:tcPr>
            <w:tcW w:w="2400" w:type="pct"/>
            <w:vAlign w:val="bottom"/>
            <w:hideMark/>
          </w:tcPr>
          <w:p w14:paraId="2F11FD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04751B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2B1724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vAlign w:val="bottom"/>
            <w:hideMark/>
          </w:tcPr>
          <w:p w14:paraId="31D5FF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79BA3B7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7888EDC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81683C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vAlign w:val="bottom"/>
            <w:hideMark/>
          </w:tcPr>
          <w:p w14:paraId="52CAEBD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4DC79DC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7DFCDE5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8EAA3E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vAlign w:val="bottom"/>
            <w:hideMark/>
          </w:tcPr>
          <w:p w14:paraId="0C9E5E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299A4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4B53926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0245C0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vAlign w:val="bottom"/>
            <w:hideMark/>
          </w:tcPr>
          <w:p w14:paraId="6DEB2D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723E0A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FA18CD7" w14:textId="77777777">
        <w:trPr>
          <w:tblCellSpacing w:w="0" w:type="dxa"/>
        </w:trPr>
        <w:tc>
          <w:tcPr>
            <w:tcW w:w="2400" w:type="pct"/>
            <w:shd w:val="clear" w:color="auto" w:fill="CCEEFF"/>
            <w:vAlign w:val="bottom"/>
            <w:hideMark/>
          </w:tcPr>
          <w:p w14:paraId="7C44039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Investment Income</w:t>
            </w:r>
          </w:p>
        </w:tc>
        <w:tc>
          <w:tcPr>
            <w:tcW w:w="50" w:type="pct"/>
            <w:shd w:val="clear" w:color="auto" w:fill="CCEEFF"/>
            <w:vAlign w:val="bottom"/>
            <w:hideMark/>
          </w:tcPr>
          <w:p w14:paraId="5849C8D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1A9A63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045A268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1184083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113D03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AE8D5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7F720A5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50398A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60317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98414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4F0C84A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E48CD6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9FDF6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EF81AD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14:paraId="6F29FA39"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8715A4A"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74302446" w14:textId="77777777">
        <w:trPr>
          <w:tblCellSpacing w:w="0" w:type="dxa"/>
        </w:trPr>
        <w:tc>
          <w:tcPr>
            <w:tcW w:w="2400" w:type="pct"/>
            <w:shd w:val="clear" w:color="auto" w:fill="FFFFFF"/>
            <w:vAlign w:val="bottom"/>
            <w:hideMark/>
          </w:tcPr>
          <w:p w14:paraId="23A50AA5"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tcMar>
              <w:top w:w="0" w:type="dxa"/>
              <w:left w:w="0" w:type="dxa"/>
              <w:bottom w:w="15" w:type="dxa"/>
              <w:right w:w="0" w:type="dxa"/>
            </w:tcMar>
            <w:vAlign w:val="bottom"/>
            <w:hideMark/>
          </w:tcPr>
          <w:p w14:paraId="0D961D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2EB35B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2479C2C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143,437</w:t>
            </w:r>
          </w:p>
        </w:tc>
        <w:tc>
          <w:tcPr>
            <w:tcW w:w="50" w:type="pct"/>
            <w:shd w:val="clear" w:color="auto" w:fill="FFFFFF"/>
            <w:tcMar>
              <w:top w:w="0" w:type="dxa"/>
              <w:left w:w="0" w:type="dxa"/>
              <w:bottom w:w="15" w:type="dxa"/>
              <w:right w:w="0" w:type="dxa"/>
            </w:tcMar>
            <w:vAlign w:val="bottom"/>
            <w:hideMark/>
          </w:tcPr>
          <w:p w14:paraId="6E31C5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0685BDF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3D4E5E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298575F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52,562</w:t>
            </w:r>
          </w:p>
        </w:tc>
        <w:tc>
          <w:tcPr>
            <w:tcW w:w="50" w:type="pct"/>
            <w:shd w:val="clear" w:color="auto" w:fill="FFFFFF"/>
            <w:tcMar>
              <w:top w:w="0" w:type="dxa"/>
              <w:left w:w="0" w:type="dxa"/>
              <w:bottom w:w="15" w:type="dxa"/>
              <w:right w:w="0" w:type="dxa"/>
            </w:tcMar>
            <w:vAlign w:val="bottom"/>
            <w:hideMark/>
          </w:tcPr>
          <w:p w14:paraId="000C29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6DB139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30032C5"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79A8787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94,407</w:t>
            </w:r>
          </w:p>
        </w:tc>
        <w:tc>
          <w:tcPr>
            <w:tcW w:w="50" w:type="pct"/>
            <w:shd w:val="clear" w:color="auto" w:fill="FFFFFF"/>
            <w:tcMar>
              <w:top w:w="0" w:type="dxa"/>
              <w:left w:w="0" w:type="dxa"/>
              <w:bottom w:w="15" w:type="dxa"/>
              <w:right w:w="0" w:type="dxa"/>
            </w:tcMar>
            <w:vAlign w:val="bottom"/>
            <w:hideMark/>
          </w:tcPr>
          <w:p w14:paraId="4F2289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7B08BC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92A5CC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0937335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135,628</w:t>
            </w:r>
          </w:p>
        </w:tc>
        <w:tc>
          <w:tcPr>
            <w:tcW w:w="50" w:type="pct"/>
            <w:shd w:val="clear" w:color="auto" w:fill="FFFFFF"/>
            <w:tcMar>
              <w:top w:w="0" w:type="dxa"/>
              <w:left w:w="0" w:type="dxa"/>
              <w:bottom w:w="15" w:type="dxa"/>
              <w:right w:w="0" w:type="dxa"/>
            </w:tcMar>
            <w:vAlign w:val="bottom"/>
            <w:hideMark/>
          </w:tcPr>
          <w:p w14:paraId="25BA39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1C95220" w14:textId="77777777">
        <w:trPr>
          <w:tblCellSpacing w:w="0" w:type="dxa"/>
        </w:trPr>
        <w:tc>
          <w:tcPr>
            <w:tcW w:w="2400" w:type="pct"/>
            <w:shd w:val="clear" w:color="auto" w:fill="CCEEFF"/>
            <w:vAlign w:val="bottom"/>
            <w:hideMark/>
          </w:tcPr>
          <w:p w14:paraId="75EC82B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tcMar>
              <w:top w:w="0" w:type="dxa"/>
              <w:left w:w="0" w:type="dxa"/>
              <w:bottom w:w="15" w:type="dxa"/>
              <w:right w:w="0" w:type="dxa"/>
            </w:tcMar>
            <w:vAlign w:val="bottom"/>
            <w:hideMark/>
          </w:tcPr>
          <w:p w14:paraId="0D5FBF4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D392E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05C92B4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143,437</w:t>
            </w:r>
          </w:p>
        </w:tc>
        <w:tc>
          <w:tcPr>
            <w:tcW w:w="50" w:type="pct"/>
            <w:shd w:val="clear" w:color="auto" w:fill="CCEEFF"/>
            <w:tcMar>
              <w:top w:w="0" w:type="dxa"/>
              <w:left w:w="0" w:type="dxa"/>
              <w:bottom w:w="15" w:type="dxa"/>
              <w:right w:w="0" w:type="dxa"/>
            </w:tcMar>
            <w:vAlign w:val="bottom"/>
            <w:hideMark/>
          </w:tcPr>
          <w:p w14:paraId="118E61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1E3C0DC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0EA59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397FF4E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52,562</w:t>
            </w:r>
          </w:p>
        </w:tc>
        <w:tc>
          <w:tcPr>
            <w:tcW w:w="50" w:type="pct"/>
            <w:shd w:val="clear" w:color="auto" w:fill="CCEEFF"/>
            <w:tcMar>
              <w:top w:w="0" w:type="dxa"/>
              <w:left w:w="0" w:type="dxa"/>
              <w:bottom w:w="15" w:type="dxa"/>
              <w:right w:w="0" w:type="dxa"/>
            </w:tcMar>
            <w:vAlign w:val="bottom"/>
            <w:hideMark/>
          </w:tcPr>
          <w:p w14:paraId="7CE329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31C3668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0424E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ABCC53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94,407</w:t>
            </w:r>
          </w:p>
        </w:tc>
        <w:tc>
          <w:tcPr>
            <w:tcW w:w="50" w:type="pct"/>
            <w:shd w:val="clear" w:color="auto" w:fill="CCEEFF"/>
            <w:tcMar>
              <w:top w:w="0" w:type="dxa"/>
              <w:left w:w="0" w:type="dxa"/>
              <w:bottom w:w="15" w:type="dxa"/>
              <w:right w:w="0" w:type="dxa"/>
            </w:tcMar>
            <w:vAlign w:val="bottom"/>
            <w:hideMark/>
          </w:tcPr>
          <w:p w14:paraId="36E7D9A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794C3E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12DAED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0997A9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135,628</w:t>
            </w:r>
          </w:p>
        </w:tc>
        <w:tc>
          <w:tcPr>
            <w:tcW w:w="50" w:type="pct"/>
            <w:shd w:val="clear" w:color="auto" w:fill="CCEEFF"/>
            <w:tcMar>
              <w:top w:w="0" w:type="dxa"/>
              <w:left w:w="0" w:type="dxa"/>
              <w:bottom w:w="15" w:type="dxa"/>
              <w:right w:w="0" w:type="dxa"/>
            </w:tcMar>
            <w:vAlign w:val="bottom"/>
            <w:hideMark/>
          </w:tcPr>
          <w:p w14:paraId="4B01092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49564E0" w14:textId="77777777">
        <w:trPr>
          <w:tblCellSpacing w:w="0" w:type="dxa"/>
        </w:trPr>
        <w:tc>
          <w:tcPr>
            <w:tcW w:w="2400" w:type="pct"/>
            <w:shd w:val="clear" w:color="auto" w:fill="FFFFFF"/>
            <w:vAlign w:val="bottom"/>
            <w:hideMark/>
          </w:tcPr>
          <w:p w14:paraId="23603C24"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50" w:type="pct"/>
            <w:shd w:val="clear" w:color="auto" w:fill="FFFFFF"/>
            <w:vAlign w:val="bottom"/>
            <w:hideMark/>
          </w:tcPr>
          <w:p w14:paraId="3DEFF27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36AC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01793E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58E48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443B18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FDC2D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4928CF4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A450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3AB4EB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F750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53DAAA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6C0A3C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7589C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6D61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3845AA8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3AB101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2652974" w14:textId="77777777">
        <w:trPr>
          <w:tblCellSpacing w:w="0" w:type="dxa"/>
        </w:trPr>
        <w:tc>
          <w:tcPr>
            <w:tcW w:w="2400" w:type="pct"/>
            <w:shd w:val="clear" w:color="auto" w:fill="CCEEFF"/>
            <w:vAlign w:val="bottom"/>
            <w:hideMark/>
          </w:tcPr>
          <w:p w14:paraId="624BBE63"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CCEEFF"/>
            <w:vAlign w:val="bottom"/>
            <w:hideMark/>
          </w:tcPr>
          <w:p w14:paraId="0ED3D4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F7BBD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9187D7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1,893,497</w:t>
            </w:r>
          </w:p>
        </w:tc>
        <w:tc>
          <w:tcPr>
            <w:tcW w:w="50" w:type="pct"/>
            <w:shd w:val="clear" w:color="auto" w:fill="CCEEFF"/>
            <w:vAlign w:val="bottom"/>
            <w:hideMark/>
          </w:tcPr>
          <w:p w14:paraId="3B914A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FE85E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8D6C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C8F21D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2,407,468</w:t>
            </w:r>
          </w:p>
        </w:tc>
        <w:tc>
          <w:tcPr>
            <w:tcW w:w="50" w:type="pct"/>
            <w:shd w:val="clear" w:color="auto" w:fill="CCEEFF"/>
            <w:vAlign w:val="bottom"/>
            <w:hideMark/>
          </w:tcPr>
          <w:p w14:paraId="4A12B5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D5ABB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29DD2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1B151DA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2,482,274</w:t>
            </w:r>
          </w:p>
        </w:tc>
        <w:tc>
          <w:tcPr>
            <w:tcW w:w="50" w:type="pct"/>
            <w:shd w:val="clear" w:color="auto" w:fill="CCEEFF"/>
            <w:vAlign w:val="bottom"/>
            <w:hideMark/>
          </w:tcPr>
          <w:p w14:paraId="14200B6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63516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937B3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8FFDDC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2,681,898</w:t>
            </w:r>
          </w:p>
        </w:tc>
        <w:tc>
          <w:tcPr>
            <w:tcW w:w="50" w:type="pct"/>
            <w:shd w:val="clear" w:color="auto" w:fill="CCEEFF"/>
            <w:vAlign w:val="bottom"/>
            <w:hideMark/>
          </w:tcPr>
          <w:p w14:paraId="3AEAF2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3A975E1" w14:textId="77777777">
        <w:trPr>
          <w:tblCellSpacing w:w="0" w:type="dxa"/>
        </w:trPr>
        <w:tc>
          <w:tcPr>
            <w:tcW w:w="2400" w:type="pct"/>
            <w:shd w:val="clear" w:color="auto" w:fill="FFFFFF"/>
            <w:vAlign w:val="bottom"/>
            <w:hideMark/>
          </w:tcPr>
          <w:p w14:paraId="5DF44000"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FFFFFF"/>
            <w:tcMar>
              <w:top w:w="0" w:type="dxa"/>
              <w:left w:w="0" w:type="dxa"/>
              <w:bottom w:w="15" w:type="dxa"/>
              <w:right w:w="0" w:type="dxa"/>
            </w:tcMar>
            <w:vAlign w:val="bottom"/>
            <w:hideMark/>
          </w:tcPr>
          <w:p w14:paraId="7E48195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EFFFFA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E00AC8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330,285</w:t>
            </w:r>
          </w:p>
        </w:tc>
        <w:tc>
          <w:tcPr>
            <w:tcW w:w="50" w:type="pct"/>
            <w:shd w:val="clear" w:color="auto" w:fill="FFFFFF"/>
            <w:tcMar>
              <w:top w:w="0" w:type="dxa"/>
              <w:left w:w="0" w:type="dxa"/>
              <w:bottom w:w="15" w:type="dxa"/>
              <w:right w:w="0" w:type="dxa"/>
            </w:tcMar>
            <w:vAlign w:val="bottom"/>
            <w:hideMark/>
          </w:tcPr>
          <w:p w14:paraId="6AE763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49D76E8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8B840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7FA1B46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347,506</w:t>
            </w:r>
          </w:p>
        </w:tc>
        <w:tc>
          <w:tcPr>
            <w:tcW w:w="50" w:type="pct"/>
            <w:shd w:val="clear" w:color="auto" w:fill="FFFFFF"/>
            <w:tcMar>
              <w:top w:w="0" w:type="dxa"/>
              <w:left w:w="0" w:type="dxa"/>
              <w:bottom w:w="15" w:type="dxa"/>
              <w:right w:w="0" w:type="dxa"/>
            </w:tcMar>
            <w:vAlign w:val="bottom"/>
            <w:hideMark/>
          </w:tcPr>
          <w:p w14:paraId="799297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07C6347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9D867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5E09FC7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322,517</w:t>
            </w:r>
          </w:p>
        </w:tc>
        <w:tc>
          <w:tcPr>
            <w:tcW w:w="50" w:type="pct"/>
            <w:shd w:val="clear" w:color="auto" w:fill="FFFFFF"/>
            <w:tcMar>
              <w:top w:w="0" w:type="dxa"/>
              <w:left w:w="0" w:type="dxa"/>
              <w:bottom w:w="15" w:type="dxa"/>
              <w:right w:w="0" w:type="dxa"/>
            </w:tcMar>
            <w:vAlign w:val="bottom"/>
            <w:hideMark/>
          </w:tcPr>
          <w:p w14:paraId="402661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1B87AA0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E9180D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F09875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345,804</w:t>
            </w:r>
          </w:p>
        </w:tc>
        <w:tc>
          <w:tcPr>
            <w:tcW w:w="50" w:type="pct"/>
            <w:shd w:val="clear" w:color="auto" w:fill="FFFFFF"/>
            <w:tcMar>
              <w:top w:w="0" w:type="dxa"/>
              <w:left w:w="0" w:type="dxa"/>
              <w:bottom w:w="15" w:type="dxa"/>
              <w:right w:w="0" w:type="dxa"/>
            </w:tcMar>
            <w:vAlign w:val="bottom"/>
            <w:hideMark/>
          </w:tcPr>
          <w:p w14:paraId="5B99BB0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75D9D76" w14:textId="77777777">
        <w:trPr>
          <w:tblCellSpacing w:w="0" w:type="dxa"/>
        </w:trPr>
        <w:tc>
          <w:tcPr>
            <w:tcW w:w="2400" w:type="pct"/>
            <w:shd w:val="clear" w:color="auto" w:fill="CCEEFF"/>
            <w:vAlign w:val="bottom"/>
            <w:hideMark/>
          </w:tcPr>
          <w:p w14:paraId="071C0D4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CCEEFF"/>
            <w:tcMar>
              <w:top w:w="0" w:type="dxa"/>
              <w:left w:w="0" w:type="dxa"/>
              <w:bottom w:w="15" w:type="dxa"/>
              <w:right w:w="0" w:type="dxa"/>
            </w:tcMar>
            <w:vAlign w:val="bottom"/>
            <w:hideMark/>
          </w:tcPr>
          <w:p w14:paraId="5A3572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F7B08D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3E0EFA1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2,223,782</w:t>
            </w:r>
          </w:p>
        </w:tc>
        <w:tc>
          <w:tcPr>
            <w:tcW w:w="50" w:type="pct"/>
            <w:shd w:val="clear" w:color="auto" w:fill="CCEEFF"/>
            <w:tcMar>
              <w:top w:w="0" w:type="dxa"/>
              <w:left w:w="0" w:type="dxa"/>
              <w:bottom w:w="15" w:type="dxa"/>
              <w:right w:w="0" w:type="dxa"/>
            </w:tcMar>
            <w:vAlign w:val="bottom"/>
            <w:hideMark/>
          </w:tcPr>
          <w:p w14:paraId="5F9D4A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303949A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0CBCDB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45A06A0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2,754,974</w:t>
            </w:r>
          </w:p>
        </w:tc>
        <w:tc>
          <w:tcPr>
            <w:tcW w:w="50" w:type="pct"/>
            <w:shd w:val="clear" w:color="auto" w:fill="CCEEFF"/>
            <w:tcMar>
              <w:top w:w="0" w:type="dxa"/>
              <w:left w:w="0" w:type="dxa"/>
              <w:bottom w:w="15" w:type="dxa"/>
              <w:right w:w="0" w:type="dxa"/>
            </w:tcMar>
            <w:vAlign w:val="bottom"/>
            <w:hideMark/>
          </w:tcPr>
          <w:p w14:paraId="360F97D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0F41913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16BB61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C35F13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2,804,791</w:t>
            </w:r>
          </w:p>
        </w:tc>
        <w:tc>
          <w:tcPr>
            <w:tcW w:w="50" w:type="pct"/>
            <w:shd w:val="clear" w:color="auto" w:fill="CCEEFF"/>
            <w:tcMar>
              <w:top w:w="0" w:type="dxa"/>
              <w:left w:w="0" w:type="dxa"/>
              <w:bottom w:w="15" w:type="dxa"/>
              <w:right w:w="0" w:type="dxa"/>
            </w:tcMar>
            <w:vAlign w:val="bottom"/>
            <w:hideMark/>
          </w:tcPr>
          <w:p w14:paraId="3C73A8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3C1F37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491EBF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3D161E7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3,027,702</w:t>
            </w:r>
          </w:p>
        </w:tc>
        <w:tc>
          <w:tcPr>
            <w:tcW w:w="50" w:type="pct"/>
            <w:shd w:val="clear" w:color="auto" w:fill="CCEEFF"/>
            <w:tcMar>
              <w:top w:w="0" w:type="dxa"/>
              <w:left w:w="0" w:type="dxa"/>
              <w:bottom w:w="15" w:type="dxa"/>
              <w:right w:w="0" w:type="dxa"/>
            </w:tcMar>
            <w:vAlign w:val="bottom"/>
            <w:hideMark/>
          </w:tcPr>
          <w:p w14:paraId="149AF2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FA1CBAC" w14:textId="77777777">
        <w:trPr>
          <w:tblCellSpacing w:w="0" w:type="dxa"/>
        </w:trPr>
        <w:tc>
          <w:tcPr>
            <w:tcW w:w="2400" w:type="pct"/>
            <w:shd w:val="clear" w:color="auto" w:fill="FFFFFF"/>
            <w:vAlign w:val="bottom"/>
            <w:hideMark/>
          </w:tcPr>
          <w:p w14:paraId="7D6E88F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investment loss</w:t>
            </w:r>
          </w:p>
        </w:tc>
        <w:tc>
          <w:tcPr>
            <w:tcW w:w="50" w:type="pct"/>
            <w:shd w:val="clear" w:color="auto" w:fill="FFFFFF"/>
            <w:tcMar>
              <w:top w:w="0" w:type="dxa"/>
              <w:left w:w="0" w:type="dxa"/>
              <w:bottom w:w="15" w:type="dxa"/>
              <w:right w:w="0" w:type="dxa"/>
            </w:tcMar>
            <w:vAlign w:val="bottom"/>
            <w:hideMark/>
          </w:tcPr>
          <w:p w14:paraId="14884D8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C142FD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3D7CB44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(2,080,345</w:t>
            </w:r>
          </w:p>
        </w:tc>
        <w:tc>
          <w:tcPr>
            <w:tcW w:w="50" w:type="pct"/>
            <w:shd w:val="clear" w:color="auto" w:fill="FFFFFF"/>
            <w:tcMar>
              <w:top w:w="0" w:type="dxa"/>
              <w:left w:w="0" w:type="dxa"/>
              <w:bottom w:w="15" w:type="dxa"/>
              <w:right w:w="0" w:type="dxa"/>
            </w:tcMar>
            <w:vAlign w:val="bottom"/>
            <w:hideMark/>
          </w:tcPr>
          <w:p w14:paraId="741D122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1A4F81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73058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4BAF6E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(2,702,412</w:t>
            </w:r>
          </w:p>
        </w:tc>
        <w:tc>
          <w:tcPr>
            <w:tcW w:w="50" w:type="pct"/>
            <w:shd w:val="clear" w:color="auto" w:fill="FFFFFF"/>
            <w:tcMar>
              <w:top w:w="0" w:type="dxa"/>
              <w:left w:w="0" w:type="dxa"/>
              <w:bottom w:w="15" w:type="dxa"/>
              <w:right w:w="0" w:type="dxa"/>
            </w:tcMar>
            <w:vAlign w:val="bottom"/>
            <w:hideMark/>
          </w:tcPr>
          <w:p w14:paraId="639EACF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595F8B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17797A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4028A1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(2,710,384</w:t>
            </w:r>
          </w:p>
        </w:tc>
        <w:tc>
          <w:tcPr>
            <w:tcW w:w="50" w:type="pct"/>
            <w:shd w:val="clear" w:color="auto" w:fill="FFFFFF"/>
            <w:tcMar>
              <w:top w:w="0" w:type="dxa"/>
              <w:left w:w="0" w:type="dxa"/>
              <w:bottom w:w="15" w:type="dxa"/>
              <w:right w:w="0" w:type="dxa"/>
            </w:tcMar>
            <w:vAlign w:val="bottom"/>
            <w:hideMark/>
          </w:tcPr>
          <w:p w14:paraId="1078375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6EF024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DB5342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7B9F1E3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(2,892,074</w:t>
            </w:r>
          </w:p>
        </w:tc>
        <w:tc>
          <w:tcPr>
            <w:tcW w:w="50" w:type="pct"/>
            <w:shd w:val="clear" w:color="auto" w:fill="FFFFFF"/>
            <w:tcMar>
              <w:top w:w="0" w:type="dxa"/>
              <w:left w:w="0" w:type="dxa"/>
              <w:bottom w:w="15" w:type="dxa"/>
              <w:right w:w="0" w:type="dxa"/>
            </w:tcMar>
            <w:vAlign w:val="bottom"/>
            <w:hideMark/>
          </w:tcPr>
          <w:p w14:paraId="2257714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2E9E4D22" w14:textId="77777777">
        <w:trPr>
          <w:tblCellSpacing w:w="0" w:type="dxa"/>
        </w:trPr>
        <w:tc>
          <w:tcPr>
            <w:tcW w:w="2400" w:type="pct"/>
            <w:shd w:val="clear" w:color="auto" w:fill="CCEEFF"/>
            <w:vAlign w:val="center"/>
            <w:hideMark/>
          </w:tcPr>
          <w:p w14:paraId="4D0F4A45" w14:textId="77777777" w:rsidR="00000000" w:rsidRDefault="004206B0">
            <w:pPr>
              <w:rPr>
                <w:rFonts w:ascii="Arial" w:eastAsia="Times New Roman" w:hAnsi="Arial" w:cs="Arial"/>
                <w:sz w:val="20"/>
                <w:szCs w:val="20"/>
              </w:rPr>
            </w:pPr>
            <w:r>
              <w:rPr>
                <w:rFonts w:ascii="Arial" w:eastAsia="Times New Roman" w:hAnsi="Arial" w:cs="Arial"/>
                <w:b/>
                <w:bCs/>
                <w:sz w:val="20"/>
                <w:szCs w:val="20"/>
              </w:rPr>
              <w:t>Net Realized and Unrealized Gain (Loss)</w:t>
            </w:r>
          </w:p>
        </w:tc>
        <w:tc>
          <w:tcPr>
            <w:tcW w:w="50" w:type="pct"/>
            <w:shd w:val="clear" w:color="auto" w:fill="CCEEFF"/>
            <w:vAlign w:val="center"/>
            <w:hideMark/>
          </w:tcPr>
          <w:p w14:paraId="5EA1092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62E970C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3097E73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4E8F1FC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63C2B82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401EDBF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7AE8CC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5006826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24C6B6C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765E39E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17DFE4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03601C1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192387D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031DF3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center"/>
            <w:hideMark/>
          </w:tcPr>
          <w:p w14:paraId="2F0143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5E92539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00492A6" w14:textId="77777777">
        <w:trPr>
          <w:tblCellSpacing w:w="0" w:type="dxa"/>
        </w:trPr>
        <w:tc>
          <w:tcPr>
            <w:tcW w:w="2400" w:type="pct"/>
            <w:shd w:val="clear" w:color="auto" w:fill="FFFFFF"/>
            <w:vAlign w:val="bottom"/>
            <w:hideMark/>
          </w:tcPr>
          <w:p w14:paraId="0A01D371"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50" w:type="pct"/>
            <w:shd w:val="clear" w:color="auto" w:fill="FFFFFF"/>
            <w:vAlign w:val="bottom"/>
            <w:hideMark/>
          </w:tcPr>
          <w:p w14:paraId="0319517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D57440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17D8CB4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FB6FB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2FA4C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4EDB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3747A5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293BE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044D2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5117D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0B04D2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02C8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CCFDC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380D7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2A699F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0B0D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D20C840" w14:textId="77777777">
        <w:trPr>
          <w:tblCellSpacing w:w="0" w:type="dxa"/>
        </w:trPr>
        <w:tc>
          <w:tcPr>
            <w:tcW w:w="2400" w:type="pct"/>
            <w:shd w:val="clear" w:color="auto" w:fill="CCEEFF"/>
            <w:vAlign w:val="bottom"/>
            <w:hideMark/>
          </w:tcPr>
          <w:p w14:paraId="1A7A98FD"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6C4BDB9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5349D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3E9A839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267</w:t>
            </w:r>
          </w:p>
        </w:tc>
        <w:tc>
          <w:tcPr>
            <w:tcW w:w="50" w:type="pct"/>
            <w:shd w:val="clear" w:color="auto" w:fill="CCEEFF"/>
            <w:vAlign w:val="bottom"/>
            <w:hideMark/>
          </w:tcPr>
          <w:p w14:paraId="48B79F3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764970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903371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0B65731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359</w:t>
            </w:r>
          </w:p>
        </w:tc>
        <w:tc>
          <w:tcPr>
            <w:tcW w:w="50" w:type="pct"/>
            <w:shd w:val="clear" w:color="auto" w:fill="CCEEFF"/>
            <w:vAlign w:val="bottom"/>
            <w:hideMark/>
          </w:tcPr>
          <w:p w14:paraId="4DFD8F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368A0E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F2B04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0C61DAF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(1,506</w:t>
            </w:r>
          </w:p>
        </w:tc>
        <w:tc>
          <w:tcPr>
            <w:tcW w:w="50" w:type="pct"/>
            <w:shd w:val="clear" w:color="auto" w:fill="CCEEFF"/>
            <w:vAlign w:val="bottom"/>
            <w:hideMark/>
          </w:tcPr>
          <w:p w14:paraId="211994D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D6FB98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2E079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AE66D6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1,952</w:t>
            </w:r>
          </w:p>
        </w:tc>
        <w:tc>
          <w:tcPr>
            <w:tcW w:w="50" w:type="pct"/>
            <w:shd w:val="clear" w:color="auto" w:fill="CCEEFF"/>
            <w:vAlign w:val="bottom"/>
            <w:hideMark/>
          </w:tcPr>
          <w:p w14:paraId="24FF9C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8C8CE0E" w14:textId="77777777">
        <w:trPr>
          <w:tblCellSpacing w:w="0" w:type="dxa"/>
        </w:trPr>
        <w:tc>
          <w:tcPr>
            <w:tcW w:w="2400" w:type="pct"/>
            <w:shd w:val="clear" w:color="auto" w:fill="FFFFFF"/>
            <w:vAlign w:val="bottom"/>
            <w:hideMark/>
          </w:tcPr>
          <w:p w14:paraId="6DAF4A77"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tcMar>
              <w:top w:w="0" w:type="dxa"/>
              <w:left w:w="0" w:type="dxa"/>
              <w:bottom w:w="15" w:type="dxa"/>
              <w:right w:w="0" w:type="dxa"/>
            </w:tcMar>
            <w:vAlign w:val="bottom"/>
            <w:hideMark/>
          </w:tcPr>
          <w:p w14:paraId="78C8A3F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44690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229DA6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202,940,665</w:t>
            </w:r>
          </w:p>
        </w:tc>
        <w:tc>
          <w:tcPr>
            <w:tcW w:w="50" w:type="pct"/>
            <w:shd w:val="clear" w:color="auto" w:fill="FFFFFF"/>
            <w:tcMar>
              <w:top w:w="0" w:type="dxa"/>
              <w:left w:w="0" w:type="dxa"/>
              <w:bottom w:w="15" w:type="dxa"/>
              <w:right w:w="0" w:type="dxa"/>
            </w:tcMar>
            <w:vAlign w:val="bottom"/>
            <w:hideMark/>
          </w:tcPr>
          <w:p w14:paraId="7AAC5D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4197B77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4667EB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B18F41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119,959,860</w:t>
            </w:r>
          </w:p>
        </w:tc>
        <w:tc>
          <w:tcPr>
            <w:tcW w:w="50" w:type="pct"/>
            <w:shd w:val="clear" w:color="auto" w:fill="FFFFFF"/>
            <w:tcMar>
              <w:top w:w="0" w:type="dxa"/>
              <w:left w:w="0" w:type="dxa"/>
              <w:bottom w:w="15" w:type="dxa"/>
              <w:right w:w="0" w:type="dxa"/>
            </w:tcMar>
            <w:vAlign w:val="bottom"/>
            <w:hideMark/>
          </w:tcPr>
          <w:p w14:paraId="2758477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00BA23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FE08C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47573F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10,796,107</w:t>
            </w:r>
          </w:p>
        </w:tc>
        <w:tc>
          <w:tcPr>
            <w:tcW w:w="50" w:type="pct"/>
            <w:shd w:val="clear" w:color="auto" w:fill="FFFFFF"/>
            <w:tcMar>
              <w:top w:w="0" w:type="dxa"/>
              <w:left w:w="0" w:type="dxa"/>
              <w:bottom w:w="15" w:type="dxa"/>
              <w:right w:w="0" w:type="dxa"/>
            </w:tcMar>
            <w:vAlign w:val="bottom"/>
            <w:hideMark/>
          </w:tcPr>
          <w:p w14:paraId="08EDFE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2D39261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476747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F5E5FE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48,138,344</w:t>
            </w:r>
          </w:p>
        </w:tc>
        <w:tc>
          <w:tcPr>
            <w:tcW w:w="50" w:type="pct"/>
            <w:shd w:val="clear" w:color="auto" w:fill="FFFFFF"/>
            <w:tcMar>
              <w:top w:w="0" w:type="dxa"/>
              <w:left w:w="0" w:type="dxa"/>
              <w:bottom w:w="15" w:type="dxa"/>
              <w:right w:w="0" w:type="dxa"/>
            </w:tcMar>
            <w:vAlign w:val="bottom"/>
            <w:hideMark/>
          </w:tcPr>
          <w:p w14:paraId="729211F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C4D0D4E" w14:textId="77777777">
        <w:trPr>
          <w:tblCellSpacing w:w="0" w:type="dxa"/>
        </w:trPr>
        <w:tc>
          <w:tcPr>
            <w:tcW w:w="2400" w:type="pct"/>
            <w:shd w:val="clear" w:color="auto" w:fill="CCEEFF"/>
            <w:vAlign w:val="bottom"/>
            <w:hideMark/>
          </w:tcPr>
          <w:p w14:paraId="7A95E34C"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tcMar>
              <w:top w:w="0" w:type="dxa"/>
              <w:left w:w="0" w:type="dxa"/>
              <w:bottom w:w="15" w:type="dxa"/>
              <w:right w:w="0" w:type="dxa"/>
            </w:tcMar>
            <w:vAlign w:val="bottom"/>
            <w:hideMark/>
          </w:tcPr>
          <w:p w14:paraId="633DD03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56AE1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005E575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tcMar>
              <w:top w:w="0" w:type="dxa"/>
              <w:left w:w="0" w:type="dxa"/>
              <w:bottom w:w="15" w:type="dxa"/>
              <w:right w:w="0" w:type="dxa"/>
            </w:tcMar>
            <w:vAlign w:val="bottom"/>
            <w:hideMark/>
          </w:tcPr>
          <w:p w14:paraId="3E49A8D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2ADFA3E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09F2AE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553CFDC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119,960,219</w:t>
            </w:r>
          </w:p>
        </w:tc>
        <w:tc>
          <w:tcPr>
            <w:tcW w:w="50" w:type="pct"/>
            <w:shd w:val="clear" w:color="auto" w:fill="CCEEFF"/>
            <w:tcMar>
              <w:top w:w="0" w:type="dxa"/>
              <w:left w:w="0" w:type="dxa"/>
              <w:bottom w:w="15" w:type="dxa"/>
              <w:right w:w="0" w:type="dxa"/>
            </w:tcMar>
            <w:vAlign w:val="bottom"/>
            <w:hideMark/>
          </w:tcPr>
          <w:p w14:paraId="1FDFFDA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6F11D08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9795F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0573B5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10,794,601</w:t>
            </w:r>
          </w:p>
        </w:tc>
        <w:tc>
          <w:tcPr>
            <w:tcW w:w="50" w:type="pct"/>
            <w:shd w:val="clear" w:color="auto" w:fill="CCEEFF"/>
            <w:tcMar>
              <w:top w:w="0" w:type="dxa"/>
              <w:left w:w="0" w:type="dxa"/>
              <w:bottom w:w="15" w:type="dxa"/>
              <w:right w:w="0" w:type="dxa"/>
            </w:tcMar>
            <w:vAlign w:val="bottom"/>
            <w:hideMark/>
          </w:tcPr>
          <w:p w14:paraId="0D8C893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6378F28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1FDD07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132EC0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48,140,296</w:t>
            </w:r>
          </w:p>
        </w:tc>
        <w:tc>
          <w:tcPr>
            <w:tcW w:w="50" w:type="pct"/>
            <w:shd w:val="clear" w:color="auto" w:fill="CCEEFF"/>
            <w:tcMar>
              <w:top w:w="0" w:type="dxa"/>
              <w:left w:w="0" w:type="dxa"/>
              <w:bottom w:w="15" w:type="dxa"/>
              <w:right w:w="0" w:type="dxa"/>
            </w:tcMar>
            <w:vAlign w:val="bottom"/>
            <w:hideMark/>
          </w:tcPr>
          <w:p w14:paraId="4996768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E0EDFB2" w14:textId="77777777">
        <w:trPr>
          <w:tblCellSpacing w:w="0" w:type="dxa"/>
        </w:trPr>
        <w:tc>
          <w:tcPr>
            <w:tcW w:w="2400" w:type="pct"/>
            <w:shd w:val="clear" w:color="auto" w:fill="FFFFFF"/>
            <w:vAlign w:val="bottom"/>
            <w:hideMark/>
          </w:tcPr>
          <w:p w14:paraId="23042608"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50" w:type="pct"/>
            <w:shd w:val="clear" w:color="auto" w:fill="FFFFFF"/>
            <w:vAlign w:val="bottom"/>
            <w:hideMark/>
          </w:tcPr>
          <w:p w14:paraId="7133B9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599CB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50DED49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F8EFE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BD5870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9AB2B8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46B2D0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E2CC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C724B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1D84FE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227E3F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5482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51D830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83819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1B3176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AC24D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9428518" w14:textId="77777777">
        <w:trPr>
          <w:tblCellSpacing w:w="0" w:type="dxa"/>
        </w:trPr>
        <w:tc>
          <w:tcPr>
            <w:tcW w:w="2400" w:type="pct"/>
            <w:shd w:val="clear" w:color="auto" w:fill="CCEEFF"/>
            <w:vAlign w:val="bottom"/>
            <w:hideMark/>
          </w:tcPr>
          <w:p w14:paraId="6BA865FC"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365D68D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8BAFF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1EB330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(2,227</w:t>
            </w:r>
          </w:p>
        </w:tc>
        <w:tc>
          <w:tcPr>
            <w:tcW w:w="50" w:type="pct"/>
            <w:shd w:val="clear" w:color="auto" w:fill="CCEEFF"/>
            <w:vAlign w:val="bottom"/>
            <w:hideMark/>
          </w:tcPr>
          <w:p w14:paraId="1710B31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6B41B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69A7CA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1FAC168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(69,406</w:t>
            </w:r>
          </w:p>
        </w:tc>
        <w:tc>
          <w:tcPr>
            <w:tcW w:w="50" w:type="pct"/>
            <w:shd w:val="clear" w:color="auto" w:fill="CCEEFF"/>
            <w:vAlign w:val="bottom"/>
            <w:hideMark/>
          </w:tcPr>
          <w:p w14:paraId="27E87A5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CA9C1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76110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21D34D2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51,000</w:t>
            </w:r>
          </w:p>
        </w:tc>
        <w:tc>
          <w:tcPr>
            <w:tcW w:w="50" w:type="pct"/>
            <w:shd w:val="clear" w:color="auto" w:fill="CCEEFF"/>
            <w:vAlign w:val="bottom"/>
            <w:hideMark/>
          </w:tcPr>
          <w:p w14:paraId="4244CB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4504AB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4F45D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3737308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24,408</w:t>
            </w:r>
          </w:p>
        </w:tc>
        <w:tc>
          <w:tcPr>
            <w:tcW w:w="50" w:type="pct"/>
            <w:shd w:val="clear" w:color="auto" w:fill="CCEEFF"/>
            <w:vAlign w:val="bottom"/>
            <w:hideMark/>
          </w:tcPr>
          <w:p w14:paraId="5B4CB82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419C1BA" w14:textId="77777777">
        <w:trPr>
          <w:tblCellSpacing w:w="0" w:type="dxa"/>
        </w:trPr>
        <w:tc>
          <w:tcPr>
            <w:tcW w:w="2400" w:type="pct"/>
            <w:shd w:val="clear" w:color="auto" w:fill="FFFFFF"/>
            <w:vAlign w:val="bottom"/>
            <w:hideMark/>
          </w:tcPr>
          <w:p w14:paraId="77F8AF06"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tcMar>
              <w:top w:w="0" w:type="dxa"/>
              <w:left w:w="0" w:type="dxa"/>
              <w:bottom w:w="15" w:type="dxa"/>
              <w:right w:w="0" w:type="dxa"/>
            </w:tcMar>
            <w:vAlign w:val="bottom"/>
            <w:hideMark/>
          </w:tcPr>
          <w:p w14:paraId="1A5F7A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BDA55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1FFEDD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(87,559,310</w:t>
            </w:r>
          </w:p>
        </w:tc>
        <w:tc>
          <w:tcPr>
            <w:tcW w:w="50" w:type="pct"/>
            <w:shd w:val="clear" w:color="auto" w:fill="FFFFFF"/>
            <w:tcMar>
              <w:top w:w="0" w:type="dxa"/>
              <w:left w:w="0" w:type="dxa"/>
              <w:bottom w:w="15" w:type="dxa"/>
              <w:right w:w="0" w:type="dxa"/>
            </w:tcMar>
            <w:vAlign w:val="bottom"/>
            <w:hideMark/>
          </w:tcPr>
          <w:p w14:paraId="3253FC5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5B04680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317A6E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D6A443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62,102,165</w:t>
            </w:r>
          </w:p>
        </w:tc>
        <w:tc>
          <w:tcPr>
            <w:tcW w:w="50" w:type="pct"/>
            <w:shd w:val="clear" w:color="auto" w:fill="FFFFFF"/>
            <w:tcMar>
              <w:top w:w="0" w:type="dxa"/>
              <w:left w:w="0" w:type="dxa"/>
              <w:bottom w:w="15" w:type="dxa"/>
              <w:right w:w="0" w:type="dxa"/>
            </w:tcMar>
            <w:vAlign w:val="bottom"/>
            <w:hideMark/>
          </w:tcPr>
          <w:p w14:paraId="00C774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7ED6DF3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43EF9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F0246B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51,987,409</w:t>
            </w:r>
          </w:p>
        </w:tc>
        <w:tc>
          <w:tcPr>
            <w:tcW w:w="50" w:type="pct"/>
            <w:shd w:val="clear" w:color="auto" w:fill="FFFFFF"/>
            <w:tcMar>
              <w:top w:w="0" w:type="dxa"/>
              <w:left w:w="0" w:type="dxa"/>
              <w:bottom w:w="15" w:type="dxa"/>
              <w:right w:w="0" w:type="dxa"/>
            </w:tcMar>
            <w:vAlign w:val="bottom"/>
            <w:hideMark/>
          </w:tcPr>
          <w:p w14:paraId="255F2C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4F344A3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40EEB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B75312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(31,975,915</w:t>
            </w:r>
          </w:p>
        </w:tc>
        <w:tc>
          <w:tcPr>
            <w:tcW w:w="50" w:type="pct"/>
            <w:shd w:val="clear" w:color="auto" w:fill="FFFFFF"/>
            <w:tcMar>
              <w:top w:w="0" w:type="dxa"/>
              <w:left w:w="0" w:type="dxa"/>
              <w:bottom w:w="15" w:type="dxa"/>
              <w:right w:w="0" w:type="dxa"/>
            </w:tcMar>
            <w:vAlign w:val="bottom"/>
            <w:hideMark/>
          </w:tcPr>
          <w:p w14:paraId="09EC94EB"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45DA4845" w14:textId="77777777">
        <w:trPr>
          <w:tblCellSpacing w:w="0" w:type="dxa"/>
        </w:trPr>
        <w:tc>
          <w:tcPr>
            <w:tcW w:w="2400" w:type="pct"/>
            <w:shd w:val="clear" w:color="auto" w:fill="CCEEFF"/>
            <w:vAlign w:val="bottom"/>
            <w:hideMark/>
          </w:tcPr>
          <w:p w14:paraId="7B29EBE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tcMar>
              <w:top w:w="0" w:type="dxa"/>
              <w:left w:w="0" w:type="dxa"/>
              <w:bottom w:w="15" w:type="dxa"/>
              <w:right w:w="0" w:type="dxa"/>
            </w:tcMar>
            <w:vAlign w:val="bottom"/>
            <w:hideMark/>
          </w:tcPr>
          <w:p w14:paraId="124C46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34121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449C3DB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CCEEFF"/>
            <w:tcMar>
              <w:top w:w="0" w:type="dxa"/>
              <w:left w:w="0" w:type="dxa"/>
              <w:bottom w:w="15" w:type="dxa"/>
              <w:right w:w="0" w:type="dxa"/>
            </w:tcMar>
            <w:vAlign w:val="bottom"/>
            <w:hideMark/>
          </w:tcPr>
          <w:p w14:paraId="38F8763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2EDBE29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48F8C3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52024AD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62,032,759</w:t>
            </w:r>
          </w:p>
        </w:tc>
        <w:tc>
          <w:tcPr>
            <w:tcW w:w="50" w:type="pct"/>
            <w:shd w:val="clear" w:color="auto" w:fill="CCEEFF"/>
            <w:tcMar>
              <w:top w:w="0" w:type="dxa"/>
              <w:left w:w="0" w:type="dxa"/>
              <w:bottom w:w="15" w:type="dxa"/>
              <w:right w:w="0" w:type="dxa"/>
            </w:tcMar>
            <w:vAlign w:val="bottom"/>
            <w:hideMark/>
          </w:tcPr>
          <w:p w14:paraId="3CFE949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0D97475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F9795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54DC20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52,038,409</w:t>
            </w:r>
          </w:p>
        </w:tc>
        <w:tc>
          <w:tcPr>
            <w:tcW w:w="50" w:type="pct"/>
            <w:shd w:val="clear" w:color="auto" w:fill="CCEEFF"/>
            <w:tcMar>
              <w:top w:w="0" w:type="dxa"/>
              <w:left w:w="0" w:type="dxa"/>
              <w:bottom w:w="15" w:type="dxa"/>
              <w:right w:w="0" w:type="dxa"/>
            </w:tcMar>
            <w:vAlign w:val="bottom"/>
            <w:hideMark/>
          </w:tcPr>
          <w:p w14:paraId="431A8C6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6C88DB8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95AA5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059B836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(31,951,507</w:t>
            </w:r>
          </w:p>
        </w:tc>
        <w:tc>
          <w:tcPr>
            <w:tcW w:w="50" w:type="pct"/>
            <w:shd w:val="clear" w:color="auto" w:fill="CCEEFF"/>
            <w:tcMar>
              <w:top w:w="0" w:type="dxa"/>
              <w:left w:w="0" w:type="dxa"/>
              <w:bottom w:w="15" w:type="dxa"/>
              <w:right w:w="0" w:type="dxa"/>
            </w:tcMar>
            <w:vAlign w:val="bottom"/>
            <w:hideMark/>
          </w:tcPr>
          <w:p w14:paraId="3A0DFE1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04C06D0E" w14:textId="77777777">
        <w:trPr>
          <w:tblCellSpacing w:w="0" w:type="dxa"/>
        </w:trPr>
        <w:tc>
          <w:tcPr>
            <w:tcW w:w="2400" w:type="pct"/>
            <w:shd w:val="clear" w:color="auto" w:fill="FFFFFF"/>
            <w:vAlign w:val="bottom"/>
            <w:hideMark/>
          </w:tcPr>
          <w:p w14:paraId="62135F9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realized and unrealized gain</w:t>
            </w:r>
          </w:p>
        </w:tc>
        <w:tc>
          <w:tcPr>
            <w:tcW w:w="50" w:type="pct"/>
            <w:shd w:val="clear" w:color="auto" w:fill="FFFFFF"/>
            <w:tcMar>
              <w:top w:w="0" w:type="dxa"/>
              <w:left w:w="0" w:type="dxa"/>
              <w:bottom w:w="15" w:type="dxa"/>
              <w:right w:w="0" w:type="dxa"/>
            </w:tcMar>
            <w:vAlign w:val="bottom"/>
            <w:hideMark/>
          </w:tcPr>
          <w:p w14:paraId="1C4662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33B734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AC31A2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115,379,395</w:t>
            </w:r>
          </w:p>
        </w:tc>
        <w:tc>
          <w:tcPr>
            <w:tcW w:w="50" w:type="pct"/>
            <w:shd w:val="clear" w:color="auto" w:fill="FFFFFF"/>
            <w:tcMar>
              <w:top w:w="0" w:type="dxa"/>
              <w:left w:w="0" w:type="dxa"/>
              <w:bottom w:w="15" w:type="dxa"/>
              <w:right w:w="0" w:type="dxa"/>
            </w:tcMar>
            <w:vAlign w:val="bottom"/>
            <w:hideMark/>
          </w:tcPr>
          <w:p w14:paraId="19D01BF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5FCCE67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2B204A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2692E9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181,992,978</w:t>
            </w:r>
          </w:p>
        </w:tc>
        <w:tc>
          <w:tcPr>
            <w:tcW w:w="50" w:type="pct"/>
            <w:shd w:val="clear" w:color="auto" w:fill="FFFFFF"/>
            <w:tcMar>
              <w:top w:w="0" w:type="dxa"/>
              <w:left w:w="0" w:type="dxa"/>
              <w:bottom w:w="15" w:type="dxa"/>
              <w:right w:w="0" w:type="dxa"/>
            </w:tcMar>
            <w:vAlign w:val="bottom"/>
            <w:hideMark/>
          </w:tcPr>
          <w:p w14:paraId="682D52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2DBC944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690EB8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70A8EA1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62,833,010</w:t>
            </w:r>
          </w:p>
        </w:tc>
        <w:tc>
          <w:tcPr>
            <w:tcW w:w="50" w:type="pct"/>
            <w:shd w:val="clear" w:color="auto" w:fill="FFFFFF"/>
            <w:tcMar>
              <w:top w:w="0" w:type="dxa"/>
              <w:left w:w="0" w:type="dxa"/>
              <w:bottom w:w="15" w:type="dxa"/>
              <w:right w:w="0" w:type="dxa"/>
            </w:tcMar>
            <w:vAlign w:val="bottom"/>
            <w:hideMark/>
          </w:tcPr>
          <w:p w14:paraId="1B2A6AB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454C1A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3AC6EF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592A647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16,188,789</w:t>
            </w:r>
          </w:p>
        </w:tc>
        <w:tc>
          <w:tcPr>
            <w:tcW w:w="50" w:type="pct"/>
            <w:shd w:val="clear" w:color="auto" w:fill="FFFFFF"/>
            <w:tcMar>
              <w:top w:w="0" w:type="dxa"/>
              <w:left w:w="0" w:type="dxa"/>
              <w:bottom w:w="15" w:type="dxa"/>
              <w:right w:w="0" w:type="dxa"/>
            </w:tcMar>
            <w:vAlign w:val="bottom"/>
            <w:hideMark/>
          </w:tcPr>
          <w:p w14:paraId="4A5D9F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58E82E3" w14:textId="77777777">
        <w:trPr>
          <w:tblCellSpacing w:w="0" w:type="dxa"/>
        </w:trPr>
        <w:tc>
          <w:tcPr>
            <w:tcW w:w="2400" w:type="pct"/>
            <w:shd w:val="clear" w:color="auto" w:fill="CCEEFF"/>
            <w:vAlign w:val="bottom"/>
            <w:hideMark/>
          </w:tcPr>
          <w:p w14:paraId="6524559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tcMar>
              <w:top w:w="0" w:type="dxa"/>
              <w:left w:w="0" w:type="dxa"/>
              <w:bottom w:w="45" w:type="dxa"/>
              <w:right w:w="0" w:type="dxa"/>
            </w:tcMar>
            <w:vAlign w:val="bottom"/>
            <w:hideMark/>
          </w:tcPr>
          <w:p w14:paraId="3DF4D28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743D803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CCEEFF"/>
            <w:vAlign w:val="bottom"/>
            <w:hideMark/>
          </w:tcPr>
          <w:p w14:paraId="766CFC3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CCEEFF"/>
            <w:tcMar>
              <w:top w:w="0" w:type="dxa"/>
              <w:left w:w="0" w:type="dxa"/>
              <w:bottom w:w="45" w:type="dxa"/>
              <w:right w:w="0" w:type="dxa"/>
            </w:tcMar>
            <w:vAlign w:val="bottom"/>
            <w:hideMark/>
          </w:tcPr>
          <w:p w14:paraId="4E14F7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1570F0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28BB5C2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CCEEFF"/>
            <w:vAlign w:val="bottom"/>
            <w:hideMark/>
          </w:tcPr>
          <w:p w14:paraId="36CBCBB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179,290,566</w:t>
            </w:r>
          </w:p>
        </w:tc>
        <w:tc>
          <w:tcPr>
            <w:tcW w:w="50" w:type="pct"/>
            <w:shd w:val="clear" w:color="auto" w:fill="CCEEFF"/>
            <w:tcMar>
              <w:top w:w="0" w:type="dxa"/>
              <w:left w:w="0" w:type="dxa"/>
              <w:bottom w:w="45" w:type="dxa"/>
              <w:right w:w="0" w:type="dxa"/>
            </w:tcMar>
            <w:vAlign w:val="bottom"/>
            <w:hideMark/>
          </w:tcPr>
          <w:p w14:paraId="4352189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3F87650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483A97A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CCEEFF"/>
            <w:vAlign w:val="bottom"/>
            <w:hideMark/>
          </w:tcPr>
          <w:p w14:paraId="0AD8B5A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60,122,626</w:t>
            </w:r>
          </w:p>
        </w:tc>
        <w:tc>
          <w:tcPr>
            <w:tcW w:w="50" w:type="pct"/>
            <w:shd w:val="clear" w:color="auto" w:fill="CCEEFF"/>
            <w:tcMar>
              <w:top w:w="0" w:type="dxa"/>
              <w:left w:w="0" w:type="dxa"/>
              <w:bottom w:w="45" w:type="dxa"/>
              <w:right w:w="0" w:type="dxa"/>
            </w:tcMar>
            <w:vAlign w:val="bottom"/>
            <w:hideMark/>
          </w:tcPr>
          <w:p w14:paraId="36BE05F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32F87C7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01CC055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CCEEFF"/>
            <w:vAlign w:val="bottom"/>
            <w:hideMark/>
          </w:tcPr>
          <w:p w14:paraId="0AF5130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13,296,715</w:t>
            </w:r>
          </w:p>
        </w:tc>
        <w:tc>
          <w:tcPr>
            <w:tcW w:w="50" w:type="pct"/>
            <w:shd w:val="clear" w:color="auto" w:fill="CCEEFF"/>
            <w:tcMar>
              <w:top w:w="0" w:type="dxa"/>
              <w:left w:w="0" w:type="dxa"/>
              <w:bottom w:w="45" w:type="dxa"/>
              <w:right w:w="0" w:type="dxa"/>
            </w:tcMar>
            <w:vAlign w:val="bottom"/>
            <w:hideMark/>
          </w:tcPr>
          <w:p w14:paraId="76E8A1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F0A0C13" w14:textId="77777777">
        <w:trPr>
          <w:tblCellSpacing w:w="0" w:type="dxa"/>
        </w:trPr>
        <w:tc>
          <w:tcPr>
            <w:tcW w:w="2400" w:type="pct"/>
            <w:shd w:val="clear" w:color="auto" w:fill="FFFFFF"/>
            <w:vAlign w:val="bottom"/>
            <w:hideMark/>
          </w:tcPr>
          <w:p w14:paraId="5740198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in net assets per Share</w:t>
            </w:r>
          </w:p>
        </w:tc>
        <w:tc>
          <w:tcPr>
            <w:tcW w:w="50" w:type="pct"/>
            <w:shd w:val="clear" w:color="auto" w:fill="FFFFFF"/>
            <w:vAlign w:val="bottom"/>
            <w:hideMark/>
          </w:tcPr>
          <w:p w14:paraId="511F37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B1D65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0279A85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1.51</w:t>
            </w:r>
          </w:p>
        </w:tc>
        <w:tc>
          <w:tcPr>
            <w:tcW w:w="50" w:type="pct"/>
            <w:shd w:val="clear" w:color="auto" w:fill="FFFFFF"/>
            <w:vAlign w:val="bottom"/>
            <w:hideMark/>
          </w:tcPr>
          <w:p w14:paraId="103CFE4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F3EB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EA6E156"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231F84D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2.11</w:t>
            </w:r>
          </w:p>
        </w:tc>
        <w:tc>
          <w:tcPr>
            <w:tcW w:w="50" w:type="pct"/>
            <w:shd w:val="clear" w:color="auto" w:fill="FFFFFF"/>
            <w:vAlign w:val="bottom"/>
            <w:hideMark/>
          </w:tcPr>
          <w:p w14:paraId="0B3936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CF378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672336"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76BE91F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0.73</w:t>
            </w:r>
          </w:p>
        </w:tc>
        <w:tc>
          <w:tcPr>
            <w:tcW w:w="50" w:type="pct"/>
            <w:shd w:val="clear" w:color="auto" w:fill="FFFFFF"/>
            <w:vAlign w:val="bottom"/>
            <w:hideMark/>
          </w:tcPr>
          <w:p w14:paraId="07F308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1AC1A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288B0C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20F35A4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0.16</w:t>
            </w:r>
          </w:p>
        </w:tc>
        <w:tc>
          <w:tcPr>
            <w:tcW w:w="50" w:type="pct"/>
            <w:shd w:val="clear" w:color="auto" w:fill="FFFFFF"/>
            <w:vAlign w:val="bottom"/>
            <w:hideMark/>
          </w:tcPr>
          <w:p w14:paraId="32DC0DC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7F7DFAE2" w14:textId="77777777" w:rsidR="00000000" w:rsidRDefault="004206B0">
      <w:pPr>
        <w:pStyle w:val="a3"/>
        <w:spacing w:before="0" w:beforeAutospacing="0" w:after="0" w:afterAutospacing="0"/>
        <w:rPr>
          <w:sz w:val="20"/>
          <w:szCs w:val="20"/>
        </w:rPr>
      </w:pPr>
      <w:r>
        <w:rPr>
          <w:sz w:val="20"/>
          <w:szCs w:val="20"/>
        </w:rPr>
        <w:t> </w:t>
      </w:r>
    </w:p>
    <w:p w14:paraId="1F0EA2F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See Index to Financial Statements on page F-1 for a list of the financial statements being filed herein.</w:t>
      </w:r>
    </w:p>
    <w:p w14:paraId="0F8EC91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3C5CF7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6B442ED"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9. Changes in and Disagreements with Accountants on Accounting and Financial Disclosure.</w:t>
      </w:r>
    </w:p>
    <w:p w14:paraId="4C7830F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9FBA71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There have been no ch</w:t>
      </w:r>
      <w:r>
        <w:rPr>
          <w:rFonts w:ascii="Arial" w:hAnsi="Arial" w:cs="Arial"/>
          <w:sz w:val="20"/>
          <w:szCs w:val="20"/>
        </w:rPr>
        <w:t>anges in accountants and no disagreements with accountants during the year ended December 31, 2022.</w:t>
      </w:r>
    </w:p>
    <w:p w14:paraId="0646B12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10789D9" w14:textId="77777777" w:rsidR="00000000" w:rsidRDefault="004206B0">
      <w:pPr>
        <w:jc w:val="center"/>
        <w:divId w:val="1051734303"/>
        <w:rPr>
          <w:rFonts w:ascii="Arial" w:eastAsia="Times New Roman" w:hAnsi="Arial" w:cs="Arial"/>
          <w:sz w:val="20"/>
          <w:szCs w:val="20"/>
        </w:rPr>
      </w:pPr>
      <w:r>
        <w:rPr>
          <w:rFonts w:ascii="Arial" w:eastAsia="Times New Roman" w:hAnsi="Arial" w:cs="Arial"/>
          <w:sz w:val="20"/>
          <w:szCs w:val="20"/>
        </w:rPr>
        <w:t xml:space="preserve">29 </w:t>
      </w:r>
    </w:p>
    <w:p w14:paraId="794031C1" w14:textId="77777777" w:rsidR="00000000" w:rsidRDefault="004206B0">
      <w:pPr>
        <w:divId w:val="1724018430"/>
        <w:rPr>
          <w:rFonts w:eastAsia="Times New Roman"/>
          <w:sz w:val="20"/>
          <w:szCs w:val="20"/>
        </w:rPr>
      </w:pPr>
      <w:r>
        <w:rPr>
          <w:rFonts w:eastAsia="Times New Roman"/>
          <w:sz w:val="20"/>
          <w:szCs w:val="20"/>
        </w:rPr>
        <w:pict w14:anchorId="6A745657">
          <v:rect id="_x0000_i1069" style="width:415.3pt;height:1.5pt" o:hralign="center" o:hrstd="t" o:hrnoshade="t" o:hr="t" fillcolor="black" stroked="f"/>
        </w:pict>
      </w:r>
    </w:p>
    <w:p w14:paraId="2EC1B6D8" w14:textId="77777777" w:rsidR="00000000" w:rsidRDefault="004206B0">
      <w:pPr>
        <w:divId w:val="428698881"/>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58904E84" w14:textId="77777777" w:rsidR="00000000" w:rsidRDefault="004206B0">
      <w:pPr>
        <w:pStyle w:val="a3"/>
        <w:spacing w:before="0" w:beforeAutospacing="0" w:after="0" w:afterAutospacing="0"/>
        <w:rPr>
          <w:sz w:val="20"/>
          <w:szCs w:val="20"/>
        </w:rPr>
      </w:pPr>
      <w:r>
        <w:rPr>
          <w:sz w:val="20"/>
          <w:szCs w:val="20"/>
        </w:rPr>
        <w:t> </w:t>
      </w:r>
    </w:p>
    <w:p w14:paraId="3320F3D2"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9A. Controls and Procedures.</w:t>
      </w:r>
    </w:p>
    <w:p w14:paraId="12369F4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4890E0E"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Disclosure Controls and Procedures</w:t>
      </w:r>
    </w:p>
    <w:p w14:paraId="28ED0FD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984B1E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Trust would perform if the Trust had any officers, with the parti</w:t>
      </w:r>
      <w:r>
        <w:rPr>
          <w:rFonts w:ascii="Arial" w:hAnsi="Arial" w:cs="Arial"/>
          <w:sz w:val="20"/>
          <w:szCs w:val="20"/>
        </w:rPr>
        <w:t>cipation of the Trustee, have evaluated the effectiveness of the Trust’s disclosure controls and procedures, and have concluded that the disclosure controls and procedures of the Trust were effective as of the end of the period covered by this report to pr</w:t>
      </w:r>
      <w:r>
        <w:rPr>
          <w:rFonts w:ascii="Arial" w:hAnsi="Arial" w:cs="Arial"/>
          <w:sz w:val="20"/>
          <w:szCs w:val="20"/>
        </w:rPr>
        <w:t>ovide reasonable assurance that information required to be disclosed in the reports that the Trust files or submits under the Exchange Act is recorded, processed, summarized and reported, within the time periods specified in the applicable rules and forms,</w:t>
      </w:r>
      <w:r>
        <w:rPr>
          <w:rFonts w:ascii="Arial" w:hAnsi="Arial" w:cs="Arial"/>
          <w:sz w:val="20"/>
          <w:szCs w:val="20"/>
        </w:rPr>
        <w:t xml:space="preserve"> and that it is accumulated and communicated to the duly authorized officers of the Sponsor performing functions equivalent to those a principal executive officer and principal financial officer of the Trust would perform if the Trust had any officers, as </w:t>
      </w:r>
      <w:r>
        <w:rPr>
          <w:rFonts w:ascii="Arial" w:hAnsi="Arial" w:cs="Arial"/>
          <w:sz w:val="20"/>
          <w:szCs w:val="20"/>
        </w:rPr>
        <w:t>appropriate to allow timely decisions regarding required disclosure.</w:t>
      </w:r>
    </w:p>
    <w:p w14:paraId="62A895E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88B62E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There are inherent limitations to the effectiveness of any system of disclosure controls and procedures, including the possibility of human error and the circumvention or overriding of </w:t>
      </w:r>
      <w:r>
        <w:rPr>
          <w:rFonts w:ascii="Arial" w:hAnsi="Arial" w:cs="Arial"/>
          <w:sz w:val="20"/>
          <w:szCs w:val="20"/>
        </w:rPr>
        <w:t>the controls and procedures.</w:t>
      </w:r>
    </w:p>
    <w:p w14:paraId="165D592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6314FE3"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Management</w:t>
      </w:r>
      <w:r>
        <w:rPr>
          <w:rFonts w:ascii="Arial" w:hAnsi="Arial" w:cs="Arial"/>
          <w:sz w:val="20"/>
          <w:szCs w:val="20"/>
        </w:rPr>
        <w:t>’</w:t>
      </w:r>
      <w:r>
        <w:rPr>
          <w:rFonts w:ascii="Arial" w:hAnsi="Arial" w:cs="Arial"/>
          <w:b/>
          <w:bCs/>
          <w:sz w:val="20"/>
          <w:szCs w:val="20"/>
        </w:rPr>
        <w:t>s Report on Internal Control over Financial Reporting</w:t>
      </w:r>
    </w:p>
    <w:p w14:paraId="7CD2657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E8B9A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Sponsor’s management is responsible for establishing and maintaining adequate internal control over financial reporting, as defined in Exchange Act Rules </w:t>
      </w:r>
      <w:r>
        <w:rPr>
          <w:rFonts w:ascii="Arial" w:hAnsi="Arial" w:cs="Arial"/>
          <w:sz w:val="20"/>
          <w:szCs w:val="20"/>
        </w:rPr>
        <w:t>13a</w:t>
      </w:r>
      <w:r>
        <w:rPr>
          <w:rFonts w:ascii="Arial" w:hAnsi="Arial" w:cs="Arial"/>
          <w:sz w:val="20"/>
          <w:szCs w:val="20"/>
        </w:rPr>
        <w:noBreakHyphen/>
        <w:t>15(f) and 15d-15(f). The Trust’s internal control over financial reporting is a process designed to provide reasonable assurance regarding the reliability of financial reporting and the preparation of financial statements for external purposes in accor</w:t>
      </w:r>
      <w:r>
        <w:rPr>
          <w:rFonts w:ascii="Arial" w:hAnsi="Arial" w:cs="Arial"/>
          <w:sz w:val="20"/>
          <w:szCs w:val="20"/>
        </w:rPr>
        <w:t>dance with generally accepted accounting principles in the United States of America. Internal control over financial reporting includes those policies and procedures that: (1) pertain to the maintenance of records that, in reasonable detail, accurately and</w:t>
      </w:r>
      <w:r>
        <w:rPr>
          <w:rFonts w:ascii="Arial" w:hAnsi="Arial" w:cs="Arial"/>
          <w:sz w:val="20"/>
          <w:szCs w:val="20"/>
        </w:rPr>
        <w:t xml:space="preserve"> fairly reflect the transactions and dispositions of the Trust’s assets</w:t>
      </w:r>
      <w:r>
        <w:rPr>
          <w:rFonts w:ascii="Arial" w:hAnsi="Arial" w:cs="Arial"/>
          <w:sz w:val="20"/>
          <w:szCs w:val="20"/>
        </w:rPr>
        <w:t>;</w:t>
      </w:r>
      <w:r>
        <w:rPr>
          <w:rFonts w:ascii="Arial" w:hAnsi="Arial" w:cs="Arial"/>
          <w:sz w:val="20"/>
          <w:szCs w:val="20"/>
        </w:rPr>
        <w:t xml:space="preserve"> (2) provide reasonable assurance that transactions are recorded as necessary to permit preparation of financial statements in accordance with generally accepted accounting principles,</w:t>
      </w:r>
      <w:r>
        <w:rPr>
          <w:rFonts w:ascii="Arial" w:hAnsi="Arial" w:cs="Arial"/>
          <w:sz w:val="20"/>
          <w:szCs w:val="20"/>
        </w:rPr>
        <w:t xml:space="preserve"> and that the Trust’s receipts and expenditures are being made only in accordance with appropriate authorizations</w:t>
      </w:r>
      <w:r>
        <w:rPr>
          <w:rFonts w:ascii="Arial" w:hAnsi="Arial" w:cs="Arial"/>
          <w:sz w:val="20"/>
          <w:szCs w:val="20"/>
        </w:rPr>
        <w:t>;</w:t>
      </w:r>
      <w:r>
        <w:rPr>
          <w:rFonts w:ascii="Arial" w:hAnsi="Arial" w:cs="Arial"/>
          <w:sz w:val="20"/>
          <w:szCs w:val="20"/>
        </w:rPr>
        <w:t xml:space="preserve"> and (3) provide reasonable assurance regarding prevention or timely detection of unauthorized acquisition, use, or disposition of the Trust’s</w:t>
      </w:r>
      <w:r>
        <w:rPr>
          <w:rFonts w:ascii="Arial" w:hAnsi="Arial" w:cs="Arial"/>
          <w:sz w:val="20"/>
          <w:szCs w:val="20"/>
        </w:rPr>
        <w:t xml:space="preserve"> assets that could have a material effect on the financial statements.</w:t>
      </w:r>
    </w:p>
    <w:p w14:paraId="3CB93F2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9B89B6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Because of its inherent limitations, internal control over financial reporting may not prevent or detect misstatements. Also, projections of any evaluation of effectiveness to future </w:t>
      </w:r>
      <w:r>
        <w:rPr>
          <w:rFonts w:ascii="Arial" w:hAnsi="Arial" w:cs="Arial"/>
          <w:sz w:val="20"/>
          <w:szCs w:val="20"/>
        </w:rPr>
        <w:t>periods are subject to the risk that controls may become ineffective because of changes in conditions, or that the degree of compliance with the policies or procedures may deteriorate.</w:t>
      </w:r>
    </w:p>
    <w:p w14:paraId="2A2D946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1A32E2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Sponsor’s management, including the principal executive officer a</w:t>
      </w:r>
      <w:r>
        <w:rPr>
          <w:rFonts w:ascii="Arial" w:hAnsi="Arial" w:cs="Arial"/>
          <w:sz w:val="20"/>
          <w:szCs w:val="20"/>
        </w:rPr>
        <w:t>nd principal financial officer of the Sponsor, assessed the effectiveness of the Trust’s internal control over financial reporting as of December 31, 2022. In making its assessment, the Sponsor’s management has utilized the criteria set forth by the Commit</w:t>
      </w:r>
      <w:r>
        <w:rPr>
          <w:rFonts w:ascii="Arial" w:hAnsi="Arial" w:cs="Arial"/>
          <w:sz w:val="20"/>
          <w:szCs w:val="20"/>
        </w:rPr>
        <w:t xml:space="preserve">tee of Sponsoring Organizations of the Treadway Commission (COSO) in its report entitled </w:t>
      </w:r>
      <w:r>
        <w:rPr>
          <w:rFonts w:ascii="Arial" w:hAnsi="Arial" w:cs="Arial"/>
          <w:i/>
          <w:iCs/>
          <w:sz w:val="20"/>
          <w:szCs w:val="20"/>
        </w:rPr>
        <w:t xml:space="preserve">Internal Control </w:t>
      </w:r>
      <w:r>
        <w:rPr>
          <w:rFonts w:ascii="Arial" w:hAnsi="Arial" w:cs="Arial"/>
          <w:sz w:val="20"/>
          <w:szCs w:val="20"/>
        </w:rPr>
        <w:t xml:space="preserve">– </w:t>
      </w:r>
      <w:r>
        <w:rPr>
          <w:rFonts w:ascii="Arial" w:hAnsi="Arial" w:cs="Arial"/>
          <w:i/>
          <w:iCs/>
          <w:sz w:val="20"/>
          <w:szCs w:val="20"/>
        </w:rPr>
        <w:t xml:space="preserve">Integrated Framework (2013). </w:t>
      </w:r>
      <w:r>
        <w:rPr>
          <w:rFonts w:ascii="Arial" w:hAnsi="Arial" w:cs="Arial"/>
          <w:sz w:val="20"/>
          <w:szCs w:val="20"/>
        </w:rPr>
        <w:t>Based on their assessment and those criteria, the Sponsor’s management concluded that the Trust maintained effective in</w:t>
      </w:r>
      <w:r>
        <w:rPr>
          <w:rFonts w:ascii="Arial" w:hAnsi="Arial" w:cs="Arial"/>
          <w:sz w:val="20"/>
          <w:szCs w:val="20"/>
        </w:rPr>
        <w:t>ternal control over financial reporting as of December 31, 2022.</w:t>
      </w:r>
    </w:p>
    <w:p w14:paraId="5C2E55D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8A145B1"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The effectiveness of the Trust’s internal control over financial reporting as of December 31, 2022 has been audited by PricewaterhouseCoopers LLP, the independent registered public accounti</w:t>
      </w:r>
      <w:r>
        <w:rPr>
          <w:rFonts w:ascii="Arial" w:hAnsi="Arial" w:cs="Arial"/>
          <w:sz w:val="20"/>
          <w:szCs w:val="20"/>
        </w:rPr>
        <w:t>ng firm that audited and reported on the financial statements included in this Form 10-K, as stated in their report which is included herein.</w:t>
      </w:r>
    </w:p>
    <w:p w14:paraId="5DFB96E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7D902A6"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Changes in Internal Control over Financial Reporting</w:t>
      </w:r>
    </w:p>
    <w:p w14:paraId="7B474EE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9AAE16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w:t>
      </w:r>
      <w:r>
        <w:rPr>
          <w:rFonts w:ascii="Arial" w:hAnsi="Arial" w:cs="Arial"/>
          <w:sz w:val="20"/>
          <w:szCs w:val="20"/>
        </w:rPr>
        <w:t>r financial reporting that occurred during the Trust’s fourth fiscal quarter of the period covered by this report that have materially affected, or are reasonably likely to materially affect, the Trust’s internal control over financial reporting.</w:t>
      </w:r>
    </w:p>
    <w:p w14:paraId="2B957B5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0A9937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48C2F47"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9B. Other Information.</w:t>
      </w:r>
    </w:p>
    <w:p w14:paraId="30FE7CD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E088A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18BC82F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2F7E93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BBB778A"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9C. Disclosure Regarding Foreign Jurisdictions that Prevent Inspections.</w:t>
      </w:r>
    </w:p>
    <w:p w14:paraId="71E5D3A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8F69F4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4849B51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EB44F8D" w14:textId="77777777" w:rsidR="00000000" w:rsidRDefault="004206B0">
      <w:pPr>
        <w:jc w:val="center"/>
        <w:divId w:val="818109945"/>
        <w:rPr>
          <w:rFonts w:ascii="Arial" w:eastAsia="Times New Roman" w:hAnsi="Arial" w:cs="Arial"/>
          <w:sz w:val="20"/>
          <w:szCs w:val="20"/>
        </w:rPr>
      </w:pPr>
      <w:r>
        <w:rPr>
          <w:rFonts w:ascii="Arial" w:eastAsia="Times New Roman" w:hAnsi="Arial" w:cs="Arial"/>
          <w:sz w:val="20"/>
          <w:szCs w:val="20"/>
        </w:rPr>
        <w:t xml:space="preserve">30 </w:t>
      </w:r>
    </w:p>
    <w:p w14:paraId="765CB028" w14:textId="77777777" w:rsidR="00000000" w:rsidRDefault="004206B0">
      <w:pPr>
        <w:divId w:val="435714735"/>
        <w:rPr>
          <w:rFonts w:eastAsia="Times New Roman"/>
          <w:sz w:val="20"/>
          <w:szCs w:val="20"/>
        </w:rPr>
      </w:pPr>
      <w:r>
        <w:rPr>
          <w:rFonts w:eastAsia="Times New Roman"/>
          <w:sz w:val="20"/>
          <w:szCs w:val="20"/>
        </w:rPr>
        <w:pict w14:anchorId="0C212F76">
          <v:rect id="_x0000_i1070" style="width:415.3pt;height:1.5pt" o:hralign="center" o:hrstd="t" o:hrnoshade="t" o:hr="t" fillcolor="black" stroked="f"/>
        </w:pict>
      </w:r>
    </w:p>
    <w:p w14:paraId="5CDEE9DD" w14:textId="77777777" w:rsidR="00000000" w:rsidRDefault="004206B0">
      <w:pPr>
        <w:divId w:val="1319075095"/>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6EBE9C86" w14:textId="77777777" w:rsidR="00000000" w:rsidRDefault="004206B0">
      <w:pPr>
        <w:pStyle w:val="a3"/>
        <w:spacing w:before="0" w:beforeAutospacing="0" w:after="0" w:afterAutospacing="0"/>
        <w:rPr>
          <w:sz w:val="20"/>
          <w:szCs w:val="20"/>
        </w:rPr>
      </w:pPr>
      <w:r>
        <w:rPr>
          <w:sz w:val="20"/>
          <w:szCs w:val="20"/>
        </w:rPr>
        <w:t> </w:t>
      </w:r>
    </w:p>
    <w:p w14:paraId="2187A75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PART III</w:t>
      </w:r>
    </w:p>
    <w:p w14:paraId="6C2B3C0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1AA8B5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6B08ECE"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10. Directors, Executive O</w:t>
      </w:r>
      <w:r>
        <w:rPr>
          <w:rFonts w:ascii="Arial" w:hAnsi="Arial" w:cs="Arial"/>
          <w:b/>
          <w:bCs/>
          <w:sz w:val="20"/>
          <w:szCs w:val="20"/>
        </w:rPr>
        <w:t>fficers and Corporate Governance.</w:t>
      </w:r>
    </w:p>
    <w:p w14:paraId="0E63348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EE2E1A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does not have any directors, officers or employees. The following persons, in their respective capacities as directors or executive officers of the Sponsor, perform certain functions with respect to the Trust t</w:t>
      </w:r>
      <w:r>
        <w:rPr>
          <w:rFonts w:ascii="Arial" w:hAnsi="Arial" w:cs="Arial"/>
          <w:sz w:val="20"/>
          <w:szCs w:val="20"/>
        </w:rPr>
        <w:t>hat, if the Trust had directors or executive officers, would typically be performed by them.</w:t>
      </w:r>
    </w:p>
    <w:p w14:paraId="30F7AFD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922963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Shannon Ghia is the President and Chief Executive Officer of the Sponsor and Bryan Bowers is the Chief Financial Officer of the Sponsor.</w:t>
      </w:r>
    </w:p>
    <w:p w14:paraId="2EE9892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03FA0D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is managed</w:t>
      </w:r>
      <w:r>
        <w:rPr>
          <w:rFonts w:ascii="Arial" w:hAnsi="Arial" w:cs="Arial"/>
          <w:sz w:val="20"/>
          <w:szCs w:val="20"/>
        </w:rPr>
        <w:t xml:space="preserve"> by a Board of Directors composed of Shannon Ghia, Bryan Bowers, Philip Jensen, Peter Landini and Kimun Lee.</w:t>
      </w:r>
    </w:p>
    <w:p w14:paraId="340951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47E466F"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Shannon Ghia</w:t>
      </w:r>
      <w:r>
        <w:rPr>
          <w:rFonts w:ascii="Arial" w:hAnsi="Arial" w:cs="Arial"/>
          <w:sz w:val="20"/>
          <w:szCs w:val="20"/>
        </w:rPr>
        <w:t>, 46, has served as a Director of the Sponsor since March 2022 and became a principal of the Sponsor on April 18, 2022. Ms. Ghia is a</w:t>
      </w:r>
      <w:r>
        <w:rPr>
          <w:rFonts w:ascii="Arial" w:hAnsi="Arial" w:cs="Arial"/>
          <w:sz w:val="20"/>
          <w:szCs w:val="20"/>
        </w:rPr>
        <w:t xml:space="preserve"> Managing Director of BlackRock and has served as Global Co-Head of ETF Markets since January 1, 2022. ETF Markets encompasses the Global Markets and Product Engineering teams within EII Markets and Investments (“the Engine”) of BlackRock's ETF and Index I</w:t>
      </w:r>
      <w:r>
        <w:rPr>
          <w:rFonts w:ascii="Arial" w:hAnsi="Arial" w:cs="Arial"/>
          <w:sz w:val="20"/>
          <w:szCs w:val="20"/>
        </w:rPr>
        <w:t>nvesting organization. The Engine teams drive investment integrity and market quality in BlackRock's ETF and index portfolios. Global Markets and Product Engineering together strive to safeguard ETF trading, evolve the ETF ecosystem and develop best-in-cla</w:t>
      </w:r>
      <w:r>
        <w:rPr>
          <w:rFonts w:ascii="Arial" w:hAnsi="Arial" w:cs="Arial"/>
          <w:sz w:val="20"/>
          <w:szCs w:val="20"/>
        </w:rPr>
        <w:t>ss products with enduring integrity that promote clients' financial wellbeing. From January 1, 2016 to December 31, 2021, Ms. Ghia served as the U.S. Head of iShares Global Markets and was responsible for overseeing primary and secondary trading of the iSh</w:t>
      </w:r>
      <w:r>
        <w:rPr>
          <w:rFonts w:ascii="Arial" w:hAnsi="Arial" w:cs="Arial"/>
          <w:sz w:val="20"/>
          <w:szCs w:val="20"/>
        </w:rPr>
        <w:t>ares ETF suite and developing the ETF ecosystem. In this capacity, Ms. Ghia built out the ETF trading platform and operational best practices to support a greater complexity of products and an acceleration in trading volumes. She also worked closely with e</w:t>
      </w:r>
      <w:r>
        <w:rPr>
          <w:rFonts w:ascii="Arial" w:hAnsi="Arial" w:cs="Arial"/>
          <w:sz w:val="20"/>
          <w:szCs w:val="20"/>
        </w:rPr>
        <w:t>xchanges, ETF service providers and liquidity providers to promote ETF market quality. Ms. Ghia's service with BlackRock or its affiliates dates to 2002, including her years with Barclays Global Investors. Ms. Ghia earned a BA degree in Business / Economic</w:t>
      </w:r>
      <w:r>
        <w:rPr>
          <w:rFonts w:ascii="Arial" w:hAnsi="Arial" w:cs="Arial"/>
          <w:sz w:val="20"/>
          <w:szCs w:val="20"/>
        </w:rPr>
        <w:t>s with an emphasis in Accounting from the University of California, Santa Barbara.</w:t>
      </w:r>
    </w:p>
    <w:p w14:paraId="5B60EFC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0DBB53B"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Bryan Bowers, 47</w:t>
      </w:r>
      <w:r>
        <w:rPr>
          <w:rFonts w:ascii="Arial" w:hAnsi="Arial" w:cs="Arial"/>
          <w:sz w:val="20"/>
          <w:szCs w:val="20"/>
        </w:rPr>
        <w:t xml:space="preserve">, has been employed by BlackRock or its affiliates since September 6, 2011, performing supervisory and managerial functions. From September 1, 2014 to the </w:t>
      </w:r>
      <w:r>
        <w:rPr>
          <w:rFonts w:ascii="Arial" w:hAnsi="Arial" w:cs="Arial"/>
          <w:sz w:val="20"/>
          <w:szCs w:val="20"/>
        </w:rPr>
        <w:t>present, Mr. Bowers has served as a Director of BlackRock. Since October 4, 2021, Mr. Bowers has managed the Product Oversight and Governance team within BlackRock’s Global Accounting and Product Services (“GAAPS”) function. In that capacity, Mr. Bowers ov</w:t>
      </w:r>
      <w:r>
        <w:rPr>
          <w:rFonts w:ascii="Arial" w:hAnsi="Arial" w:cs="Arial"/>
          <w:sz w:val="20"/>
          <w:szCs w:val="20"/>
        </w:rPr>
        <w:t>ersees fund accounting operations, strategic product initiatives, fund certifications, accounting policies and provides support to the Audit Committee of the Board for iShares Trust, iShares, Inc. and iShares U.S. ETF Trust. From September 1, 2014 to Octob</w:t>
      </w:r>
      <w:r>
        <w:rPr>
          <w:rFonts w:ascii="Arial" w:hAnsi="Arial" w:cs="Arial"/>
          <w:sz w:val="20"/>
          <w:szCs w:val="20"/>
        </w:rPr>
        <w:t xml:space="preserve">er 3, 2021, Mr. Bowers worked in Global Financial Reporting on the Business Operations &amp; Technology team within BlackRock’s GAAPS function. From September 6, 2011 to August 31, 2014, Mr. Bowers served as a Vice President on BlackRock’s Fund Administration </w:t>
      </w:r>
      <w:r>
        <w:rPr>
          <w:rFonts w:ascii="Arial" w:hAnsi="Arial" w:cs="Arial"/>
          <w:sz w:val="20"/>
          <w:szCs w:val="20"/>
        </w:rPr>
        <w:t>team. Prior to joining BlackRock, Mr. Bowers served as an Assistant Vice President of State Street Corporation or its affiliates, where he served as a Unit Manager within the Global and Corporate Bond Accounting Units from September 1, 2007 to September 4,</w:t>
      </w:r>
      <w:r>
        <w:rPr>
          <w:rFonts w:ascii="Arial" w:hAnsi="Arial" w:cs="Arial"/>
          <w:sz w:val="20"/>
          <w:szCs w:val="20"/>
        </w:rPr>
        <w:t xml:space="preserve"> 2011. Mr. Bowers earned his B.S. degree in accounting from Stockton University.</w:t>
      </w:r>
    </w:p>
    <w:p w14:paraId="77C46FA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5FC1DA1"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Belinda Ng Castaneda</w:t>
      </w:r>
      <w:r>
        <w:rPr>
          <w:rFonts w:ascii="Arial" w:hAnsi="Arial" w:cs="Arial"/>
          <w:sz w:val="20"/>
          <w:szCs w:val="20"/>
        </w:rPr>
        <w:t>, 40, became a principal of the Sponsor on June 20, 2019. Mrs. Castaneda became a principal of BlackRock Institutional Trust Company, N.A. on June 19, 2019 and of BFA on June 20, 2019. Mrs. Castaneda serves as a listed principal for each of the foregoing e</w:t>
      </w:r>
      <w:r>
        <w:rPr>
          <w:rFonts w:ascii="Arial" w:hAnsi="Arial" w:cs="Arial"/>
          <w:sz w:val="20"/>
          <w:szCs w:val="20"/>
        </w:rPr>
        <w:t>ntities, performing supervisory and managerial functions on such entities’ Business Continuity Management Program Operations Team. In that role, Mrs. Castaneda is responsible for running global program level tasks including metrics, reporting and data anal</w:t>
      </w:r>
      <w:r>
        <w:rPr>
          <w:rFonts w:ascii="Arial" w:hAnsi="Arial" w:cs="Arial"/>
          <w:sz w:val="20"/>
          <w:szCs w:val="20"/>
        </w:rPr>
        <w:t>ysis along with development and administration of their business continuity planning system. From February 2016 to the present, Mrs. Castaneda has served as a Vice President of BlackRock, Inc. and each of the foregoing entities, all of which are affiliates</w:t>
      </w:r>
      <w:r>
        <w:rPr>
          <w:rFonts w:ascii="Arial" w:hAnsi="Arial" w:cs="Arial"/>
          <w:sz w:val="20"/>
          <w:szCs w:val="20"/>
        </w:rPr>
        <w:t xml:space="preserve"> of BlackRock, Inc., performing supervisory and managerial functions on the firm’s Business Continuity Management Program Operations Team. In that role, Mrs. Castaneda is responsible for running global program level tasks including metrics, reporting and d</w:t>
      </w:r>
      <w:r>
        <w:rPr>
          <w:rFonts w:ascii="Arial" w:hAnsi="Arial" w:cs="Arial"/>
          <w:sz w:val="20"/>
          <w:szCs w:val="20"/>
        </w:rPr>
        <w:t>ata analysis along with development and administration of the firm’s business continuity planning system. From January 2012 to February 2016, Mrs. Castaneda served as an Associate of BlackRock Inc. as a Business Continuity Program Manager. From February 20</w:t>
      </w:r>
      <w:r>
        <w:rPr>
          <w:rFonts w:ascii="Arial" w:hAnsi="Arial" w:cs="Arial"/>
          <w:sz w:val="20"/>
          <w:szCs w:val="20"/>
        </w:rPr>
        <w:t>09 to January 2012, Mrs. Castaneda served as an Analyst of BlackRock, Inc. performing operational support to the firm’s Business Continuity Management team. Prior to joining BlackRock, Inc., Mrs. Castaneda served in a data analyst function at H5, Inc. a da</w:t>
      </w:r>
      <w:r>
        <w:rPr>
          <w:rFonts w:ascii="Arial" w:hAnsi="Arial" w:cs="Arial"/>
          <w:sz w:val="20"/>
          <w:szCs w:val="20"/>
        </w:rPr>
        <w:t xml:space="preserve">ta analytics technology firm, from July 2006 to February 2009. Prior to that, Mrs. Castaneda was an office automation assistant at the U.S. Department of Health and Human Services, where she focused on the Employee Human Resource and Payroll System (i.e., </w:t>
      </w:r>
      <w:r>
        <w:rPr>
          <w:rFonts w:ascii="Arial" w:hAnsi="Arial" w:cs="Arial"/>
          <w:sz w:val="20"/>
          <w:szCs w:val="20"/>
        </w:rPr>
        <w:t>PeopleSoft software) from July 2002 to July 2006. Mrs. Castaneda earned a Bachelor of Science in Business Administration from San Jose State University, in 2005.</w:t>
      </w:r>
    </w:p>
    <w:p w14:paraId="740979B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A900FB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Ann Frechette</w:t>
      </w:r>
      <w:r>
        <w:rPr>
          <w:rFonts w:ascii="Arial" w:hAnsi="Arial" w:cs="Arial"/>
          <w:sz w:val="20"/>
          <w:szCs w:val="20"/>
        </w:rPr>
        <w:t>, CPA, 54, became a principal of the Sponsor on April 13, 2020. Ms. Frechette b</w:t>
      </w:r>
      <w:r>
        <w:rPr>
          <w:rFonts w:ascii="Arial" w:hAnsi="Arial" w:cs="Arial"/>
          <w:sz w:val="20"/>
          <w:szCs w:val="20"/>
        </w:rPr>
        <w:t>ecame a principal of BlackRock Advisors, LLC on April 9, 2020 and of BFA, BlackRock Institutional Trust Company, N.A., BlackRock International Limited, BlackRock Investment Management, LLC, and BlackRock Financial Management, Inc. on April 13, 2020. Ms. Fr</w:t>
      </w:r>
      <w:r>
        <w:rPr>
          <w:rFonts w:ascii="Arial" w:hAnsi="Arial" w:cs="Arial"/>
          <w:sz w:val="20"/>
          <w:szCs w:val="20"/>
        </w:rPr>
        <w:t xml:space="preserve">echette serves as a listed principal for each of the foregoing entities, performing supervisory and managerial functions as head of a Global Financial Reporting team that prepares financial statements for various pooled investment vehicles managed by such </w:t>
      </w:r>
      <w:r>
        <w:rPr>
          <w:rFonts w:ascii="Arial" w:hAnsi="Arial" w:cs="Arial"/>
          <w:sz w:val="20"/>
          <w:szCs w:val="20"/>
        </w:rPr>
        <w:t>entities. From May 2016 to the present, Ms. Frechette has served as a Managing Director of BlackRock, Inc. and each of the foregoing entities, all of which are affiliates of BlackRock, Inc., performing supervisory and managerial functions as head of the Gl</w:t>
      </w:r>
      <w:r>
        <w:rPr>
          <w:rFonts w:ascii="Arial" w:hAnsi="Arial" w:cs="Arial"/>
          <w:sz w:val="20"/>
          <w:szCs w:val="20"/>
        </w:rPr>
        <w:t>obal Financial Reporting team that prepares financial statements for various pooled investment vehicles managed by affiliates of BlackRock, Inc. From April 2013 to May 2016 Ms. Frechette served as the Managing Director of BlackRock, Inc. responsible for pe</w:t>
      </w:r>
      <w:r>
        <w:rPr>
          <w:rFonts w:ascii="Arial" w:hAnsi="Arial" w:cs="Arial"/>
          <w:sz w:val="20"/>
          <w:szCs w:val="20"/>
        </w:rPr>
        <w:t>rforming supervisory and managerial functions for the U.S. Registered Active Funds Financial Reporting team that prepares financial statements. From April 2006 to April 2012, Ms. Frechette served as the Global Director of Internal Audit at Citco Fund Servi</w:t>
      </w:r>
      <w:r>
        <w:rPr>
          <w:rFonts w:ascii="Arial" w:hAnsi="Arial" w:cs="Arial"/>
          <w:sz w:val="20"/>
          <w:szCs w:val="20"/>
        </w:rPr>
        <w:t>ces, a provider of banking, cash management, fund administration, and trust services, where her responsibilities included managing that firm’s audit team’s risk-based audits and SOC 1 project. From October 2002 to April 2006, Ms. Frechette served as a Seni</w:t>
      </w:r>
      <w:r>
        <w:rPr>
          <w:rFonts w:ascii="Arial" w:hAnsi="Arial" w:cs="Arial"/>
          <w:sz w:val="20"/>
          <w:szCs w:val="20"/>
        </w:rPr>
        <w:t xml:space="preserve">or Vice President at PNC Global Investment Servicing, a provider of processing, technology and business intelligence services to asset managers, broker/dealers and financial advisors, where she worked both in internal audit and the finance area within the </w:t>
      </w:r>
      <w:r>
        <w:rPr>
          <w:rFonts w:ascii="Arial" w:hAnsi="Arial" w:cs="Arial"/>
          <w:sz w:val="20"/>
          <w:szCs w:val="20"/>
        </w:rPr>
        <w:t>transfer agency. From September 1991 to October 2002, Ms. Frechette served as a Senior Manager in the audit division of Ernst &amp; Young’s financial services industry practice. Ms. Frechette graduated with honors from Drexel University with a Bachelor of Scie</w:t>
      </w:r>
      <w:r>
        <w:rPr>
          <w:rFonts w:ascii="Arial" w:hAnsi="Arial" w:cs="Arial"/>
          <w:sz w:val="20"/>
          <w:szCs w:val="20"/>
        </w:rPr>
        <w:t>nce in accounting in 1991 and was initially licensed as a certified public accountant in 1993.</w:t>
      </w:r>
    </w:p>
    <w:p w14:paraId="73B8BBF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1101208" w14:textId="77777777" w:rsidR="00000000" w:rsidRDefault="004206B0">
      <w:pPr>
        <w:jc w:val="center"/>
        <w:divId w:val="1009989074"/>
        <w:rPr>
          <w:rFonts w:ascii="Arial" w:eastAsia="Times New Roman" w:hAnsi="Arial" w:cs="Arial"/>
          <w:sz w:val="20"/>
          <w:szCs w:val="20"/>
        </w:rPr>
      </w:pPr>
      <w:r>
        <w:rPr>
          <w:rFonts w:ascii="Arial" w:eastAsia="Times New Roman" w:hAnsi="Arial" w:cs="Arial"/>
          <w:sz w:val="20"/>
          <w:szCs w:val="20"/>
        </w:rPr>
        <w:t xml:space="preserve">31 </w:t>
      </w:r>
    </w:p>
    <w:p w14:paraId="309076FA" w14:textId="77777777" w:rsidR="00000000" w:rsidRDefault="004206B0">
      <w:pPr>
        <w:divId w:val="350568367"/>
        <w:rPr>
          <w:rFonts w:eastAsia="Times New Roman"/>
          <w:sz w:val="20"/>
          <w:szCs w:val="20"/>
        </w:rPr>
      </w:pPr>
      <w:r>
        <w:rPr>
          <w:rFonts w:eastAsia="Times New Roman"/>
          <w:sz w:val="20"/>
          <w:szCs w:val="20"/>
        </w:rPr>
        <w:pict w14:anchorId="70266BE6">
          <v:rect id="_x0000_i1071" style="width:415.3pt;height:1.5pt" o:hralign="center" o:hrstd="t" o:hrnoshade="t" o:hr="t" fillcolor="black" stroked="f"/>
        </w:pict>
      </w:r>
    </w:p>
    <w:p w14:paraId="313125E5" w14:textId="77777777" w:rsidR="00000000" w:rsidRDefault="004206B0">
      <w:pPr>
        <w:divId w:val="1199927845"/>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45878A33" w14:textId="77777777" w:rsidR="00000000" w:rsidRDefault="004206B0">
      <w:pPr>
        <w:pStyle w:val="a3"/>
        <w:spacing w:before="0" w:beforeAutospacing="0" w:after="0" w:afterAutospacing="0"/>
        <w:rPr>
          <w:sz w:val="20"/>
          <w:szCs w:val="20"/>
        </w:rPr>
      </w:pPr>
      <w:r>
        <w:rPr>
          <w:sz w:val="20"/>
          <w:szCs w:val="20"/>
        </w:rPr>
        <w:t> </w:t>
      </w:r>
    </w:p>
    <w:p w14:paraId="7BCD8F5B"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Philip Jensen</w:t>
      </w:r>
      <w:r>
        <w:rPr>
          <w:rFonts w:ascii="Arial" w:hAnsi="Arial" w:cs="Arial"/>
          <w:sz w:val="20"/>
          <w:szCs w:val="20"/>
        </w:rPr>
        <w:t>, 64, became a principal of the Sponsor in September 200</w:t>
      </w:r>
      <w:r>
        <w:rPr>
          <w:rFonts w:ascii="Arial" w:hAnsi="Arial" w:cs="Arial"/>
          <w:sz w:val="20"/>
          <w:szCs w:val="20"/>
        </w:rPr>
        <w:t>9 and is Chairman of the Sponsor’s audit committee. In June 2001, Mr. Jensen joined Paul Capital Partners, an investment firm focusing on the secondary private equity and healthcare markets, for which he presently serves as Partner and Chief Operating Offi</w:t>
      </w:r>
      <w:r>
        <w:rPr>
          <w:rFonts w:ascii="Arial" w:hAnsi="Arial" w:cs="Arial"/>
          <w:sz w:val="20"/>
          <w:szCs w:val="20"/>
        </w:rPr>
        <w:t>cer. Mr. Jensen received his Bachelor of Science from San Francisco State University and is a certified public accountant (inactive).</w:t>
      </w:r>
    </w:p>
    <w:p w14:paraId="1801852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D5EF794"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Timothy Kane, </w:t>
      </w:r>
      <w:r>
        <w:rPr>
          <w:rFonts w:ascii="Arial" w:hAnsi="Arial" w:cs="Arial"/>
          <w:sz w:val="20"/>
          <w:szCs w:val="20"/>
        </w:rPr>
        <w:t>42, became a principal of the Sponsor on June 28, 2019. Mr. Kane became a principal of BlackRock Financial Management, Inc. on June 27, 2019 and of BlackRock Advisors, LLC, BFA and BlackRock Institutional Trust Company, N.A. on June 28, 2019. Mr. Kane serv</w:t>
      </w:r>
      <w:r>
        <w:rPr>
          <w:rFonts w:ascii="Arial" w:hAnsi="Arial" w:cs="Arial"/>
          <w:sz w:val="20"/>
          <w:szCs w:val="20"/>
        </w:rPr>
        <w:t>es as a listed principal for each of the foregoing entities, performing supervisory and managerial functions in his capacity as Global Head of Enterprise Resilience, including Business Continuity, Crisis Management and Disaster Recovery in Technology and E</w:t>
      </w:r>
      <w:r>
        <w:rPr>
          <w:rFonts w:ascii="Arial" w:hAnsi="Arial" w:cs="Arial"/>
          <w:sz w:val="20"/>
          <w:szCs w:val="20"/>
        </w:rPr>
        <w:t xml:space="preserve">nterprise Services on a team that team is responsible for ensuring recoverability and resiliency when faced with crisis situations. From February 2014 to the present, Mr. Kane has served as a Director of BlackRock, Inc. and each of the foregoing entities, </w:t>
      </w:r>
      <w:r>
        <w:rPr>
          <w:rFonts w:ascii="Arial" w:hAnsi="Arial" w:cs="Arial"/>
          <w:sz w:val="20"/>
          <w:szCs w:val="20"/>
        </w:rPr>
        <w:t>all of which are affiliates of BlackRock, Inc., performing supervisory and managerial functions in his capacity as the Global Head of Enterprise Resilience, including Business Continuity, Crisis Management and Disaster Recovery in Technology and Enterprise</w:t>
      </w:r>
      <w:r>
        <w:rPr>
          <w:rFonts w:ascii="Arial" w:hAnsi="Arial" w:cs="Arial"/>
          <w:sz w:val="20"/>
          <w:szCs w:val="20"/>
        </w:rPr>
        <w:t xml:space="preserve"> Services on a team that team is responsible for ensuring recoverability and resiliency when faced with crisis situations. Prior to joining BlackRock, Inc., Mr. Kane served as the Deputy Global Head of Crisis Management supporting the Business Continuity f</w:t>
      </w:r>
      <w:r>
        <w:rPr>
          <w:rFonts w:ascii="Arial" w:hAnsi="Arial" w:cs="Arial"/>
          <w:sz w:val="20"/>
          <w:szCs w:val="20"/>
        </w:rPr>
        <w:t xml:space="preserve">unction at Deutsche Bank, multinational investment bank and financial services firm, from January 2009 to January 2014. Prior to that, Mr. Kane was the Director of Information Technology at the New York City Office of Emergency Management where he focused </w:t>
      </w:r>
      <w:r>
        <w:rPr>
          <w:rFonts w:ascii="Arial" w:hAnsi="Arial" w:cs="Arial"/>
          <w:sz w:val="20"/>
          <w:szCs w:val="20"/>
        </w:rPr>
        <w:t>on the agency’s technology needs from December 2006 to December 2008. Mr. Kane earned a Bachelor of Science in Geographic Information Science from Salisbury University in 2002.</w:t>
      </w:r>
    </w:p>
    <w:p w14:paraId="0F4C8F4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7217E9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Peter Landini</w:t>
      </w:r>
      <w:r>
        <w:rPr>
          <w:rFonts w:ascii="Arial" w:hAnsi="Arial" w:cs="Arial"/>
          <w:sz w:val="20"/>
          <w:szCs w:val="20"/>
        </w:rPr>
        <w:t>, 71, became a principal of the Sponsor in September 2009 and is</w:t>
      </w:r>
      <w:r>
        <w:rPr>
          <w:rFonts w:ascii="Arial" w:hAnsi="Arial" w:cs="Arial"/>
          <w:sz w:val="20"/>
          <w:szCs w:val="20"/>
        </w:rPr>
        <w:t xml:space="preserve"> a member of the Sponsor’s audit committee. In January 2003, Mr. Landini joined RBP Investment Advisors, Inc., a financial planning consultancy firm, for which he presently serves as Partner and Wealth Manager. Mr. Landini received his Bachelor of Science </w:t>
      </w:r>
      <w:r>
        <w:rPr>
          <w:rFonts w:ascii="Arial" w:hAnsi="Arial" w:cs="Arial"/>
          <w:sz w:val="20"/>
          <w:szCs w:val="20"/>
        </w:rPr>
        <w:t>in accounting from Santa Clara University and an MBA in finance from Golden Gate University. Mr. Landini is a certified financial planner and is a member of the Financial Planning Association.</w:t>
      </w:r>
    </w:p>
    <w:p w14:paraId="2B01707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14485BB"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Kimun Lee</w:t>
      </w:r>
      <w:r>
        <w:rPr>
          <w:rFonts w:ascii="Arial" w:hAnsi="Arial" w:cs="Arial"/>
          <w:sz w:val="20"/>
          <w:szCs w:val="20"/>
        </w:rPr>
        <w:t>, 76, became a principal of the Sponsor in September</w:t>
      </w:r>
      <w:r>
        <w:rPr>
          <w:rFonts w:ascii="Arial" w:hAnsi="Arial" w:cs="Arial"/>
          <w:sz w:val="20"/>
          <w:szCs w:val="20"/>
        </w:rPr>
        <w:t xml:space="preserve"> 2009 and is a member of the Sponsor’s audit committee. Mr. Lee is a California-registered investment adviser and has conducted his consulting business under the name Resources Consolidated since January 1980. Since September 2010, Mr. Lee has served as a </w:t>
      </w:r>
      <w:r>
        <w:rPr>
          <w:rFonts w:ascii="Arial" w:hAnsi="Arial" w:cs="Arial"/>
          <w:sz w:val="20"/>
          <w:szCs w:val="20"/>
        </w:rPr>
        <w:t>member of the board of directors of Firsthand Technology Value Fund, Inc., a mutual fund company. Since April 2013, Mr. Lee has served as a member of the board of trustees of Firsthand Funds, a mutual fund company. Since April 2014, Mr. Lee has served as a</w:t>
      </w:r>
      <w:r>
        <w:rPr>
          <w:rFonts w:ascii="Arial" w:hAnsi="Arial" w:cs="Arial"/>
          <w:sz w:val="20"/>
          <w:szCs w:val="20"/>
        </w:rPr>
        <w:t xml:space="preserve"> member of the board of trustees of FundX Investment Trust, a mutual fund company. Until January 2005, Mr. Lee also served as a member of the board of directors of Fremont Mutual Funds, Inc., a mutual fund company. Mr. Lee received his Bachelor of Arts fro</w:t>
      </w:r>
      <w:r>
        <w:rPr>
          <w:rFonts w:ascii="Arial" w:hAnsi="Arial" w:cs="Arial"/>
          <w:sz w:val="20"/>
          <w:szCs w:val="20"/>
        </w:rPr>
        <w:t>m the University of the Pacific and an MBA from University of Nevada, Reno. He also completed the executive education program on corporate governance at Stanford Graduate School of Business.</w:t>
      </w:r>
    </w:p>
    <w:p w14:paraId="6CCB447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D0EEBBD"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Charles Park</w:t>
      </w:r>
      <w:r>
        <w:rPr>
          <w:rFonts w:ascii="Arial" w:hAnsi="Arial" w:cs="Arial"/>
          <w:sz w:val="20"/>
          <w:szCs w:val="20"/>
        </w:rPr>
        <w:t>, 55, became a principal of the Advisor in December</w:t>
      </w:r>
      <w:r>
        <w:rPr>
          <w:rFonts w:ascii="Arial" w:hAnsi="Arial" w:cs="Arial"/>
          <w:sz w:val="20"/>
          <w:szCs w:val="20"/>
        </w:rPr>
        <w:t xml:space="preserve"> 2012 and has served as Chief Compliance Officer for the Advisor since August 2006. Mr. Park became a principal of BlackRock Advisors, LLC, a commodity pool operator and commodity trading advisor registered with the CFTC, in June 2014 and has served as its</w:t>
      </w:r>
      <w:r>
        <w:rPr>
          <w:rFonts w:ascii="Arial" w:hAnsi="Arial" w:cs="Arial"/>
          <w:sz w:val="20"/>
          <w:szCs w:val="20"/>
        </w:rPr>
        <w:t xml:space="preserve"> Chief Compliance Officer since June 2014. Mr. Park became a principal of BlackRock Financial Management, Inc., an investment management company, in September 2016 and has served as Chief Compliance Officer of BlackRock Financial Management, Inc. since Sep</w:t>
      </w:r>
      <w:r>
        <w:rPr>
          <w:rFonts w:ascii="Arial" w:hAnsi="Arial" w:cs="Arial"/>
          <w:sz w:val="20"/>
          <w:szCs w:val="20"/>
        </w:rPr>
        <w:t>tember 2016 and performs supervisory and managerial functions. He became a principal of BlackRock Investment Management, LLC, an investment management company, in September 2016 and has served as Chief Compliance Officer of BlackRock Investment Management,</w:t>
      </w:r>
      <w:r>
        <w:rPr>
          <w:rFonts w:ascii="Arial" w:hAnsi="Arial" w:cs="Arial"/>
          <w:sz w:val="20"/>
          <w:szCs w:val="20"/>
        </w:rPr>
        <w:t xml:space="preserve"> LLC since September 2016 and performs supervisory and managerial functions. Mr. Park was a principal of BlackRock Asset Management International Inc., a former commodity pool operator that withdrew its commodity pool operator registration in February 2014</w:t>
      </w:r>
      <w:r>
        <w:rPr>
          <w:rFonts w:ascii="Arial" w:hAnsi="Arial" w:cs="Arial"/>
          <w:sz w:val="20"/>
          <w:szCs w:val="20"/>
        </w:rPr>
        <w:t>, from December 2012 to February 2014, performing supervisory and managerial functions. Mr. Park joined BlackRock Institutional Trust Company, N.A., a commodity pool operator and commodity trading advisor registered with the CFTC, in August 2006, and perfo</w:t>
      </w:r>
      <w:r>
        <w:rPr>
          <w:rFonts w:ascii="Arial" w:hAnsi="Arial" w:cs="Arial"/>
          <w:sz w:val="20"/>
          <w:szCs w:val="20"/>
        </w:rPr>
        <w:t>rms supervisory and managerial functions. Mr. Park has also served as the Chief Compliance Officer of the iShares business since August 2006 and of BlackRock SEC-registered funds since June 2014. Mr. Park was a principal of the Sponsor from December 2012 t</w:t>
      </w:r>
      <w:r>
        <w:rPr>
          <w:rFonts w:ascii="Arial" w:hAnsi="Arial" w:cs="Arial"/>
          <w:sz w:val="20"/>
          <w:szCs w:val="20"/>
        </w:rPr>
        <w:t>o April 2015 and since August 4, 2016, performing supervisory and managerial functions. Prior to joining BlackRock Institutional Trust Company, N.A., in August 2006, Mr. Park served as Chief Compliance Officer of American Century Investment Management, Inc</w:t>
      </w:r>
      <w:r>
        <w:rPr>
          <w:rFonts w:ascii="Arial" w:hAnsi="Arial" w:cs="Arial"/>
          <w:sz w:val="20"/>
          <w:szCs w:val="20"/>
        </w:rPr>
        <w:t>., an exempt commodity pool operator and an exempt commodity trading advisor, from October 1995 to July 2006. Mr. Park earned a Bachelor of Arts in economics from the University of Michigan in 1989 and a Juris Doctor from the University of Michigan in 1992</w:t>
      </w:r>
      <w:r>
        <w:rPr>
          <w:rFonts w:ascii="Arial" w:hAnsi="Arial" w:cs="Arial"/>
          <w:sz w:val="20"/>
          <w:szCs w:val="20"/>
        </w:rPr>
        <w:t>.</w:t>
      </w:r>
    </w:p>
    <w:p w14:paraId="50768F6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F67F872"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Greg Savage</w:t>
      </w:r>
      <w:r>
        <w:rPr>
          <w:rFonts w:ascii="Arial" w:hAnsi="Arial" w:cs="Arial"/>
          <w:sz w:val="20"/>
          <w:szCs w:val="20"/>
        </w:rPr>
        <w:t>, 51, became a principal and associated person of the Sponsor in July 2012 and performs supervisory and managerial functions. Since March 2009, Mr. Savage was a principal and associated person, performing supervisory and managerial functions</w:t>
      </w:r>
      <w:r>
        <w:rPr>
          <w:rFonts w:ascii="Arial" w:hAnsi="Arial" w:cs="Arial"/>
          <w:sz w:val="20"/>
          <w:szCs w:val="20"/>
        </w:rPr>
        <w:t>, of BlackRock Asset Management International Inc., a former commodity pool operator that withdrew its commodity pool operator registration in February 2014. Mr. Savage has served as a Senior Portfolio Manager and Team Leader for BlackRock Fund Advisors, a</w:t>
      </w:r>
      <w:r>
        <w:rPr>
          <w:rFonts w:ascii="Arial" w:hAnsi="Arial" w:cs="Arial"/>
          <w:sz w:val="20"/>
          <w:szCs w:val="20"/>
        </w:rPr>
        <w:t>n investment advisor registered with the SEC and a commodity trading advisor registered with the CFTC, since September 2007 and became a principal and associated person of that entity in March 2009. Mr. Savage also served as a Portfolio Manager for BFA fro</w:t>
      </w:r>
      <w:r>
        <w:rPr>
          <w:rFonts w:ascii="Arial" w:hAnsi="Arial" w:cs="Arial"/>
          <w:sz w:val="20"/>
          <w:szCs w:val="20"/>
        </w:rPr>
        <w:t>m March 2001 to September 2007. Mr. Savage served as a Transition Services Manager for BlackRock Institutional Trust Company, N.A., a national banking association and commodity trading advisor registered with the CFTC, from June 1999 to March 2001 and beca</w:t>
      </w:r>
      <w:r>
        <w:rPr>
          <w:rFonts w:ascii="Arial" w:hAnsi="Arial" w:cs="Arial"/>
          <w:sz w:val="20"/>
          <w:szCs w:val="20"/>
        </w:rPr>
        <w:t>me an associated person of that entity in June 2007. Mr. Savage received his Bachelor of Science in accounting from the University of Colorado at Boulder and is a CFA charterholder. He has the FINRA Series 7, 63 and 3 licenses.</w:t>
      </w:r>
    </w:p>
    <w:p w14:paraId="02B316B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B7A3FB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 code of </w:t>
      </w:r>
      <w:r>
        <w:rPr>
          <w:rFonts w:ascii="Arial" w:hAnsi="Arial" w:cs="Arial"/>
          <w:sz w:val="20"/>
          <w:szCs w:val="20"/>
        </w:rPr>
        <w:t>ethics (the “Code of Ethics”) that applies to its executive officers, including its Chief Executive Officer, President, Chief Financial Officer and Treasurer, who perform certain functions with respect to the Trust that, if the Trust had executive officers</w:t>
      </w:r>
      <w:r>
        <w:rPr>
          <w:rFonts w:ascii="Arial" w:hAnsi="Arial" w:cs="Arial"/>
          <w:sz w:val="20"/>
          <w:szCs w:val="20"/>
        </w:rPr>
        <w:t xml:space="preserve"> would typically be performed by them. The Code of Ethics is available by writing the Sponsor at 400 Howard Street, San Francisco, CA 94105 or calling the Sponsor at (415) 670-2000. The Sponsor’s Code of Ethics is intended to be a codification of the busin</w:t>
      </w:r>
      <w:r>
        <w:rPr>
          <w:rFonts w:ascii="Arial" w:hAnsi="Arial" w:cs="Arial"/>
          <w:sz w:val="20"/>
          <w:szCs w:val="20"/>
        </w:rPr>
        <w:t xml:space="preserve">ess and ethical principles that guide the Sponsor, deter wrongdoing, and promote (1) honest and ethical conduct (including the ethical handling of actual or apparent conflicts of interest), (2) full, fair, accurate, timely and understandable disclosure in </w:t>
      </w:r>
      <w:r>
        <w:rPr>
          <w:rFonts w:ascii="Arial" w:hAnsi="Arial" w:cs="Arial"/>
          <w:sz w:val="20"/>
          <w:szCs w:val="20"/>
        </w:rPr>
        <w:t>public reports, documents and communications, (3) compliance with applicable laws and governmental rules and regulations, (4) the prompt internal reporting of violations of the Code of Ethics and (5) accountability for adherence to the Code of Ethics.</w:t>
      </w:r>
    </w:p>
    <w:p w14:paraId="0BEB514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D993288" w14:textId="77777777" w:rsidR="00000000" w:rsidRDefault="004206B0">
      <w:pPr>
        <w:jc w:val="center"/>
        <w:divId w:val="673529792"/>
        <w:rPr>
          <w:rFonts w:ascii="Arial" w:eastAsia="Times New Roman" w:hAnsi="Arial" w:cs="Arial"/>
          <w:sz w:val="20"/>
          <w:szCs w:val="20"/>
        </w:rPr>
      </w:pPr>
      <w:r>
        <w:rPr>
          <w:rFonts w:ascii="Arial" w:eastAsia="Times New Roman" w:hAnsi="Arial" w:cs="Arial"/>
          <w:sz w:val="20"/>
          <w:szCs w:val="20"/>
        </w:rPr>
        <w:t>32</w:t>
      </w:r>
      <w:r>
        <w:rPr>
          <w:rFonts w:ascii="Arial" w:eastAsia="Times New Roman" w:hAnsi="Arial" w:cs="Arial"/>
          <w:sz w:val="20"/>
          <w:szCs w:val="20"/>
        </w:rPr>
        <w:t xml:space="preserve"> </w:t>
      </w:r>
    </w:p>
    <w:p w14:paraId="59347847" w14:textId="77777777" w:rsidR="00000000" w:rsidRDefault="004206B0">
      <w:pPr>
        <w:divId w:val="1147476749"/>
        <w:rPr>
          <w:rFonts w:eastAsia="Times New Roman"/>
          <w:sz w:val="20"/>
          <w:szCs w:val="20"/>
        </w:rPr>
      </w:pPr>
      <w:r>
        <w:rPr>
          <w:rFonts w:eastAsia="Times New Roman"/>
          <w:sz w:val="20"/>
          <w:szCs w:val="20"/>
        </w:rPr>
        <w:pict w14:anchorId="0D0652F0">
          <v:rect id="_x0000_i1072" style="width:415.3pt;height:1.5pt" o:hralign="center" o:hrstd="t" o:hrnoshade="t" o:hr="t" fillcolor="black" stroked="f"/>
        </w:pict>
      </w:r>
    </w:p>
    <w:p w14:paraId="4CF712B6" w14:textId="77777777" w:rsidR="00000000" w:rsidRDefault="004206B0">
      <w:pPr>
        <w:divId w:val="867791812"/>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3D959E91" w14:textId="77777777" w:rsidR="00000000" w:rsidRDefault="004206B0">
      <w:pPr>
        <w:pStyle w:val="a3"/>
        <w:spacing w:before="0" w:beforeAutospacing="0" w:after="0" w:afterAutospacing="0"/>
        <w:rPr>
          <w:sz w:val="20"/>
          <w:szCs w:val="20"/>
        </w:rPr>
      </w:pPr>
      <w:r>
        <w:rPr>
          <w:sz w:val="20"/>
          <w:szCs w:val="20"/>
        </w:rPr>
        <w:t> </w:t>
      </w:r>
    </w:p>
    <w:p w14:paraId="2FF10156"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11. Executive Compensation.</w:t>
      </w:r>
    </w:p>
    <w:p w14:paraId="4BCCFFD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280569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has no employees, officers or directors. The Trust is managed by the Sponsor and pays the Sponsor the Sponsor’s Fee. For the year ended December 31, 2022, the Trust incurred a Sponsor’s Fee of $13,482,545.</w:t>
      </w:r>
    </w:p>
    <w:p w14:paraId="6085C2A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6887F0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D7E99B2"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 xml:space="preserve">Item </w:t>
      </w:r>
      <w:r>
        <w:rPr>
          <w:rFonts w:ascii="Arial" w:hAnsi="Arial" w:cs="Arial"/>
          <w:b/>
          <w:bCs/>
          <w:sz w:val="20"/>
          <w:szCs w:val="20"/>
        </w:rPr>
        <w:t>12. Security Ownership of Certain Beneficial Owners and Management and Related Stockholder Matters.</w:t>
      </w:r>
    </w:p>
    <w:p w14:paraId="3CDB0D3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A95EE3D"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Securities Authorized for Issuance under Equity Compensation Plans</w:t>
      </w:r>
    </w:p>
    <w:p w14:paraId="24E1610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554B66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4DE5FA8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AC93C4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Security Ownership of Certain Beneficial Owners and Management</w:t>
      </w:r>
    </w:p>
    <w:p w14:paraId="651B2A5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E3439A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w:t>
      </w:r>
      <w:r>
        <w:rPr>
          <w:rFonts w:ascii="Arial" w:hAnsi="Arial" w:cs="Arial"/>
          <w:sz w:val="20"/>
          <w:szCs w:val="20"/>
        </w:rPr>
        <w:t>t applicable.</w:t>
      </w:r>
    </w:p>
    <w:p w14:paraId="1495752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4BCCBD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9E59D94"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13. Certain Relationships and Related Transactions, and Director Independence.</w:t>
      </w:r>
    </w:p>
    <w:p w14:paraId="18DAE46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078E84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See Item 11 above.</w:t>
      </w:r>
    </w:p>
    <w:p w14:paraId="5973FA1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14DCEF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10ADE89"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14. Principal Accounting Fees and Services.</w:t>
      </w:r>
    </w:p>
    <w:p w14:paraId="0907F5B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169BC41"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Audit and Non-Audit </w:t>
      </w:r>
      <w:r>
        <w:rPr>
          <w:rFonts w:ascii="Arial" w:hAnsi="Arial" w:cs="Arial"/>
          <w:i/>
          <w:iCs/>
          <w:sz w:val="20"/>
          <w:szCs w:val="20"/>
        </w:rPr>
        <w:t>Fees</w:t>
      </w:r>
    </w:p>
    <w:p w14:paraId="2067D67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A9C612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table below summarizes the fees for services performed by PricewaterhouseCoopers LLP for the years ended December 31, 2022 and 2021.</w:t>
      </w:r>
    </w:p>
    <w:p w14:paraId="6C4937D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4000" w:type="pct"/>
        <w:tblCellSpacing w:w="0" w:type="dxa"/>
        <w:tblCellMar>
          <w:left w:w="0" w:type="dxa"/>
          <w:right w:w="0" w:type="dxa"/>
        </w:tblCellMar>
        <w:tblLook w:val="04A0" w:firstRow="1" w:lastRow="0" w:firstColumn="1" w:lastColumn="0" w:noHBand="0" w:noVBand="1"/>
      </w:tblPr>
      <w:tblGrid>
        <w:gridCol w:w="4106"/>
        <w:gridCol w:w="56"/>
        <w:gridCol w:w="112"/>
        <w:gridCol w:w="1046"/>
        <w:gridCol w:w="56"/>
        <w:gridCol w:w="56"/>
        <w:gridCol w:w="112"/>
        <w:gridCol w:w="1045"/>
        <w:gridCol w:w="56"/>
      </w:tblGrid>
      <w:tr w:rsidR="00000000" w14:paraId="47A9FA3F" w14:textId="77777777">
        <w:trPr>
          <w:tblCellSpacing w:w="0" w:type="dxa"/>
        </w:trPr>
        <w:tc>
          <w:tcPr>
            <w:tcW w:w="0" w:type="auto"/>
            <w:vAlign w:val="bottom"/>
            <w:hideMark/>
          </w:tcPr>
          <w:p w14:paraId="4FF119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F7721A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852607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2022 </w:t>
            </w:r>
          </w:p>
        </w:tc>
        <w:tc>
          <w:tcPr>
            <w:tcW w:w="0" w:type="auto"/>
            <w:tcMar>
              <w:top w:w="0" w:type="dxa"/>
              <w:left w:w="0" w:type="dxa"/>
              <w:bottom w:w="15" w:type="dxa"/>
              <w:right w:w="0" w:type="dxa"/>
            </w:tcMar>
            <w:vAlign w:val="bottom"/>
            <w:hideMark/>
          </w:tcPr>
          <w:p w14:paraId="1B4B0DE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960D6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305108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14:paraId="7456F96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39B11AE" w14:textId="77777777">
        <w:trPr>
          <w:tblCellSpacing w:w="0" w:type="dxa"/>
        </w:trPr>
        <w:tc>
          <w:tcPr>
            <w:tcW w:w="3100" w:type="pct"/>
            <w:shd w:val="clear" w:color="auto" w:fill="CCEEFF"/>
            <w:vAlign w:val="bottom"/>
            <w:hideMark/>
          </w:tcPr>
          <w:p w14:paraId="5EF224F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Audit fees</w:t>
            </w:r>
          </w:p>
        </w:tc>
        <w:tc>
          <w:tcPr>
            <w:tcW w:w="50" w:type="pct"/>
            <w:shd w:val="clear" w:color="auto" w:fill="CCEEFF"/>
            <w:vAlign w:val="bottom"/>
            <w:hideMark/>
          </w:tcPr>
          <w:p w14:paraId="0A810F0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29ECE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14:paraId="2771918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61,800</w:t>
            </w:r>
          </w:p>
        </w:tc>
        <w:tc>
          <w:tcPr>
            <w:tcW w:w="50" w:type="pct"/>
            <w:shd w:val="clear" w:color="auto" w:fill="CCEEFF"/>
            <w:vAlign w:val="bottom"/>
            <w:hideMark/>
          </w:tcPr>
          <w:p w14:paraId="4AE9232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F5E4E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05B876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14:paraId="42663C4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61,800</w:t>
            </w:r>
          </w:p>
        </w:tc>
        <w:tc>
          <w:tcPr>
            <w:tcW w:w="50" w:type="pct"/>
            <w:shd w:val="clear" w:color="auto" w:fill="CCEEFF"/>
            <w:vAlign w:val="bottom"/>
            <w:hideMark/>
          </w:tcPr>
          <w:p w14:paraId="6723630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76EBF86" w14:textId="77777777">
        <w:trPr>
          <w:tblCellSpacing w:w="0" w:type="dxa"/>
        </w:trPr>
        <w:tc>
          <w:tcPr>
            <w:tcW w:w="0" w:type="auto"/>
            <w:shd w:val="clear" w:color="auto" w:fill="FFFFFF"/>
            <w:vAlign w:val="bottom"/>
            <w:hideMark/>
          </w:tcPr>
          <w:p w14:paraId="7F02300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Audit-related fees</w:t>
            </w:r>
            <w:r>
              <w:rPr>
                <w:rFonts w:ascii="Arial" w:hAnsi="Arial" w:cs="Arial"/>
                <w:sz w:val="12"/>
                <w:szCs w:val="12"/>
              </w:rPr>
              <w:t>(a)</w:t>
            </w:r>
          </w:p>
        </w:tc>
        <w:tc>
          <w:tcPr>
            <w:tcW w:w="50" w:type="pct"/>
            <w:shd w:val="clear" w:color="auto" w:fill="FFFFFF"/>
            <w:vAlign w:val="bottom"/>
            <w:hideMark/>
          </w:tcPr>
          <w:p w14:paraId="11F8708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300CC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FFFFFF"/>
            <w:vAlign w:val="bottom"/>
            <w:hideMark/>
          </w:tcPr>
          <w:p w14:paraId="50A3912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250</w:t>
            </w:r>
          </w:p>
        </w:tc>
        <w:tc>
          <w:tcPr>
            <w:tcW w:w="50" w:type="pct"/>
            <w:shd w:val="clear" w:color="auto" w:fill="FFFFFF"/>
            <w:vAlign w:val="bottom"/>
            <w:hideMark/>
          </w:tcPr>
          <w:p w14:paraId="2E03B75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9C99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C660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FFFFFF"/>
            <w:vAlign w:val="bottom"/>
            <w:hideMark/>
          </w:tcPr>
          <w:p w14:paraId="766E7D4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2,000</w:t>
            </w:r>
          </w:p>
        </w:tc>
        <w:tc>
          <w:tcPr>
            <w:tcW w:w="50" w:type="pct"/>
            <w:shd w:val="clear" w:color="auto" w:fill="FFFFFF"/>
            <w:vAlign w:val="bottom"/>
            <w:hideMark/>
          </w:tcPr>
          <w:p w14:paraId="07C90FC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BACFF46" w14:textId="77777777">
        <w:trPr>
          <w:tblCellSpacing w:w="0" w:type="dxa"/>
        </w:trPr>
        <w:tc>
          <w:tcPr>
            <w:tcW w:w="0" w:type="auto"/>
            <w:shd w:val="clear" w:color="auto" w:fill="CCEEFF"/>
            <w:vAlign w:val="bottom"/>
            <w:hideMark/>
          </w:tcPr>
          <w:p w14:paraId="7EB6520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Tax fees</w:t>
            </w:r>
            <w:r>
              <w:rPr>
                <w:rFonts w:ascii="Arial" w:hAnsi="Arial" w:cs="Arial"/>
                <w:sz w:val="12"/>
                <w:szCs w:val="12"/>
              </w:rPr>
              <w:t>(b)</w:t>
            </w:r>
          </w:p>
        </w:tc>
        <w:tc>
          <w:tcPr>
            <w:tcW w:w="50" w:type="pct"/>
            <w:shd w:val="clear" w:color="auto" w:fill="CCEEFF"/>
            <w:vAlign w:val="bottom"/>
            <w:hideMark/>
          </w:tcPr>
          <w:p w14:paraId="33764C1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C51A4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4324CC7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364,050</w:t>
            </w:r>
          </w:p>
        </w:tc>
        <w:tc>
          <w:tcPr>
            <w:tcW w:w="50" w:type="pct"/>
            <w:shd w:val="clear" w:color="auto" w:fill="CCEEFF"/>
            <w:vAlign w:val="bottom"/>
            <w:hideMark/>
          </w:tcPr>
          <w:p w14:paraId="75C5ACC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B813DA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82826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6766A56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268,250</w:t>
            </w:r>
          </w:p>
        </w:tc>
        <w:tc>
          <w:tcPr>
            <w:tcW w:w="50" w:type="pct"/>
            <w:shd w:val="clear" w:color="auto" w:fill="CCEEFF"/>
            <w:vAlign w:val="bottom"/>
            <w:hideMark/>
          </w:tcPr>
          <w:p w14:paraId="67E51D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7F6417C" w14:textId="77777777">
        <w:trPr>
          <w:tblCellSpacing w:w="0" w:type="dxa"/>
        </w:trPr>
        <w:tc>
          <w:tcPr>
            <w:tcW w:w="0" w:type="auto"/>
            <w:shd w:val="clear" w:color="auto" w:fill="FFFFFF"/>
            <w:vAlign w:val="bottom"/>
            <w:hideMark/>
          </w:tcPr>
          <w:p w14:paraId="16C9FCF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All other fees</w:t>
            </w:r>
          </w:p>
        </w:tc>
        <w:tc>
          <w:tcPr>
            <w:tcW w:w="50" w:type="pct"/>
            <w:shd w:val="clear" w:color="auto" w:fill="FFFFFF"/>
            <w:vAlign w:val="bottom"/>
            <w:hideMark/>
          </w:tcPr>
          <w:p w14:paraId="5DFA76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C90E2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800" w:type="pct"/>
            <w:tcBorders>
              <w:bottom w:val="single" w:sz="6" w:space="0" w:color="000000"/>
            </w:tcBorders>
            <w:shd w:val="clear" w:color="auto" w:fill="FFFFFF"/>
            <w:vAlign w:val="bottom"/>
            <w:hideMark/>
          </w:tcPr>
          <w:p w14:paraId="0D3F4E4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50A9AD5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86ABB8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1A88E8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800" w:type="pct"/>
            <w:tcBorders>
              <w:bottom w:val="single" w:sz="6" w:space="0" w:color="000000"/>
            </w:tcBorders>
            <w:shd w:val="clear" w:color="auto" w:fill="FFFFFF"/>
            <w:vAlign w:val="bottom"/>
            <w:hideMark/>
          </w:tcPr>
          <w:p w14:paraId="4A71514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7848B28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721B631" w14:textId="77777777">
        <w:trPr>
          <w:tblCellSpacing w:w="0" w:type="dxa"/>
        </w:trPr>
        <w:tc>
          <w:tcPr>
            <w:tcW w:w="0" w:type="auto"/>
            <w:shd w:val="clear" w:color="auto" w:fill="CCEEFF"/>
            <w:vAlign w:val="bottom"/>
            <w:hideMark/>
          </w:tcPr>
          <w:p w14:paraId="5D3AF482" w14:textId="77777777" w:rsidR="00000000" w:rsidRDefault="004206B0">
            <w:pPr>
              <w:rPr>
                <w:rFonts w:ascii="Arial" w:eastAsia="Times New Roman" w:hAnsi="Arial" w:cs="Arial"/>
                <w:sz w:val="20"/>
                <w:szCs w:val="20"/>
              </w:rPr>
            </w:pPr>
            <w:r>
              <w:rPr>
                <w:rFonts w:ascii="Arial" w:eastAsia="Times New Roman" w:hAnsi="Arial" w:cs="Arial"/>
                <w:sz w:val="20"/>
                <w:szCs w:val="20"/>
              </w:rPr>
              <w:t>Total</w:t>
            </w:r>
          </w:p>
        </w:tc>
        <w:tc>
          <w:tcPr>
            <w:tcW w:w="50" w:type="pct"/>
            <w:shd w:val="clear" w:color="auto" w:fill="CCEEFF"/>
            <w:vAlign w:val="bottom"/>
            <w:hideMark/>
          </w:tcPr>
          <w:p w14:paraId="39C2FD7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08836B3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800" w:type="pct"/>
            <w:tcBorders>
              <w:bottom w:val="double" w:sz="6" w:space="0" w:color="000000"/>
            </w:tcBorders>
            <w:shd w:val="clear" w:color="auto" w:fill="CCEEFF"/>
            <w:vAlign w:val="bottom"/>
            <w:hideMark/>
          </w:tcPr>
          <w:p w14:paraId="34B50FC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426,100</w:t>
            </w:r>
          </w:p>
        </w:tc>
        <w:tc>
          <w:tcPr>
            <w:tcW w:w="50" w:type="pct"/>
            <w:shd w:val="clear" w:color="auto" w:fill="CCEEFF"/>
            <w:tcMar>
              <w:top w:w="0" w:type="dxa"/>
              <w:left w:w="0" w:type="dxa"/>
              <w:bottom w:w="45" w:type="dxa"/>
              <w:right w:w="0" w:type="dxa"/>
            </w:tcMar>
            <w:vAlign w:val="bottom"/>
            <w:hideMark/>
          </w:tcPr>
          <w:p w14:paraId="212ADC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4691F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4FE4713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800" w:type="pct"/>
            <w:tcBorders>
              <w:bottom w:val="double" w:sz="6" w:space="0" w:color="000000"/>
            </w:tcBorders>
            <w:shd w:val="clear" w:color="auto" w:fill="CCEEFF"/>
            <w:vAlign w:val="bottom"/>
            <w:hideMark/>
          </w:tcPr>
          <w:p w14:paraId="09D8740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332,050</w:t>
            </w:r>
          </w:p>
        </w:tc>
        <w:tc>
          <w:tcPr>
            <w:tcW w:w="50" w:type="pct"/>
            <w:shd w:val="clear" w:color="auto" w:fill="CCEEFF"/>
            <w:tcMar>
              <w:top w:w="0" w:type="dxa"/>
              <w:left w:w="0" w:type="dxa"/>
              <w:bottom w:w="45" w:type="dxa"/>
              <w:right w:w="0" w:type="dxa"/>
            </w:tcMar>
            <w:vAlign w:val="bottom"/>
            <w:hideMark/>
          </w:tcPr>
          <w:p w14:paraId="4FE7B54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33572A0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1F4192C" w14:textId="77777777" w:rsidR="00000000" w:rsidRDefault="004206B0">
      <w:pPr>
        <w:spacing w:before="60" w:after="60"/>
        <w:rPr>
          <w:rFonts w:eastAsia="Times New Roman"/>
          <w:sz w:val="20"/>
          <w:szCs w:val="20"/>
        </w:rPr>
      </w:pPr>
      <w:r>
        <w:rPr>
          <w:rFonts w:eastAsia="Times New Roman"/>
          <w:sz w:val="20"/>
          <w:szCs w:val="20"/>
        </w:rPr>
        <w:pict w14:anchorId="46A888BE">
          <v:rect id="_x0000_i1073"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679"/>
        <w:gridCol w:w="5627"/>
      </w:tblGrid>
      <w:tr w:rsidR="00000000" w14:paraId="52C0FC80" w14:textId="77777777">
        <w:trPr>
          <w:tblCellSpacing w:w="0" w:type="dxa"/>
        </w:trPr>
        <w:tc>
          <w:tcPr>
            <w:tcW w:w="360" w:type="dxa"/>
            <w:hideMark/>
          </w:tcPr>
          <w:p w14:paraId="7C768386"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6" w:type="dxa"/>
            <w:hideMark/>
          </w:tcPr>
          <w:p w14:paraId="69A0A403"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Amount represents fees billed for review of the regulatory filings.</w:t>
            </w:r>
          </w:p>
        </w:tc>
      </w:tr>
    </w:tbl>
    <w:p w14:paraId="50A3AC8A" w14:textId="77777777" w:rsidR="00000000" w:rsidRDefault="004206B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86"/>
        <w:gridCol w:w="6920"/>
      </w:tblGrid>
      <w:tr w:rsidR="00000000" w14:paraId="36414ACB" w14:textId="77777777">
        <w:trPr>
          <w:tblCellSpacing w:w="0" w:type="dxa"/>
        </w:trPr>
        <w:tc>
          <w:tcPr>
            <w:tcW w:w="360" w:type="dxa"/>
            <w:hideMark/>
          </w:tcPr>
          <w:p w14:paraId="321F1582"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(b) </w:t>
            </w:r>
          </w:p>
        </w:tc>
        <w:tc>
          <w:tcPr>
            <w:tcW w:w="6" w:type="dxa"/>
            <w:hideMark/>
          </w:tcPr>
          <w:p w14:paraId="6D88DADD"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PricewaterhouseCoopers LLP provides certain tax compliance and reporting services to the Trust, including processing beneficial ownership in</w:t>
            </w:r>
            <w:r>
              <w:rPr>
                <w:rFonts w:ascii="Arial" w:hAnsi="Arial" w:cs="Arial"/>
                <w:sz w:val="16"/>
                <w:szCs w:val="16"/>
              </w:rPr>
              <w:t xml:space="preserve">formation as it relates to the preparation of tax reporting packages and the subsequent delivery of related information to the IRS. Services also include assistance with tax reporting and related information using a web-based tax package product developed </w:t>
            </w:r>
            <w:r>
              <w:rPr>
                <w:rFonts w:ascii="Arial" w:hAnsi="Arial" w:cs="Arial"/>
                <w:sz w:val="16"/>
                <w:szCs w:val="16"/>
              </w:rPr>
              <w:t>by PricewaterhouseCoopers LLP and a toll-free tax package support help line.</w:t>
            </w:r>
          </w:p>
        </w:tc>
      </w:tr>
    </w:tbl>
    <w:p w14:paraId="01DF26F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8E77832"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Approval of Independent Registered Public Accounting Firm Services and Fees</w:t>
      </w:r>
    </w:p>
    <w:p w14:paraId="12FB108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4B5C6E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audit committee of the Board of Directors of the Sponsor approved, prior to the commencement of the engagement, the engagement of and compensation to be paid to PricewaterhouseCoopers LLP as auditors of the Trust.</w:t>
      </w:r>
    </w:p>
    <w:p w14:paraId="0C9CB78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338A80D" w14:textId="77777777" w:rsidR="00000000" w:rsidRDefault="004206B0">
      <w:pPr>
        <w:jc w:val="center"/>
        <w:divId w:val="787234736"/>
        <w:rPr>
          <w:rFonts w:ascii="Arial" w:eastAsia="Times New Roman" w:hAnsi="Arial" w:cs="Arial"/>
          <w:sz w:val="20"/>
          <w:szCs w:val="20"/>
        </w:rPr>
      </w:pPr>
      <w:r>
        <w:rPr>
          <w:rFonts w:ascii="Arial" w:eastAsia="Times New Roman" w:hAnsi="Arial" w:cs="Arial"/>
          <w:sz w:val="20"/>
          <w:szCs w:val="20"/>
        </w:rPr>
        <w:t xml:space="preserve">33 </w:t>
      </w:r>
    </w:p>
    <w:p w14:paraId="5F93F2E8" w14:textId="77777777" w:rsidR="00000000" w:rsidRDefault="004206B0">
      <w:pPr>
        <w:divId w:val="1309357968"/>
        <w:rPr>
          <w:rFonts w:eastAsia="Times New Roman"/>
          <w:sz w:val="20"/>
          <w:szCs w:val="20"/>
        </w:rPr>
      </w:pPr>
      <w:r>
        <w:rPr>
          <w:rFonts w:eastAsia="Times New Roman"/>
          <w:sz w:val="20"/>
          <w:szCs w:val="20"/>
        </w:rPr>
        <w:pict w14:anchorId="4A92CCC5">
          <v:rect id="_x0000_i1074" style="width:415.3pt;height:1.5pt" o:hralign="center" o:hrstd="t" o:hrnoshade="t" o:hr="t" fillcolor="black" stroked="f"/>
        </w:pict>
      </w:r>
    </w:p>
    <w:p w14:paraId="49DA959B" w14:textId="77777777" w:rsidR="00000000" w:rsidRDefault="004206B0">
      <w:pPr>
        <w:divId w:val="1745183319"/>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61AA47A7" w14:textId="77777777" w:rsidR="00000000" w:rsidRDefault="004206B0">
      <w:pPr>
        <w:pStyle w:val="a3"/>
        <w:spacing w:before="0" w:beforeAutospacing="0" w:after="0" w:afterAutospacing="0"/>
        <w:rPr>
          <w:sz w:val="20"/>
          <w:szCs w:val="20"/>
        </w:rPr>
      </w:pPr>
      <w:r>
        <w:rPr>
          <w:sz w:val="20"/>
          <w:szCs w:val="20"/>
        </w:rPr>
        <w:t> </w:t>
      </w:r>
    </w:p>
    <w:p w14:paraId="5C8BC48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PART IV</w:t>
      </w:r>
    </w:p>
    <w:p w14:paraId="78FF80B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CF9576C"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w:t>
      </w:r>
      <w:r>
        <w:rPr>
          <w:rFonts w:ascii="Arial" w:hAnsi="Arial" w:cs="Arial"/>
          <w:b/>
          <w:bCs/>
          <w:sz w:val="20"/>
          <w:szCs w:val="20"/>
        </w:rPr>
        <w:t xml:space="preserve"> 15. Exhibits, Financial Statement Schedules.</w:t>
      </w:r>
    </w:p>
    <w:p w14:paraId="049BC8F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7787F05"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Financial Statements</w:t>
      </w:r>
    </w:p>
    <w:p w14:paraId="14ADC8D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9FFD59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See Index to Financial Statements on Page F-1 for a list of the financial statements being filed as part of this report.</w:t>
      </w:r>
    </w:p>
    <w:p w14:paraId="16B320F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1043BEE"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Financial Statement Schedules</w:t>
      </w:r>
    </w:p>
    <w:p w14:paraId="4A7C0D0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40B967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Schedules have been omitted si</w:t>
      </w:r>
      <w:r>
        <w:rPr>
          <w:rFonts w:ascii="Arial" w:hAnsi="Arial" w:cs="Arial"/>
          <w:sz w:val="20"/>
          <w:szCs w:val="20"/>
        </w:rPr>
        <w:t>nce they are either not required, not applicable or the information has otherwise been included.</w:t>
      </w:r>
    </w:p>
    <w:p w14:paraId="1B970D9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CF06D70"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Exhibits</w:t>
      </w:r>
    </w:p>
    <w:p w14:paraId="7EA31B8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26412F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following documents are filed herewith or incorporated herein and made a part of this Annual Report:</w:t>
      </w:r>
    </w:p>
    <w:p w14:paraId="643755A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14:paraId="6648DDD8" w14:textId="77777777">
        <w:trPr>
          <w:tblCellSpacing w:w="0" w:type="dxa"/>
        </w:trPr>
        <w:tc>
          <w:tcPr>
            <w:tcW w:w="500" w:type="pct"/>
            <w:tcBorders>
              <w:bottom w:val="single" w:sz="6" w:space="0" w:color="000000"/>
            </w:tcBorders>
            <w:vAlign w:val="center"/>
            <w:hideMark/>
          </w:tcPr>
          <w:p w14:paraId="39DCF687"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14:paraId="6CEA68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14:paraId="77ADEC2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Description</w:t>
            </w:r>
          </w:p>
        </w:tc>
      </w:tr>
      <w:tr w:rsidR="00000000" w14:paraId="51439A96" w14:textId="77777777">
        <w:trPr>
          <w:tblCellSpacing w:w="0" w:type="dxa"/>
        </w:trPr>
        <w:tc>
          <w:tcPr>
            <w:tcW w:w="500" w:type="pct"/>
            <w:vAlign w:val="center"/>
            <w:hideMark/>
          </w:tcPr>
          <w:p w14:paraId="14738D4D"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3.1</w:t>
            </w:r>
          </w:p>
        </w:tc>
        <w:tc>
          <w:tcPr>
            <w:tcW w:w="50" w:type="pct"/>
            <w:vAlign w:val="center"/>
            <w:hideMark/>
          </w:tcPr>
          <w:p w14:paraId="300070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BEF9569" w14:textId="77777777" w:rsidR="00000000" w:rsidRDefault="004206B0">
            <w:pPr>
              <w:rPr>
                <w:rFonts w:ascii="Arial" w:eastAsia="Times New Roman" w:hAnsi="Arial" w:cs="Arial"/>
                <w:sz w:val="20"/>
                <w:szCs w:val="20"/>
              </w:rPr>
            </w:pPr>
            <w:hyperlink r:id="rId5" w:history="1">
              <w:r>
                <w:rPr>
                  <w:rStyle w:val="a4"/>
                  <w:rFonts w:ascii="Arial" w:eastAsia="Times New Roman" w:hAnsi="Arial" w:cs="Arial"/>
                  <w:sz w:val="20"/>
                  <w:szCs w:val="20"/>
                </w:rPr>
                <w:t>Restated Certificate of Trust of iShares S&amp;P GSCI™ Commodity-Indexed Trust is incorporated by reference to Exhibit 3.1(i) of registrant’s Current Report on Form 8-</w:t>
              </w:r>
              <w:r>
                <w:rPr>
                  <w:rStyle w:val="a4"/>
                  <w:rFonts w:ascii="Arial" w:eastAsia="Times New Roman" w:hAnsi="Arial" w:cs="Arial"/>
                  <w:sz w:val="20"/>
                  <w:szCs w:val="20"/>
                </w:rPr>
                <w:t>K on May 9, 2007</w:t>
              </w:r>
            </w:hyperlink>
          </w:p>
        </w:tc>
      </w:tr>
      <w:tr w:rsidR="00000000" w14:paraId="649D3D95" w14:textId="77777777">
        <w:trPr>
          <w:tblCellSpacing w:w="0" w:type="dxa"/>
        </w:trPr>
        <w:tc>
          <w:tcPr>
            <w:tcW w:w="500" w:type="pct"/>
            <w:vAlign w:val="center"/>
            <w:hideMark/>
          </w:tcPr>
          <w:p w14:paraId="298E443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1DC80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32DF1A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C1F0346" w14:textId="77777777">
        <w:trPr>
          <w:tblCellSpacing w:w="0" w:type="dxa"/>
        </w:trPr>
        <w:tc>
          <w:tcPr>
            <w:tcW w:w="500" w:type="pct"/>
            <w:vAlign w:val="center"/>
            <w:hideMark/>
          </w:tcPr>
          <w:p w14:paraId="7F505EC2"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4.1</w:t>
            </w:r>
          </w:p>
        </w:tc>
        <w:tc>
          <w:tcPr>
            <w:tcW w:w="50" w:type="pct"/>
            <w:vAlign w:val="center"/>
            <w:hideMark/>
          </w:tcPr>
          <w:p w14:paraId="49502C5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3C0F260" w14:textId="77777777" w:rsidR="00000000" w:rsidRDefault="004206B0">
            <w:pPr>
              <w:rPr>
                <w:rFonts w:ascii="Arial" w:eastAsia="Times New Roman" w:hAnsi="Arial" w:cs="Arial"/>
                <w:sz w:val="20"/>
                <w:szCs w:val="20"/>
              </w:rPr>
            </w:pPr>
            <w:hyperlink r:id="rId6" w:history="1">
              <w:r>
                <w:rPr>
                  <w:rStyle w:val="a4"/>
                  <w:rFonts w:ascii="Arial" w:eastAsia="Times New Roman" w:hAnsi="Arial" w:cs="Arial"/>
                  <w:sz w:val="20"/>
                  <w:szCs w:val="20"/>
                </w:rPr>
                <w:t>Fourth Amended and Restated Trust Agreement is incorporated by reference to Exhibit 4.1 of registrant's Current Report on Form 8-</w:t>
              </w:r>
              <w:r>
                <w:rPr>
                  <w:rStyle w:val="a4"/>
                  <w:rFonts w:ascii="Arial" w:eastAsia="Times New Roman" w:hAnsi="Arial" w:cs="Arial"/>
                  <w:sz w:val="20"/>
                  <w:szCs w:val="20"/>
                </w:rPr>
                <w:t>K filed on April 1, 2022</w:t>
              </w:r>
            </w:hyperlink>
          </w:p>
        </w:tc>
      </w:tr>
      <w:tr w:rsidR="00000000" w14:paraId="59889D90" w14:textId="77777777">
        <w:trPr>
          <w:tblCellSpacing w:w="0" w:type="dxa"/>
        </w:trPr>
        <w:tc>
          <w:tcPr>
            <w:tcW w:w="500" w:type="pct"/>
            <w:vAlign w:val="center"/>
            <w:hideMark/>
          </w:tcPr>
          <w:p w14:paraId="0CCD69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F4E674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DDCC54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146EF25" w14:textId="77777777">
        <w:trPr>
          <w:tblCellSpacing w:w="0" w:type="dxa"/>
        </w:trPr>
        <w:tc>
          <w:tcPr>
            <w:tcW w:w="500" w:type="pct"/>
            <w:vAlign w:val="center"/>
            <w:hideMark/>
          </w:tcPr>
          <w:p w14:paraId="691191AD"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4.2</w:t>
            </w:r>
          </w:p>
        </w:tc>
        <w:tc>
          <w:tcPr>
            <w:tcW w:w="50" w:type="pct"/>
            <w:vAlign w:val="center"/>
            <w:hideMark/>
          </w:tcPr>
          <w:p w14:paraId="620E77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FFA52CA" w14:textId="77777777" w:rsidR="00000000" w:rsidRDefault="004206B0">
            <w:pPr>
              <w:rPr>
                <w:rFonts w:ascii="Arial" w:eastAsia="Times New Roman" w:hAnsi="Arial" w:cs="Arial"/>
                <w:sz w:val="20"/>
                <w:szCs w:val="20"/>
              </w:rPr>
            </w:pPr>
            <w:hyperlink r:id="rId7" w:history="1">
              <w:r>
                <w:rPr>
                  <w:rStyle w:val="a4"/>
                  <w:rFonts w:ascii="Arial" w:eastAsia="Times New Roman" w:hAnsi="Arial" w:cs="Arial"/>
                  <w:sz w:val="20"/>
                  <w:szCs w:val="20"/>
                </w:rPr>
                <w:t>Authorized Participant Agreement is incorporated by reference to Exhibit 4.2 of registrant’s Current Report on Form 8-K on No</w:t>
              </w:r>
              <w:r>
                <w:rPr>
                  <w:rStyle w:val="a4"/>
                  <w:rFonts w:ascii="Arial" w:eastAsia="Times New Roman" w:hAnsi="Arial" w:cs="Arial"/>
                  <w:sz w:val="20"/>
                  <w:szCs w:val="20"/>
                </w:rPr>
                <w:t>vember 29, 2013</w:t>
              </w:r>
            </w:hyperlink>
          </w:p>
        </w:tc>
      </w:tr>
      <w:tr w:rsidR="00000000" w14:paraId="7A511B75" w14:textId="77777777">
        <w:trPr>
          <w:tblCellSpacing w:w="0" w:type="dxa"/>
        </w:trPr>
        <w:tc>
          <w:tcPr>
            <w:tcW w:w="500" w:type="pct"/>
            <w:vAlign w:val="center"/>
            <w:hideMark/>
          </w:tcPr>
          <w:p w14:paraId="3951172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6F26CF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D4C11B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4151E74" w14:textId="77777777">
        <w:trPr>
          <w:tblCellSpacing w:w="0" w:type="dxa"/>
        </w:trPr>
        <w:tc>
          <w:tcPr>
            <w:tcW w:w="500" w:type="pct"/>
            <w:vAlign w:val="center"/>
            <w:hideMark/>
          </w:tcPr>
          <w:p w14:paraId="14974042"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4.3</w:t>
            </w:r>
          </w:p>
        </w:tc>
        <w:tc>
          <w:tcPr>
            <w:tcW w:w="50" w:type="pct"/>
            <w:vAlign w:val="center"/>
            <w:hideMark/>
          </w:tcPr>
          <w:p w14:paraId="0988D5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16252F3" w14:textId="77777777" w:rsidR="00000000" w:rsidRDefault="004206B0">
            <w:pPr>
              <w:rPr>
                <w:rFonts w:ascii="Arial" w:eastAsia="Times New Roman" w:hAnsi="Arial" w:cs="Arial"/>
                <w:sz w:val="20"/>
                <w:szCs w:val="20"/>
              </w:rPr>
            </w:pPr>
            <w:hyperlink r:id="rId8" w:history="1">
              <w:r>
                <w:rPr>
                  <w:rStyle w:val="a4"/>
                  <w:rFonts w:ascii="Arial" w:eastAsia="Times New Roman" w:hAnsi="Arial" w:cs="Arial"/>
                  <w:sz w:val="20"/>
                  <w:szCs w:val="20"/>
                </w:rPr>
                <w:t>Description of Securities Registered under Section 12 of the Securities Exchange Act of 1934</w:t>
              </w:r>
            </w:hyperlink>
          </w:p>
        </w:tc>
      </w:tr>
      <w:tr w:rsidR="00000000" w14:paraId="45EA4DA2" w14:textId="77777777">
        <w:trPr>
          <w:tblCellSpacing w:w="0" w:type="dxa"/>
        </w:trPr>
        <w:tc>
          <w:tcPr>
            <w:tcW w:w="500" w:type="pct"/>
            <w:vAlign w:val="center"/>
            <w:hideMark/>
          </w:tcPr>
          <w:p w14:paraId="093E0A6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C20F4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7543E6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CBBA538" w14:textId="77777777">
        <w:trPr>
          <w:tblCellSpacing w:w="0" w:type="dxa"/>
        </w:trPr>
        <w:tc>
          <w:tcPr>
            <w:tcW w:w="500" w:type="pct"/>
            <w:vAlign w:val="center"/>
            <w:hideMark/>
          </w:tcPr>
          <w:p w14:paraId="48B10862"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10.1</w:t>
            </w:r>
          </w:p>
        </w:tc>
        <w:tc>
          <w:tcPr>
            <w:tcW w:w="50" w:type="pct"/>
            <w:vAlign w:val="center"/>
            <w:hideMark/>
          </w:tcPr>
          <w:p w14:paraId="4A9B6AD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75ED91A" w14:textId="77777777" w:rsidR="00000000" w:rsidRDefault="004206B0">
            <w:pPr>
              <w:rPr>
                <w:rFonts w:ascii="Arial" w:eastAsia="Times New Roman" w:hAnsi="Arial" w:cs="Arial"/>
                <w:sz w:val="20"/>
                <w:szCs w:val="20"/>
              </w:rPr>
            </w:pPr>
            <w:hyperlink r:id="rId9" w:history="1">
              <w:r>
                <w:rPr>
                  <w:rStyle w:val="a4"/>
                  <w:rFonts w:ascii="Arial" w:eastAsia="Times New Roman" w:hAnsi="Arial" w:cs="Arial"/>
                  <w:sz w:val="20"/>
                  <w:szCs w:val="20"/>
                </w:rPr>
                <w:t>Investment Advisory Agreement is incorporated by refere</w:t>
              </w:r>
              <w:r>
                <w:rPr>
                  <w:rStyle w:val="a4"/>
                  <w:rFonts w:ascii="Arial" w:eastAsia="Times New Roman" w:hAnsi="Arial" w:cs="Arial"/>
                  <w:sz w:val="20"/>
                  <w:szCs w:val="20"/>
                </w:rPr>
                <w:t>nce to Exhibit 10.1 of Registrant’s Registration Statement No. 333-193156 on January 2, 2014</w:t>
              </w:r>
            </w:hyperlink>
          </w:p>
        </w:tc>
      </w:tr>
      <w:tr w:rsidR="00000000" w14:paraId="6DBFDEB0" w14:textId="77777777">
        <w:trPr>
          <w:tblCellSpacing w:w="0" w:type="dxa"/>
        </w:trPr>
        <w:tc>
          <w:tcPr>
            <w:tcW w:w="500" w:type="pct"/>
            <w:vAlign w:val="center"/>
            <w:hideMark/>
          </w:tcPr>
          <w:p w14:paraId="65BE28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B365A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F39F6D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D1A169C" w14:textId="77777777">
        <w:trPr>
          <w:tblCellSpacing w:w="0" w:type="dxa"/>
        </w:trPr>
        <w:tc>
          <w:tcPr>
            <w:tcW w:w="500" w:type="pct"/>
            <w:vAlign w:val="center"/>
            <w:hideMark/>
          </w:tcPr>
          <w:p w14:paraId="74CEE984"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10.2</w:t>
            </w:r>
          </w:p>
        </w:tc>
        <w:tc>
          <w:tcPr>
            <w:tcW w:w="50" w:type="pct"/>
            <w:vAlign w:val="center"/>
            <w:hideMark/>
          </w:tcPr>
          <w:p w14:paraId="40E1563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FB5D0DB" w14:textId="77777777" w:rsidR="00000000" w:rsidRDefault="004206B0">
            <w:pPr>
              <w:rPr>
                <w:rFonts w:ascii="Arial" w:eastAsia="Times New Roman" w:hAnsi="Arial" w:cs="Arial"/>
                <w:sz w:val="20"/>
                <w:szCs w:val="20"/>
              </w:rPr>
            </w:pPr>
            <w:hyperlink r:id="rId10" w:history="1">
              <w:r>
                <w:rPr>
                  <w:rStyle w:val="a4"/>
                  <w:rFonts w:ascii="Arial" w:eastAsia="Times New Roman" w:hAnsi="Arial" w:cs="Arial"/>
                  <w:sz w:val="20"/>
                  <w:szCs w:val="20"/>
                </w:rPr>
                <w:t>Sublicense Agreement is incorporated by reference to Ex</w:t>
              </w:r>
              <w:r>
                <w:rPr>
                  <w:rStyle w:val="a4"/>
                  <w:rFonts w:ascii="Arial" w:eastAsia="Times New Roman" w:hAnsi="Arial" w:cs="Arial"/>
                  <w:sz w:val="20"/>
                  <w:szCs w:val="20"/>
                </w:rPr>
                <w:t>hibit 10.2 of Registration Statement No. 333-126810 on May 26, 2006</w:t>
              </w:r>
            </w:hyperlink>
          </w:p>
        </w:tc>
      </w:tr>
      <w:tr w:rsidR="00000000" w14:paraId="69E7C4CB" w14:textId="77777777">
        <w:trPr>
          <w:tblCellSpacing w:w="0" w:type="dxa"/>
        </w:trPr>
        <w:tc>
          <w:tcPr>
            <w:tcW w:w="500" w:type="pct"/>
            <w:vAlign w:val="center"/>
            <w:hideMark/>
          </w:tcPr>
          <w:p w14:paraId="0CE2293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B5465A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FCC41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3F73095" w14:textId="77777777">
        <w:trPr>
          <w:tblCellSpacing w:w="0" w:type="dxa"/>
        </w:trPr>
        <w:tc>
          <w:tcPr>
            <w:tcW w:w="500" w:type="pct"/>
            <w:vAlign w:val="center"/>
            <w:hideMark/>
          </w:tcPr>
          <w:p w14:paraId="7B75875E"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10.3</w:t>
            </w:r>
          </w:p>
        </w:tc>
        <w:tc>
          <w:tcPr>
            <w:tcW w:w="50" w:type="pct"/>
            <w:vAlign w:val="center"/>
            <w:hideMark/>
          </w:tcPr>
          <w:p w14:paraId="66D729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75ADDAD" w14:textId="77777777" w:rsidR="00000000" w:rsidRDefault="004206B0">
            <w:pPr>
              <w:rPr>
                <w:rFonts w:ascii="Arial" w:eastAsia="Times New Roman" w:hAnsi="Arial" w:cs="Arial"/>
                <w:sz w:val="20"/>
                <w:szCs w:val="20"/>
              </w:rPr>
            </w:pPr>
            <w:hyperlink r:id="rId11" w:history="1">
              <w:r>
                <w:rPr>
                  <w:rStyle w:val="a4"/>
                  <w:rFonts w:ascii="Arial" w:eastAsia="Times New Roman" w:hAnsi="Arial" w:cs="Arial"/>
                  <w:sz w:val="20"/>
                  <w:szCs w:val="20"/>
                </w:rPr>
                <w:t>Futures and Options Account Agreement is incorporated by reference to Exhibit 10.3 filed with registrant’s Registration Statement No. 333</w:t>
              </w:r>
              <w:r>
                <w:rPr>
                  <w:rStyle w:val="a4"/>
                  <w:rFonts w:ascii="Arial" w:eastAsia="Times New Roman" w:hAnsi="Arial" w:cs="Arial"/>
                  <w:sz w:val="20"/>
                  <w:szCs w:val="20"/>
                </w:rPr>
                <w:noBreakHyphen/>
                <w:t>193156 on January 2, 2014</w:t>
              </w:r>
            </w:hyperlink>
          </w:p>
        </w:tc>
      </w:tr>
      <w:tr w:rsidR="00000000" w14:paraId="10294061" w14:textId="77777777">
        <w:trPr>
          <w:tblCellSpacing w:w="0" w:type="dxa"/>
        </w:trPr>
        <w:tc>
          <w:tcPr>
            <w:tcW w:w="500" w:type="pct"/>
            <w:vAlign w:val="center"/>
            <w:hideMark/>
          </w:tcPr>
          <w:p w14:paraId="5D0F8B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874641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42F93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D26335D" w14:textId="77777777">
        <w:trPr>
          <w:tblCellSpacing w:w="0" w:type="dxa"/>
        </w:trPr>
        <w:tc>
          <w:tcPr>
            <w:tcW w:w="500" w:type="pct"/>
            <w:vAlign w:val="center"/>
            <w:hideMark/>
          </w:tcPr>
          <w:p w14:paraId="199776DF"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14:paraId="62B814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AED5016" w14:textId="77777777" w:rsidR="00000000" w:rsidRDefault="004206B0">
            <w:pPr>
              <w:rPr>
                <w:rFonts w:ascii="Arial" w:eastAsia="Times New Roman" w:hAnsi="Arial" w:cs="Arial"/>
                <w:sz w:val="20"/>
                <w:szCs w:val="20"/>
              </w:rPr>
            </w:pPr>
            <w:hyperlink r:id="rId12" w:history="1">
              <w:r>
                <w:rPr>
                  <w:rStyle w:val="a4"/>
                  <w:rFonts w:ascii="Arial" w:eastAsia="Times New Roman" w:hAnsi="Arial" w:cs="Arial"/>
                  <w:sz w:val="20"/>
                  <w:szCs w:val="20"/>
                </w:rPr>
                <w:t>Master Service Agreement is incorporated by reference to Exhibit 10.4 of registrant's Registration Statement on Form S-3/A (No. 333</w:t>
              </w:r>
              <w:r>
                <w:rPr>
                  <w:rStyle w:val="a4"/>
                  <w:rFonts w:ascii="Arial" w:eastAsia="Times New Roman" w:hAnsi="Arial" w:cs="Arial"/>
                  <w:sz w:val="20"/>
                  <w:szCs w:val="20"/>
                </w:rPr>
                <w:noBreakHyphen/>
                <w:t>254992) on M</w:t>
              </w:r>
              <w:r>
                <w:rPr>
                  <w:rStyle w:val="a4"/>
                  <w:rFonts w:ascii="Arial" w:eastAsia="Times New Roman" w:hAnsi="Arial" w:cs="Arial"/>
                  <w:sz w:val="20"/>
                  <w:szCs w:val="20"/>
                </w:rPr>
                <w:t>ay 24, 2021</w:t>
              </w:r>
            </w:hyperlink>
          </w:p>
        </w:tc>
      </w:tr>
      <w:tr w:rsidR="00000000" w14:paraId="7E93317D" w14:textId="77777777">
        <w:trPr>
          <w:tblCellSpacing w:w="0" w:type="dxa"/>
        </w:trPr>
        <w:tc>
          <w:tcPr>
            <w:tcW w:w="500" w:type="pct"/>
            <w:vAlign w:val="center"/>
            <w:hideMark/>
          </w:tcPr>
          <w:p w14:paraId="0D8D225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A6A6B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FB35A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1C24313" w14:textId="77777777">
        <w:trPr>
          <w:tblCellSpacing w:w="0" w:type="dxa"/>
        </w:trPr>
        <w:tc>
          <w:tcPr>
            <w:tcW w:w="500" w:type="pct"/>
            <w:vAlign w:val="center"/>
            <w:hideMark/>
          </w:tcPr>
          <w:p w14:paraId="6FDE7727"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10.5</w:t>
            </w:r>
          </w:p>
        </w:tc>
        <w:tc>
          <w:tcPr>
            <w:tcW w:w="50" w:type="pct"/>
            <w:vAlign w:val="center"/>
            <w:hideMark/>
          </w:tcPr>
          <w:p w14:paraId="448DFEF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67C1870" w14:textId="77777777" w:rsidR="00000000" w:rsidRDefault="004206B0">
            <w:pPr>
              <w:rPr>
                <w:rFonts w:ascii="Arial" w:eastAsia="Times New Roman" w:hAnsi="Arial" w:cs="Arial"/>
                <w:sz w:val="20"/>
                <w:szCs w:val="20"/>
              </w:rPr>
            </w:pPr>
            <w:hyperlink r:id="rId13" w:history="1">
              <w:r>
                <w:rPr>
                  <w:rStyle w:val="a4"/>
                  <w:rFonts w:ascii="Arial" w:eastAsia="Times New Roman" w:hAnsi="Arial" w:cs="Arial"/>
                  <w:sz w:val="20"/>
                  <w:szCs w:val="20"/>
                </w:rPr>
                <w:t>Service Module for Custodial Services is incorporated by reference to Exhibit 10.5 of registrant's Registration Statement on Form S-3/A (No. 333-254992) on May 24, 2021</w:t>
              </w:r>
            </w:hyperlink>
          </w:p>
        </w:tc>
      </w:tr>
      <w:tr w:rsidR="00000000" w14:paraId="1425356C" w14:textId="77777777">
        <w:trPr>
          <w:tblCellSpacing w:w="0" w:type="dxa"/>
        </w:trPr>
        <w:tc>
          <w:tcPr>
            <w:tcW w:w="500" w:type="pct"/>
            <w:vAlign w:val="center"/>
            <w:hideMark/>
          </w:tcPr>
          <w:p w14:paraId="0494073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DE4D41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EA968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E01A49B" w14:textId="77777777">
        <w:trPr>
          <w:tblCellSpacing w:w="0" w:type="dxa"/>
        </w:trPr>
        <w:tc>
          <w:tcPr>
            <w:tcW w:w="500" w:type="pct"/>
            <w:vAlign w:val="center"/>
            <w:hideMark/>
          </w:tcPr>
          <w:p w14:paraId="727F1A44"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10.6</w:t>
            </w:r>
          </w:p>
        </w:tc>
        <w:tc>
          <w:tcPr>
            <w:tcW w:w="50" w:type="pct"/>
            <w:vAlign w:val="center"/>
            <w:hideMark/>
          </w:tcPr>
          <w:p w14:paraId="111F9F1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526D68D" w14:textId="77777777" w:rsidR="00000000" w:rsidRDefault="004206B0">
            <w:pPr>
              <w:rPr>
                <w:rFonts w:ascii="Arial" w:eastAsia="Times New Roman" w:hAnsi="Arial" w:cs="Arial"/>
                <w:sz w:val="20"/>
                <w:szCs w:val="20"/>
              </w:rPr>
            </w:pPr>
            <w:hyperlink r:id="rId14" w:history="1">
              <w:r>
                <w:rPr>
                  <w:rStyle w:val="a4"/>
                  <w:rFonts w:ascii="Arial" w:eastAsia="Times New Roman" w:hAnsi="Arial" w:cs="Arial"/>
                  <w:sz w:val="20"/>
                  <w:szCs w:val="20"/>
                </w:rPr>
                <w:t>Service Module for Fund Administration and Accounting Services is incorporated by reference to Exhibit 10.6 of registrant's Registration Statement on Form S-3/A</w:t>
              </w:r>
              <w:r>
                <w:rPr>
                  <w:rStyle w:val="a4"/>
                  <w:rFonts w:ascii="Arial" w:eastAsia="Times New Roman" w:hAnsi="Arial" w:cs="Arial"/>
                  <w:sz w:val="20"/>
                  <w:szCs w:val="20"/>
                </w:rPr>
                <w:t xml:space="preserve"> (No. 333-254992) on May 24, 2021</w:t>
              </w:r>
            </w:hyperlink>
          </w:p>
        </w:tc>
      </w:tr>
      <w:tr w:rsidR="00000000" w14:paraId="09AC2907" w14:textId="77777777">
        <w:trPr>
          <w:tblCellSpacing w:w="0" w:type="dxa"/>
        </w:trPr>
        <w:tc>
          <w:tcPr>
            <w:tcW w:w="500" w:type="pct"/>
            <w:vAlign w:val="center"/>
            <w:hideMark/>
          </w:tcPr>
          <w:p w14:paraId="6014AFC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4A8BE4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898D18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CC498AE" w14:textId="77777777">
        <w:trPr>
          <w:tblCellSpacing w:w="0" w:type="dxa"/>
        </w:trPr>
        <w:tc>
          <w:tcPr>
            <w:tcW w:w="500" w:type="pct"/>
            <w:vAlign w:val="center"/>
            <w:hideMark/>
          </w:tcPr>
          <w:p w14:paraId="2CAEAF5C"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10.7</w:t>
            </w:r>
          </w:p>
        </w:tc>
        <w:tc>
          <w:tcPr>
            <w:tcW w:w="50" w:type="pct"/>
            <w:vAlign w:val="center"/>
            <w:hideMark/>
          </w:tcPr>
          <w:p w14:paraId="448A30A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478E3B7" w14:textId="77777777" w:rsidR="00000000" w:rsidRDefault="004206B0">
            <w:pPr>
              <w:rPr>
                <w:rFonts w:ascii="Arial" w:eastAsia="Times New Roman" w:hAnsi="Arial" w:cs="Arial"/>
                <w:sz w:val="20"/>
                <w:szCs w:val="20"/>
              </w:rPr>
            </w:pPr>
            <w:hyperlink r:id="rId15" w:history="1">
              <w:r>
                <w:rPr>
                  <w:rStyle w:val="a4"/>
                  <w:rFonts w:ascii="Arial" w:eastAsia="Times New Roman" w:hAnsi="Arial" w:cs="Arial"/>
                  <w:sz w:val="20"/>
                  <w:szCs w:val="20"/>
                </w:rPr>
                <w:t>Control Agreement is incorporated by reference to Exhibit 10.7 of registrant’s Post-Effective Amendment No. 1 to R</w:t>
              </w:r>
              <w:r>
                <w:rPr>
                  <w:rStyle w:val="a4"/>
                  <w:rFonts w:ascii="Arial" w:eastAsia="Times New Roman" w:hAnsi="Arial" w:cs="Arial"/>
                  <w:sz w:val="20"/>
                  <w:szCs w:val="20"/>
                </w:rPr>
                <w:t>egistration Statement No. 333</w:t>
              </w:r>
              <w:r>
                <w:rPr>
                  <w:rStyle w:val="a4"/>
                  <w:rFonts w:ascii="Arial" w:eastAsia="Times New Roman" w:hAnsi="Arial" w:cs="Arial"/>
                  <w:sz w:val="20"/>
                  <w:szCs w:val="20"/>
                </w:rPr>
                <w:noBreakHyphen/>
                <w:t>193156 on April 2, 2014</w:t>
              </w:r>
            </w:hyperlink>
          </w:p>
        </w:tc>
      </w:tr>
      <w:tr w:rsidR="00000000" w14:paraId="2F237948" w14:textId="77777777">
        <w:trPr>
          <w:tblCellSpacing w:w="0" w:type="dxa"/>
        </w:trPr>
        <w:tc>
          <w:tcPr>
            <w:tcW w:w="500" w:type="pct"/>
            <w:vAlign w:val="center"/>
            <w:hideMark/>
          </w:tcPr>
          <w:p w14:paraId="0D2223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1C077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FBDCB0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584F93E" w14:textId="77777777">
        <w:trPr>
          <w:tblCellSpacing w:w="0" w:type="dxa"/>
        </w:trPr>
        <w:tc>
          <w:tcPr>
            <w:tcW w:w="500" w:type="pct"/>
            <w:vAlign w:val="center"/>
            <w:hideMark/>
          </w:tcPr>
          <w:p w14:paraId="7EF0849C"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23.1</w:t>
            </w:r>
          </w:p>
        </w:tc>
        <w:tc>
          <w:tcPr>
            <w:tcW w:w="50" w:type="pct"/>
            <w:vAlign w:val="center"/>
            <w:hideMark/>
          </w:tcPr>
          <w:p w14:paraId="6C1C637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8216DFB" w14:textId="77777777" w:rsidR="00000000" w:rsidRDefault="004206B0">
            <w:pPr>
              <w:rPr>
                <w:rFonts w:ascii="Arial" w:eastAsia="Times New Roman" w:hAnsi="Arial" w:cs="Arial"/>
                <w:sz w:val="20"/>
                <w:szCs w:val="20"/>
              </w:rPr>
            </w:pPr>
            <w:hyperlink r:id="rId16" w:history="1">
              <w:r>
                <w:rPr>
                  <w:rStyle w:val="a4"/>
                  <w:rFonts w:ascii="Arial" w:eastAsia="Times New Roman" w:hAnsi="Arial" w:cs="Arial"/>
                  <w:sz w:val="20"/>
                  <w:szCs w:val="20"/>
                </w:rPr>
                <w:t>Consent of PricewaterhouseCoopers LLP</w:t>
              </w:r>
            </w:hyperlink>
          </w:p>
        </w:tc>
      </w:tr>
      <w:tr w:rsidR="00000000" w14:paraId="30290D6C" w14:textId="77777777">
        <w:trPr>
          <w:tblCellSpacing w:w="0" w:type="dxa"/>
        </w:trPr>
        <w:tc>
          <w:tcPr>
            <w:tcW w:w="500" w:type="pct"/>
            <w:vAlign w:val="center"/>
            <w:hideMark/>
          </w:tcPr>
          <w:p w14:paraId="695AAF2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6FED0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89DFE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A0405A8" w14:textId="77777777">
        <w:trPr>
          <w:tblCellSpacing w:w="0" w:type="dxa"/>
        </w:trPr>
        <w:tc>
          <w:tcPr>
            <w:tcW w:w="500" w:type="pct"/>
            <w:vAlign w:val="center"/>
            <w:hideMark/>
          </w:tcPr>
          <w:p w14:paraId="31F4BF01"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31.1</w:t>
            </w:r>
          </w:p>
        </w:tc>
        <w:tc>
          <w:tcPr>
            <w:tcW w:w="50" w:type="pct"/>
            <w:vAlign w:val="center"/>
            <w:hideMark/>
          </w:tcPr>
          <w:p w14:paraId="155049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42EFF46" w14:textId="77777777" w:rsidR="00000000" w:rsidRDefault="004206B0">
            <w:pPr>
              <w:rPr>
                <w:rFonts w:ascii="Arial" w:eastAsia="Times New Roman" w:hAnsi="Arial" w:cs="Arial"/>
                <w:sz w:val="20"/>
                <w:szCs w:val="20"/>
              </w:rPr>
            </w:pPr>
            <w:hyperlink r:id="rId17" w:history="1">
              <w:r>
                <w:rPr>
                  <w:rStyle w:val="a4"/>
                  <w:rFonts w:ascii="Arial" w:eastAsia="Times New Roman" w:hAnsi="Arial" w:cs="Arial"/>
                  <w:sz w:val="20"/>
                  <w:szCs w:val="20"/>
                </w:rPr>
                <w:t>Certification by Principal Executive Officer Pursuant to Rule 13a-14(a) under the Securities Exchange Act of 1934, as amended</w:t>
              </w:r>
            </w:hyperlink>
          </w:p>
        </w:tc>
      </w:tr>
      <w:tr w:rsidR="00000000" w14:paraId="09E5441F" w14:textId="77777777">
        <w:trPr>
          <w:tblCellSpacing w:w="0" w:type="dxa"/>
        </w:trPr>
        <w:tc>
          <w:tcPr>
            <w:tcW w:w="500" w:type="pct"/>
            <w:vAlign w:val="center"/>
            <w:hideMark/>
          </w:tcPr>
          <w:p w14:paraId="6759E7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F02DD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BF5A5C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9DAD317" w14:textId="77777777">
        <w:trPr>
          <w:tblCellSpacing w:w="0" w:type="dxa"/>
        </w:trPr>
        <w:tc>
          <w:tcPr>
            <w:tcW w:w="500" w:type="pct"/>
            <w:vAlign w:val="center"/>
            <w:hideMark/>
          </w:tcPr>
          <w:p w14:paraId="3B730CAA"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31.2</w:t>
            </w:r>
          </w:p>
        </w:tc>
        <w:tc>
          <w:tcPr>
            <w:tcW w:w="50" w:type="pct"/>
            <w:vAlign w:val="center"/>
            <w:hideMark/>
          </w:tcPr>
          <w:p w14:paraId="47B9A0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74DAC61" w14:textId="77777777" w:rsidR="00000000" w:rsidRDefault="004206B0">
            <w:pPr>
              <w:rPr>
                <w:rFonts w:ascii="Arial" w:eastAsia="Times New Roman" w:hAnsi="Arial" w:cs="Arial"/>
                <w:sz w:val="20"/>
                <w:szCs w:val="20"/>
              </w:rPr>
            </w:pPr>
            <w:hyperlink r:id="rId18" w:history="1">
              <w:r>
                <w:rPr>
                  <w:rStyle w:val="a4"/>
                  <w:rFonts w:ascii="Arial" w:eastAsia="Times New Roman" w:hAnsi="Arial" w:cs="Arial"/>
                  <w:sz w:val="20"/>
                  <w:szCs w:val="20"/>
                </w:rPr>
                <w:t>Certification by Principal Financial Officer Pursuant to Rule 13a-14(a) under the Sec</w:t>
              </w:r>
              <w:r>
                <w:rPr>
                  <w:rStyle w:val="a4"/>
                  <w:rFonts w:ascii="Arial" w:eastAsia="Times New Roman" w:hAnsi="Arial" w:cs="Arial"/>
                  <w:sz w:val="20"/>
                  <w:szCs w:val="20"/>
                </w:rPr>
                <w:t>urities Exchange Act of 1934, as amended</w:t>
              </w:r>
            </w:hyperlink>
          </w:p>
        </w:tc>
      </w:tr>
      <w:tr w:rsidR="00000000" w14:paraId="13BEDEFD" w14:textId="77777777">
        <w:trPr>
          <w:tblCellSpacing w:w="0" w:type="dxa"/>
        </w:trPr>
        <w:tc>
          <w:tcPr>
            <w:tcW w:w="500" w:type="pct"/>
            <w:vAlign w:val="center"/>
            <w:hideMark/>
          </w:tcPr>
          <w:p w14:paraId="1AE0E8A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149491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385168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CCE505A" w14:textId="77777777">
        <w:trPr>
          <w:tblCellSpacing w:w="0" w:type="dxa"/>
        </w:trPr>
        <w:tc>
          <w:tcPr>
            <w:tcW w:w="500" w:type="pct"/>
            <w:vAlign w:val="center"/>
            <w:hideMark/>
          </w:tcPr>
          <w:p w14:paraId="1C7D597E"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32.1</w:t>
            </w:r>
          </w:p>
        </w:tc>
        <w:tc>
          <w:tcPr>
            <w:tcW w:w="50" w:type="pct"/>
            <w:vAlign w:val="center"/>
            <w:hideMark/>
          </w:tcPr>
          <w:p w14:paraId="0FDEF87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7EF9259" w14:textId="77777777" w:rsidR="00000000" w:rsidRDefault="004206B0">
            <w:pPr>
              <w:rPr>
                <w:rFonts w:ascii="Arial" w:eastAsia="Times New Roman" w:hAnsi="Arial" w:cs="Arial"/>
                <w:sz w:val="20"/>
                <w:szCs w:val="20"/>
              </w:rPr>
            </w:pPr>
            <w:hyperlink r:id="rId19" w:history="1">
              <w:r>
                <w:rPr>
                  <w:rStyle w:val="a4"/>
                  <w:rFonts w:ascii="Arial" w:eastAsia="Times New Roman" w:hAnsi="Arial" w:cs="Arial"/>
                  <w:sz w:val="20"/>
                  <w:szCs w:val="20"/>
                </w:rPr>
                <w:t>Certification by Principal Executive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14:paraId="66DED60B" w14:textId="77777777">
        <w:trPr>
          <w:tblCellSpacing w:w="0" w:type="dxa"/>
        </w:trPr>
        <w:tc>
          <w:tcPr>
            <w:tcW w:w="500" w:type="pct"/>
            <w:vAlign w:val="center"/>
            <w:hideMark/>
          </w:tcPr>
          <w:p w14:paraId="51ED55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8F404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46DE4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097DB2E" w14:textId="77777777">
        <w:trPr>
          <w:tblCellSpacing w:w="0" w:type="dxa"/>
        </w:trPr>
        <w:tc>
          <w:tcPr>
            <w:tcW w:w="500" w:type="pct"/>
            <w:vAlign w:val="center"/>
            <w:hideMark/>
          </w:tcPr>
          <w:p w14:paraId="0DC6536B"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32.2</w:t>
            </w:r>
          </w:p>
        </w:tc>
        <w:tc>
          <w:tcPr>
            <w:tcW w:w="50" w:type="pct"/>
            <w:vAlign w:val="center"/>
            <w:hideMark/>
          </w:tcPr>
          <w:p w14:paraId="0C7AE7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2033868" w14:textId="77777777" w:rsidR="00000000" w:rsidRDefault="004206B0">
            <w:pPr>
              <w:rPr>
                <w:rFonts w:ascii="Arial" w:eastAsia="Times New Roman" w:hAnsi="Arial" w:cs="Arial"/>
                <w:sz w:val="20"/>
                <w:szCs w:val="20"/>
              </w:rPr>
            </w:pPr>
            <w:hyperlink r:id="rId20" w:history="1">
              <w:r>
                <w:rPr>
                  <w:rStyle w:val="a4"/>
                  <w:rFonts w:ascii="Arial" w:eastAsia="Times New Roman" w:hAnsi="Arial" w:cs="Arial"/>
                  <w:sz w:val="20"/>
                  <w:szCs w:val="20"/>
                </w:rPr>
                <w:t>Certification by Principal Financial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14:paraId="4AEAD3D0" w14:textId="77777777">
        <w:trPr>
          <w:tblCellSpacing w:w="0" w:type="dxa"/>
        </w:trPr>
        <w:tc>
          <w:tcPr>
            <w:tcW w:w="500" w:type="pct"/>
            <w:vAlign w:val="center"/>
            <w:hideMark/>
          </w:tcPr>
          <w:p w14:paraId="4CC02E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3CBA12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5F31EA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BEAC0A8" w14:textId="77777777">
        <w:trPr>
          <w:tblCellSpacing w:w="0" w:type="dxa"/>
        </w:trPr>
        <w:tc>
          <w:tcPr>
            <w:tcW w:w="500" w:type="pct"/>
            <w:vAlign w:val="center"/>
            <w:hideMark/>
          </w:tcPr>
          <w:p w14:paraId="2DCCBDC9"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14:paraId="22999F1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A78EB60" w14:textId="77777777" w:rsidR="00000000" w:rsidRDefault="004206B0">
            <w:pPr>
              <w:rPr>
                <w:rFonts w:ascii="Arial" w:eastAsia="Times New Roman" w:hAnsi="Arial" w:cs="Arial"/>
                <w:sz w:val="20"/>
                <w:szCs w:val="20"/>
              </w:rPr>
            </w:pPr>
            <w:r>
              <w:rPr>
                <w:rFonts w:ascii="Arial" w:eastAsia="Times New Roman" w:hAnsi="Arial" w:cs="Arial"/>
                <w:sz w:val="20"/>
                <w:szCs w:val="20"/>
              </w:rPr>
              <w:t>Inline XBRL Instance Document - the instance document does</w:t>
            </w:r>
            <w:r>
              <w:rPr>
                <w:rFonts w:ascii="Arial" w:eastAsia="Times New Roman" w:hAnsi="Arial" w:cs="Arial"/>
                <w:sz w:val="20"/>
                <w:szCs w:val="20"/>
              </w:rPr>
              <w:t xml:space="preserve"> not appear in the Interactive Data File because its XBRL tags are embedded within the Inline XBRL document.</w:t>
            </w:r>
          </w:p>
        </w:tc>
      </w:tr>
      <w:tr w:rsidR="00000000" w14:paraId="7DA2D103" w14:textId="77777777">
        <w:trPr>
          <w:tblCellSpacing w:w="0" w:type="dxa"/>
        </w:trPr>
        <w:tc>
          <w:tcPr>
            <w:tcW w:w="500" w:type="pct"/>
            <w:vAlign w:val="center"/>
            <w:hideMark/>
          </w:tcPr>
          <w:p w14:paraId="47EDAD6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421D6A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134B22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4C50EBD" w14:textId="77777777">
        <w:trPr>
          <w:tblCellSpacing w:w="0" w:type="dxa"/>
        </w:trPr>
        <w:tc>
          <w:tcPr>
            <w:tcW w:w="500" w:type="pct"/>
            <w:vAlign w:val="center"/>
            <w:hideMark/>
          </w:tcPr>
          <w:p w14:paraId="6A395A4C"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vAlign w:val="center"/>
            <w:hideMark/>
          </w:tcPr>
          <w:p w14:paraId="3549F95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1EF4F60" w14:textId="77777777" w:rsidR="00000000" w:rsidRDefault="004206B0">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14:paraId="77573F10" w14:textId="77777777">
        <w:trPr>
          <w:tblCellSpacing w:w="0" w:type="dxa"/>
        </w:trPr>
        <w:tc>
          <w:tcPr>
            <w:tcW w:w="500" w:type="pct"/>
            <w:vAlign w:val="center"/>
            <w:hideMark/>
          </w:tcPr>
          <w:p w14:paraId="16D31BB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BD9FD2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4D200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758A5A1" w14:textId="77777777">
        <w:trPr>
          <w:tblCellSpacing w:w="0" w:type="dxa"/>
        </w:trPr>
        <w:tc>
          <w:tcPr>
            <w:tcW w:w="500" w:type="pct"/>
            <w:hideMark/>
          </w:tcPr>
          <w:p w14:paraId="691B500E"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14:paraId="57DB240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D02969C" w14:textId="77777777" w:rsidR="00000000" w:rsidRDefault="004206B0">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14:paraId="158BA5AA" w14:textId="77777777">
        <w:trPr>
          <w:tblCellSpacing w:w="0" w:type="dxa"/>
        </w:trPr>
        <w:tc>
          <w:tcPr>
            <w:tcW w:w="500" w:type="pct"/>
            <w:hideMark/>
          </w:tcPr>
          <w:p w14:paraId="5ED6EBDA"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622E64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3E93B1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F9E21C3" w14:textId="77777777">
        <w:trPr>
          <w:tblCellSpacing w:w="0" w:type="dxa"/>
        </w:trPr>
        <w:tc>
          <w:tcPr>
            <w:tcW w:w="500" w:type="pct"/>
            <w:hideMark/>
          </w:tcPr>
          <w:p w14:paraId="295F1DDC"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14:paraId="4109561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E398488" w14:textId="77777777" w:rsidR="00000000" w:rsidRDefault="004206B0">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14:paraId="5BC3CBB6" w14:textId="77777777">
        <w:trPr>
          <w:tblCellSpacing w:w="0" w:type="dxa"/>
        </w:trPr>
        <w:tc>
          <w:tcPr>
            <w:tcW w:w="500" w:type="pct"/>
            <w:hideMark/>
          </w:tcPr>
          <w:p w14:paraId="1081ECD7"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367B40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C71FB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4F91AFA" w14:textId="77777777">
        <w:trPr>
          <w:tblCellSpacing w:w="0" w:type="dxa"/>
        </w:trPr>
        <w:tc>
          <w:tcPr>
            <w:tcW w:w="500" w:type="pct"/>
            <w:hideMark/>
          </w:tcPr>
          <w:p w14:paraId="016AEB2C"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14:paraId="7DCCB9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1F8E86B" w14:textId="77777777" w:rsidR="00000000" w:rsidRDefault="004206B0">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14:paraId="71BEBBCB" w14:textId="77777777">
        <w:trPr>
          <w:tblCellSpacing w:w="0" w:type="dxa"/>
        </w:trPr>
        <w:tc>
          <w:tcPr>
            <w:tcW w:w="500" w:type="pct"/>
            <w:hideMark/>
          </w:tcPr>
          <w:p w14:paraId="538CB4F2"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80696B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FD1769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1D9AF57" w14:textId="77777777">
        <w:trPr>
          <w:tblCellSpacing w:w="0" w:type="dxa"/>
        </w:trPr>
        <w:tc>
          <w:tcPr>
            <w:tcW w:w="500" w:type="pct"/>
            <w:hideMark/>
          </w:tcPr>
          <w:p w14:paraId="3D374525"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14:paraId="0C6473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4B2FE7D" w14:textId="77777777" w:rsidR="00000000" w:rsidRDefault="004206B0">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14:paraId="063CEF97" w14:textId="77777777">
        <w:trPr>
          <w:tblCellSpacing w:w="0" w:type="dxa"/>
        </w:trPr>
        <w:tc>
          <w:tcPr>
            <w:tcW w:w="500" w:type="pct"/>
            <w:vAlign w:val="center"/>
            <w:hideMark/>
          </w:tcPr>
          <w:p w14:paraId="772883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8518E3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BC8ED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60BE50E" w14:textId="77777777">
        <w:trPr>
          <w:tblCellSpacing w:w="0" w:type="dxa"/>
        </w:trPr>
        <w:tc>
          <w:tcPr>
            <w:tcW w:w="500" w:type="pct"/>
            <w:vAlign w:val="center"/>
            <w:hideMark/>
          </w:tcPr>
          <w:p w14:paraId="6AC031F8"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14:paraId="6A49E72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036EC16" w14:textId="77777777" w:rsidR="00000000" w:rsidRDefault="004206B0">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14:paraId="515F147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7A1E769" w14:textId="77777777" w:rsidR="00000000" w:rsidRDefault="004206B0">
      <w:pPr>
        <w:jc w:val="center"/>
        <w:divId w:val="1118333308"/>
        <w:rPr>
          <w:rFonts w:ascii="Arial" w:eastAsia="Times New Roman" w:hAnsi="Arial" w:cs="Arial"/>
          <w:sz w:val="20"/>
          <w:szCs w:val="20"/>
        </w:rPr>
      </w:pPr>
      <w:r>
        <w:rPr>
          <w:rFonts w:ascii="Arial" w:eastAsia="Times New Roman" w:hAnsi="Arial" w:cs="Arial"/>
          <w:sz w:val="20"/>
          <w:szCs w:val="20"/>
        </w:rPr>
        <w:t xml:space="preserve">34 </w:t>
      </w:r>
    </w:p>
    <w:p w14:paraId="2937857B" w14:textId="77777777" w:rsidR="00000000" w:rsidRDefault="004206B0">
      <w:pPr>
        <w:divId w:val="1105269958"/>
        <w:rPr>
          <w:rFonts w:eastAsia="Times New Roman"/>
          <w:sz w:val="20"/>
          <w:szCs w:val="20"/>
        </w:rPr>
      </w:pPr>
      <w:r>
        <w:rPr>
          <w:rFonts w:eastAsia="Times New Roman"/>
          <w:sz w:val="20"/>
          <w:szCs w:val="20"/>
        </w:rPr>
        <w:pict w14:anchorId="7CC6830B">
          <v:rect id="_x0000_i1075" style="width:415.3pt;height:1.5pt" o:hralign="center" o:hrstd="t" o:hrnoshade="t" o:hr="t" fillcolor="black" stroked="f"/>
        </w:pict>
      </w:r>
    </w:p>
    <w:p w14:paraId="52088D75" w14:textId="77777777" w:rsidR="00000000" w:rsidRDefault="004206B0">
      <w:pPr>
        <w:divId w:val="138806899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2D27B02D" w14:textId="77777777" w:rsidR="00000000" w:rsidRDefault="004206B0">
      <w:pPr>
        <w:pStyle w:val="a3"/>
        <w:spacing w:before="0" w:beforeAutospacing="0" w:after="0" w:afterAutospacing="0"/>
        <w:rPr>
          <w:sz w:val="20"/>
          <w:szCs w:val="20"/>
        </w:rPr>
      </w:pPr>
      <w:r>
        <w:rPr>
          <w:sz w:val="20"/>
          <w:szCs w:val="20"/>
        </w:rPr>
        <w:t> </w:t>
      </w:r>
    </w:p>
    <w:p w14:paraId="669E6CB0"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Item 16. Form 10-K Summary.</w:t>
      </w:r>
    </w:p>
    <w:p w14:paraId="66BC7A9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7B71CB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None.</w:t>
      </w:r>
    </w:p>
    <w:p w14:paraId="76D46A1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DF80D77" w14:textId="77777777" w:rsidR="00000000" w:rsidRDefault="004206B0">
      <w:pPr>
        <w:jc w:val="center"/>
        <w:divId w:val="2071925712"/>
        <w:rPr>
          <w:rFonts w:ascii="Arial" w:eastAsia="Times New Roman" w:hAnsi="Arial" w:cs="Arial"/>
          <w:sz w:val="20"/>
          <w:szCs w:val="20"/>
        </w:rPr>
      </w:pPr>
      <w:r>
        <w:rPr>
          <w:rFonts w:ascii="Arial" w:eastAsia="Times New Roman" w:hAnsi="Arial" w:cs="Arial"/>
          <w:sz w:val="20"/>
          <w:szCs w:val="20"/>
        </w:rPr>
        <w:t xml:space="preserve">35 </w:t>
      </w:r>
    </w:p>
    <w:p w14:paraId="40295EC7" w14:textId="77777777" w:rsidR="00000000" w:rsidRDefault="004206B0">
      <w:pPr>
        <w:divId w:val="8263223"/>
        <w:rPr>
          <w:rFonts w:eastAsia="Times New Roman"/>
          <w:sz w:val="20"/>
          <w:szCs w:val="20"/>
        </w:rPr>
      </w:pPr>
      <w:r>
        <w:rPr>
          <w:rFonts w:eastAsia="Times New Roman"/>
          <w:sz w:val="20"/>
          <w:szCs w:val="20"/>
        </w:rPr>
        <w:pict w14:anchorId="669E4943">
          <v:rect id="_x0000_i1076" style="width:415.3pt;height:1.5pt" o:hralign="center" o:hrstd="t" o:hrnoshade="t" o:hr="t" fillcolor="black" stroked="f"/>
        </w:pict>
      </w:r>
    </w:p>
    <w:p w14:paraId="0E25DC40" w14:textId="77777777" w:rsidR="00000000" w:rsidRDefault="004206B0">
      <w:pPr>
        <w:divId w:val="608053030"/>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5D7F4290" w14:textId="77777777" w:rsidR="00000000" w:rsidRDefault="004206B0">
      <w:pPr>
        <w:pStyle w:val="a3"/>
        <w:spacing w:before="0" w:beforeAutospacing="0" w:after="0" w:afterAutospacing="0"/>
        <w:rPr>
          <w:sz w:val="20"/>
          <w:szCs w:val="20"/>
        </w:rPr>
      </w:pPr>
      <w:r>
        <w:rPr>
          <w:sz w:val="20"/>
          <w:szCs w:val="20"/>
        </w:rPr>
        <w:t> </w:t>
      </w:r>
    </w:p>
    <w:p w14:paraId="76297ACE" w14:textId="77777777" w:rsidR="00000000" w:rsidRDefault="004206B0">
      <w:pPr>
        <w:divId w:val="1489009893"/>
        <w:rPr>
          <w:rFonts w:eastAsia="Times New Roman"/>
          <w:sz w:val="20"/>
          <w:szCs w:val="20"/>
        </w:rPr>
      </w:pPr>
      <w:r>
        <w:rPr>
          <w:rFonts w:eastAsia="Times New Roman"/>
          <w:sz w:val="20"/>
          <w:szCs w:val="20"/>
        </w:rPr>
        <w:t xml:space="preserve">  </w:t>
      </w:r>
    </w:p>
    <w:p w14:paraId="305931A4" w14:textId="77777777" w:rsidR="00000000" w:rsidRDefault="004206B0">
      <w:pPr>
        <w:pStyle w:val="a3"/>
        <w:spacing w:before="0" w:beforeAutospacing="0" w:after="0" w:afterAutospacing="0"/>
        <w:jc w:val="center"/>
        <w:divId w:val="1243762978"/>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14:paraId="68D21D58" w14:textId="77777777" w:rsidR="00000000" w:rsidRDefault="004206B0">
      <w:pPr>
        <w:pStyle w:val="a3"/>
        <w:spacing w:before="0" w:beforeAutospacing="0" w:after="0" w:afterAutospacing="0"/>
        <w:jc w:val="center"/>
        <w:divId w:val="1243762978"/>
        <w:rPr>
          <w:rFonts w:ascii="Arial" w:hAnsi="Arial" w:cs="Arial"/>
          <w:sz w:val="20"/>
          <w:szCs w:val="20"/>
        </w:rPr>
      </w:pPr>
      <w:r>
        <w:rPr>
          <w:rFonts w:ascii="Arial" w:hAnsi="Arial" w:cs="Arial"/>
          <w:b/>
          <w:bCs/>
          <w:sz w:val="20"/>
          <w:szCs w:val="20"/>
        </w:rPr>
        <w:t>Financial Statements</w:t>
      </w:r>
    </w:p>
    <w:p w14:paraId="5FBC9EB8" w14:textId="77777777" w:rsidR="00000000" w:rsidRDefault="004206B0">
      <w:pPr>
        <w:pStyle w:val="a3"/>
        <w:spacing w:before="0" w:beforeAutospacing="0" w:after="0" w:afterAutospacing="0"/>
        <w:jc w:val="center"/>
        <w:divId w:val="1243762978"/>
        <w:rPr>
          <w:rFonts w:ascii="Arial" w:hAnsi="Arial" w:cs="Arial"/>
          <w:sz w:val="20"/>
          <w:szCs w:val="20"/>
        </w:rPr>
      </w:pPr>
      <w:r>
        <w:rPr>
          <w:rFonts w:ascii="Arial" w:hAnsi="Arial" w:cs="Arial"/>
          <w:b/>
          <w:bCs/>
          <w:sz w:val="20"/>
          <w:szCs w:val="20"/>
        </w:rPr>
        <w:t>Index</w:t>
      </w:r>
    </w:p>
    <w:p w14:paraId="6221EC4E"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4A736904" w14:textId="77777777" w:rsidR="00000000" w:rsidRDefault="004206B0">
      <w:pPr>
        <w:pStyle w:val="a3"/>
        <w:spacing w:before="0" w:beforeAutospacing="0" w:after="0" w:afterAutospacing="0"/>
        <w:jc w:val="right"/>
        <w:divId w:val="1243762978"/>
        <w:rPr>
          <w:rFonts w:ascii="Arial" w:hAnsi="Arial" w:cs="Arial"/>
          <w:sz w:val="20"/>
          <w:szCs w:val="20"/>
        </w:rPr>
      </w:pPr>
      <w:r>
        <w:rPr>
          <w:rFonts w:ascii="Arial" w:hAnsi="Arial" w:cs="Arial"/>
          <w:sz w:val="20"/>
          <w:szCs w:val="20"/>
          <w:u w:val="single"/>
        </w:rPr>
        <w:t>Page</w:t>
      </w:r>
    </w:p>
    <w:p w14:paraId="4890A1E2" w14:textId="77777777" w:rsidR="00000000" w:rsidRDefault="004206B0">
      <w:pPr>
        <w:pStyle w:val="a3"/>
        <w:spacing w:before="0" w:beforeAutospacing="0" w:after="0" w:afterAutospacing="0"/>
        <w:jc w:val="right"/>
        <w:divId w:val="124376297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725"/>
        <w:gridCol w:w="581"/>
      </w:tblGrid>
      <w:tr w:rsidR="00000000" w14:paraId="67F3E718" w14:textId="77777777">
        <w:trPr>
          <w:divId w:val="1243762978"/>
          <w:tblCellSpacing w:w="0" w:type="dxa"/>
        </w:trPr>
        <w:tc>
          <w:tcPr>
            <w:tcW w:w="4650" w:type="pct"/>
            <w:vAlign w:val="center"/>
            <w:hideMark/>
          </w:tcPr>
          <w:p w14:paraId="6F9F365D" w14:textId="77777777" w:rsidR="00000000" w:rsidRDefault="004206B0">
            <w:pPr>
              <w:rPr>
                <w:rFonts w:ascii="Arial" w:eastAsia="Times New Roman" w:hAnsi="Arial" w:cs="Arial"/>
                <w:sz w:val="20"/>
                <w:szCs w:val="20"/>
              </w:rPr>
            </w:pPr>
            <w:hyperlink w:anchor="reprot" w:history="1">
              <w:r>
                <w:rPr>
                  <w:rStyle w:val="a4"/>
                  <w:rFonts w:ascii="Arial" w:eastAsia="Times New Roman" w:hAnsi="Arial" w:cs="Arial"/>
                  <w:sz w:val="20"/>
                  <w:szCs w:val="20"/>
                </w:rPr>
                <w:t>Report of Independent Registered Public Accounting Firm (PCAOB ID 238)</w:t>
              </w:r>
            </w:hyperlink>
          </w:p>
        </w:tc>
        <w:tc>
          <w:tcPr>
            <w:tcW w:w="350" w:type="pct"/>
            <w:vAlign w:val="center"/>
            <w:hideMark/>
          </w:tcPr>
          <w:p w14:paraId="49F570C4" w14:textId="77777777" w:rsidR="00000000" w:rsidRDefault="004206B0">
            <w:pPr>
              <w:jc w:val="right"/>
              <w:rPr>
                <w:rFonts w:ascii="Arial" w:eastAsia="Times New Roman" w:hAnsi="Arial" w:cs="Arial"/>
                <w:sz w:val="20"/>
                <w:szCs w:val="20"/>
              </w:rPr>
            </w:pPr>
            <w:hyperlink w:anchor="reprot" w:history="1">
              <w:r>
                <w:rPr>
                  <w:rStyle w:val="a4"/>
                  <w:rFonts w:ascii="Arial" w:eastAsia="Times New Roman" w:hAnsi="Arial" w:cs="Arial"/>
                  <w:sz w:val="20"/>
                  <w:szCs w:val="20"/>
                </w:rPr>
                <w:t>F-1</w:t>
              </w:r>
            </w:hyperlink>
          </w:p>
        </w:tc>
      </w:tr>
      <w:tr w:rsidR="00000000" w14:paraId="2E523B8B" w14:textId="77777777">
        <w:trPr>
          <w:divId w:val="1243762978"/>
          <w:tblCellSpacing w:w="0" w:type="dxa"/>
        </w:trPr>
        <w:tc>
          <w:tcPr>
            <w:tcW w:w="4650" w:type="pct"/>
            <w:vAlign w:val="center"/>
            <w:hideMark/>
          </w:tcPr>
          <w:p w14:paraId="12F560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6A71E4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699364E" w14:textId="77777777">
        <w:trPr>
          <w:divId w:val="1243762978"/>
          <w:tblCellSpacing w:w="0" w:type="dxa"/>
        </w:trPr>
        <w:tc>
          <w:tcPr>
            <w:tcW w:w="4650" w:type="pct"/>
            <w:vAlign w:val="center"/>
            <w:hideMark/>
          </w:tcPr>
          <w:p w14:paraId="23C31E16" w14:textId="77777777" w:rsidR="00000000" w:rsidRDefault="004206B0">
            <w:pPr>
              <w:rPr>
                <w:rFonts w:ascii="Arial" w:eastAsia="Times New Roman" w:hAnsi="Arial" w:cs="Arial"/>
                <w:sz w:val="20"/>
                <w:szCs w:val="20"/>
              </w:rPr>
            </w:pPr>
            <w:hyperlink w:anchor="asssets" w:history="1">
              <w:r>
                <w:rPr>
                  <w:rStyle w:val="a4"/>
                  <w:rFonts w:ascii="Arial" w:eastAsia="Times New Roman" w:hAnsi="Arial" w:cs="Arial"/>
                  <w:sz w:val="20"/>
                  <w:szCs w:val="20"/>
                </w:rPr>
                <w:t>Statements of Assets and Liabilities at December 31, 2022 and 2021</w:t>
              </w:r>
            </w:hyperlink>
          </w:p>
        </w:tc>
        <w:tc>
          <w:tcPr>
            <w:tcW w:w="350" w:type="pct"/>
            <w:vAlign w:val="center"/>
            <w:hideMark/>
          </w:tcPr>
          <w:p w14:paraId="0F65FCA0" w14:textId="77777777" w:rsidR="00000000" w:rsidRDefault="004206B0">
            <w:pPr>
              <w:jc w:val="right"/>
              <w:rPr>
                <w:rFonts w:ascii="Arial" w:eastAsia="Times New Roman" w:hAnsi="Arial" w:cs="Arial"/>
                <w:sz w:val="20"/>
                <w:szCs w:val="20"/>
              </w:rPr>
            </w:pPr>
            <w:hyperlink w:anchor="asssets" w:history="1">
              <w:r>
                <w:rPr>
                  <w:rStyle w:val="a4"/>
                  <w:rFonts w:ascii="Arial" w:eastAsia="Times New Roman" w:hAnsi="Arial" w:cs="Arial"/>
                  <w:sz w:val="20"/>
                  <w:szCs w:val="20"/>
                </w:rPr>
                <w:t>F-3</w:t>
              </w:r>
            </w:hyperlink>
          </w:p>
        </w:tc>
      </w:tr>
      <w:tr w:rsidR="00000000" w14:paraId="5CFBE2AF" w14:textId="77777777">
        <w:trPr>
          <w:divId w:val="1243762978"/>
          <w:tblCellSpacing w:w="0" w:type="dxa"/>
        </w:trPr>
        <w:tc>
          <w:tcPr>
            <w:tcW w:w="4650" w:type="pct"/>
            <w:vAlign w:val="center"/>
            <w:hideMark/>
          </w:tcPr>
          <w:p w14:paraId="4EC5204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7B7545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D07C17E" w14:textId="77777777">
        <w:trPr>
          <w:divId w:val="1243762978"/>
          <w:tblCellSpacing w:w="0" w:type="dxa"/>
        </w:trPr>
        <w:tc>
          <w:tcPr>
            <w:tcW w:w="4650" w:type="pct"/>
            <w:vAlign w:val="center"/>
            <w:hideMark/>
          </w:tcPr>
          <w:p w14:paraId="46344730" w14:textId="77777777" w:rsidR="00000000" w:rsidRDefault="004206B0">
            <w:pPr>
              <w:rPr>
                <w:rFonts w:ascii="Arial" w:eastAsia="Times New Roman" w:hAnsi="Arial" w:cs="Arial"/>
                <w:sz w:val="20"/>
                <w:szCs w:val="20"/>
              </w:rPr>
            </w:pPr>
            <w:hyperlink w:anchor="operatinos" w:history="1">
              <w:r>
                <w:rPr>
                  <w:rStyle w:val="a4"/>
                  <w:rFonts w:ascii="Arial" w:eastAsia="Times New Roman" w:hAnsi="Arial" w:cs="Arial"/>
                  <w:sz w:val="20"/>
                  <w:szCs w:val="20"/>
                </w:rPr>
                <w:t>Statements of Operations for the years ended December 31, 2022, 2021 and 2020</w:t>
              </w:r>
            </w:hyperlink>
          </w:p>
        </w:tc>
        <w:tc>
          <w:tcPr>
            <w:tcW w:w="350" w:type="pct"/>
            <w:vAlign w:val="center"/>
            <w:hideMark/>
          </w:tcPr>
          <w:p w14:paraId="5E9BE0B1" w14:textId="77777777" w:rsidR="00000000" w:rsidRDefault="004206B0">
            <w:pPr>
              <w:jc w:val="right"/>
              <w:rPr>
                <w:rFonts w:ascii="Arial" w:eastAsia="Times New Roman" w:hAnsi="Arial" w:cs="Arial"/>
                <w:sz w:val="20"/>
                <w:szCs w:val="20"/>
              </w:rPr>
            </w:pPr>
            <w:hyperlink w:anchor="operatinos" w:history="1">
              <w:r>
                <w:rPr>
                  <w:rStyle w:val="a4"/>
                  <w:rFonts w:ascii="Arial" w:eastAsia="Times New Roman" w:hAnsi="Arial" w:cs="Arial"/>
                  <w:sz w:val="20"/>
                  <w:szCs w:val="20"/>
                </w:rPr>
                <w:t>F-4</w:t>
              </w:r>
            </w:hyperlink>
          </w:p>
        </w:tc>
      </w:tr>
      <w:tr w:rsidR="00000000" w14:paraId="3E79BFF4" w14:textId="77777777">
        <w:trPr>
          <w:divId w:val="1243762978"/>
          <w:tblCellSpacing w:w="0" w:type="dxa"/>
        </w:trPr>
        <w:tc>
          <w:tcPr>
            <w:tcW w:w="4650" w:type="pct"/>
            <w:vAlign w:val="center"/>
            <w:hideMark/>
          </w:tcPr>
          <w:p w14:paraId="4D96B46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29946F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7DB8E8A" w14:textId="77777777">
        <w:trPr>
          <w:divId w:val="1243762978"/>
          <w:tblCellSpacing w:w="0" w:type="dxa"/>
        </w:trPr>
        <w:tc>
          <w:tcPr>
            <w:tcW w:w="4650" w:type="pct"/>
            <w:vAlign w:val="center"/>
            <w:hideMark/>
          </w:tcPr>
          <w:p w14:paraId="5FC5CCBB" w14:textId="77777777" w:rsidR="00000000" w:rsidRDefault="004206B0">
            <w:pPr>
              <w:rPr>
                <w:rFonts w:ascii="Arial" w:eastAsia="Times New Roman" w:hAnsi="Arial" w:cs="Arial"/>
                <w:sz w:val="20"/>
                <w:szCs w:val="20"/>
              </w:rPr>
            </w:pPr>
            <w:hyperlink w:anchor="changesinnet" w:history="1">
              <w:r>
                <w:rPr>
                  <w:rStyle w:val="a4"/>
                  <w:rFonts w:ascii="Arial" w:eastAsia="Times New Roman" w:hAnsi="Arial" w:cs="Arial"/>
                  <w:sz w:val="20"/>
                  <w:szCs w:val="20"/>
                </w:rPr>
                <w:t>Statements of Changes in Net Assets for the years ended December 31, 2022, 2021 and 2020</w:t>
              </w:r>
            </w:hyperlink>
          </w:p>
        </w:tc>
        <w:tc>
          <w:tcPr>
            <w:tcW w:w="350" w:type="pct"/>
            <w:vAlign w:val="center"/>
            <w:hideMark/>
          </w:tcPr>
          <w:p w14:paraId="424BFAA6" w14:textId="77777777" w:rsidR="00000000" w:rsidRDefault="004206B0">
            <w:pPr>
              <w:jc w:val="right"/>
              <w:rPr>
                <w:rFonts w:ascii="Arial" w:eastAsia="Times New Roman" w:hAnsi="Arial" w:cs="Arial"/>
                <w:sz w:val="20"/>
                <w:szCs w:val="20"/>
              </w:rPr>
            </w:pPr>
            <w:hyperlink w:anchor="changesinnet" w:history="1">
              <w:r>
                <w:rPr>
                  <w:rStyle w:val="a4"/>
                  <w:rFonts w:ascii="Arial" w:eastAsia="Times New Roman" w:hAnsi="Arial" w:cs="Arial"/>
                  <w:sz w:val="20"/>
                  <w:szCs w:val="20"/>
                </w:rPr>
                <w:t>F-5</w:t>
              </w:r>
            </w:hyperlink>
          </w:p>
        </w:tc>
      </w:tr>
      <w:tr w:rsidR="00000000" w14:paraId="5B02A68D" w14:textId="77777777">
        <w:trPr>
          <w:divId w:val="1243762978"/>
          <w:tblCellSpacing w:w="0" w:type="dxa"/>
        </w:trPr>
        <w:tc>
          <w:tcPr>
            <w:tcW w:w="4650" w:type="pct"/>
            <w:vAlign w:val="center"/>
            <w:hideMark/>
          </w:tcPr>
          <w:p w14:paraId="3CF834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1915239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D347B89" w14:textId="77777777">
        <w:trPr>
          <w:divId w:val="1243762978"/>
          <w:tblCellSpacing w:w="0" w:type="dxa"/>
        </w:trPr>
        <w:tc>
          <w:tcPr>
            <w:tcW w:w="4650" w:type="pct"/>
            <w:vAlign w:val="center"/>
            <w:hideMark/>
          </w:tcPr>
          <w:p w14:paraId="0FBC5B7F" w14:textId="77777777" w:rsidR="00000000" w:rsidRDefault="004206B0">
            <w:pPr>
              <w:rPr>
                <w:rFonts w:ascii="Arial" w:eastAsia="Times New Roman" w:hAnsi="Arial" w:cs="Arial"/>
                <w:sz w:val="20"/>
                <w:szCs w:val="20"/>
              </w:rPr>
            </w:pPr>
            <w:hyperlink w:anchor="cashflow" w:history="1">
              <w:r>
                <w:rPr>
                  <w:rStyle w:val="a4"/>
                  <w:rFonts w:ascii="Arial" w:eastAsia="Times New Roman" w:hAnsi="Arial" w:cs="Arial"/>
                  <w:sz w:val="20"/>
                  <w:szCs w:val="20"/>
                </w:rPr>
                <w:t>Statements of Cash Flows for the years ended December 31, 2022, 2021 and 2020</w:t>
              </w:r>
            </w:hyperlink>
          </w:p>
        </w:tc>
        <w:tc>
          <w:tcPr>
            <w:tcW w:w="350" w:type="pct"/>
            <w:vAlign w:val="center"/>
            <w:hideMark/>
          </w:tcPr>
          <w:p w14:paraId="480EDCAC" w14:textId="77777777" w:rsidR="00000000" w:rsidRDefault="004206B0">
            <w:pPr>
              <w:jc w:val="right"/>
              <w:rPr>
                <w:rFonts w:ascii="Arial" w:eastAsia="Times New Roman" w:hAnsi="Arial" w:cs="Arial"/>
                <w:sz w:val="20"/>
                <w:szCs w:val="20"/>
              </w:rPr>
            </w:pPr>
            <w:hyperlink w:anchor="cashflow" w:history="1">
              <w:r>
                <w:rPr>
                  <w:rStyle w:val="a4"/>
                  <w:rFonts w:ascii="Arial" w:eastAsia="Times New Roman" w:hAnsi="Arial" w:cs="Arial"/>
                  <w:sz w:val="20"/>
                  <w:szCs w:val="20"/>
                </w:rPr>
                <w:t>F-6</w:t>
              </w:r>
            </w:hyperlink>
          </w:p>
        </w:tc>
      </w:tr>
      <w:tr w:rsidR="00000000" w14:paraId="7F7D638A" w14:textId="77777777">
        <w:trPr>
          <w:divId w:val="1243762978"/>
          <w:tblCellSpacing w:w="0" w:type="dxa"/>
        </w:trPr>
        <w:tc>
          <w:tcPr>
            <w:tcW w:w="4650" w:type="pct"/>
            <w:vAlign w:val="center"/>
            <w:hideMark/>
          </w:tcPr>
          <w:p w14:paraId="61743A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430059A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E33985C" w14:textId="77777777">
        <w:trPr>
          <w:divId w:val="1243762978"/>
          <w:tblCellSpacing w:w="0" w:type="dxa"/>
        </w:trPr>
        <w:tc>
          <w:tcPr>
            <w:tcW w:w="4650" w:type="pct"/>
            <w:vAlign w:val="center"/>
            <w:hideMark/>
          </w:tcPr>
          <w:p w14:paraId="0860A497" w14:textId="77777777" w:rsidR="00000000" w:rsidRDefault="004206B0">
            <w:pPr>
              <w:rPr>
                <w:rFonts w:ascii="Arial" w:eastAsia="Times New Roman" w:hAnsi="Arial" w:cs="Arial"/>
                <w:sz w:val="20"/>
                <w:szCs w:val="20"/>
              </w:rPr>
            </w:pPr>
            <w:hyperlink w:anchor="schedules" w:history="1">
              <w:r>
                <w:rPr>
                  <w:rStyle w:val="a4"/>
                  <w:rFonts w:ascii="Arial" w:eastAsia="Times New Roman" w:hAnsi="Arial" w:cs="Arial"/>
                  <w:sz w:val="20"/>
                  <w:szCs w:val="20"/>
                </w:rPr>
                <w:t>Schedules of Investments at December 31,</w:t>
              </w:r>
              <w:r>
                <w:rPr>
                  <w:rStyle w:val="a4"/>
                  <w:rFonts w:ascii="Arial" w:eastAsia="Times New Roman" w:hAnsi="Arial" w:cs="Arial"/>
                  <w:sz w:val="20"/>
                  <w:szCs w:val="20"/>
                </w:rPr>
                <w:t xml:space="preserve"> 2022 and 2021</w:t>
              </w:r>
            </w:hyperlink>
          </w:p>
        </w:tc>
        <w:tc>
          <w:tcPr>
            <w:tcW w:w="350" w:type="pct"/>
            <w:vAlign w:val="center"/>
            <w:hideMark/>
          </w:tcPr>
          <w:p w14:paraId="7E96E747" w14:textId="77777777" w:rsidR="00000000" w:rsidRDefault="004206B0">
            <w:pPr>
              <w:jc w:val="right"/>
              <w:rPr>
                <w:rFonts w:ascii="Arial" w:eastAsia="Times New Roman" w:hAnsi="Arial" w:cs="Arial"/>
                <w:sz w:val="20"/>
                <w:szCs w:val="20"/>
              </w:rPr>
            </w:pPr>
            <w:hyperlink w:anchor="schedules" w:history="1">
              <w:r>
                <w:rPr>
                  <w:rStyle w:val="a4"/>
                  <w:rFonts w:ascii="Arial" w:eastAsia="Times New Roman" w:hAnsi="Arial" w:cs="Arial"/>
                  <w:sz w:val="20"/>
                  <w:szCs w:val="20"/>
                </w:rPr>
                <w:t>F-7</w:t>
              </w:r>
            </w:hyperlink>
          </w:p>
        </w:tc>
      </w:tr>
      <w:tr w:rsidR="00000000" w14:paraId="015947CD" w14:textId="77777777">
        <w:trPr>
          <w:divId w:val="1243762978"/>
          <w:tblCellSpacing w:w="0" w:type="dxa"/>
        </w:trPr>
        <w:tc>
          <w:tcPr>
            <w:tcW w:w="4650" w:type="pct"/>
            <w:vAlign w:val="center"/>
            <w:hideMark/>
          </w:tcPr>
          <w:p w14:paraId="1C68EE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0084CA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301FF03" w14:textId="77777777">
        <w:trPr>
          <w:divId w:val="1243762978"/>
          <w:tblCellSpacing w:w="0" w:type="dxa"/>
        </w:trPr>
        <w:tc>
          <w:tcPr>
            <w:tcW w:w="4650" w:type="pct"/>
            <w:vAlign w:val="center"/>
            <w:hideMark/>
          </w:tcPr>
          <w:p w14:paraId="592438E6" w14:textId="77777777" w:rsidR="00000000" w:rsidRDefault="004206B0">
            <w:pPr>
              <w:rPr>
                <w:rFonts w:ascii="Arial" w:eastAsia="Times New Roman" w:hAnsi="Arial" w:cs="Arial"/>
                <w:sz w:val="20"/>
                <w:szCs w:val="20"/>
              </w:rPr>
            </w:pPr>
            <w:hyperlink w:anchor="notes" w:history="1">
              <w:r>
                <w:rPr>
                  <w:rStyle w:val="a4"/>
                  <w:rFonts w:ascii="Arial" w:eastAsia="Times New Roman" w:hAnsi="Arial" w:cs="Arial"/>
                  <w:sz w:val="20"/>
                  <w:szCs w:val="20"/>
                </w:rPr>
                <w:t>Notes to Financial Statements</w:t>
              </w:r>
            </w:hyperlink>
          </w:p>
        </w:tc>
        <w:tc>
          <w:tcPr>
            <w:tcW w:w="350" w:type="pct"/>
            <w:vAlign w:val="center"/>
            <w:hideMark/>
          </w:tcPr>
          <w:p w14:paraId="5DA7A216" w14:textId="77777777" w:rsidR="00000000" w:rsidRDefault="004206B0">
            <w:pPr>
              <w:jc w:val="right"/>
              <w:rPr>
                <w:rFonts w:ascii="Arial" w:eastAsia="Times New Roman" w:hAnsi="Arial" w:cs="Arial"/>
                <w:sz w:val="20"/>
                <w:szCs w:val="20"/>
              </w:rPr>
            </w:pPr>
            <w:hyperlink w:anchor="notes" w:history="1">
              <w:r>
                <w:rPr>
                  <w:rStyle w:val="a4"/>
                  <w:rFonts w:ascii="Arial" w:eastAsia="Times New Roman" w:hAnsi="Arial" w:cs="Arial"/>
                  <w:sz w:val="20"/>
                  <w:szCs w:val="20"/>
                </w:rPr>
                <w:t>F-9</w:t>
              </w:r>
            </w:hyperlink>
          </w:p>
        </w:tc>
      </w:tr>
    </w:tbl>
    <w:p w14:paraId="7EA0C178"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782B1F50" w14:textId="77777777" w:rsidR="00000000" w:rsidRDefault="004206B0">
      <w:pPr>
        <w:jc w:val="center"/>
        <w:divId w:val="862940729"/>
        <w:rPr>
          <w:rFonts w:ascii="Arial" w:eastAsia="Times New Roman" w:hAnsi="Arial" w:cs="Arial"/>
          <w:sz w:val="20"/>
          <w:szCs w:val="20"/>
        </w:rPr>
      </w:pPr>
      <w:r>
        <w:rPr>
          <w:rFonts w:ascii="Arial" w:eastAsia="Times New Roman" w:hAnsi="Arial" w:cs="Arial"/>
          <w:sz w:val="20"/>
          <w:szCs w:val="20"/>
        </w:rPr>
        <w:t xml:space="preserve">36 </w:t>
      </w:r>
    </w:p>
    <w:p w14:paraId="295D479C" w14:textId="77777777" w:rsidR="00000000" w:rsidRDefault="004206B0">
      <w:pPr>
        <w:divId w:val="688993443"/>
        <w:rPr>
          <w:rFonts w:eastAsia="Times New Roman"/>
          <w:sz w:val="20"/>
          <w:szCs w:val="20"/>
        </w:rPr>
      </w:pPr>
      <w:r>
        <w:rPr>
          <w:rFonts w:eastAsia="Times New Roman"/>
          <w:sz w:val="20"/>
          <w:szCs w:val="20"/>
        </w:rPr>
        <w:pict w14:anchorId="616D6A60">
          <v:rect id="_x0000_i1077" style="width:415.3pt;height:1.5pt" o:hralign="center" o:hrstd="t" o:hrnoshade="t" o:hr="t" fillcolor="black" stroked="f"/>
        </w:pict>
      </w:r>
    </w:p>
    <w:p w14:paraId="7A90F5C6" w14:textId="77777777" w:rsidR="00000000" w:rsidRDefault="004206B0">
      <w:pPr>
        <w:divId w:val="466821510"/>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26319F6C" w14:textId="77777777" w:rsidR="00000000" w:rsidRDefault="004206B0">
      <w:pPr>
        <w:divId w:val="1593313647"/>
        <w:rPr>
          <w:rFonts w:eastAsia="Times New Roman"/>
          <w:sz w:val="20"/>
          <w:szCs w:val="20"/>
        </w:rPr>
      </w:pPr>
      <w:r>
        <w:rPr>
          <w:rFonts w:eastAsia="Times New Roman"/>
          <w:sz w:val="20"/>
          <w:szCs w:val="20"/>
        </w:rPr>
        <w:t xml:space="preserve">  </w:t>
      </w:r>
    </w:p>
    <w:p w14:paraId="58BDBAB0" w14:textId="77777777" w:rsidR="00000000" w:rsidRDefault="004206B0">
      <w:pPr>
        <w:divId w:val="1648781745"/>
        <w:rPr>
          <w:rFonts w:eastAsia="Times New Roman"/>
          <w:sz w:val="20"/>
          <w:szCs w:val="20"/>
        </w:rPr>
      </w:pPr>
      <w:r>
        <w:rPr>
          <w:rFonts w:eastAsia="Times New Roman"/>
          <w:sz w:val="20"/>
          <w:szCs w:val="20"/>
        </w:rPr>
        <w:t xml:space="preserve">  </w:t>
      </w:r>
    </w:p>
    <w:p w14:paraId="01AFE495" w14:textId="77777777" w:rsidR="00000000" w:rsidRDefault="004206B0">
      <w:pPr>
        <w:pStyle w:val="a3"/>
        <w:spacing w:before="0" w:beforeAutospacing="0" w:after="0" w:afterAutospacing="0"/>
        <w:divId w:val="1243762978"/>
        <w:rPr>
          <w:sz w:val="20"/>
          <w:szCs w:val="20"/>
        </w:rPr>
      </w:pPr>
      <w:r>
        <w:rPr>
          <w:sz w:val="20"/>
          <w:szCs w:val="20"/>
        </w:rPr>
        <w:t> </w:t>
      </w:r>
    </w:p>
    <w:p w14:paraId="53E0D828" w14:textId="77777777" w:rsidR="00000000" w:rsidRDefault="004206B0">
      <w:pPr>
        <w:pStyle w:val="a3"/>
        <w:spacing w:before="0" w:beforeAutospacing="0" w:after="0" w:afterAutospacing="0"/>
        <w:jc w:val="center"/>
        <w:divId w:val="1243762978"/>
        <w:rPr>
          <w:rFonts w:ascii="Arial" w:hAnsi="Arial" w:cs="Arial"/>
        </w:rPr>
      </w:pPr>
      <w:r>
        <w:rPr>
          <w:rFonts w:ascii="Arial" w:hAnsi="Arial" w:cs="Arial"/>
          <w:b/>
          <w:bCs/>
        </w:rPr>
        <w:t>Report of Independent Registered Public Accounting Firm</w:t>
      </w:r>
    </w:p>
    <w:p w14:paraId="73D160EE"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4280789B"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To the Sponsor and Shareholders of</w:t>
      </w:r>
    </w:p>
    <w:p w14:paraId="559FACBF"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iShares S&amp;P GSCI™ Commodity-Indexed Trust</w:t>
      </w:r>
    </w:p>
    <w:p w14:paraId="69B2FE71"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12D813D7"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b/>
          <w:bCs/>
          <w:i/>
          <w:iCs/>
          <w:sz w:val="20"/>
          <w:szCs w:val="20"/>
        </w:rPr>
        <w:t>Opinions on the Financial Statements and Internal Control over Financial Reportin</w:t>
      </w:r>
      <w:r>
        <w:rPr>
          <w:rFonts w:ascii="Arial" w:hAnsi="Arial" w:cs="Arial"/>
          <w:b/>
          <w:bCs/>
          <w:i/>
          <w:iCs/>
          <w:sz w:val="20"/>
          <w:szCs w:val="20"/>
        </w:rPr>
        <w:t>g</w:t>
      </w:r>
    </w:p>
    <w:p w14:paraId="067DC9F8"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22B9DEAD"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We have audited the accompanying statements of assets and liabilities, including the schedules of investments, of iShares S&amp;P GSCI™ Commodity</w:t>
      </w:r>
      <w:r>
        <w:rPr>
          <w:rFonts w:ascii="Arial" w:hAnsi="Arial" w:cs="Arial"/>
          <w:sz w:val="20"/>
          <w:szCs w:val="20"/>
        </w:rPr>
        <w:noBreakHyphen/>
        <w:t>Indexed Trust (the “Trust”) as of December 31, 2022 and 2021, and the related statements of operations, change</w:t>
      </w:r>
      <w:r>
        <w:rPr>
          <w:rFonts w:ascii="Arial" w:hAnsi="Arial" w:cs="Arial"/>
          <w:sz w:val="20"/>
          <w:szCs w:val="20"/>
        </w:rPr>
        <w:t>s in net assets, and cash flows for each of the three years in the period ended December 31, 2022, including the related notes (collectively referred to as the “financial statements”). We also have audited the Trust’s internal control over financial report</w:t>
      </w:r>
      <w:r>
        <w:rPr>
          <w:rFonts w:ascii="Arial" w:hAnsi="Arial" w:cs="Arial"/>
          <w:sz w:val="20"/>
          <w:szCs w:val="20"/>
        </w:rPr>
        <w:t xml:space="preserve">ing as of December 31, 2022, based on criteria established in </w:t>
      </w:r>
      <w:r>
        <w:rPr>
          <w:rFonts w:ascii="Arial" w:hAnsi="Arial" w:cs="Arial"/>
          <w:i/>
          <w:iCs/>
          <w:sz w:val="20"/>
          <w:szCs w:val="20"/>
        </w:rPr>
        <w:t xml:space="preserve">Internal Control - Integrated Framework </w:t>
      </w:r>
      <w:r>
        <w:rPr>
          <w:rFonts w:ascii="Arial" w:hAnsi="Arial" w:cs="Arial"/>
          <w:sz w:val="20"/>
          <w:szCs w:val="20"/>
        </w:rPr>
        <w:t>(2013) issued by the Committee of Sponsoring Organizations of the Treadway Commission (COSO).</w:t>
      </w:r>
    </w:p>
    <w:p w14:paraId="4FA0536F"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54ADB931"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In our opinion, the financial statements referred to above</w:t>
      </w:r>
      <w:r>
        <w:rPr>
          <w:rFonts w:ascii="Arial" w:hAnsi="Arial" w:cs="Arial"/>
          <w:sz w:val="20"/>
          <w:szCs w:val="20"/>
        </w:rPr>
        <w:t xml:space="preserve"> present fairly, in all material respects, the financial position of the Trust as of December 31, 2022 and 2021</w:t>
      </w:r>
      <w:r>
        <w:rPr>
          <w:rFonts w:ascii="Arial" w:hAnsi="Arial" w:cs="Arial"/>
          <w:b/>
          <w:bCs/>
          <w:sz w:val="20"/>
          <w:szCs w:val="20"/>
        </w:rPr>
        <w:t xml:space="preserve">, </w:t>
      </w:r>
      <w:r>
        <w:rPr>
          <w:rFonts w:ascii="Arial" w:hAnsi="Arial" w:cs="Arial"/>
          <w:sz w:val="20"/>
          <w:szCs w:val="20"/>
        </w:rPr>
        <w:t>and the results of its operations, changes in its net assets, and its cash flows for each of the three years in the period ended December 31, 2</w:t>
      </w:r>
      <w:r>
        <w:rPr>
          <w:rFonts w:ascii="Arial" w:hAnsi="Arial" w:cs="Arial"/>
          <w:sz w:val="20"/>
          <w:szCs w:val="20"/>
        </w:rPr>
        <w:t>022 in conformity with accounting principles generally accepted in the United States of America. Also in our opinion, the Trust maintained, in all material respects, effective internal control over financial reporting as of December 31, 2022, based on crit</w:t>
      </w:r>
      <w:r>
        <w:rPr>
          <w:rFonts w:ascii="Arial" w:hAnsi="Arial" w:cs="Arial"/>
          <w:sz w:val="20"/>
          <w:szCs w:val="20"/>
        </w:rPr>
        <w:t xml:space="preserve">eria established in </w:t>
      </w:r>
      <w:r>
        <w:rPr>
          <w:rFonts w:ascii="Arial" w:hAnsi="Arial" w:cs="Arial"/>
          <w:i/>
          <w:iCs/>
          <w:sz w:val="20"/>
          <w:szCs w:val="20"/>
        </w:rPr>
        <w:t xml:space="preserve">Internal Control - Integrated Framework </w:t>
      </w:r>
      <w:r>
        <w:rPr>
          <w:rFonts w:ascii="Arial" w:hAnsi="Arial" w:cs="Arial"/>
          <w:sz w:val="20"/>
          <w:szCs w:val="20"/>
        </w:rPr>
        <w:t>(2013) issued by the COSO.</w:t>
      </w:r>
    </w:p>
    <w:p w14:paraId="27A66DE9"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36D346B5"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b/>
          <w:bCs/>
          <w:i/>
          <w:iCs/>
          <w:sz w:val="20"/>
          <w:szCs w:val="20"/>
        </w:rPr>
        <w:t>Basis for Opinions</w:t>
      </w:r>
    </w:p>
    <w:p w14:paraId="624C5708"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25B3C079"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The Sponsor’</w:t>
      </w:r>
      <w:r>
        <w:rPr>
          <w:rFonts w:ascii="Arial" w:hAnsi="Arial" w:cs="Arial"/>
          <w:sz w:val="20"/>
          <w:szCs w:val="20"/>
        </w:rPr>
        <w:t>s management is responsible for these financial statements, for maintaining effective internal control over financial reporting, and for its assessment of the effectiveness of internal control over financial reporting, included in Management’s Report on In</w:t>
      </w:r>
      <w:r>
        <w:rPr>
          <w:rFonts w:ascii="Arial" w:hAnsi="Arial" w:cs="Arial"/>
          <w:sz w:val="20"/>
          <w:szCs w:val="20"/>
        </w:rPr>
        <w:t>ternal Control over Financial Reporting appearing under Item 9A. Our responsibility is to express opinions on the Trust’s financial statements and on the Trust’s internal control over financial reporting based on our audits. We are a public accounting firm</w:t>
      </w:r>
      <w:r>
        <w:rPr>
          <w:rFonts w:ascii="Arial" w:hAnsi="Arial" w:cs="Arial"/>
          <w:sz w:val="20"/>
          <w:szCs w:val="20"/>
        </w:rPr>
        <w:t xml:space="preserve"> registered with the Public Company Accounting Oversight Board (United States) (PCAOB) and are required to be independent with respect to the Trust in accordance with the U.S. federal securities laws and the applicable rules and regulations of the Securiti</w:t>
      </w:r>
      <w:r>
        <w:rPr>
          <w:rFonts w:ascii="Arial" w:hAnsi="Arial" w:cs="Arial"/>
          <w:sz w:val="20"/>
          <w:szCs w:val="20"/>
        </w:rPr>
        <w:t>es and Exchange Commission and the PCAOB.</w:t>
      </w:r>
    </w:p>
    <w:p w14:paraId="7BEBB161"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1C00C4C3"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We conducted our audits in accordance with the standards of the PCAOB. Those standards require that we plan and perform the audits to obtain reasonable assurance about whether the financial statements are free of</w:t>
      </w:r>
      <w:r>
        <w:rPr>
          <w:rFonts w:ascii="Arial" w:hAnsi="Arial" w:cs="Arial"/>
          <w:sz w:val="20"/>
          <w:szCs w:val="20"/>
        </w:rPr>
        <w:t xml:space="preserve"> material misstatement, whether due to error or fraud, and whether effective internal control over financial reporting was maintained in all material respects.</w:t>
      </w:r>
    </w:p>
    <w:p w14:paraId="64891D51"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7B369A44"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Our audits of the financial statements included performing procedures to assess the risks of m</w:t>
      </w:r>
      <w:r>
        <w:rPr>
          <w:rFonts w:ascii="Arial" w:hAnsi="Arial" w:cs="Arial"/>
          <w:sz w:val="20"/>
          <w:szCs w:val="20"/>
        </w:rPr>
        <w:t>aterial misstatement of the financial statements, whether due to error or fraud, and performing procedures that respond to those risks. Such procedures included examining, on a test basis, evidence regarding the amounts and disclosures in the financial sta</w:t>
      </w:r>
      <w:r>
        <w:rPr>
          <w:rFonts w:ascii="Arial" w:hAnsi="Arial" w:cs="Arial"/>
          <w:sz w:val="20"/>
          <w:szCs w:val="20"/>
        </w:rPr>
        <w:t>tements. Our audits also included evaluating the accounting principles used and significant estimates made by management, as well as evaluating the overall presentation of the financial statements. Our audit of internal control over financial reporting inc</w:t>
      </w:r>
      <w:r>
        <w:rPr>
          <w:rFonts w:ascii="Arial" w:hAnsi="Arial" w:cs="Arial"/>
          <w:sz w:val="20"/>
          <w:szCs w:val="20"/>
        </w:rPr>
        <w:t xml:space="preserve">luded obtaining an understanding of internal control over financial reporting, assessing the risk that a material weakness exists, and testing and evaluating the design and operating effectiveness of internal control based on the assessed risk. Our audits </w:t>
      </w:r>
      <w:r>
        <w:rPr>
          <w:rFonts w:ascii="Arial" w:hAnsi="Arial" w:cs="Arial"/>
          <w:sz w:val="20"/>
          <w:szCs w:val="20"/>
        </w:rPr>
        <w:t>also included performing such other procedures as we considered necessary in the circumstances. We believe that our audits provide a reasonable basis for our opinions.</w:t>
      </w:r>
    </w:p>
    <w:p w14:paraId="78C92DD8"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58F09D25" w14:textId="77777777" w:rsidR="00000000" w:rsidRDefault="004206B0">
      <w:pPr>
        <w:jc w:val="center"/>
        <w:divId w:val="1652177890"/>
        <w:rPr>
          <w:rFonts w:ascii="Arial" w:eastAsia="Times New Roman" w:hAnsi="Arial" w:cs="Arial"/>
          <w:sz w:val="20"/>
          <w:szCs w:val="20"/>
        </w:rPr>
      </w:pPr>
      <w:r>
        <w:rPr>
          <w:rFonts w:ascii="Arial" w:eastAsia="Times New Roman" w:hAnsi="Arial" w:cs="Arial"/>
          <w:sz w:val="20"/>
          <w:szCs w:val="20"/>
        </w:rPr>
        <w:t xml:space="preserve">F-1 </w:t>
      </w:r>
    </w:p>
    <w:p w14:paraId="21C98104" w14:textId="77777777" w:rsidR="00000000" w:rsidRDefault="004206B0">
      <w:pPr>
        <w:divId w:val="1589119779"/>
        <w:rPr>
          <w:rFonts w:eastAsia="Times New Roman"/>
          <w:sz w:val="20"/>
          <w:szCs w:val="20"/>
        </w:rPr>
      </w:pPr>
      <w:r>
        <w:rPr>
          <w:rFonts w:eastAsia="Times New Roman"/>
          <w:sz w:val="20"/>
          <w:szCs w:val="20"/>
        </w:rPr>
        <w:pict w14:anchorId="3D96D950">
          <v:rect id="_x0000_i1078" style="width:415.3pt;height:1.5pt" o:hralign="center" o:hrstd="t" o:hrnoshade="t" o:hr="t" fillcolor="black" stroked="f"/>
        </w:pict>
      </w:r>
    </w:p>
    <w:p w14:paraId="4A67317F" w14:textId="77777777" w:rsidR="00000000" w:rsidRDefault="004206B0">
      <w:pPr>
        <w:divId w:val="1592350922"/>
        <w:rPr>
          <w:rFonts w:eastAsia="Times New Roman"/>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eastAsia="Times New Roman"/>
          <w:sz w:val="20"/>
          <w:szCs w:val="20"/>
        </w:rPr>
        <w:t xml:space="preserve"> </w:t>
      </w:r>
    </w:p>
    <w:p w14:paraId="73E2B411" w14:textId="77777777" w:rsidR="00000000" w:rsidRDefault="004206B0">
      <w:pPr>
        <w:pStyle w:val="a3"/>
        <w:spacing w:before="0" w:beforeAutospacing="0" w:after="0" w:afterAutospacing="0"/>
        <w:divId w:val="1243762978"/>
        <w:rPr>
          <w:sz w:val="20"/>
          <w:szCs w:val="20"/>
        </w:rPr>
      </w:pPr>
      <w:r>
        <w:rPr>
          <w:sz w:val="20"/>
          <w:szCs w:val="20"/>
        </w:rPr>
        <w:t> </w:t>
      </w:r>
    </w:p>
    <w:p w14:paraId="5B22F5B2"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b/>
          <w:bCs/>
          <w:i/>
          <w:iCs/>
          <w:sz w:val="20"/>
          <w:szCs w:val="20"/>
        </w:rPr>
        <w:t>Definition and Limitations of Internal Control over Financial Reporting</w:t>
      </w:r>
    </w:p>
    <w:p w14:paraId="6738A1E0"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02A70404"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xml:space="preserve">A trust’s internal control over financial reporting is a process designed to provide reasonable assurance regarding the reliability of financial reporting and the preparation </w:t>
      </w:r>
      <w:r>
        <w:rPr>
          <w:rFonts w:ascii="Arial" w:hAnsi="Arial" w:cs="Arial"/>
          <w:sz w:val="20"/>
          <w:szCs w:val="20"/>
        </w:rPr>
        <w:t>of financial statements for external purposes in accordance with generally accepted accounting principles. A trust’s internal control over financial reporting includes those policies and procedures that (i) pertain to the maintenance of records that, in re</w:t>
      </w:r>
      <w:r>
        <w:rPr>
          <w:rFonts w:ascii="Arial" w:hAnsi="Arial" w:cs="Arial"/>
          <w:sz w:val="20"/>
          <w:szCs w:val="20"/>
        </w:rPr>
        <w:t>asonable detail, accurately and fairly reflect the transactions and dispositions of the assets of the Trust</w:t>
      </w:r>
      <w:r>
        <w:rPr>
          <w:rFonts w:ascii="Arial" w:hAnsi="Arial" w:cs="Arial"/>
          <w:sz w:val="20"/>
          <w:szCs w:val="20"/>
        </w:rPr>
        <w:t>;</w:t>
      </w:r>
      <w:r>
        <w:rPr>
          <w:rFonts w:ascii="Arial" w:hAnsi="Arial" w:cs="Arial"/>
          <w:sz w:val="20"/>
          <w:szCs w:val="20"/>
        </w:rPr>
        <w:t xml:space="preserve"> (ii) provide reasonable assurance that transactions are recorded as necessary to permit preparation of financial statements in accordance with gene</w:t>
      </w:r>
      <w:r>
        <w:rPr>
          <w:rFonts w:ascii="Arial" w:hAnsi="Arial" w:cs="Arial"/>
          <w:sz w:val="20"/>
          <w:szCs w:val="20"/>
        </w:rPr>
        <w:t>rally accepted accounting principles, and that receipts and expenditures of the Trust are being made only in accordance with authorizations of the Sponsor’s management and the Sponsor of the Trust</w:t>
      </w:r>
      <w:r>
        <w:rPr>
          <w:rFonts w:ascii="Arial" w:hAnsi="Arial" w:cs="Arial"/>
          <w:sz w:val="20"/>
          <w:szCs w:val="20"/>
        </w:rPr>
        <w:t>;</w:t>
      </w:r>
      <w:r>
        <w:rPr>
          <w:rFonts w:ascii="Arial" w:hAnsi="Arial" w:cs="Arial"/>
          <w:sz w:val="20"/>
          <w:szCs w:val="20"/>
        </w:rPr>
        <w:t xml:space="preserve"> and (iii) provide reasonable assurance regarding preventio</w:t>
      </w:r>
      <w:r>
        <w:rPr>
          <w:rFonts w:ascii="Arial" w:hAnsi="Arial" w:cs="Arial"/>
          <w:sz w:val="20"/>
          <w:szCs w:val="20"/>
        </w:rPr>
        <w:t>n or timely detection of unauthorized acquisition, use, or disposition of the Trust’s assets that could have a material effect on the financial statements.</w:t>
      </w:r>
    </w:p>
    <w:p w14:paraId="5C51C7AC"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4865F07F"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xml:space="preserve">Because of its inherent limitations, internal control over financial reporting may not prevent or </w:t>
      </w:r>
      <w:r>
        <w:rPr>
          <w:rFonts w:ascii="Arial" w:hAnsi="Arial" w:cs="Arial"/>
          <w:sz w:val="20"/>
          <w:szCs w:val="20"/>
        </w:rPr>
        <w:t xml:space="preserve">detect misstatements. Also, projections of any evaluation of effectiveness to future periods are subject to the risk that controls may become inadequate because of changes in conditions, or that the degree of compliance with the policies or procedures may </w:t>
      </w:r>
      <w:r>
        <w:rPr>
          <w:rFonts w:ascii="Arial" w:hAnsi="Arial" w:cs="Arial"/>
          <w:sz w:val="20"/>
          <w:szCs w:val="20"/>
        </w:rPr>
        <w:t>deteriorate.</w:t>
      </w:r>
    </w:p>
    <w:p w14:paraId="09C80EE8"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5AF09ACB"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b/>
          <w:bCs/>
          <w:i/>
          <w:iCs/>
          <w:sz w:val="20"/>
          <w:szCs w:val="20"/>
        </w:rPr>
        <w:t>Critical Audit Matters</w:t>
      </w:r>
    </w:p>
    <w:p w14:paraId="5B6F46A5"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56F60D2B"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Critical audit matters are matters arising from the current period audit of the financial statements that were communicated or required to be communicated to the audit committee and that (i) relate to accounts or dis</w:t>
      </w:r>
      <w:r>
        <w:rPr>
          <w:rFonts w:ascii="Arial" w:hAnsi="Arial" w:cs="Arial"/>
          <w:sz w:val="20"/>
          <w:szCs w:val="20"/>
        </w:rPr>
        <w:t>closures that are material to the financial statements and (ii) involved our especially challenging, subjective, or complex judgments. We determined there are no critical audit matters.</w:t>
      </w:r>
    </w:p>
    <w:p w14:paraId="386413AC"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72537A48"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07872355"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/s/ PricewaterhouseCoopers LLP</w:t>
      </w:r>
    </w:p>
    <w:p w14:paraId="66631B10"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Philadelphia, Pennsylvania</w:t>
      </w:r>
    </w:p>
    <w:p w14:paraId="031234F2"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February</w:t>
      </w:r>
      <w:r>
        <w:rPr>
          <w:rFonts w:ascii="Arial" w:hAnsi="Arial" w:cs="Arial"/>
          <w:sz w:val="20"/>
          <w:szCs w:val="20"/>
        </w:rPr>
        <w:t xml:space="preserve"> 23, 2023</w:t>
      </w:r>
    </w:p>
    <w:p w14:paraId="6C85CC40"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63F9B720"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We have served as the Trust’s auditor since 2006.</w:t>
      </w:r>
    </w:p>
    <w:p w14:paraId="7DF32B8D" w14:textId="77777777" w:rsidR="00000000" w:rsidRDefault="004206B0">
      <w:pPr>
        <w:pStyle w:val="a3"/>
        <w:spacing w:before="0" w:beforeAutospacing="0" w:after="0" w:afterAutospacing="0"/>
        <w:divId w:val="1243762978"/>
        <w:rPr>
          <w:rFonts w:ascii="Arial" w:hAnsi="Arial" w:cs="Arial"/>
          <w:sz w:val="20"/>
          <w:szCs w:val="20"/>
        </w:rPr>
      </w:pPr>
      <w:r>
        <w:rPr>
          <w:rFonts w:ascii="Arial" w:hAnsi="Arial" w:cs="Arial"/>
          <w:sz w:val="20"/>
          <w:szCs w:val="20"/>
        </w:rPr>
        <w:t> </w:t>
      </w:r>
    </w:p>
    <w:p w14:paraId="74DAB3C2" w14:textId="77777777" w:rsidR="00000000" w:rsidRDefault="004206B0">
      <w:pPr>
        <w:jc w:val="center"/>
        <w:divId w:val="1248537501"/>
        <w:rPr>
          <w:rFonts w:ascii="Arial" w:eastAsia="Times New Roman" w:hAnsi="Arial" w:cs="Arial"/>
          <w:sz w:val="20"/>
          <w:szCs w:val="20"/>
        </w:rPr>
      </w:pPr>
      <w:r>
        <w:rPr>
          <w:rFonts w:ascii="Arial" w:eastAsia="Times New Roman" w:hAnsi="Arial" w:cs="Arial"/>
          <w:sz w:val="20"/>
          <w:szCs w:val="20"/>
        </w:rPr>
        <w:t xml:space="preserve">F-2 </w:t>
      </w:r>
    </w:p>
    <w:p w14:paraId="052F1D48" w14:textId="77777777" w:rsidR="00000000" w:rsidRDefault="004206B0">
      <w:pPr>
        <w:divId w:val="1427729761"/>
        <w:rPr>
          <w:rFonts w:eastAsia="Times New Roman"/>
          <w:sz w:val="20"/>
          <w:szCs w:val="20"/>
        </w:rPr>
      </w:pPr>
      <w:r>
        <w:rPr>
          <w:rFonts w:eastAsia="Times New Roman"/>
          <w:sz w:val="20"/>
          <w:szCs w:val="20"/>
        </w:rPr>
        <w:pict w14:anchorId="5F1BB63D">
          <v:rect id="_x0000_i1079" style="width:415.3pt;height:1.5pt" o:hralign="center" o:hrstd="t" o:hrnoshade="t" o:hr="t" fillcolor="black" stroked="f"/>
        </w:pict>
      </w:r>
    </w:p>
    <w:p w14:paraId="7B82F3BF" w14:textId="77777777" w:rsidR="00000000" w:rsidRDefault="004206B0">
      <w:pPr>
        <w:divId w:val="1010108025"/>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69CDE71C" w14:textId="77777777" w:rsidR="00000000" w:rsidRDefault="004206B0">
      <w:pPr>
        <w:pStyle w:val="a3"/>
        <w:spacing w:before="0" w:beforeAutospacing="0" w:after="0" w:afterAutospacing="0"/>
        <w:divId w:val="1243762978"/>
        <w:rPr>
          <w:sz w:val="20"/>
          <w:szCs w:val="20"/>
        </w:rPr>
      </w:pPr>
      <w:r>
        <w:rPr>
          <w:sz w:val="20"/>
          <w:szCs w:val="20"/>
        </w:rPr>
        <w:t> </w:t>
      </w:r>
    </w:p>
    <w:p w14:paraId="1B281FC6" w14:textId="77777777" w:rsidR="00000000" w:rsidRDefault="004206B0">
      <w:pPr>
        <w:divId w:val="851532565"/>
        <w:rPr>
          <w:rFonts w:eastAsia="Times New Roman"/>
          <w:sz w:val="20"/>
          <w:szCs w:val="20"/>
        </w:rPr>
      </w:pPr>
      <w:r>
        <w:rPr>
          <w:rFonts w:eastAsia="Times New Roman"/>
          <w:sz w:val="20"/>
          <w:szCs w:val="20"/>
        </w:rPr>
        <w:t xml:space="preserve">  </w:t>
      </w:r>
    </w:p>
    <w:p w14:paraId="6D57B96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14:paraId="5970B9C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Liabilities</w:t>
      </w:r>
    </w:p>
    <w:p w14:paraId="5492D50A"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At December 31, 2022 and 2021</w:t>
      </w:r>
    </w:p>
    <w:p w14:paraId="2003B5C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298"/>
        <w:gridCol w:w="56"/>
        <w:gridCol w:w="112"/>
        <w:gridCol w:w="1280"/>
        <w:gridCol w:w="56"/>
        <w:gridCol w:w="56"/>
        <w:gridCol w:w="112"/>
        <w:gridCol w:w="1280"/>
        <w:gridCol w:w="56"/>
      </w:tblGrid>
      <w:tr w:rsidR="00000000" w14:paraId="63D3FBEB" w14:textId="77777777">
        <w:trPr>
          <w:divId w:val="1373533101"/>
          <w:tblCellSpacing w:w="0" w:type="dxa"/>
        </w:trPr>
        <w:tc>
          <w:tcPr>
            <w:tcW w:w="0" w:type="auto"/>
            <w:vAlign w:val="bottom"/>
            <w:hideMark/>
          </w:tcPr>
          <w:p w14:paraId="49606DC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13603BC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6DE1AB30"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December 31,</w:t>
            </w:r>
          </w:p>
        </w:tc>
        <w:tc>
          <w:tcPr>
            <w:tcW w:w="0" w:type="auto"/>
            <w:tcMar>
              <w:top w:w="0" w:type="dxa"/>
              <w:left w:w="0" w:type="dxa"/>
              <w:bottom w:w="15" w:type="dxa"/>
              <w:right w:w="0" w:type="dxa"/>
            </w:tcMar>
            <w:vAlign w:val="bottom"/>
            <w:hideMark/>
          </w:tcPr>
          <w:p w14:paraId="05713A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61ABAE7" w14:textId="77777777">
        <w:trPr>
          <w:divId w:val="1373533101"/>
          <w:tblCellSpacing w:w="0" w:type="dxa"/>
        </w:trPr>
        <w:tc>
          <w:tcPr>
            <w:tcW w:w="0" w:type="auto"/>
            <w:vAlign w:val="bottom"/>
            <w:hideMark/>
          </w:tcPr>
          <w:p w14:paraId="567444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456E422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1ED9543"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2022</w:t>
            </w:r>
          </w:p>
        </w:tc>
        <w:tc>
          <w:tcPr>
            <w:tcW w:w="0" w:type="auto"/>
            <w:tcMar>
              <w:top w:w="0" w:type="dxa"/>
              <w:left w:w="0" w:type="dxa"/>
              <w:bottom w:w="15" w:type="dxa"/>
              <w:right w:w="0" w:type="dxa"/>
            </w:tcMar>
            <w:vAlign w:val="bottom"/>
            <w:hideMark/>
          </w:tcPr>
          <w:p w14:paraId="0283E7D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960BA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ECF6EDB"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2021</w:t>
            </w:r>
          </w:p>
        </w:tc>
        <w:tc>
          <w:tcPr>
            <w:tcW w:w="0" w:type="auto"/>
            <w:tcMar>
              <w:top w:w="0" w:type="dxa"/>
              <w:left w:w="0" w:type="dxa"/>
              <w:bottom w:w="15" w:type="dxa"/>
              <w:right w:w="0" w:type="dxa"/>
            </w:tcMar>
            <w:vAlign w:val="bottom"/>
            <w:hideMark/>
          </w:tcPr>
          <w:p w14:paraId="66DC8D0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4C3F2CD" w14:textId="77777777">
        <w:trPr>
          <w:divId w:val="1373533101"/>
          <w:tblCellSpacing w:w="0" w:type="dxa"/>
        </w:trPr>
        <w:tc>
          <w:tcPr>
            <w:tcW w:w="3500" w:type="pct"/>
            <w:shd w:val="clear" w:color="auto" w:fill="CCEEFF"/>
            <w:vAlign w:val="bottom"/>
            <w:hideMark/>
          </w:tcPr>
          <w:p w14:paraId="3A8111B3"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0" w:type="auto"/>
            <w:shd w:val="clear" w:color="auto" w:fill="CCEEFF"/>
            <w:vAlign w:val="bottom"/>
            <w:hideMark/>
          </w:tcPr>
          <w:p w14:paraId="0490DB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43F489B"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AD131E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673813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83029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ABC2C9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006722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256BE0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2F40516A" w14:textId="77777777">
        <w:trPr>
          <w:divId w:val="1373533101"/>
          <w:tblCellSpacing w:w="0" w:type="dxa"/>
        </w:trPr>
        <w:tc>
          <w:tcPr>
            <w:tcW w:w="0" w:type="auto"/>
            <w:shd w:val="clear" w:color="auto" w:fill="FFFFFF"/>
            <w:vAlign w:val="bottom"/>
            <w:hideMark/>
          </w:tcPr>
          <w:p w14:paraId="0C4659B8"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14:paraId="01EC8E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B2100B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6C24E51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5,181,064</w:t>
            </w:r>
          </w:p>
        </w:tc>
        <w:tc>
          <w:tcPr>
            <w:tcW w:w="50" w:type="pct"/>
            <w:shd w:val="clear" w:color="auto" w:fill="FFFFFF"/>
            <w:vAlign w:val="bottom"/>
            <w:hideMark/>
          </w:tcPr>
          <w:p w14:paraId="5E7488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79EDF8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F2E05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549450D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FFFFFF"/>
            <w:vAlign w:val="bottom"/>
            <w:hideMark/>
          </w:tcPr>
          <w:p w14:paraId="58EDA0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69AD3F4" w14:textId="77777777">
        <w:trPr>
          <w:divId w:val="1373533101"/>
          <w:tblCellSpacing w:w="0" w:type="dxa"/>
        </w:trPr>
        <w:tc>
          <w:tcPr>
            <w:tcW w:w="0" w:type="auto"/>
            <w:shd w:val="clear" w:color="auto" w:fill="CCEEFF"/>
            <w:vAlign w:val="bottom"/>
            <w:hideMark/>
          </w:tcPr>
          <w:p w14:paraId="51802C45"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w:t>
            </w:r>
            <w:r>
              <w:rPr>
                <w:rFonts w:ascii="Arial" w:hAnsi="Arial" w:cs="Arial"/>
                <w:sz w:val="12"/>
                <w:szCs w:val="12"/>
              </w:rPr>
              <w:t>(a)</w:t>
            </w:r>
          </w:p>
        </w:tc>
        <w:tc>
          <w:tcPr>
            <w:tcW w:w="50" w:type="pct"/>
            <w:shd w:val="clear" w:color="auto" w:fill="CCEEFF"/>
            <w:vAlign w:val="bottom"/>
            <w:hideMark/>
          </w:tcPr>
          <w:p w14:paraId="3D2F27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1CDA7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EF6CA3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1,100,309,661</w:t>
            </w:r>
          </w:p>
        </w:tc>
        <w:tc>
          <w:tcPr>
            <w:tcW w:w="50" w:type="pct"/>
            <w:shd w:val="clear" w:color="auto" w:fill="CCEEFF"/>
            <w:vAlign w:val="bottom"/>
            <w:hideMark/>
          </w:tcPr>
          <w:p w14:paraId="6CB9AEB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71C9C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55A8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31C409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1,412,803,235</w:t>
            </w:r>
          </w:p>
        </w:tc>
        <w:tc>
          <w:tcPr>
            <w:tcW w:w="50" w:type="pct"/>
            <w:shd w:val="clear" w:color="auto" w:fill="CCEEFF"/>
            <w:vAlign w:val="bottom"/>
            <w:hideMark/>
          </w:tcPr>
          <w:p w14:paraId="1DE6496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D0D1D68" w14:textId="77777777">
        <w:trPr>
          <w:divId w:val="1373533101"/>
          <w:tblCellSpacing w:w="0" w:type="dxa"/>
        </w:trPr>
        <w:tc>
          <w:tcPr>
            <w:tcW w:w="0" w:type="auto"/>
            <w:shd w:val="clear" w:color="auto" w:fill="FFFFFF"/>
            <w:vAlign w:val="bottom"/>
            <w:hideMark/>
          </w:tcPr>
          <w:p w14:paraId="1CC201D2"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broker (restricted)</w:t>
            </w:r>
            <w:r>
              <w:rPr>
                <w:rFonts w:ascii="Arial" w:hAnsi="Arial" w:cs="Arial"/>
                <w:sz w:val="12"/>
                <w:szCs w:val="12"/>
              </w:rPr>
              <w:t>(b)</w:t>
            </w:r>
          </w:p>
        </w:tc>
        <w:tc>
          <w:tcPr>
            <w:tcW w:w="50" w:type="pct"/>
            <w:shd w:val="clear" w:color="auto" w:fill="FFFFFF"/>
            <w:vAlign w:val="bottom"/>
            <w:hideMark/>
          </w:tcPr>
          <w:p w14:paraId="59CCA86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64A24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EB3309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102,037,820</w:t>
            </w:r>
          </w:p>
        </w:tc>
        <w:tc>
          <w:tcPr>
            <w:tcW w:w="50" w:type="pct"/>
            <w:shd w:val="clear" w:color="auto" w:fill="FFFFFF"/>
            <w:vAlign w:val="bottom"/>
            <w:hideMark/>
          </w:tcPr>
          <w:p w14:paraId="3B5D3C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F9D89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5F68C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E81385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85,581,308</w:t>
            </w:r>
          </w:p>
        </w:tc>
        <w:tc>
          <w:tcPr>
            <w:tcW w:w="50" w:type="pct"/>
            <w:shd w:val="clear" w:color="auto" w:fill="FFFFFF"/>
            <w:vAlign w:val="bottom"/>
            <w:hideMark/>
          </w:tcPr>
          <w:p w14:paraId="5E5BA6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B45365E" w14:textId="77777777">
        <w:trPr>
          <w:divId w:val="1373533101"/>
          <w:tblCellSpacing w:w="0" w:type="dxa"/>
        </w:trPr>
        <w:tc>
          <w:tcPr>
            <w:tcW w:w="0" w:type="auto"/>
            <w:shd w:val="clear" w:color="auto" w:fill="CCEEFF"/>
            <w:vAlign w:val="bottom"/>
            <w:hideMark/>
          </w:tcPr>
          <w:p w14:paraId="7B2E0F3F"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14:paraId="310BD6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E2EEFA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9AC35B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14,408,722</w:t>
            </w:r>
          </w:p>
        </w:tc>
        <w:tc>
          <w:tcPr>
            <w:tcW w:w="50" w:type="pct"/>
            <w:shd w:val="clear" w:color="auto" w:fill="CCEEFF"/>
            <w:tcMar>
              <w:top w:w="0" w:type="dxa"/>
              <w:left w:w="0" w:type="dxa"/>
              <w:bottom w:w="15" w:type="dxa"/>
              <w:right w:w="0" w:type="dxa"/>
            </w:tcMar>
            <w:vAlign w:val="bottom"/>
            <w:hideMark/>
          </w:tcPr>
          <w:p w14:paraId="3E950D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21F98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D6E48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AE7A55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63BFAC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3A9D542" w14:textId="77777777">
        <w:trPr>
          <w:divId w:val="1373533101"/>
          <w:tblCellSpacing w:w="0" w:type="dxa"/>
        </w:trPr>
        <w:tc>
          <w:tcPr>
            <w:tcW w:w="0" w:type="auto"/>
            <w:shd w:val="clear" w:color="auto" w:fill="FFFFFF"/>
            <w:vAlign w:val="bottom"/>
            <w:hideMark/>
          </w:tcPr>
          <w:p w14:paraId="39439D4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14:paraId="71F55A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C92333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3FC392F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1,221,937,267</w:t>
            </w:r>
          </w:p>
        </w:tc>
        <w:tc>
          <w:tcPr>
            <w:tcW w:w="50" w:type="pct"/>
            <w:shd w:val="clear" w:color="auto" w:fill="FFFFFF"/>
            <w:tcMar>
              <w:top w:w="0" w:type="dxa"/>
              <w:left w:w="0" w:type="dxa"/>
              <w:bottom w:w="15" w:type="dxa"/>
              <w:right w:w="0" w:type="dxa"/>
            </w:tcMar>
            <w:vAlign w:val="bottom"/>
            <w:hideMark/>
          </w:tcPr>
          <w:p w14:paraId="4CEA847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BE8CE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D564F8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336DA0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1,540,010,117</w:t>
            </w:r>
          </w:p>
        </w:tc>
        <w:tc>
          <w:tcPr>
            <w:tcW w:w="50" w:type="pct"/>
            <w:shd w:val="clear" w:color="auto" w:fill="FFFFFF"/>
            <w:tcMar>
              <w:top w:w="0" w:type="dxa"/>
              <w:left w:w="0" w:type="dxa"/>
              <w:bottom w:w="15" w:type="dxa"/>
              <w:right w:w="0" w:type="dxa"/>
            </w:tcMar>
            <w:vAlign w:val="bottom"/>
            <w:hideMark/>
          </w:tcPr>
          <w:p w14:paraId="2A57C19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C2B4E44" w14:textId="77777777">
        <w:trPr>
          <w:divId w:val="1373533101"/>
          <w:tblCellSpacing w:w="0" w:type="dxa"/>
        </w:trPr>
        <w:tc>
          <w:tcPr>
            <w:tcW w:w="0" w:type="auto"/>
            <w:shd w:val="clear" w:color="auto" w:fill="CCEEFF"/>
            <w:vAlign w:val="bottom"/>
            <w:hideMark/>
          </w:tcPr>
          <w:p w14:paraId="256708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CEAF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2A43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7BA28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217C6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52511B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A24FD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82AAD3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8450D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45BE85D" w14:textId="77777777">
        <w:trPr>
          <w:divId w:val="1373533101"/>
          <w:tblCellSpacing w:w="0" w:type="dxa"/>
        </w:trPr>
        <w:tc>
          <w:tcPr>
            <w:tcW w:w="0" w:type="auto"/>
            <w:shd w:val="clear" w:color="auto" w:fill="FFFFFF"/>
            <w:vAlign w:val="bottom"/>
            <w:hideMark/>
          </w:tcPr>
          <w:p w14:paraId="6466500E"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FFFFFF"/>
            <w:vAlign w:val="bottom"/>
            <w:hideMark/>
          </w:tcPr>
          <w:p w14:paraId="441A229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9AEF91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895C9B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7567F7F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0A1EA4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EA543F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52E227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5ED1C1A"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7B4A278F" w14:textId="77777777">
        <w:trPr>
          <w:divId w:val="1373533101"/>
          <w:tblCellSpacing w:w="0" w:type="dxa"/>
        </w:trPr>
        <w:tc>
          <w:tcPr>
            <w:tcW w:w="0" w:type="auto"/>
            <w:shd w:val="clear" w:color="auto" w:fill="CCEEFF"/>
            <w:vAlign w:val="bottom"/>
            <w:hideMark/>
          </w:tcPr>
          <w:p w14:paraId="44EE063C"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14:paraId="7A720C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454A41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E28F4F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827,410</w:t>
            </w:r>
          </w:p>
        </w:tc>
        <w:tc>
          <w:tcPr>
            <w:tcW w:w="50" w:type="pct"/>
            <w:shd w:val="clear" w:color="auto" w:fill="CCEEFF"/>
            <w:vAlign w:val="bottom"/>
            <w:hideMark/>
          </w:tcPr>
          <w:p w14:paraId="444B12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02763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7EF9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E3A2A9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890,974</w:t>
            </w:r>
          </w:p>
        </w:tc>
        <w:tc>
          <w:tcPr>
            <w:tcW w:w="50" w:type="pct"/>
            <w:shd w:val="clear" w:color="auto" w:fill="CCEEFF"/>
            <w:vAlign w:val="bottom"/>
            <w:hideMark/>
          </w:tcPr>
          <w:p w14:paraId="7880AB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8D2CB2D" w14:textId="77777777">
        <w:trPr>
          <w:divId w:val="1373533101"/>
          <w:tblCellSpacing w:w="0" w:type="dxa"/>
        </w:trPr>
        <w:tc>
          <w:tcPr>
            <w:tcW w:w="0" w:type="auto"/>
            <w:shd w:val="clear" w:color="auto" w:fill="FFFFFF"/>
            <w:vAlign w:val="bottom"/>
            <w:hideMark/>
          </w:tcPr>
          <w:p w14:paraId="66DCA357"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Payable for investment securities purchased</w:t>
            </w:r>
          </w:p>
        </w:tc>
        <w:tc>
          <w:tcPr>
            <w:tcW w:w="50" w:type="pct"/>
            <w:shd w:val="clear" w:color="auto" w:fill="FFFFFF"/>
            <w:vAlign w:val="bottom"/>
            <w:hideMark/>
          </w:tcPr>
          <w:p w14:paraId="39732D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29EB8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E18B6D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52AC2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484C4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7D04F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B34644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FFFFFF"/>
            <w:vAlign w:val="bottom"/>
            <w:hideMark/>
          </w:tcPr>
          <w:p w14:paraId="73F8BF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D9295F6" w14:textId="77777777">
        <w:trPr>
          <w:divId w:val="1373533101"/>
          <w:tblCellSpacing w:w="0" w:type="dxa"/>
        </w:trPr>
        <w:tc>
          <w:tcPr>
            <w:tcW w:w="0" w:type="auto"/>
            <w:shd w:val="clear" w:color="auto" w:fill="CCEEFF"/>
            <w:vAlign w:val="bottom"/>
            <w:hideMark/>
          </w:tcPr>
          <w:p w14:paraId="39C93638"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CCEEFF"/>
            <w:vAlign w:val="bottom"/>
            <w:hideMark/>
          </w:tcPr>
          <w:p w14:paraId="7731D7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E1271A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49F966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6959826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9EC57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AE598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50BC58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CCEEFF"/>
            <w:tcMar>
              <w:top w:w="0" w:type="dxa"/>
              <w:left w:w="0" w:type="dxa"/>
              <w:bottom w:w="15" w:type="dxa"/>
              <w:right w:w="0" w:type="dxa"/>
            </w:tcMar>
            <w:vAlign w:val="bottom"/>
            <w:hideMark/>
          </w:tcPr>
          <w:p w14:paraId="2FA6658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C1510AB" w14:textId="77777777">
        <w:trPr>
          <w:divId w:val="1373533101"/>
          <w:tblCellSpacing w:w="0" w:type="dxa"/>
        </w:trPr>
        <w:tc>
          <w:tcPr>
            <w:tcW w:w="0" w:type="auto"/>
            <w:shd w:val="clear" w:color="auto" w:fill="FFFFFF"/>
            <w:vAlign w:val="bottom"/>
            <w:hideMark/>
          </w:tcPr>
          <w:p w14:paraId="1B8FB9A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FFFFFF"/>
            <w:tcMar>
              <w:top w:w="0" w:type="dxa"/>
              <w:left w:w="0" w:type="dxa"/>
              <w:bottom w:w="15" w:type="dxa"/>
              <w:right w:w="0" w:type="dxa"/>
            </w:tcMar>
            <w:vAlign w:val="bottom"/>
            <w:hideMark/>
          </w:tcPr>
          <w:p w14:paraId="73D16FB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4B6AC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EF509F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827,410</w:t>
            </w:r>
          </w:p>
        </w:tc>
        <w:tc>
          <w:tcPr>
            <w:tcW w:w="50" w:type="pct"/>
            <w:shd w:val="clear" w:color="auto" w:fill="FFFFFF"/>
            <w:tcMar>
              <w:top w:w="0" w:type="dxa"/>
              <w:left w:w="0" w:type="dxa"/>
              <w:bottom w:w="15" w:type="dxa"/>
              <w:right w:w="0" w:type="dxa"/>
            </w:tcMar>
            <w:vAlign w:val="bottom"/>
            <w:hideMark/>
          </w:tcPr>
          <w:p w14:paraId="098CC64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789FD22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64D46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D9A83A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108,200,002</w:t>
            </w:r>
          </w:p>
        </w:tc>
        <w:tc>
          <w:tcPr>
            <w:tcW w:w="50" w:type="pct"/>
            <w:shd w:val="clear" w:color="auto" w:fill="FFFFFF"/>
            <w:tcMar>
              <w:top w:w="0" w:type="dxa"/>
              <w:left w:w="0" w:type="dxa"/>
              <w:bottom w:w="15" w:type="dxa"/>
              <w:right w:w="0" w:type="dxa"/>
            </w:tcMar>
            <w:vAlign w:val="bottom"/>
            <w:hideMark/>
          </w:tcPr>
          <w:p w14:paraId="2BB93AE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C503347" w14:textId="77777777">
        <w:trPr>
          <w:divId w:val="1373533101"/>
          <w:tblCellSpacing w:w="0" w:type="dxa"/>
        </w:trPr>
        <w:tc>
          <w:tcPr>
            <w:tcW w:w="0" w:type="auto"/>
            <w:shd w:val="clear" w:color="auto" w:fill="CCEEFF"/>
            <w:vAlign w:val="bottom"/>
            <w:hideMark/>
          </w:tcPr>
          <w:p w14:paraId="4F2D7A2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EB381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69F47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6D4239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653D3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E9D1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E104A7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205DE5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62ECB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5C30E37" w14:textId="77777777">
        <w:trPr>
          <w:divId w:val="1373533101"/>
          <w:tblCellSpacing w:w="0" w:type="dxa"/>
        </w:trPr>
        <w:tc>
          <w:tcPr>
            <w:tcW w:w="0" w:type="auto"/>
            <w:shd w:val="clear" w:color="auto" w:fill="FFFFFF"/>
            <w:vAlign w:val="bottom"/>
            <w:hideMark/>
          </w:tcPr>
          <w:p w14:paraId="5BCC220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FFFFFF"/>
            <w:vAlign w:val="bottom"/>
            <w:hideMark/>
          </w:tcPr>
          <w:p w14:paraId="414159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322CF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96F1C2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FFFFFF"/>
            <w:vAlign w:val="bottom"/>
            <w:hideMark/>
          </w:tcPr>
          <w:p w14:paraId="66975DC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7F698A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4C13D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3A1132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FFFFFF"/>
            <w:vAlign w:val="bottom"/>
            <w:hideMark/>
          </w:tcPr>
          <w:p w14:paraId="15681A3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EFC5957" w14:textId="77777777">
        <w:trPr>
          <w:divId w:val="1373533101"/>
          <w:tblCellSpacing w:w="0" w:type="dxa"/>
        </w:trPr>
        <w:tc>
          <w:tcPr>
            <w:tcW w:w="0" w:type="auto"/>
            <w:shd w:val="clear" w:color="auto" w:fill="CCEEFF"/>
            <w:vAlign w:val="bottom"/>
            <w:hideMark/>
          </w:tcPr>
          <w:p w14:paraId="37054A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6105B18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327992F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7D08DE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583F94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1A216E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0FA2BCA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712B30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20E2FC7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E935290" w14:textId="77777777">
        <w:trPr>
          <w:divId w:val="1373533101"/>
          <w:tblCellSpacing w:w="0" w:type="dxa"/>
        </w:trPr>
        <w:tc>
          <w:tcPr>
            <w:tcW w:w="0" w:type="auto"/>
            <w:shd w:val="clear" w:color="auto" w:fill="FFFFFF"/>
            <w:vAlign w:val="bottom"/>
            <w:hideMark/>
          </w:tcPr>
          <w:p w14:paraId="71FC3EF6"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FFFFFF"/>
            <w:tcMar>
              <w:top w:w="0" w:type="dxa"/>
              <w:left w:w="0" w:type="dxa"/>
              <w:bottom w:w="45" w:type="dxa"/>
              <w:right w:w="0" w:type="dxa"/>
            </w:tcMar>
            <w:vAlign w:val="bottom"/>
            <w:hideMark/>
          </w:tcPr>
          <w:p w14:paraId="750853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B8504F1"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191B876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1,221,109,857</w:t>
            </w:r>
          </w:p>
        </w:tc>
        <w:tc>
          <w:tcPr>
            <w:tcW w:w="50" w:type="pct"/>
            <w:shd w:val="clear" w:color="auto" w:fill="FFFFFF"/>
            <w:tcMar>
              <w:top w:w="0" w:type="dxa"/>
              <w:left w:w="0" w:type="dxa"/>
              <w:bottom w:w="45" w:type="dxa"/>
              <w:right w:w="0" w:type="dxa"/>
            </w:tcMar>
            <w:vAlign w:val="bottom"/>
            <w:hideMark/>
          </w:tcPr>
          <w:p w14:paraId="5026BCA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791F657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4485A06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5566DB7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FFFFFF"/>
            <w:tcMar>
              <w:top w:w="0" w:type="dxa"/>
              <w:left w:w="0" w:type="dxa"/>
              <w:bottom w:w="45" w:type="dxa"/>
              <w:right w:w="0" w:type="dxa"/>
            </w:tcMar>
            <w:vAlign w:val="bottom"/>
            <w:hideMark/>
          </w:tcPr>
          <w:p w14:paraId="65FF4F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B1D9635" w14:textId="77777777">
        <w:trPr>
          <w:divId w:val="1373533101"/>
          <w:tblCellSpacing w:w="0" w:type="dxa"/>
        </w:trPr>
        <w:tc>
          <w:tcPr>
            <w:tcW w:w="0" w:type="auto"/>
            <w:shd w:val="clear" w:color="auto" w:fill="CCEEFF"/>
            <w:vAlign w:val="bottom"/>
            <w:hideMark/>
          </w:tcPr>
          <w:p w14:paraId="44D31A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1A315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87A64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A5FCB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812EB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8D0213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9756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FEAFC0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4D3598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1F034E2" w14:textId="77777777">
        <w:trPr>
          <w:divId w:val="1373533101"/>
          <w:tblCellSpacing w:w="0" w:type="dxa"/>
        </w:trPr>
        <w:tc>
          <w:tcPr>
            <w:tcW w:w="0" w:type="auto"/>
            <w:shd w:val="clear" w:color="auto" w:fill="FFFFFF"/>
            <w:vAlign w:val="bottom"/>
            <w:hideMark/>
          </w:tcPr>
          <w:p w14:paraId="3918621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FFFFFF"/>
            <w:vAlign w:val="bottom"/>
            <w:hideMark/>
          </w:tcPr>
          <w:p w14:paraId="7779044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8A5B0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76076B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57,550,000</w:t>
            </w:r>
          </w:p>
        </w:tc>
        <w:tc>
          <w:tcPr>
            <w:tcW w:w="50" w:type="pct"/>
            <w:shd w:val="clear" w:color="auto" w:fill="FFFFFF"/>
            <w:vAlign w:val="bottom"/>
            <w:hideMark/>
          </w:tcPr>
          <w:p w14:paraId="1AB5F0D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0E4423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CD0BF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851410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83,750,000</w:t>
            </w:r>
          </w:p>
        </w:tc>
        <w:tc>
          <w:tcPr>
            <w:tcW w:w="50" w:type="pct"/>
            <w:shd w:val="clear" w:color="auto" w:fill="FFFFFF"/>
            <w:vAlign w:val="bottom"/>
            <w:hideMark/>
          </w:tcPr>
          <w:p w14:paraId="4039514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D611071" w14:textId="77777777">
        <w:trPr>
          <w:divId w:val="1373533101"/>
          <w:tblCellSpacing w:w="0" w:type="dxa"/>
        </w:trPr>
        <w:tc>
          <w:tcPr>
            <w:tcW w:w="0" w:type="auto"/>
            <w:shd w:val="clear" w:color="auto" w:fill="CCEEFF"/>
            <w:vAlign w:val="bottom"/>
            <w:hideMark/>
          </w:tcPr>
          <w:p w14:paraId="2729BA5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CCEEFF"/>
            <w:vAlign w:val="bottom"/>
            <w:hideMark/>
          </w:tcPr>
          <w:p w14:paraId="06DF49C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1EB99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14:paraId="18C22B8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21.22</w:t>
            </w:r>
          </w:p>
        </w:tc>
        <w:tc>
          <w:tcPr>
            <w:tcW w:w="50" w:type="pct"/>
            <w:shd w:val="clear" w:color="auto" w:fill="CCEEFF"/>
            <w:vAlign w:val="bottom"/>
            <w:hideMark/>
          </w:tcPr>
          <w:p w14:paraId="6C0C757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503428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1B1478"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14:paraId="7EED35F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17.10</w:t>
            </w:r>
          </w:p>
        </w:tc>
        <w:tc>
          <w:tcPr>
            <w:tcW w:w="50" w:type="pct"/>
            <w:shd w:val="clear" w:color="auto" w:fill="CCEEFF"/>
            <w:vAlign w:val="bottom"/>
            <w:hideMark/>
          </w:tcPr>
          <w:p w14:paraId="6D3CB7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1FC0AFF8" w14:textId="77777777" w:rsidR="00000000" w:rsidRDefault="004206B0">
      <w:pPr>
        <w:pStyle w:val="a3"/>
        <w:spacing w:before="0" w:beforeAutospacing="0" w:after="0" w:afterAutospacing="0"/>
        <w:rPr>
          <w:sz w:val="20"/>
          <w:szCs w:val="20"/>
        </w:rPr>
      </w:pPr>
      <w:r>
        <w:rPr>
          <w:sz w:val="20"/>
          <w:szCs w:val="20"/>
        </w:rPr>
        <w:t> </w:t>
      </w:r>
    </w:p>
    <w:p w14:paraId="3E2B8CAB" w14:textId="77777777" w:rsidR="00000000" w:rsidRDefault="004206B0">
      <w:pPr>
        <w:spacing w:before="60" w:after="60"/>
        <w:rPr>
          <w:rFonts w:eastAsia="Times New Roman"/>
          <w:sz w:val="20"/>
          <w:szCs w:val="20"/>
        </w:rPr>
      </w:pPr>
      <w:r>
        <w:rPr>
          <w:rFonts w:eastAsia="Times New Roman"/>
          <w:sz w:val="20"/>
          <w:szCs w:val="20"/>
        </w:rPr>
        <w:pict w14:anchorId="452B3CBE">
          <v:rect id="_x0000_i108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1971"/>
        <w:gridCol w:w="6335"/>
      </w:tblGrid>
      <w:tr w:rsidR="00000000" w14:paraId="7217FA7D" w14:textId="77777777">
        <w:trPr>
          <w:tblCellSpacing w:w="0" w:type="dxa"/>
        </w:trPr>
        <w:tc>
          <w:tcPr>
            <w:tcW w:w="360" w:type="dxa"/>
            <w:hideMark/>
          </w:tcPr>
          <w:p w14:paraId="27C05237"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6" w:type="dxa"/>
            <w:hideMark/>
          </w:tcPr>
          <w:p w14:paraId="181ED682"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Cost of short-term investments: $1,099,953,044 and $1,412,781,989, respectively.</w:t>
            </w:r>
          </w:p>
        </w:tc>
      </w:tr>
    </w:tbl>
    <w:p w14:paraId="1CF16F45" w14:textId="77777777" w:rsidR="00000000" w:rsidRDefault="004206B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14:paraId="56C0997A" w14:textId="77777777">
        <w:trPr>
          <w:tblCellSpacing w:w="0" w:type="dxa"/>
        </w:trPr>
        <w:tc>
          <w:tcPr>
            <w:tcW w:w="360" w:type="dxa"/>
            <w:hideMark/>
          </w:tcPr>
          <w:p w14:paraId="7546663B"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(b) </w:t>
            </w:r>
          </w:p>
        </w:tc>
        <w:tc>
          <w:tcPr>
            <w:tcW w:w="6" w:type="dxa"/>
            <w:hideMark/>
          </w:tcPr>
          <w:p w14:paraId="28CCE02B"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broker (restricted): $101,996,781 and $85,580,222, respectively.</w:t>
            </w:r>
          </w:p>
        </w:tc>
      </w:tr>
    </w:tbl>
    <w:p w14:paraId="35CCBE94" w14:textId="77777777" w:rsidR="00000000" w:rsidRDefault="004206B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96"/>
        <w:gridCol w:w="5710"/>
      </w:tblGrid>
      <w:tr w:rsidR="00000000" w14:paraId="7B92DB79" w14:textId="77777777">
        <w:trPr>
          <w:tblCellSpacing w:w="0" w:type="dxa"/>
        </w:trPr>
        <w:tc>
          <w:tcPr>
            <w:tcW w:w="360" w:type="dxa"/>
            <w:hideMark/>
          </w:tcPr>
          <w:p w14:paraId="0AB804C4"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(c) </w:t>
            </w:r>
          </w:p>
        </w:tc>
        <w:tc>
          <w:tcPr>
            <w:tcW w:w="6" w:type="dxa"/>
            <w:hideMark/>
          </w:tcPr>
          <w:p w14:paraId="509B943D"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14:paraId="4BFA9FB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8CD81D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EFB4A49"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795D8DE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51B0B9A" w14:textId="77777777" w:rsidR="00000000" w:rsidRDefault="004206B0">
      <w:pPr>
        <w:jc w:val="center"/>
        <w:divId w:val="417602173"/>
        <w:rPr>
          <w:rFonts w:ascii="Arial" w:eastAsia="Times New Roman" w:hAnsi="Arial" w:cs="Arial"/>
          <w:sz w:val="20"/>
          <w:szCs w:val="20"/>
        </w:rPr>
      </w:pPr>
      <w:r>
        <w:rPr>
          <w:rFonts w:ascii="Arial" w:eastAsia="Times New Roman" w:hAnsi="Arial" w:cs="Arial"/>
          <w:sz w:val="20"/>
          <w:szCs w:val="20"/>
        </w:rPr>
        <w:t xml:space="preserve">F-3 </w:t>
      </w:r>
    </w:p>
    <w:p w14:paraId="4998DD80" w14:textId="77777777" w:rsidR="00000000" w:rsidRDefault="004206B0">
      <w:pPr>
        <w:divId w:val="11416448"/>
        <w:rPr>
          <w:rFonts w:eastAsia="Times New Roman"/>
          <w:sz w:val="20"/>
          <w:szCs w:val="20"/>
        </w:rPr>
      </w:pPr>
      <w:r>
        <w:rPr>
          <w:rFonts w:eastAsia="Times New Roman"/>
          <w:sz w:val="20"/>
          <w:szCs w:val="20"/>
        </w:rPr>
        <w:pict w14:anchorId="26C62529">
          <v:rect id="_x0000_i1081" style="width:415.3pt;height:1.5pt" o:hralign="center" o:hrstd="t" o:hrnoshade="t" o:hr="t" fillcolor="black" stroked="f"/>
        </w:pict>
      </w:r>
    </w:p>
    <w:p w14:paraId="08764714" w14:textId="77777777" w:rsidR="00000000" w:rsidRDefault="004206B0">
      <w:pPr>
        <w:divId w:val="132162126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3C9179FF" w14:textId="77777777" w:rsidR="00000000" w:rsidRDefault="004206B0">
      <w:pPr>
        <w:pStyle w:val="a3"/>
        <w:spacing w:before="0" w:beforeAutospacing="0" w:after="0" w:afterAutospacing="0"/>
        <w:rPr>
          <w:sz w:val="20"/>
          <w:szCs w:val="20"/>
        </w:rPr>
      </w:pPr>
      <w:r>
        <w:rPr>
          <w:sz w:val="20"/>
          <w:szCs w:val="20"/>
        </w:rPr>
        <w:t> </w:t>
      </w:r>
    </w:p>
    <w:p w14:paraId="3401FA2A" w14:textId="77777777" w:rsidR="00000000" w:rsidRDefault="004206B0">
      <w:pPr>
        <w:divId w:val="1241063286"/>
        <w:rPr>
          <w:rFonts w:eastAsia="Times New Roman"/>
          <w:sz w:val="20"/>
          <w:szCs w:val="20"/>
        </w:rPr>
      </w:pPr>
      <w:r>
        <w:rPr>
          <w:rFonts w:eastAsia="Times New Roman"/>
          <w:sz w:val="20"/>
          <w:szCs w:val="20"/>
        </w:rPr>
        <w:t xml:space="preserve">  </w:t>
      </w:r>
    </w:p>
    <w:p w14:paraId="4AE6DE8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14:paraId="15F3762D"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w:t>
      </w:r>
    </w:p>
    <w:p w14:paraId="3809585E"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For the years ended December 31, 2022, 2021 and 2020</w:t>
      </w:r>
    </w:p>
    <w:p w14:paraId="598FD494" w14:textId="77777777" w:rsidR="00000000" w:rsidRDefault="004206B0">
      <w:pPr>
        <w:pStyle w:val="a3"/>
        <w:spacing w:before="0" w:beforeAutospacing="0" w:after="0" w:afterAutospacing="0"/>
        <w:jc w:val="right"/>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96"/>
        <w:gridCol w:w="56"/>
        <w:gridCol w:w="112"/>
        <w:gridCol w:w="1113"/>
        <w:gridCol w:w="67"/>
        <w:gridCol w:w="56"/>
        <w:gridCol w:w="112"/>
        <w:gridCol w:w="1113"/>
        <w:gridCol w:w="67"/>
        <w:gridCol w:w="56"/>
        <w:gridCol w:w="112"/>
        <w:gridCol w:w="1179"/>
        <w:gridCol w:w="67"/>
      </w:tblGrid>
      <w:tr w:rsidR="00000000" w14:paraId="7E00A93D" w14:textId="77777777">
        <w:trPr>
          <w:divId w:val="313725266"/>
          <w:tblCellSpacing w:w="0" w:type="dxa"/>
        </w:trPr>
        <w:tc>
          <w:tcPr>
            <w:tcW w:w="0" w:type="auto"/>
            <w:vAlign w:val="bottom"/>
            <w:hideMark/>
          </w:tcPr>
          <w:p w14:paraId="7DDB281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B9D59D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14:paraId="3E8C472D"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14:paraId="26935A6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2A93297" w14:textId="77777777">
        <w:trPr>
          <w:divId w:val="313725266"/>
          <w:tblCellSpacing w:w="0" w:type="dxa"/>
        </w:trPr>
        <w:tc>
          <w:tcPr>
            <w:tcW w:w="0" w:type="auto"/>
            <w:vAlign w:val="bottom"/>
            <w:hideMark/>
          </w:tcPr>
          <w:p w14:paraId="7A6978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B3B03D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20E2AC9"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 xml:space="preserve">2022 </w:t>
            </w:r>
          </w:p>
        </w:tc>
        <w:tc>
          <w:tcPr>
            <w:tcW w:w="0" w:type="auto"/>
            <w:tcMar>
              <w:top w:w="0" w:type="dxa"/>
              <w:left w:w="0" w:type="dxa"/>
              <w:bottom w:w="15" w:type="dxa"/>
              <w:right w:w="0" w:type="dxa"/>
            </w:tcMar>
            <w:vAlign w:val="bottom"/>
            <w:hideMark/>
          </w:tcPr>
          <w:p w14:paraId="548C54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6894FC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CC5688A"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14:paraId="3C4876A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42FC127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B5D7BD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2C6465F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0DFC976" w14:textId="77777777">
        <w:trPr>
          <w:divId w:val="313725266"/>
          <w:tblCellSpacing w:w="0" w:type="dxa"/>
        </w:trPr>
        <w:tc>
          <w:tcPr>
            <w:tcW w:w="2750" w:type="pct"/>
            <w:shd w:val="clear" w:color="auto" w:fill="CCEEFF"/>
            <w:vAlign w:val="bottom"/>
            <w:hideMark/>
          </w:tcPr>
          <w:p w14:paraId="50068D9E"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0" w:type="auto"/>
            <w:shd w:val="clear" w:color="auto" w:fill="CCEEFF"/>
            <w:vAlign w:val="bottom"/>
            <w:hideMark/>
          </w:tcPr>
          <w:p w14:paraId="2673BA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B9E04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5DF04A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7C1445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C68A6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5CC8E0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37291B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D4C0EA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9DA6D2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B9AB7F4"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98FE15B"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FC5587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5A3974D3" w14:textId="77777777">
        <w:trPr>
          <w:divId w:val="313725266"/>
          <w:tblCellSpacing w:w="0" w:type="dxa"/>
        </w:trPr>
        <w:tc>
          <w:tcPr>
            <w:tcW w:w="0" w:type="auto"/>
            <w:shd w:val="clear" w:color="auto" w:fill="FFFFFF"/>
            <w:vAlign w:val="bottom"/>
            <w:hideMark/>
          </w:tcPr>
          <w:p w14:paraId="34409400"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14:paraId="2C7A9F9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7482FC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275EB92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22,306,078</w:t>
            </w:r>
          </w:p>
        </w:tc>
        <w:tc>
          <w:tcPr>
            <w:tcW w:w="50" w:type="pct"/>
            <w:shd w:val="clear" w:color="auto" w:fill="FFFFFF"/>
            <w:tcMar>
              <w:top w:w="0" w:type="dxa"/>
              <w:left w:w="0" w:type="dxa"/>
              <w:bottom w:w="15" w:type="dxa"/>
              <w:right w:w="0" w:type="dxa"/>
            </w:tcMar>
            <w:vAlign w:val="bottom"/>
            <w:hideMark/>
          </w:tcPr>
          <w:p w14:paraId="77F27D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CC405B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71BFC0B"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07A1258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426,034</w:t>
            </w:r>
          </w:p>
        </w:tc>
        <w:tc>
          <w:tcPr>
            <w:tcW w:w="50" w:type="pct"/>
            <w:shd w:val="clear" w:color="auto" w:fill="FFFFFF"/>
            <w:tcMar>
              <w:top w:w="0" w:type="dxa"/>
              <w:left w:w="0" w:type="dxa"/>
              <w:bottom w:w="15" w:type="dxa"/>
              <w:right w:w="0" w:type="dxa"/>
            </w:tcMar>
            <w:vAlign w:val="bottom"/>
            <w:hideMark/>
          </w:tcPr>
          <w:p w14:paraId="4C29D6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0B762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EBFF01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046B427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3,742,855</w:t>
            </w:r>
          </w:p>
        </w:tc>
        <w:tc>
          <w:tcPr>
            <w:tcW w:w="50" w:type="pct"/>
            <w:shd w:val="clear" w:color="auto" w:fill="FFFFFF"/>
            <w:tcMar>
              <w:top w:w="0" w:type="dxa"/>
              <w:left w:w="0" w:type="dxa"/>
              <w:bottom w:w="15" w:type="dxa"/>
              <w:right w:w="0" w:type="dxa"/>
            </w:tcMar>
            <w:vAlign w:val="bottom"/>
            <w:hideMark/>
          </w:tcPr>
          <w:p w14:paraId="21E145A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D7BB1D0" w14:textId="77777777">
        <w:trPr>
          <w:divId w:val="313725266"/>
          <w:tblCellSpacing w:w="0" w:type="dxa"/>
        </w:trPr>
        <w:tc>
          <w:tcPr>
            <w:tcW w:w="0" w:type="auto"/>
            <w:shd w:val="clear" w:color="auto" w:fill="CCEEFF"/>
            <w:vAlign w:val="bottom"/>
            <w:hideMark/>
          </w:tcPr>
          <w:p w14:paraId="6943B11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14:paraId="64EDDB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41931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595E1D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22,306,078</w:t>
            </w:r>
          </w:p>
        </w:tc>
        <w:tc>
          <w:tcPr>
            <w:tcW w:w="50" w:type="pct"/>
            <w:shd w:val="clear" w:color="auto" w:fill="CCEEFF"/>
            <w:tcMar>
              <w:top w:w="0" w:type="dxa"/>
              <w:left w:w="0" w:type="dxa"/>
              <w:bottom w:w="15" w:type="dxa"/>
              <w:right w:w="0" w:type="dxa"/>
            </w:tcMar>
            <w:vAlign w:val="bottom"/>
            <w:hideMark/>
          </w:tcPr>
          <w:p w14:paraId="02051E0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95E3C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F541B0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689DBE9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426,034</w:t>
            </w:r>
          </w:p>
        </w:tc>
        <w:tc>
          <w:tcPr>
            <w:tcW w:w="50" w:type="pct"/>
            <w:shd w:val="clear" w:color="auto" w:fill="CCEEFF"/>
            <w:tcMar>
              <w:top w:w="0" w:type="dxa"/>
              <w:left w:w="0" w:type="dxa"/>
              <w:bottom w:w="15" w:type="dxa"/>
              <w:right w:w="0" w:type="dxa"/>
            </w:tcMar>
            <w:vAlign w:val="bottom"/>
            <w:hideMark/>
          </w:tcPr>
          <w:p w14:paraId="06A5D25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84315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466DF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9974C1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3,742,855</w:t>
            </w:r>
          </w:p>
        </w:tc>
        <w:tc>
          <w:tcPr>
            <w:tcW w:w="50" w:type="pct"/>
            <w:shd w:val="clear" w:color="auto" w:fill="CCEEFF"/>
            <w:tcMar>
              <w:top w:w="0" w:type="dxa"/>
              <w:left w:w="0" w:type="dxa"/>
              <w:bottom w:w="15" w:type="dxa"/>
              <w:right w:w="0" w:type="dxa"/>
            </w:tcMar>
            <w:vAlign w:val="bottom"/>
            <w:hideMark/>
          </w:tcPr>
          <w:p w14:paraId="7C4EFE3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C72C2AF" w14:textId="77777777">
        <w:trPr>
          <w:divId w:val="313725266"/>
          <w:tblCellSpacing w:w="0" w:type="dxa"/>
        </w:trPr>
        <w:tc>
          <w:tcPr>
            <w:tcW w:w="0" w:type="auto"/>
            <w:shd w:val="clear" w:color="auto" w:fill="FFFFFF"/>
            <w:vAlign w:val="bottom"/>
            <w:hideMark/>
          </w:tcPr>
          <w:p w14:paraId="0D6161FD"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FFFFFF"/>
            <w:vAlign w:val="bottom"/>
            <w:hideMark/>
          </w:tcPr>
          <w:p w14:paraId="6BF8F04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2633E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7CA0E3D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351127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183EEA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0AB877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F797B8A"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285084B"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49BF0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D6DD97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A3DA824"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1A68402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635F943E" w14:textId="77777777">
        <w:trPr>
          <w:divId w:val="313725266"/>
          <w:tblCellSpacing w:w="0" w:type="dxa"/>
        </w:trPr>
        <w:tc>
          <w:tcPr>
            <w:tcW w:w="0" w:type="auto"/>
            <w:shd w:val="clear" w:color="auto" w:fill="CCEEFF"/>
            <w:vAlign w:val="bottom"/>
            <w:hideMark/>
          </w:tcPr>
          <w:p w14:paraId="49A3803A"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CCEEFF"/>
            <w:vAlign w:val="bottom"/>
            <w:hideMark/>
          </w:tcPr>
          <w:p w14:paraId="207B03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530A5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EC0AAF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13,482,545</w:t>
            </w:r>
          </w:p>
        </w:tc>
        <w:tc>
          <w:tcPr>
            <w:tcW w:w="50" w:type="pct"/>
            <w:shd w:val="clear" w:color="auto" w:fill="CCEEFF"/>
            <w:vAlign w:val="bottom"/>
            <w:hideMark/>
          </w:tcPr>
          <w:p w14:paraId="506C574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75DB89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7FDC6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1379AA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9,465,137</w:t>
            </w:r>
          </w:p>
        </w:tc>
        <w:tc>
          <w:tcPr>
            <w:tcW w:w="50" w:type="pct"/>
            <w:shd w:val="clear" w:color="auto" w:fill="CCEEFF"/>
            <w:vAlign w:val="bottom"/>
            <w:hideMark/>
          </w:tcPr>
          <w:p w14:paraId="7D3427A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4E2BDD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999982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46FE39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5,005,767</w:t>
            </w:r>
          </w:p>
        </w:tc>
        <w:tc>
          <w:tcPr>
            <w:tcW w:w="50" w:type="pct"/>
            <w:shd w:val="clear" w:color="auto" w:fill="CCEEFF"/>
            <w:vAlign w:val="bottom"/>
            <w:hideMark/>
          </w:tcPr>
          <w:p w14:paraId="437B119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DA68D4A" w14:textId="77777777">
        <w:trPr>
          <w:divId w:val="313725266"/>
          <w:tblCellSpacing w:w="0" w:type="dxa"/>
        </w:trPr>
        <w:tc>
          <w:tcPr>
            <w:tcW w:w="0" w:type="auto"/>
            <w:shd w:val="clear" w:color="auto" w:fill="FFFFFF"/>
            <w:vAlign w:val="bottom"/>
            <w:hideMark/>
          </w:tcPr>
          <w:p w14:paraId="64C6F10D"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FFFFFF"/>
            <w:vAlign w:val="bottom"/>
            <w:hideMark/>
          </w:tcPr>
          <w:p w14:paraId="3F1A7A7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5D8A2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2D3C4F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1,299,610</w:t>
            </w:r>
          </w:p>
        </w:tc>
        <w:tc>
          <w:tcPr>
            <w:tcW w:w="50" w:type="pct"/>
            <w:shd w:val="clear" w:color="auto" w:fill="FFFFFF"/>
            <w:tcMar>
              <w:top w:w="0" w:type="dxa"/>
              <w:left w:w="0" w:type="dxa"/>
              <w:bottom w:w="15" w:type="dxa"/>
              <w:right w:w="0" w:type="dxa"/>
            </w:tcMar>
            <w:vAlign w:val="bottom"/>
            <w:hideMark/>
          </w:tcPr>
          <w:p w14:paraId="613704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B1B0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9C35B3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6904B1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1,346,112</w:t>
            </w:r>
          </w:p>
        </w:tc>
        <w:tc>
          <w:tcPr>
            <w:tcW w:w="50" w:type="pct"/>
            <w:shd w:val="clear" w:color="auto" w:fill="FFFFFF"/>
            <w:tcMar>
              <w:top w:w="0" w:type="dxa"/>
              <w:left w:w="0" w:type="dxa"/>
              <w:bottom w:w="15" w:type="dxa"/>
              <w:right w:w="0" w:type="dxa"/>
            </w:tcMar>
            <w:vAlign w:val="bottom"/>
            <w:hideMark/>
          </w:tcPr>
          <w:p w14:paraId="389E7F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38CA93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64534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803589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1,013,439</w:t>
            </w:r>
          </w:p>
        </w:tc>
        <w:tc>
          <w:tcPr>
            <w:tcW w:w="50" w:type="pct"/>
            <w:shd w:val="clear" w:color="auto" w:fill="FFFFFF"/>
            <w:tcMar>
              <w:top w:w="0" w:type="dxa"/>
              <w:left w:w="0" w:type="dxa"/>
              <w:bottom w:w="15" w:type="dxa"/>
              <w:right w:w="0" w:type="dxa"/>
            </w:tcMar>
            <w:vAlign w:val="bottom"/>
            <w:hideMark/>
          </w:tcPr>
          <w:p w14:paraId="536AA7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FFB23D4" w14:textId="77777777">
        <w:trPr>
          <w:divId w:val="313725266"/>
          <w:tblCellSpacing w:w="0" w:type="dxa"/>
        </w:trPr>
        <w:tc>
          <w:tcPr>
            <w:tcW w:w="0" w:type="auto"/>
            <w:shd w:val="clear" w:color="auto" w:fill="CCEEFF"/>
            <w:vAlign w:val="bottom"/>
            <w:hideMark/>
          </w:tcPr>
          <w:p w14:paraId="398737A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CCEEFF"/>
            <w:vAlign w:val="bottom"/>
            <w:hideMark/>
          </w:tcPr>
          <w:p w14:paraId="136F17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7F1D3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356D9E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14,782,155</w:t>
            </w:r>
          </w:p>
        </w:tc>
        <w:tc>
          <w:tcPr>
            <w:tcW w:w="50" w:type="pct"/>
            <w:shd w:val="clear" w:color="auto" w:fill="CCEEFF"/>
            <w:tcMar>
              <w:top w:w="0" w:type="dxa"/>
              <w:left w:w="0" w:type="dxa"/>
              <w:bottom w:w="15" w:type="dxa"/>
              <w:right w:w="0" w:type="dxa"/>
            </w:tcMar>
            <w:vAlign w:val="bottom"/>
            <w:hideMark/>
          </w:tcPr>
          <w:p w14:paraId="35F348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2C0DD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21D080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4ECA544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10,811,249</w:t>
            </w:r>
          </w:p>
        </w:tc>
        <w:tc>
          <w:tcPr>
            <w:tcW w:w="50" w:type="pct"/>
            <w:shd w:val="clear" w:color="auto" w:fill="CCEEFF"/>
            <w:tcMar>
              <w:top w:w="0" w:type="dxa"/>
              <w:left w:w="0" w:type="dxa"/>
              <w:bottom w:w="15" w:type="dxa"/>
              <w:right w:w="0" w:type="dxa"/>
            </w:tcMar>
            <w:vAlign w:val="bottom"/>
            <w:hideMark/>
          </w:tcPr>
          <w:p w14:paraId="4310102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491C6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1D4ADD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71E9B1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6,019,206</w:t>
            </w:r>
          </w:p>
        </w:tc>
        <w:tc>
          <w:tcPr>
            <w:tcW w:w="50" w:type="pct"/>
            <w:shd w:val="clear" w:color="auto" w:fill="CCEEFF"/>
            <w:tcMar>
              <w:top w:w="0" w:type="dxa"/>
              <w:left w:w="0" w:type="dxa"/>
              <w:bottom w:w="15" w:type="dxa"/>
              <w:right w:w="0" w:type="dxa"/>
            </w:tcMar>
            <w:vAlign w:val="bottom"/>
            <w:hideMark/>
          </w:tcPr>
          <w:p w14:paraId="0C31078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592925E" w14:textId="77777777">
        <w:trPr>
          <w:divId w:val="313725266"/>
          <w:tblCellSpacing w:w="0" w:type="dxa"/>
        </w:trPr>
        <w:tc>
          <w:tcPr>
            <w:tcW w:w="0" w:type="auto"/>
            <w:shd w:val="clear" w:color="auto" w:fill="FFFFFF"/>
            <w:vAlign w:val="bottom"/>
            <w:hideMark/>
          </w:tcPr>
          <w:p w14:paraId="709A6F0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FFFFFF"/>
            <w:vAlign w:val="bottom"/>
            <w:hideMark/>
          </w:tcPr>
          <w:p w14:paraId="6FA258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234A03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7F404D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7,523,923</w:t>
            </w:r>
          </w:p>
        </w:tc>
        <w:tc>
          <w:tcPr>
            <w:tcW w:w="50" w:type="pct"/>
            <w:shd w:val="clear" w:color="auto" w:fill="FFFFFF"/>
            <w:tcMar>
              <w:top w:w="0" w:type="dxa"/>
              <w:left w:w="0" w:type="dxa"/>
              <w:bottom w:w="15" w:type="dxa"/>
              <w:right w:w="0" w:type="dxa"/>
            </w:tcMar>
            <w:vAlign w:val="bottom"/>
            <w:hideMark/>
          </w:tcPr>
          <w:p w14:paraId="6769E3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3B1F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B3E4D3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3024F47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(10,385,215</w:t>
            </w:r>
          </w:p>
        </w:tc>
        <w:tc>
          <w:tcPr>
            <w:tcW w:w="50" w:type="pct"/>
            <w:shd w:val="clear" w:color="auto" w:fill="FFFFFF"/>
            <w:tcMar>
              <w:top w:w="0" w:type="dxa"/>
              <w:left w:w="0" w:type="dxa"/>
              <w:bottom w:w="15" w:type="dxa"/>
              <w:right w:w="0" w:type="dxa"/>
            </w:tcMar>
            <w:vAlign w:val="bottom"/>
            <w:hideMark/>
          </w:tcPr>
          <w:p w14:paraId="14C48AD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30F711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27233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21D86A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(2,276,351</w:t>
            </w:r>
          </w:p>
        </w:tc>
        <w:tc>
          <w:tcPr>
            <w:tcW w:w="50" w:type="pct"/>
            <w:shd w:val="clear" w:color="auto" w:fill="FFFFFF"/>
            <w:tcMar>
              <w:top w:w="0" w:type="dxa"/>
              <w:left w:w="0" w:type="dxa"/>
              <w:bottom w:w="15" w:type="dxa"/>
              <w:right w:w="0" w:type="dxa"/>
            </w:tcMar>
            <w:vAlign w:val="bottom"/>
            <w:hideMark/>
          </w:tcPr>
          <w:p w14:paraId="01C3F4C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7B1B1062" w14:textId="77777777">
        <w:trPr>
          <w:divId w:val="313725266"/>
          <w:tblCellSpacing w:w="0" w:type="dxa"/>
        </w:trPr>
        <w:tc>
          <w:tcPr>
            <w:tcW w:w="0" w:type="auto"/>
            <w:shd w:val="clear" w:color="auto" w:fill="CCEEFF"/>
            <w:vAlign w:val="bottom"/>
            <w:hideMark/>
          </w:tcPr>
          <w:p w14:paraId="730607B3"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14:paraId="49624FE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BA0C7C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21E1715"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768540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86C4A6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6E9A8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729CE8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9E418E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E9D5C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5E4D0A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62689D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F83B74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60B51B82" w14:textId="77777777">
        <w:trPr>
          <w:divId w:val="313725266"/>
          <w:tblCellSpacing w:w="0" w:type="dxa"/>
        </w:trPr>
        <w:tc>
          <w:tcPr>
            <w:tcW w:w="0" w:type="auto"/>
            <w:shd w:val="clear" w:color="auto" w:fill="FFFFFF"/>
            <w:vAlign w:val="bottom"/>
            <w:hideMark/>
          </w:tcPr>
          <w:p w14:paraId="58506787"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0" w:type="auto"/>
            <w:shd w:val="clear" w:color="auto" w:fill="FFFFFF"/>
            <w:vAlign w:val="bottom"/>
            <w:hideMark/>
          </w:tcPr>
          <w:p w14:paraId="1FA07D7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AFAD6E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41392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DF4449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EF8984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1F65E1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385709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13CA2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E3D6AE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53C26F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FAFD14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6FBB0A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1449E73" w14:textId="77777777">
        <w:trPr>
          <w:divId w:val="313725266"/>
          <w:tblCellSpacing w:w="0" w:type="dxa"/>
        </w:trPr>
        <w:tc>
          <w:tcPr>
            <w:tcW w:w="0" w:type="auto"/>
            <w:shd w:val="clear" w:color="auto" w:fill="CCEEFF"/>
            <w:vAlign w:val="bottom"/>
            <w:hideMark/>
          </w:tcPr>
          <w:p w14:paraId="1EED3B72"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0E0E49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2679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000F73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(59,481</w:t>
            </w:r>
          </w:p>
        </w:tc>
        <w:tc>
          <w:tcPr>
            <w:tcW w:w="50" w:type="pct"/>
            <w:shd w:val="clear" w:color="auto" w:fill="CCEEFF"/>
            <w:vAlign w:val="bottom"/>
            <w:hideMark/>
          </w:tcPr>
          <w:p w14:paraId="001812B5"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36925F8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8688E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E202F7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1,072</w:t>
            </w:r>
          </w:p>
        </w:tc>
        <w:tc>
          <w:tcPr>
            <w:tcW w:w="50" w:type="pct"/>
            <w:shd w:val="clear" w:color="auto" w:fill="CCEEFF"/>
            <w:vAlign w:val="bottom"/>
            <w:hideMark/>
          </w:tcPr>
          <w:p w14:paraId="43C904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BE85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10B7A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D6174F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62,112</w:t>
            </w:r>
          </w:p>
        </w:tc>
        <w:tc>
          <w:tcPr>
            <w:tcW w:w="50" w:type="pct"/>
            <w:shd w:val="clear" w:color="auto" w:fill="CCEEFF"/>
            <w:vAlign w:val="bottom"/>
            <w:hideMark/>
          </w:tcPr>
          <w:p w14:paraId="1ED089D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C5CCA8D" w14:textId="77777777">
        <w:trPr>
          <w:divId w:val="313725266"/>
          <w:tblCellSpacing w:w="0" w:type="dxa"/>
        </w:trPr>
        <w:tc>
          <w:tcPr>
            <w:tcW w:w="0" w:type="auto"/>
            <w:shd w:val="clear" w:color="auto" w:fill="FFFFFF"/>
            <w:vAlign w:val="bottom"/>
            <w:hideMark/>
          </w:tcPr>
          <w:p w14:paraId="007F751A"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34BC19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F2445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D88DF8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359,651,081</w:t>
            </w:r>
          </w:p>
        </w:tc>
        <w:tc>
          <w:tcPr>
            <w:tcW w:w="50" w:type="pct"/>
            <w:shd w:val="clear" w:color="auto" w:fill="FFFFFF"/>
            <w:tcMar>
              <w:top w:w="0" w:type="dxa"/>
              <w:left w:w="0" w:type="dxa"/>
              <w:bottom w:w="15" w:type="dxa"/>
              <w:right w:w="0" w:type="dxa"/>
            </w:tcMar>
            <w:vAlign w:val="bottom"/>
            <w:hideMark/>
          </w:tcPr>
          <w:p w14:paraId="26F4D7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052FA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401445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FA8723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381,834,976</w:t>
            </w:r>
          </w:p>
        </w:tc>
        <w:tc>
          <w:tcPr>
            <w:tcW w:w="50" w:type="pct"/>
            <w:shd w:val="clear" w:color="auto" w:fill="FFFFFF"/>
            <w:tcMar>
              <w:top w:w="0" w:type="dxa"/>
              <w:left w:w="0" w:type="dxa"/>
              <w:bottom w:w="15" w:type="dxa"/>
              <w:right w:w="0" w:type="dxa"/>
            </w:tcMar>
            <w:vAlign w:val="bottom"/>
            <w:hideMark/>
          </w:tcPr>
          <w:p w14:paraId="0C31D88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F4DAB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1AA1DC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6441AC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204,137,367</w:t>
            </w:r>
          </w:p>
        </w:tc>
        <w:tc>
          <w:tcPr>
            <w:tcW w:w="50" w:type="pct"/>
            <w:shd w:val="clear" w:color="auto" w:fill="FFFFFF"/>
            <w:tcMar>
              <w:top w:w="0" w:type="dxa"/>
              <w:left w:w="0" w:type="dxa"/>
              <w:bottom w:w="15" w:type="dxa"/>
              <w:right w:w="0" w:type="dxa"/>
            </w:tcMar>
            <w:vAlign w:val="bottom"/>
            <w:hideMark/>
          </w:tcPr>
          <w:p w14:paraId="3DC5125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135F33C0" w14:textId="77777777">
        <w:trPr>
          <w:divId w:val="313725266"/>
          <w:tblCellSpacing w:w="0" w:type="dxa"/>
        </w:trPr>
        <w:tc>
          <w:tcPr>
            <w:tcW w:w="0" w:type="auto"/>
            <w:shd w:val="clear" w:color="auto" w:fill="CCEEFF"/>
            <w:vAlign w:val="bottom"/>
            <w:hideMark/>
          </w:tcPr>
          <w:p w14:paraId="1ED3593E"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14:paraId="2D1367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C6656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CFE929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359,591,600</w:t>
            </w:r>
          </w:p>
        </w:tc>
        <w:tc>
          <w:tcPr>
            <w:tcW w:w="50" w:type="pct"/>
            <w:shd w:val="clear" w:color="auto" w:fill="CCEEFF"/>
            <w:tcMar>
              <w:top w:w="0" w:type="dxa"/>
              <w:left w:w="0" w:type="dxa"/>
              <w:bottom w:w="15" w:type="dxa"/>
              <w:right w:w="0" w:type="dxa"/>
            </w:tcMar>
            <w:vAlign w:val="bottom"/>
            <w:hideMark/>
          </w:tcPr>
          <w:p w14:paraId="2D49D0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E188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E41D6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EDF4CA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381,836,048</w:t>
            </w:r>
          </w:p>
        </w:tc>
        <w:tc>
          <w:tcPr>
            <w:tcW w:w="50" w:type="pct"/>
            <w:shd w:val="clear" w:color="auto" w:fill="CCEEFF"/>
            <w:tcMar>
              <w:top w:w="0" w:type="dxa"/>
              <w:left w:w="0" w:type="dxa"/>
              <w:bottom w:w="15" w:type="dxa"/>
              <w:right w:w="0" w:type="dxa"/>
            </w:tcMar>
            <w:vAlign w:val="bottom"/>
            <w:hideMark/>
          </w:tcPr>
          <w:p w14:paraId="178C03E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17D69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33654F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666D3C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(204,075,255</w:t>
            </w:r>
          </w:p>
        </w:tc>
        <w:tc>
          <w:tcPr>
            <w:tcW w:w="50" w:type="pct"/>
            <w:shd w:val="clear" w:color="auto" w:fill="CCEEFF"/>
            <w:tcMar>
              <w:top w:w="0" w:type="dxa"/>
              <w:left w:w="0" w:type="dxa"/>
              <w:bottom w:w="15" w:type="dxa"/>
              <w:right w:w="0" w:type="dxa"/>
            </w:tcMar>
            <w:vAlign w:val="bottom"/>
            <w:hideMark/>
          </w:tcPr>
          <w:p w14:paraId="31D6AAB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61C82FD8" w14:textId="77777777">
        <w:trPr>
          <w:divId w:val="313725266"/>
          <w:tblCellSpacing w:w="0" w:type="dxa"/>
        </w:trPr>
        <w:tc>
          <w:tcPr>
            <w:tcW w:w="0" w:type="auto"/>
            <w:shd w:val="clear" w:color="auto" w:fill="FFFFFF"/>
            <w:vAlign w:val="bottom"/>
            <w:hideMark/>
          </w:tcPr>
          <w:p w14:paraId="4651125C"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14:paraId="2F3A23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46EA5F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3E15DC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7D86B5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49B02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9AAD34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9788F8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12813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9932C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E1073F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83E526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9EC1AA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A66C5A0" w14:textId="77777777">
        <w:trPr>
          <w:divId w:val="313725266"/>
          <w:tblCellSpacing w:w="0" w:type="dxa"/>
        </w:trPr>
        <w:tc>
          <w:tcPr>
            <w:tcW w:w="0" w:type="auto"/>
            <w:shd w:val="clear" w:color="auto" w:fill="CCEEFF"/>
            <w:vAlign w:val="bottom"/>
            <w:hideMark/>
          </w:tcPr>
          <w:p w14:paraId="57E058DE"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54BE2F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F42DF1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37620D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375,322</w:t>
            </w:r>
          </w:p>
        </w:tc>
        <w:tc>
          <w:tcPr>
            <w:tcW w:w="50" w:type="pct"/>
            <w:shd w:val="clear" w:color="auto" w:fill="CCEEFF"/>
            <w:vAlign w:val="bottom"/>
            <w:hideMark/>
          </w:tcPr>
          <w:p w14:paraId="45D6D8F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E4EFF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7A16EE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728FEF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3,775</w:t>
            </w:r>
          </w:p>
        </w:tc>
        <w:tc>
          <w:tcPr>
            <w:tcW w:w="50" w:type="pct"/>
            <w:shd w:val="clear" w:color="auto" w:fill="CCEEFF"/>
            <w:vAlign w:val="bottom"/>
            <w:hideMark/>
          </w:tcPr>
          <w:p w14:paraId="6ACA428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66944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65419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360412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(81,566</w:t>
            </w:r>
          </w:p>
        </w:tc>
        <w:tc>
          <w:tcPr>
            <w:tcW w:w="50" w:type="pct"/>
            <w:shd w:val="clear" w:color="auto" w:fill="CCEEFF"/>
            <w:vAlign w:val="bottom"/>
            <w:hideMark/>
          </w:tcPr>
          <w:p w14:paraId="2EAFD40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12152641" w14:textId="77777777">
        <w:trPr>
          <w:divId w:val="313725266"/>
          <w:tblCellSpacing w:w="0" w:type="dxa"/>
        </w:trPr>
        <w:tc>
          <w:tcPr>
            <w:tcW w:w="0" w:type="auto"/>
            <w:shd w:val="clear" w:color="auto" w:fill="FFFFFF"/>
            <w:vAlign w:val="bottom"/>
            <w:hideMark/>
          </w:tcPr>
          <w:p w14:paraId="43B848DE"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0FD039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24A10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E73B06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23,317,777</w:t>
            </w:r>
          </w:p>
        </w:tc>
        <w:tc>
          <w:tcPr>
            <w:tcW w:w="50" w:type="pct"/>
            <w:shd w:val="clear" w:color="auto" w:fill="FFFFFF"/>
            <w:tcMar>
              <w:top w:w="0" w:type="dxa"/>
              <w:left w:w="0" w:type="dxa"/>
              <w:bottom w:w="15" w:type="dxa"/>
              <w:right w:w="0" w:type="dxa"/>
            </w:tcMar>
            <w:vAlign w:val="bottom"/>
            <w:hideMark/>
          </w:tcPr>
          <w:p w14:paraId="2742A1F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4CCF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7CB1A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5C2608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(5,445,651</w:t>
            </w:r>
          </w:p>
        </w:tc>
        <w:tc>
          <w:tcPr>
            <w:tcW w:w="50" w:type="pct"/>
            <w:shd w:val="clear" w:color="auto" w:fill="FFFFFF"/>
            <w:tcMar>
              <w:top w:w="0" w:type="dxa"/>
              <w:left w:w="0" w:type="dxa"/>
              <w:bottom w:w="15" w:type="dxa"/>
              <w:right w:w="0" w:type="dxa"/>
            </w:tcMar>
            <w:vAlign w:val="bottom"/>
            <w:hideMark/>
          </w:tcPr>
          <w:p w14:paraId="6CFD0D9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2FEC30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28BC7E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78151F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22,817,921</w:t>
            </w:r>
          </w:p>
        </w:tc>
        <w:tc>
          <w:tcPr>
            <w:tcW w:w="50" w:type="pct"/>
            <w:shd w:val="clear" w:color="auto" w:fill="FFFFFF"/>
            <w:tcMar>
              <w:top w:w="0" w:type="dxa"/>
              <w:left w:w="0" w:type="dxa"/>
              <w:bottom w:w="15" w:type="dxa"/>
              <w:right w:w="0" w:type="dxa"/>
            </w:tcMar>
            <w:vAlign w:val="bottom"/>
            <w:hideMark/>
          </w:tcPr>
          <w:p w14:paraId="073187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F62BF1E" w14:textId="77777777">
        <w:trPr>
          <w:divId w:val="313725266"/>
          <w:tblCellSpacing w:w="0" w:type="dxa"/>
        </w:trPr>
        <w:tc>
          <w:tcPr>
            <w:tcW w:w="0" w:type="auto"/>
            <w:shd w:val="clear" w:color="auto" w:fill="CCEEFF"/>
            <w:vAlign w:val="bottom"/>
            <w:hideMark/>
          </w:tcPr>
          <w:p w14:paraId="50694CE0"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14:paraId="72B70F3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3D02CD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454147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23,693,099</w:t>
            </w:r>
          </w:p>
        </w:tc>
        <w:tc>
          <w:tcPr>
            <w:tcW w:w="50" w:type="pct"/>
            <w:shd w:val="clear" w:color="auto" w:fill="CCEEFF"/>
            <w:tcMar>
              <w:top w:w="0" w:type="dxa"/>
              <w:left w:w="0" w:type="dxa"/>
              <w:bottom w:w="15" w:type="dxa"/>
              <w:right w:w="0" w:type="dxa"/>
            </w:tcMar>
            <w:vAlign w:val="bottom"/>
            <w:hideMark/>
          </w:tcPr>
          <w:p w14:paraId="78A0BD5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8BA1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CCCB8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4BBE4B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(5,441,876</w:t>
            </w:r>
          </w:p>
        </w:tc>
        <w:tc>
          <w:tcPr>
            <w:tcW w:w="50" w:type="pct"/>
            <w:shd w:val="clear" w:color="auto" w:fill="CCEEFF"/>
            <w:tcMar>
              <w:top w:w="0" w:type="dxa"/>
              <w:left w:w="0" w:type="dxa"/>
              <w:bottom w:w="15" w:type="dxa"/>
              <w:right w:w="0" w:type="dxa"/>
            </w:tcMar>
            <w:vAlign w:val="bottom"/>
            <w:hideMark/>
          </w:tcPr>
          <w:p w14:paraId="57421EF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EAAC5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86566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5193BC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22,736,355</w:t>
            </w:r>
          </w:p>
        </w:tc>
        <w:tc>
          <w:tcPr>
            <w:tcW w:w="50" w:type="pct"/>
            <w:shd w:val="clear" w:color="auto" w:fill="CCEEFF"/>
            <w:tcMar>
              <w:top w:w="0" w:type="dxa"/>
              <w:left w:w="0" w:type="dxa"/>
              <w:bottom w:w="15" w:type="dxa"/>
              <w:right w:w="0" w:type="dxa"/>
            </w:tcMar>
            <w:vAlign w:val="bottom"/>
            <w:hideMark/>
          </w:tcPr>
          <w:p w14:paraId="3416F28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B27E476" w14:textId="77777777">
        <w:trPr>
          <w:divId w:val="313725266"/>
          <w:tblCellSpacing w:w="0" w:type="dxa"/>
        </w:trPr>
        <w:tc>
          <w:tcPr>
            <w:tcW w:w="0" w:type="auto"/>
            <w:shd w:val="clear" w:color="auto" w:fill="FFFFFF"/>
            <w:vAlign w:val="bottom"/>
            <w:hideMark/>
          </w:tcPr>
          <w:p w14:paraId="3A4AC3D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14:paraId="614785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FD709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78DCE1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383,284,699</w:t>
            </w:r>
          </w:p>
        </w:tc>
        <w:tc>
          <w:tcPr>
            <w:tcW w:w="50" w:type="pct"/>
            <w:shd w:val="clear" w:color="auto" w:fill="FFFFFF"/>
            <w:tcMar>
              <w:top w:w="0" w:type="dxa"/>
              <w:left w:w="0" w:type="dxa"/>
              <w:bottom w:w="15" w:type="dxa"/>
              <w:right w:w="0" w:type="dxa"/>
            </w:tcMar>
            <w:vAlign w:val="bottom"/>
            <w:hideMark/>
          </w:tcPr>
          <w:p w14:paraId="2627CB0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A5A03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001414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B329AC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376,394,172</w:t>
            </w:r>
          </w:p>
        </w:tc>
        <w:tc>
          <w:tcPr>
            <w:tcW w:w="50" w:type="pct"/>
            <w:shd w:val="clear" w:color="auto" w:fill="FFFFFF"/>
            <w:tcMar>
              <w:top w:w="0" w:type="dxa"/>
              <w:left w:w="0" w:type="dxa"/>
              <w:bottom w:w="15" w:type="dxa"/>
              <w:right w:w="0" w:type="dxa"/>
            </w:tcMar>
            <w:vAlign w:val="bottom"/>
            <w:hideMark/>
          </w:tcPr>
          <w:p w14:paraId="5F67ED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0D41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48555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A248E0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(181,338,900</w:t>
            </w:r>
          </w:p>
        </w:tc>
        <w:tc>
          <w:tcPr>
            <w:tcW w:w="50" w:type="pct"/>
            <w:shd w:val="clear" w:color="auto" w:fill="FFFFFF"/>
            <w:tcMar>
              <w:top w:w="0" w:type="dxa"/>
              <w:left w:w="0" w:type="dxa"/>
              <w:bottom w:w="15" w:type="dxa"/>
              <w:right w:w="0" w:type="dxa"/>
            </w:tcMar>
            <w:vAlign w:val="bottom"/>
            <w:hideMark/>
          </w:tcPr>
          <w:p w14:paraId="1769A69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2BB1326B" w14:textId="77777777">
        <w:trPr>
          <w:divId w:val="313725266"/>
          <w:tblCellSpacing w:w="0" w:type="dxa"/>
        </w:trPr>
        <w:tc>
          <w:tcPr>
            <w:tcW w:w="0" w:type="auto"/>
            <w:shd w:val="clear" w:color="auto" w:fill="CCEEFF"/>
            <w:vAlign w:val="bottom"/>
            <w:hideMark/>
          </w:tcPr>
          <w:p w14:paraId="5474704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039BA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F77ED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6DD38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FBC64C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972EB2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8B40E3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E92F03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615137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199892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A2EDEA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321805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7448BB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C44E7B7" w14:textId="77777777">
        <w:trPr>
          <w:divId w:val="313725266"/>
          <w:tblCellSpacing w:w="0" w:type="dxa"/>
        </w:trPr>
        <w:tc>
          <w:tcPr>
            <w:tcW w:w="0" w:type="auto"/>
            <w:shd w:val="clear" w:color="auto" w:fill="FFFFFF"/>
            <w:vAlign w:val="bottom"/>
            <w:hideMark/>
          </w:tcPr>
          <w:p w14:paraId="47E7F02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tcMar>
              <w:top w:w="0" w:type="dxa"/>
              <w:left w:w="0" w:type="dxa"/>
              <w:bottom w:w="45" w:type="dxa"/>
              <w:right w:w="0" w:type="dxa"/>
            </w:tcMar>
            <w:vAlign w:val="bottom"/>
            <w:hideMark/>
          </w:tcPr>
          <w:p w14:paraId="27F5451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7674D6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21124DE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390,808,622</w:t>
            </w:r>
          </w:p>
        </w:tc>
        <w:tc>
          <w:tcPr>
            <w:tcW w:w="50" w:type="pct"/>
            <w:shd w:val="clear" w:color="auto" w:fill="FFFFFF"/>
            <w:tcMar>
              <w:top w:w="0" w:type="dxa"/>
              <w:left w:w="0" w:type="dxa"/>
              <w:bottom w:w="45" w:type="dxa"/>
              <w:right w:w="0" w:type="dxa"/>
            </w:tcMar>
            <w:vAlign w:val="bottom"/>
            <w:hideMark/>
          </w:tcPr>
          <w:p w14:paraId="564361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7207CE2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07C2B2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269106A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366,008,957</w:t>
            </w:r>
          </w:p>
        </w:tc>
        <w:tc>
          <w:tcPr>
            <w:tcW w:w="50" w:type="pct"/>
            <w:shd w:val="clear" w:color="auto" w:fill="FFFFFF"/>
            <w:tcMar>
              <w:top w:w="0" w:type="dxa"/>
              <w:left w:w="0" w:type="dxa"/>
              <w:bottom w:w="45" w:type="dxa"/>
              <w:right w:w="0" w:type="dxa"/>
            </w:tcMar>
            <w:vAlign w:val="bottom"/>
            <w:hideMark/>
          </w:tcPr>
          <w:p w14:paraId="24B851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4E2B48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6D85CC2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40F585C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FFFFFF"/>
            <w:tcMar>
              <w:top w:w="0" w:type="dxa"/>
              <w:left w:w="0" w:type="dxa"/>
              <w:bottom w:w="45" w:type="dxa"/>
              <w:right w:w="0" w:type="dxa"/>
            </w:tcMar>
            <w:vAlign w:val="bottom"/>
            <w:hideMark/>
          </w:tcPr>
          <w:p w14:paraId="2619F125"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5165A21A" w14:textId="77777777">
        <w:trPr>
          <w:divId w:val="313725266"/>
          <w:tblCellSpacing w:w="0" w:type="dxa"/>
        </w:trPr>
        <w:tc>
          <w:tcPr>
            <w:tcW w:w="0" w:type="auto"/>
            <w:shd w:val="clear" w:color="auto" w:fill="CCEEFF"/>
            <w:vAlign w:val="bottom"/>
            <w:hideMark/>
          </w:tcPr>
          <w:p w14:paraId="0A7A38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C59C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11E0A6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88274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FBA480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8691B3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346DA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49F29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FED718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329825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A7926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C05A9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260A9F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C6A1CBB" w14:textId="77777777">
        <w:trPr>
          <w:divId w:val="313725266"/>
          <w:tblCellSpacing w:w="0" w:type="dxa"/>
        </w:trPr>
        <w:tc>
          <w:tcPr>
            <w:tcW w:w="0" w:type="auto"/>
            <w:shd w:val="clear" w:color="auto" w:fill="FFFFFF"/>
            <w:vAlign w:val="bottom"/>
            <w:hideMark/>
          </w:tcPr>
          <w:p w14:paraId="4308A7D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14:paraId="3E1B15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005834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5E8A05C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4.82</w:t>
            </w:r>
          </w:p>
        </w:tc>
        <w:tc>
          <w:tcPr>
            <w:tcW w:w="50" w:type="pct"/>
            <w:shd w:val="clear" w:color="auto" w:fill="FFFFFF"/>
            <w:vAlign w:val="bottom"/>
            <w:hideMark/>
          </w:tcPr>
          <w:p w14:paraId="700D362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5E273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7E2AB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5238A1C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4.51</w:t>
            </w:r>
          </w:p>
        </w:tc>
        <w:tc>
          <w:tcPr>
            <w:tcW w:w="50" w:type="pct"/>
            <w:shd w:val="clear" w:color="auto" w:fill="FFFFFF"/>
            <w:vAlign w:val="bottom"/>
            <w:hideMark/>
          </w:tcPr>
          <w:p w14:paraId="61A2B16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7C5DB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322F54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1F28F53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(3.09</w:t>
            </w:r>
          </w:p>
        </w:tc>
        <w:tc>
          <w:tcPr>
            <w:tcW w:w="50" w:type="pct"/>
            <w:shd w:val="clear" w:color="auto" w:fill="FFFFFF"/>
            <w:vAlign w:val="bottom"/>
            <w:hideMark/>
          </w:tcPr>
          <w:p w14:paraId="015531F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bl>
    <w:p w14:paraId="4DDD098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3C34BF2" w14:textId="77777777" w:rsidR="00000000" w:rsidRDefault="004206B0">
      <w:pPr>
        <w:spacing w:before="60" w:after="60"/>
        <w:rPr>
          <w:rFonts w:eastAsia="Times New Roman"/>
          <w:sz w:val="20"/>
          <w:szCs w:val="20"/>
        </w:rPr>
      </w:pPr>
      <w:r>
        <w:rPr>
          <w:rFonts w:eastAsia="Times New Roman"/>
          <w:sz w:val="20"/>
          <w:szCs w:val="20"/>
        </w:rPr>
        <w:pict w14:anchorId="1A8C4B19">
          <v:rect id="_x0000_i1082"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14:paraId="3F0A474D" w14:textId="77777777">
        <w:trPr>
          <w:tblCellSpacing w:w="0" w:type="dxa"/>
        </w:trPr>
        <w:tc>
          <w:tcPr>
            <w:tcW w:w="360" w:type="dxa"/>
            <w:hideMark/>
          </w:tcPr>
          <w:p w14:paraId="66455CD3"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6" w:type="dxa"/>
            <w:hideMark/>
          </w:tcPr>
          <w:p w14:paraId="0E0709A9"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year.</w:t>
            </w:r>
          </w:p>
        </w:tc>
      </w:tr>
    </w:tbl>
    <w:p w14:paraId="085E239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E8786A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044D296"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7B4FA73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9D00529" w14:textId="77777777" w:rsidR="00000000" w:rsidRDefault="004206B0">
      <w:pPr>
        <w:jc w:val="center"/>
        <w:divId w:val="483006712"/>
        <w:rPr>
          <w:rFonts w:ascii="Arial" w:eastAsia="Times New Roman" w:hAnsi="Arial" w:cs="Arial"/>
          <w:sz w:val="20"/>
          <w:szCs w:val="20"/>
        </w:rPr>
      </w:pPr>
      <w:r>
        <w:rPr>
          <w:rFonts w:ascii="Arial" w:eastAsia="Times New Roman" w:hAnsi="Arial" w:cs="Arial"/>
          <w:sz w:val="20"/>
          <w:szCs w:val="20"/>
        </w:rPr>
        <w:t xml:space="preserve">F-4 </w:t>
      </w:r>
    </w:p>
    <w:p w14:paraId="7C62D7AC" w14:textId="77777777" w:rsidR="00000000" w:rsidRDefault="004206B0">
      <w:pPr>
        <w:divId w:val="1364214347"/>
        <w:rPr>
          <w:rFonts w:eastAsia="Times New Roman"/>
          <w:sz w:val="20"/>
          <w:szCs w:val="20"/>
        </w:rPr>
      </w:pPr>
      <w:r>
        <w:rPr>
          <w:rFonts w:eastAsia="Times New Roman"/>
          <w:sz w:val="20"/>
          <w:szCs w:val="20"/>
        </w:rPr>
        <w:pict w14:anchorId="1329B036">
          <v:rect id="_x0000_i1083" style="width:415.3pt;height:1.5pt" o:hralign="center" o:hrstd="t" o:hrnoshade="t" o:hr="t" fillcolor="black" stroked="f"/>
        </w:pict>
      </w:r>
    </w:p>
    <w:p w14:paraId="76F8E342" w14:textId="77777777" w:rsidR="00000000" w:rsidRDefault="004206B0">
      <w:pPr>
        <w:divId w:val="1664164084"/>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45334BE5" w14:textId="77777777" w:rsidR="00000000" w:rsidRDefault="004206B0">
      <w:pPr>
        <w:pStyle w:val="a3"/>
        <w:spacing w:before="0" w:beforeAutospacing="0" w:after="0" w:afterAutospacing="0"/>
        <w:rPr>
          <w:sz w:val="20"/>
          <w:szCs w:val="20"/>
        </w:rPr>
      </w:pPr>
      <w:r>
        <w:rPr>
          <w:sz w:val="20"/>
          <w:szCs w:val="20"/>
        </w:rPr>
        <w:t> </w:t>
      </w:r>
    </w:p>
    <w:p w14:paraId="5BF35FD7" w14:textId="77777777" w:rsidR="00000000" w:rsidRDefault="004206B0">
      <w:pPr>
        <w:divId w:val="1640068161"/>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144AD0C" w14:textId="77777777">
        <w:trPr>
          <w:tblCellSpacing w:w="0" w:type="dxa"/>
        </w:trPr>
        <w:tc>
          <w:tcPr>
            <w:tcW w:w="4815" w:type="pct"/>
            <w:hideMark/>
          </w:tcPr>
          <w:p w14:paraId="22B0982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w:t>
            </w:r>
            <w:r>
              <w:rPr>
                <w:rFonts w:ascii="Arial" w:hAnsi="Arial" w:cs="Arial"/>
                <w:b/>
                <w:bCs/>
                <w:sz w:val="20"/>
                <w:szCs w:val="20"/>
              </w:rPr>
              <w:t xml:space="preserve">Commodity-Indexed Trust </w:t>
            </w:r>
          </w:p>
          <w:p w14:paraId="6BCA740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w:t>
            </w:r>
          </w:p>
          <w:p w14:paraId="50D1F22E"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For the years ended December 31, 2022, 2021 and 2020</w:t>
            </w:r>
          </w:p>
        </w:tc>
      </w:tr>
    </w:tbl>
    <w:p w14:paraId="62AF7322" w14:textId="77777777" w:rsidR="00000000" w:rsidRDefault="004206B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96"/>
        <w:gridCol w:w="56"/>
        <w:gridCol w:w="112"/>
        <w:gridCol w:w="1346"/>
        <w:gridCol w:w="67"/>
        <w:gridCol w:w="56"/>
        <w:gridCol w:w="112"/>
        <w:gridCol w:w="1280"/>
        <w:gridCol w:w="67"/>
        <w:gridCol w:w="56"/>
        <w:gridCol w:w="112"/>
        <w:gridCol w:w="1179"/>
        <w:gridCol w:w="67"/>
      </w:tblGrid>
      <w:tr w:rsidR="00000000" w14:paraId="7A9AF726" w14:textId="77777777">
        <w:trPr>
          <w:divId w:val="231816834"/>
          <w:tblCellSpacing w:w="0" w:type="dxa"/>
        </w:trPr>
        <w:tc>
          <w:tcPr>
            <w:tcW w:w="0" w:type="auto"/>
            <w:vAlign w:val="bottom"/>
            <w:hideMark/>
          </w:tcPr>
          <w:p w14:paraId="7FE0CE0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E4C7A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14:paraId="07051EF4"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14:paraId="6A813A0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017D7C5" w14:textId="77777777">
        <w:trPr>
          <w:divId w:val="231816834"/>
          <w:tblCellSpacing w:w="0" w:type="dxa"/>
        </w:trPr>
        <w:tc>
          <w:tcPr>
            <w:tcW w:w="0" w:type="auto"/>
            <w:vAlign w:val="bottom"/>
            <w:hideMark/>
          </w:tcPr>
          <w:p w14:paraId="260875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D86E9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BAEFD4A"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2022</w:t>
            </w:r>
          </w:p>
        </w:tc>
        <w:tc>
          <w:tcPr>
            <w:tcW w:w="0" w:type="auto"/>
            <w:tcMar>
              <w:top w:w="0" w:type="dxa"/>
              <w:left w:w="0" w:type="dxa"/>
              <w:bottom w:w="15" w:type="dxa"/>
              <w:right w:w="0" w:type="dxa"/>
            </w:tcMar>
            <w:vAlign w:val="bottom"/>
            <w:hideMark/>
          </w:tcPr>
          <w:p w14:paraId="7337CC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EB9F6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F23EF1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14:paraId="2097E1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DA29E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29BCD8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0E2803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6DC58D5" w14:textId="77777777">
        <w:trPr>
          <w:divId w:val="231816834"/>
          <w:tblCellSpacing w:w="0" w:type="dxa"/>
        </w:trPr>
        <w:tc>
          <w:tcPr>
            <w:tcW w:w="2750" w:type="pct"/>
            <w:shd w:val="clear" w:color="auto" w:fill="CCEEFF"/>
            <w:vAlign w:val="bottom"/>
            <w:hideMark/>
          </w:tcPr>
          <w:p w14:paraId="1DBD6760"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Net Assets, Beginning of Year</w:t>
            </w:r>
          </w:p>
        </w:tc>
        <w:tc>
          <w:tcPr>
            <w:tcW w:w="50" w:type="pct"/>
            <w:shd w:val="clear" w:color="auto" w:fill="CCEEFF"/>
            <w:vAlign w:val="bottom"/>
            <w:hideMark/>
          </w:tcPr>
          <w:p w14:paraId="06339A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4B3604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14:paraId="70824C2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15" w:type="dxa"/>
              <w:right w:w="0" w:type="dxa"/>
            </w:tcMar>
            <w:vAlign w:val="bottom"/>
            <w:hideMark/>
          </w:tcPr>
          <w:p w14:paraId="51AF65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0E445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03CB50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14:paraId="13FA275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15" w:type="dxa"/>
              <w:right w:w="0" w:type="dxa"/>
            </w:tcMar>
            <w:vAlign w:val="bottom"/>
            <w:hideMark/>
          </w:tcPr>
          <w:p w14:paraId="7EC4CF6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54D01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3BF2AE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14:paraId="67DE2DD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CCEEFF"/>
            <w:tcMar>
              <w:top w:w="0" w:type="dxa"/>
              <w:left w:w="0" w:type="dxa"/>
              <w:bottom w:w="15" w:type="dxa"/>
              <w:right w:w="0" w:type="dxa"/>
            </w:tcMar>
            <w:vAlign w:val="bottom"/>
            <w:hideMark/>
          </w:tcPr>
          <w:p w14:paraId="5190B0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183038A" w14:textId="77777777">
        <w:trPr>
          <w:divId w:val="231816834"/>
          <w:tblCellSpacing w:w="0" w:type="dxa"/>
        </w:trPr>
        <w:tc>
          <w:tcPr>
            <w:tcW w:w="0" w:type="auto"/>
            <w:shd w:val="clear" w:color="auto" w:fill="FFFFFF"/>
            <w:vAlign w:val="bottom"/>
            <w:hideMark/>
          </w:tcPr>
          <w:p w14:paraId="3E48B67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68D2AA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0AA3B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DC07B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C4C9A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1CA7C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00448B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67901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30EBD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833C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0B2F34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C2C9D8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6A4F62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683AE48" w14:textId="77777777">
        <w:trPr>
          <w:divId w:val="231816834"/>
          <w:tblCellSpacing w:w="0" w:type="dxa"/>
        </w:trPr>
        <w:tc>
          <w:tcPr>
            <w:tcW w:w="0" w:type="auto"/>
            <w:shd w:val="clear" w:color="auto" w:fill="CCEEFF"/>
            <w:vAlign w:val="bottom"/>
            <w:hideMark/>
          </w:tcPr>
          <w:p w14:paraId="2A2B9DC6"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14:paraId="66508A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AD2952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BAFDB3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479D114"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056CF0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50DC1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218400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75E7A4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E8504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01329B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A350D4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04C346A"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3D538AF2" w14:textId="77777777">
        <w:trPr>
          <w:divId w:val="231816834"/>
          <w:tblCellSpacing w:w="0" w:type="dxa"/>
        </w:trPr>
        <w:tc>
          <w:tcPr>
            <w:tcW w:w="0" w:type="auto"/>
            <w:shd w:val="clear" w:color="auto" w:fill="FFFFFF"/>
            <w:vAlign w:val="bottom"/>
            <w:hideMark/>
          </w:tcPr>
          <w:p w14:paraId="64C1EFF3"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p>
        </w:tc>
        <w:tc>
          <w:tcPr>
            <w:tcW w:w="50" w:type="pct"/>
            <w:shd w:val="clear" w:color="auto" w:fill="FFFFFF"/>
            <w:vAlign w:val="bottom"/>
            <w:hideMark/>
          </w:tcPr>
          <w:p w14:paraId="7F1F176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6D22B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7CA812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7,523,923</w:t>
            </w:r>
          </w:p>
        </w:tc>
        <w:tc>
          <w:tcPr>
            <w:tcW w:w="50" w:type="pct"/>
            <w:shd w:val="clear" w:color="auto" w:fill="FFFFFF"/>
            <w:vAlign w:val="bottom"/>
            <w:hideMark/>
          </w:tcPr>
          <w:p w14:paraId="1EC91FB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4D371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EB40F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CCF598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(10,385,215</w:t>
            </w:r>
          </w:p>
        </w:tc>
        <w:tc>
          <w:tcPr>
            <w:tcW w:w="50" w:type="pct"/>
            <w:shd w:val="clear" w:color="auto" w:fill="FFFFFF"/>
            <w:vAlign w:val="bottom"/>
            <w:hideMark/>
          </w:tcPr>
          <w:p w14:paraId="79AA8E5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F24B5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E5EFA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CAF4FA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(2,276,351</w:t>
            </w:r>
          </w:p>
        </w:tc>
        <w:tc>
          <w:tcPr>
            <w:tcW w:w="50" w:type="pct"/>
            <w:shd w:val="clear" w:color="auto" w:fill="FFFFFF"/>
            <w:vAlign w:val="bottom"/>
            <w:hideMark/>
          </w:tcPr>
          <w:p w14:paraId="6C8ECCCB"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32F7F4A3" w14:textId="77777777">
        <w:trPr>
          <w:divId w:val="231816834"/>
          <w:tblCellSpacing w:w="0" w:type="dxa"/>
        </w:trPr>
        <w:tc>
          <w:tcPr>
            <w:tcW w:w="0" w:type="auto"/>
            <w:shd w:val="clear" w:color="auto" w:fill="CCEEFF"/>
            <w:vAlign w:val="bottom"/>
            <w:hideMark/>
          </w:tcPr>
          <w:p w14:paraId="490641DA"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14:paraId="10191D2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80AD5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987080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359,591,600</w:t>
            </w:r>
          </w:p>
        </w:tc>
        <w:tc>
          <w:tcPr>
            <w:tcW w:w="50" w:type="pct"/>
            <w:shd w:val="clear" w:color="auto" w:fill="CCEEFF"/>
            <w:vAlign w:val="bottom"/>
            <w:hideMark/>
          </w:tcPr>
          <w:p w14:paraId="6C4C90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05408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C616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45CA0D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381,836,048</w:t>
            </w:r>
          </w:p>
        </w:tc>
        <w:tc>
          <w:tcPr>
            <w:tcW w:w="50" w:type="pct"/>
            <w:shd w:val="clear" w:color="auto" w:fill="CCEEFF"/>
            <w:vAlign w:val="bottom"/>
            <w:hideMark/>
          </w:tcPr>
          <w:p w14:paraId="3092AA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5B40BA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72F0EE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35BB7F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(204,075,255</w:t>
            </w:r>
          </w:p>
        </w:tc>
        <w:tc>
          <w:tcPr>
            <w:tcW w:w="50" w:type="pct"/>
            <w:shd w:val="clear" w:color="auto" w:fill="CCEEFF"/>
            <w:vAlign w:val="bottom"/>
            <w:hideMark/>
          </w:tcPr>
          <w:p w14:paraId="40AC745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2674F2BC" w14:textId="77777777">
        <w:trPr>
          <w:divId w:val="231816834"/>
          <w:tblCellSpacing w:w="0" w:type="dxa"/>
        </w:trPr>
        <w:tc>
          <w:tcPr>
            <w:tcW w:w="0" w:type="auto"/>
            <w:shd w:val="clear" w:color="auto" w:fill="FFFFFF"/>
            <w:vAlign w:val="bottom"/>
            <w:hideMark/>
          </w:tcPr>
          <w:p w14:paraId="6D70F28B"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2115BC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9F9CE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F63D6E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23,693,099</w:t>
            </w:r>
          </w:p>
        </w:tc>
        <w:tc>
          <w:tcPr>
            <w:tcW w:w="50" w:type="pct"/>
            <w:shd w:val="clear" w:color="auto" w:fill="FFFFFF"/>
            <w:tcMar>
              <w:top w:w="0" w:type="dxa"/>
              <w:left w:w="0" w:type="dxa"/>
              <w:bottom w:w="15" w:type="dxa"/>
              <w:right w:w="0" w:type="dxa"/>
            </w:tcMar>
            <w:vAlign w:val="bottom"/>
            <w:hideMark/>
          </w:tcPr>
          <w:p w14:paraId="1437CBD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B929C0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2781AC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4A8D9A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(5,441,876</w:t>
            </w:r>
          </w:p>
        </w:tc>
        <w:tc>
          <w:tcPr>
            <w:tcW w:w="50" w:type="pct"/>
            <w:shd w:val="clear" w:color="auto" w:fill="FFFFFF"/>
            <w:tcMar>
              <w:top w:w="0" w:type="dxa"/>
              <w:left w:w="0" w:type="dxa"/>
              <w:bottom w:w="15" w:type="dxa"/>
              <w:right w:w="0" w:type="dxa"/>
            </w:tcMar>
            <w:vAlign w:val="bottom"/>
            <w:hideMark/>
          </w:tcPr>
          <w:p w14:paraId="6CB3AC5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3E6BA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59D062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4022F5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22,736,355</w:t>
            </w:r>
          </w:p>
        </w:tc>
        <w:tc>
          <w:tcPr>
            <w:tcW w:w="50" w:type="pct"/>
            <w:shd w:val="clear" w:color="auto" w:fill="FFFFFF"/>
            <w:tcMar>
              <w:top w:w="0" w:type="dxa"/>
              <w:left w:w="0" w:type="dxa"/>
              <w:bottom w:w="15" w:type="dxa"/>
              <w:right w:w="0" w:type="dxa"/>
            </w:tcMar>
            <w:vAlign w:val="bottom"/>
            <w:hideMark/>
          </w:tcPr>
          <w:p w14:paraId="12DF95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97DDCFD" w14:textId="77777777">
        <w:trPr>
          <w:divId w:val="231816834"/>
          <w:tblCellSpacing w:w="0" w:type="dxa"/>
        </w:trPr>
        <w:tc>
          <w:tcPr>
            <w:tcW w:w="0" w:type="auto"/>
            <w:shd w:val="clear" w:color="auto" w:fill="CCEEFF"/>
            <w:vAlign w:val="bottom"/>
            <w:hideMark/>
          </w:tcPr>
          <w:p w14:paraId="6F90D23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vAlign w:val="bottom"/>
            <w:hideMark/>
          </w:tcPr>
          <w:p w14:paraId="21DE53F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948E5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C88234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390,808,622</w:t>
            </w:r>
          </w:p>
        </w:tc>
        <w:tc>
          <w:tcPr>
            <w:tcW w:w="50" w:type="pct"/>
            <w:shd w:val="clear" w:color="auto" w:fill="CCEEFF"/>
            <w:tcMar>
              <w:top w:w="0" w:type="dxa"/>
              <w:left w:w="0" w:type="dxa"/>
              <w:bottom w:w="15" w:type="dxa"/>
              <w:right w:w="0" w:type="dxa"/>
            </w:tcMar>
            <w:vAlign w:val="bottom"/>
            <w:hideMark/>
          </w:tcPr>
          <w:p w14:paraId="7DBD2D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D9801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B8F456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2666BD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366,008,957</w:t>
            </w:r>
          </w:p>
        </w:tc>
        <w:tc>
          <w:tcPr>
            <w:tcW w:w="50" w:type="pct"/>
            <w:shd w:val="clear" w:color="auto" w:fill="CCEEFF"/>
            <w:tcMar>
              <w:top w:w="0" w:type="dxa"/>
              <w:left w:w="0" w:type="dxa"/>
              <w:bottom w:w="15" w:type="dxa"/>
              <w:right w:w="0" w:type="dxa"/>
            </w:tcMar>
            <w:vAlign w:val="bottom"/>
            <w:hideMark/>
          </w:tcPr>
          <w:p w14:paraId="1E44E9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4B5590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C242E8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31A404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CCEEFF"/>
            <w:tcMar>
              <w:top w:w="0" w:type="dxa"/>
              <w:left w:w="0" w:type="dxa"/>
              <w:bottom w:w="15" w:type="dxa"/>
              <w:right w:w="0" w:type="dxa"/>
            </w:tcMar>
            <w:vAlign w:val="bottom"/>
            <w:hideMark/>
          </w:tcPr>
          <w:p w14:paraId="4121671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2546B432" w14:textId="77777777">
        <w:trPr>
          <w:divId w:val="231816834"/>
          <w:tblCellSpacing w:w="0" w:type="dxa"/>
        </w:trPr>
        <w:tc>
          <w:tcPr>
            <w:tcW w:w="0" w:type="auto"/>
            <w:shd w:val="clear" w:color="auto" w:fill="FFFFFF"/>
            <w:vAlign w:val="bottom"/>
            <w:hideMark/>
          </w:tcPr>
          <w:p w14:paraId="2C93AFC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8CA2A6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ECA4AA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9DAA5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9D0A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A6A9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3CE11D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390420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0429C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675FC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76FE39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A7A1A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9491F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DA2C536" w14:textId="77777777">
        <w:trPr>
          <w:divId w:val="231816834"/>
          <w:tblCellSpacing w:w="0" w:type="dxa"/>
        </w:trPr>
        <w:tc>
          <w:tcPr>
            <w:tcW w:w="0" w:type="auto"/>
            <w:shd w:val="clear" w:color="auto" w:fill="CCEEFF"/>
            <w:vAlign w:val="bottom"/>
            <w:hideMark/>
          </w:tcPr>
          <w:p w14:paraId="247BACB8"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14:paraId="379DDE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6A84F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77BC64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271933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A2A6D0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8A514D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01D332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B41329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F3EC49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6099B3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9957C0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6C4F97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6B48877A" w14:textId="77777777">
        <w:trPr>
          <w:divId w:val="231816834"/>
          <w:tblCellSpacing w:w="0" w:type="dxa"/>
        </w:trPr>
        <w:tc>
          <w:tcPr>
            <w:tcW w:w="0" w:type="auto"/>
            <w:shd w:val="clear" w:color="auto" w:fill="FFFFFF"/>
            <w:vAlign w:val="bottom"/>
            <w:hideMark/>
          </w:tcPr>
          <w:p w14:paraId="78747BEF"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27C37F6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1FC5F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9E1CE1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477,233,516</w:t>
            </w:r>
          </w:p>
        </w:tc>
        <w:tc>
          <w:tcPr>
            <w:tcW w:w="50" w:type="pct"/>
            <w:shd w:val="clear" w:color="auto" w:fill="FFFFFF"/>
            <w:vAlign w:val="bottom"/>
            <w:hideMark/>
          </w:tcPr>
          <w:p w14:paraId="06AD1C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183AA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E8F5F9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D537A9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522,133,469</w:t>
            </w:r>
          </w:p>
        </w:tc>
        <w:tc>
          <w:tcPr>
            <w:tcW w:w="50" w:type="pct"/>
            <w:shd w:val="clear" w:color="auto" w:fill="FFFFFF"/>
            <w:vAlign w:val="bottom"/>
            <w:hideMark/>
          </w:tcPr>
          <w:p w14:paraId="36932FC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9BAF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A661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C08E10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366,906,034</w:t>
            </w:r>
          </w:p>
        </w:tc>
        <w:tc>
          <w:tcPr>
            <w:tcW w:w="50" w:type="pct"/>
            <w:shd w:val="clear" w:color="auto" w:fill="FFFFFF"/>
            <w:vAlign w:val="bottom"/>
            <w:hideMark/>
          </w:tcPr>
          <w:p w14:paraId="1BAD88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0CD4B72" w14:textId="77777777">
        <w:trPr>
          <w:divId w:val="231816834"/>
          <w:tblCellSpacing w:w="0" w:type="dxa"/>
        </w:trPr>
        <w:tc>
          <w:tcPr>
            <w:tcW w:w="0" w:type="auto"/>
            <w:shd w:val="clear" w:color="auto" w:fill="CCEEFF"/>
            <w:vAlign w:val="bottom"/>
            <w:hideMark/>
          </w:tcPr>
          <w:p w14:paraId="588234BA"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162DA28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FC00E0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5E6C9E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(1,078,742,396</w:t>
            </w:r>
          </w:p>
        </w:tc>
        <w:tc>
          <w:tcPr>
            <w:tcW w:w="50" w:type="pct"/>
            <w:shd w:val="clear" w:color="auto" w:fill="CCEEFF"/>
            <w:tcMar>
              <w:top w:w="0" w:type="dxa"/>
              <w:left w:w="0" w:type="dxa"/>
              <w:bottom w:w="15" w:type="dxa"/>
              <w:right w:w="0" w:type="dxa"/>
            </w:tcMar>
            <w:vAlign w:val="bottom"/>
            <w:hideMark/>
          </w:tcPr>
          <w:p w14:paraId="71DBA48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24325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4FDFAB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E89123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(283,678,931</w:t>
            </w:r>
          </w:p>
        </w:tc>
        <w:tc>
          <w:tcPr>
            <w:tcW w:w="50" w:type="pct"/>
            <w:shd w:val="clear" w:color="auto" w:fill="CCEEFF"/>
            <w:tcMar>
              <w:top w:w="0" w:type="dxa"/>
              <w:left w:w="0" w:type="dxa"/>
              <w:bottom w:w="15" w:type="dxa"/>
              <w:right w:w="0" w:type="dxa"/>
            </w:tcMar>
            <w:vAlign w:val="bottom"/>
            <w:hideMark/>
          </w:tcPr>
          <w:p w14:paraId="3B8C442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F1FA89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C9499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BCED73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(131,287,268</w:t>
            </w:r>
          </w:p>
        </w:tc>
        <w:tc>
          <w:tcPr>
            <w:tcW w:w="50" w:type="pct"/>
            <w:shd w:val="clear" w:color="auto" w:fill="CCEEFF"/>
            <w:tcMar>
              <w:top w:w="0" w:type="dxa"/>
              <w:left w:w="0" w:type="dxa"/>
              <w:bottom w:w="15" w:type="dxa"/>
              <w:right w:w="0" w:type="dxa"/>
            </w:tcMar>
            <w:vAlign w:val="bottom"/>
            <w:hideMark/>
          </w:tcPr>
          <w:p w14:paraId="49244DE6"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670788BF" w14:textId="77777777">
        <w:trPr>
          <w:divId w:val="231816834"/>
          <w:tblCellSpacing w:w="0" w:type="dxa"/>
        </w:trPr>
        <w:tc>
          <w:tcPr>
            <w:tcW w:w="0" w:type="auto"/>
            <w:shd w:val="clear" w:color="auto" w:fill="FFFFFF"/>
            <w:vAlign w:val="bottom"/>
            <w:hideMark/>
          </w:tcPr>
          <w:p w14:paraId="2ED4148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capital share transactions</w:t>
            </w:r>
          </w:p>
        </w:tc>
        <w:tc>
          <w:tcPr>
            <w:tcW w:w="50" w:type="pct"/>
            <w:shd w:val="clear" w:color="auto" w:fill="FFFFFF"/>
            <w:vAlign w:val="bottom"/>
            <w:hideMark/>
          </w:tcPr>
          <w:p w14:paraId="192551A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7B9FA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4C8755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(601,508,880</w:t>
            </w:r>
          </w:p>
        </w:tc>
        <w:tc>
          <w:tcPr>
            <w:tcW w:w="50" w:type="pct"/>
            <w:shd w:val="clear" w:color="auto" w:fill="FFFFFF"/>
            <w:tcMar>
              <w:top w:w="0" w:type="dxa"/>
              <w:left w:w="0" w:type="dxa"/>
              <w:bottom w:w="15" w:type="dxa"/>
              <w:right w:w="0" w:type="dxa"/>
            </w:tcMar>
            <w:vAlign w:val="bottom"/>
            <w:hideMark/>
          </w:tcPr>
          <w:p w14:paraId="5949A93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9ECDE4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F17E7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31D574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238,454,538</w:t>
            </w:r>
          </w:p>
        </w:tc>
        <w:tc>
          <w:tcPr>
            <w:tcW w:w="50" w:type="pct"/>
            <w:shd w:val="clear" w:color="auto" w:fill="FFFFFF"/>
            <w:tcMar>
              <w:top w:w="0" w:type="dxa"/>
              <w:left w:w="0" w:type="dxa"/>
              <w:bottom w:w="15" w:type="dxa"/>
              <w:right w:w="0" w:type="dxa"/>
            </w:tcMar>
            <w:vAlign w:val="bottom"/>
            <w:hideMark/>
          </w:tcPr>
          <w:p w14:paraId="37A98E6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EC85F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7F655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04640A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235,618,766</w:t>
            </w:r>
          </w:p>
        </w:tc>
        <w:tc>
          <w:tcPr>
            <w:tcW w:w="50" w:type="pct"/>
            <w:shd w:val="clear" w:color="auto" w:fill="FFFFFF"/>
            <w:tcMar>
              <w:top w:w="0" w:type="dxa"/>
              <w:left w:w="0" w:type="dxa"/>
              <w:bottom w:w="15" w:type="dxa"/>
              <w:right w:w="0" w:type="dxa"/>
            </w:tcMar>
            <w:vAlign w:val="bottom"/>
            <w:hideMark/>
          </w:tcPr>
          <w:p w14:paraId="522B6D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38C077F" w14:textId="77777777">
        <w:trPr>
          <w:divId w:val="231816834"/>
          <w:tblCellSpacing w:w="0" w:type="dxa"/>
        </w:trPr>
        <w:tc>
          <w:tcPr>
            <w:tcW w:w="0" w:type="auto"/>
            <w:shd w:val="clear" w:color="auto" w:fill="CCEEFF"/>
            <w:vAlign w:val="bottom"/>
            <w:hideMark/>
          </w:tcPr>
          <w:p w14:paraId="2715F2D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11C1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43369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36B91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B538C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34F7AB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B238B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A04A1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9474C7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F4D519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43FD7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04CC47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1B049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E173277" w14:textId="77777777">
        <w:trPr>
          <w:divId w:val="231816834"/>
          <w:tblCellSpacing w:w="0" w:type="dxa"/>
        </w:trPr>
        <w:tc>
          <w:tcPr>
            <w:tcW w:w="0" w:type="auto"/>
            <w:shd w:val="clear" w:color="auto" w:fill="FFFFFF"/>
            <w:vAlign w:val="bottom"/>
            <w:hideMark/>
          </w:tcPr>
          <w:p w14:paraId="1E0869A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Increase (decrease) in net assets</w:t>
            </w:r>
          </w:p>
        </w:tc>
        <w:tc>
          <w:tcPr>
            <w:tcW w:w="50" w:type="pct"/>
            <w:shd w:val="clear" w:color="auto" w:fill="FFFFFF"/>
            <w:vAlign w:val="bottom"/>
            <w:hideMark/>
          </w:tcPr>
          <w:p w14:paraId="43CB0A2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F527BF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A6AE38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(210,700,258</w:t>
            </w:r>
          </w:p>
        </w:tc>
        <w:tc>
          <w:tcPr>
            <w:tcW w:w="50" w:type="pct"/>
            <w:shd w:val="clear" w:color="auto" w:fill="FFFFFF"/>
            <w:tcMar>
              <w:top w:w="0" w:type="dxa"/>
              <w:left w:w="0" w:type="dxa"/>
              <w:bottom w:w="15" w:type="dxa"/>
              <w:right w:w="0" w:type="dxa"/>
            </w:tcMar>
            <w:vAlign w:val="bottom"/>
            <w:hideMark/>
          </w:tcPr>
          <w:p w14:paraId="71A8D89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588F0A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184A5D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8D9D52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604,463,495</w:t>
            </w:r>
          </w:p>
        </w:tc>
        <w:tc>
          <w:tcPr>
            <w:tcW w:w="50" w:type="pct"/>
            <w:shd w:val="clear" w:color="auto" w:fill="FFFFFF"/>
            <w:tcMar>
              <w:top w:w="0" w:type="dxa"/>
              <w:left w:w="0" w:type="dxa"/>
              <w:bottom w:w="15" w:type="dxa"/>
              <w:right w:w="0" w:type="dxa"/>
            </w:tcMar>
            <w:vAlign w:val="bottom"/>
            <w:hideMark/>
          </w:tcPr>
          <w:p w14:paraId="57D2588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B9A67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D7F29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26135B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52,003,515</w:t>
            </w:r>
          </w:p>
        </w:tc>
        <w:tc>
          <w:tcPr>
            <w:tcW w:w="50" w:type="pct"/>
            <w:shd w:val="clear" w:color="auto" w:fill="FFFFFF"/>
            <w:tcMar>
              <w:top w:w="0" w:type="dxa"/>
              <w:left w:w="0" w:type="dxa"/>
              <w:bottom w:w="15" w:type="dxa"/>
              <w:right w:w="0" w:type="dxa"/>
            </w:tcMar>
            <w:vAlign w:val="bottom"/>
            <w:hideMark/>
          </w:tcPr>
          <w:p w14:paraId="66574C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4854DE7" w14:textId="77777777">
        <w:trPr>
          <w:divId w:val="231816834"/>
          <w:tblCellSpacing w:w="0" w:type="dxa"/>
        </w:trPr>
        <w:tc>
          <w:tcPr>
            <w:tcW w:w="0" w:type="auto"/>
            <w:shd w:val="clear" w:color="auto" w:fill="CCEEFF"/>
            <w:vAlign w:val="bottom"/>
            <w:hideMark/>
          </w:tcPr>
          <w:p w14:paraId="1AF7DFD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2520D9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DF802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944BB3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CE7B9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868A83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0B68E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AC454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8FC428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91E5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814B3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417F8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C56A2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A566D8D" w14:textId="77777777">
        <w:trPr>
          <w:divId w:val="231816834"/>
          <w:tblCellSpacing w:w="0" w:type="dxa"/>
        </w:trPr>
        <w:tc>
          <w:tcPr>
            <w:tcW w:w="0" w:type="auto"/>
            <w:shd w:val="clear" w:color="auto" w:fill="FFFFFF"/>
            <w:vAlign w:val="bottom"/>
            <w:hideMark/>
          </w:tcPr>
          <w:p w14:paraId="490A6F8F"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Net Assets, End of Year</w:t>
            </w:r>
          </w:p>
        </w:tc>
        <w:tc>
          <w:tcPr>
            <w:tcW w:w="50" w:type="pct"/>
            <w:shd w:val="clear" w:color="auto" w:fill="FFFFFF"/>
            <w:vAlign w:val="bottom"/>
            <w:hideMark/>
          </w:tcPr>
          <w:p w14:paraId="3066963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A9DB0F1"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3E99FC2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1,221,109,857</w:t>
            </w:r>
          </w:p>
        </w:tc>
        <w:tc>
          <w:tcPr>
            <w:tcW w:w="50" w:type="pct"/>
            <w:shd w:val="clear" w:color="auto" w:fill="FFFFFF"/>
            <w:vAlign w:val="bottom"/>
            <w:hideMark/>
          </w:tcPr>
          <w:p w14:paraId="346AF52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64CA2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F3A8B8"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529C7C8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FFFFFF"/>
            <w:vAlign w:val="bottom"/>
            <w:hideMark/>
          </w:tcPr>
          <w:p w14:paraId="586301A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943CB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EE204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125A505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vAlign w:val="bottom"/>
            <w:hideMark/>
          </w:tcPr>
          <w:p w14:paraId="2DC7F0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74BE09D" w14:textId="77777777">
        <w:trPr>
          <w:divId w:val="231816834"/>
          <w:tblCellSpacing w:w="0" w:type="dxa"/>
        </w:trPr>
        <w:tc>
          <w:tcPr>
            <w:tcW w:w="0" w:type="auto"/>
            <w:shd w:val="clear" w:color="auto" w:fill="CCEEFF"/>
            <w:vAlign w:val="bottom"/>
            <w:hideMark/>
          </w:tcPr>
          <w:p w14:paraId="10B5AD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D50F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CB7140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688C5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80457F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9AF29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FE432A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77466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AD5617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0A0A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74DF14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42E2C9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A70DF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7BCF43B" w14:textId="77777777">
        <w:trPr>
          <w:divId w:val="231816834"/>
          <w:tblCellSpacing w:w="0" w:type="dxa"/>
        </w:trPr>
        <w:tc>
          <w:tcPr>
            <w:tcW w:w="0" w:type="auto"/>
            <w:shd w:val="clear" w:color="auto" w:fill="FFFFFF"/>
            <w:vAlign w:val="bottom"/>
            <w:hideMark/>
          </w:tcPr>
          <w:p w14:paraId="44F4CC7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14:paraId="7E55AE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82779C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D788F6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5224BC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FC186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60362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C09B2B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B1A9DD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7269F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FD2C20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36A92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A8EEA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CE69062" w14:textId="77777777">
        <w:trPr>
          <w:divId w:val="231816834"/>
          <w:tblCellSpacing w:w="0" w:type="dxa"/>
        </w:trPr>
        <w:tc>
          <w:tcPr>
            <w:tcW w:w="0" w:type="auto"/>
            <w:shd w:val="clear" w:color="auto" w:fill="CCEEFF"/>
            <w:vAlign w:val="bottom"/>
            <w:hideMark/>
          </w:tcPr>
          <w:p w14:paraId="26F285FA"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14:paraId="410A9C1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F13EBA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A43A3A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22,900,000</w:t>
            </w:r>
          </w:p>
        </w:tc>
        <w:tc>
          <w:tcPr>
            <w:tcW w:w="50" w:type="pct"/>
            <w:shd w:val="clear" w:color="auto" w:fill="CCEEFF"/>
            <w:vAlign w:val="bottom"/>
            <w:hideMark/>
          </w:tcPr>
          <w:p w14:paraId="1FEA3C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2F075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3A63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E03965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34,750,000</w:t>
            </w:r>
          </w:p>
        </w:tc>
        <w:tc>
          <w:tcPr>
            <w:tcW w:w="50" w:type="pct"/>
            <w:shd w:val="clear" w:color="auto" w:fill="CCEEFF"/>
            <w:vAlign w:val="bottom"/>
            <w:hideMark/>
          </w:tcPr>
          <w:p w14:paraId="2AAA9A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079AA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4C5810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7F349B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31,850,000</w:t>
            </w:r>
          </w:p>
        </w:tc>
        <w:tc>
          <w:tcPr>
            <w:tcW w:w="50" w:type="pct"/>
            <w:shd w:val="clear" w:color="auto" w:fill="CCEEFF"/>
            <w:vAlign w:val="bottom"/>
            <w:hideMark/>
          </w:tcPr>
          <w:p w14:paraId="6B5F2A4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EE42E76" w14:textId="77777777">
        <w:trPr>
          <w:divId w:val="231816834"/>
          <w:tblCellSpacing w:w="0" w:type="dxa"/>
        </w:trPr>
        <w:tc>
          <w:tcPr>
            <w:tcW w:w="0" w:type="auto"/>
            <w:shd w:val="clear" w:color="auto" w:fill="FFFFFF"/>
            <w:vAlign w:val="bottom"/>
            <w:hideMark/>
          </w:tcPr>
          <w:p w14:paraId="743DD34B"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14:paraId="02DFE0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1ADC88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2F4122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(49,100,000</w:t>
            </w:r>
          </w:p>
        </w:tc>
        <w:tc>
          <w:tcPr>
            <w:tcW w:w="50" w:type="pct"/>
            <w:shd w:val="clear" w:color="auto" w:fill="FFFFFF"/>
            <w:tcMar>
              <w:top w:w="0" w:type="dxa"/>
              <w:left w:w="0" w:type="dxa"/>
              <w:bottom w:w="15" w:type="dxa"/>
              <w:right w:w="0" w:type="dxa"/>
            </w:tcMar>
            <w:vAlign w:val="bottom"/>
            <w:hideMark/>
          </w:tcPr>
          <w:p w14:paraId="486A65B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4CC48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C0984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341BAD3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(18,250,000</w:t>
            </w:r>
          </w:p>
        </w:tc>
        <w:tc>
          <w:tcPr>
            <w:tcW w:w="50" w:type="pct"/>
            <w:shd w:val="clear" w:color="auto" w:fill="FFFFFF"/>
            <w:tcMar>
              <w:top w:w="0" w:type="dxa"/>
              <w:left w:w="0" w:type="dxa"/>
              <w:bottom w:w="15" w:type="dxa"/>
              <w:right w:w="0" w:type="dxa"/>
            </w:tcMar>
            <w:vAlign w:val="bottom"/>
            <w:hideMark/>
          </w:tcPr>
          <w:p w14:paraId="24D1875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54256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CEFAA1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15D671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(12,350,000</w:t>
            </w:r>
          </w:p>
        </w:tc>
        <w:tc>
          <w:tcPr>
            <w:tcW w:w="50" w:type="pct"/>
            <w:shd w:val="clear" w:color="auto" w:fill="FFFFFF"/>
            <w:tcMar>
              <w:top w:w="0" w:type="dxa"/>
              <w:left w:w="0" w:type="dxa"/>
              <w:bottom w:w="15" w:type="dxa"/>
              <w:right w:w="0" w:type="dxa"/>
            </w:tcMar>
            <w:vAlign w:val="bottom"/>
            <w:hideMark/>
          </w:tcPr>
          <w:p w14:paraId="77478C7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05A4E084" w14:textId="77777777">
        <w:trPr>
          <w:divId w:val="231816834"/>
          <w:tblCellSpacing w:w="0" w:type="dxa"/>
        </w:trPr>
        <w:tc>
          <w:tcPr>
            <w:tcW w:w="0" w:type="auto"/>
            <w:shd w:val="clear" w:color="auto" w:fill="CCEEFF"/>
            <w:vAlign w:val="bottom"/>
            <w:hideMark/>
          </w:tcPr>
          <w:p w14:paraId="62D72E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Shares issued and outstanding</w:t>
            </w:r>
          </w:p>
        </w:tc>
        <w:tc>
          <w:tcPr>
            <w:tcW w:w="50" w:type="pct"/>
            <w:shd w:val="clear" w:color="auto" w:fill="CCEEFF"/>
            <w:vAlign w:val="bottom"/>
            <w:hideMark/>
          </w:tcPr>
          <w:p w14:paraId="742653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7D4EE56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14:paraId="56C2D1D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(26,200,000</w:t>
            </w:r>
          </w:p>
        </w:tc>
        <w:tc>
          <w:tcPr>
            <w:tcW w:w="50" w:type="pct"/>
            <w:shd w:val="clear" w:color="auto" w:fill="CCEEFF"/>
            <w:tcMar>
              <w:top w:w="0" w:type="dxa"/>
              <w:left w:w="0" w:type="dxa"/>
              <w:bottom w:w="45" w:type="dxa"/>
              <w:right w:w="0" w:type="dxa"/>
            </w:tcMar>
            <w:vAlign w:val="bottom"/>
            <w:hideMark/>
          </w:tcPr>
          <w:p w14:paraId="0AF82A7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D814A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140E50F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14:paraId="0444C75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16,500,000</w:t>
            </w:r>
          </w:p>
        </w:tc>
        <w:tc>
          <w:tcPr>
            <w:tcW w:w="50" w:type="pct"/>
            <w:shd w:val="clear" w:color="auto" w:fill="CCEEFF"/>
            <w:tcMar>
              <w:top w:w="0" w:type="dxa"/>
              <w:left w:w="0" w:type="dxa"/>
              <w:bottom w:w="45" w:type="dxa"/>
              <w:right w:w="0" w:type="dxa"/>
            </w:tcMar>
            <w:vAlign w:val="bottom"/>
            <w:hideMark/>
          </w:tcPr>
          <w:p w14:paraId="5DA0CDA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CFEEA4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5A6E280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14:paraId="4F02F2D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19,500,000</w:t>
            </w:r>
          </w:p>
        </w:tc>
        <w:tc>
          <w:tcPr>
            <w:tcW w:w="50" w:type="pct"/>
            <w:shd w:val="clear" w:color="auto" w:fill="CCEEFF"/>
            <w:tcMar>
              <w:top w:w="0" w:type="dxa"/>
              <w:left w:w="0" w:type="dxa"/>
              <w:bottom w:w="45" w:type="dxa"/>
              <w:right w:w="0" w:type="dxa"/>
            </w:tcMar>
            <w:vAlign w:val="bottom"/>
            <w:hideMark/>
          </w:tcPr>
          <w:p w14:paraId="3F2B92A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2145DA02" w14:textId="77777777" w:rsidR="00000000" w:rsidRDefault="004206B0">
      <w:pPr>
        <w:pStyle w:val="a3"/>
        <w:spacing w:before="0" w:beforeAutospacing="0" w:after="0" w:afterAutospacing="0"/>
        <w:rPr>
          <w:sz w:val="20"/>
          <w:szCs w:val="20"/>
        </w:rPr>
      </w:pPr>
      <w:r>
        <w:rPr>
          <w:sz w:val="20"/>
          <w:szCs w:val="20"/>
        </w:rPr>
        <w:t> </w:t>
      </w:r>
    </w:p>
    <w:p w14:paraId="0FC93F18" w14:textId="77777777" w:rsidR="00000000" w:rsidRDefault="004206B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4F880E5" w14:textId="77777777">
        <w:trPr>
          <w:tblCellSpacing w:w="0" w:type="dxa"/>
        </w:trPr>
        <w:tc>
          <w:tcPr>
            <w:tcW w:w="2315" w:type="pct"/>
            <w:hideMark/>
          </w:tcPr>
          <w:p w14:paraId="36863052"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tc>
      </w:tr>
    </w:tbl>
    <w:p w14:paraId="5C75B97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B59EA9F" w14:textId="77777777" w:rsidR="00000000" w:rsidRDefault="004206B0">
      <w:pPr>
        <w:jc w:val="center"/>
        <w:divId w:val="229118615"/>
        <w:rPr>
          <w:rFonts w:ascii="Arial" w:eastAsia="Times New Roman" w:hAnsi="Arial" w:cs="Arial"/>
          <w:sz w:val="20"/>
          <w:szCs w:val="20"/>
        </w:rPr>
      </w:pPr>
      <w:r>
        <w:rPr>
          <w:rFonts w:ascii="Arial" w:eastAsia="Times New Roman" w:hAnsi="Arial" w:cs="Arial"/>
          <w:sz w:val="20"/>
          <w:szCs w:val="20"/>
        </w:rPr>
        <w:t xml:space="preserve">F-5 </w:t>
      </w:r>
    </w:p>
    <w:p w14:paraId="338A930E" w14:textId="77777777" w:rsidR="00000000" w:rsidRDefault="004206B0">
      <w:pPr>
        <w:divId w:val="130710310"/>
        <w:rPr>
          <w:rFonts w:eastAsia="Times New Roman"/>
          <w:sz w:val="20"/>
          <w:szCs w:val="20"/>
        </w:rPr>
      </w:pPr>
      <w:r>
        <w:rPr>
          <w:rFonts w:eastAsia="Times New Roman"/>
          <w:sz w:val="20"/>
          <w:szCs w:val="20"/>
        </w:rPr>
        <w:pict w14:anchorId="4159CEF3">
          <v:rect id="_x0000_i1084" style="width:415.3pt;height:1.5pt" o:hralign="center" o:hrstd="t" o:hrnoshade="t" o:hr="t" fillcolor="black" stroked="f"/>
        </w:pict>
      </w:r>
    </w:p>
    <w:p w14:paraId="663849E3" w14:textId="77777777" w:rsidR="00000000" w:rsidRDefault="004206B0">
      <w:pPr>
        <w:divId w:val="787704496"/>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18778673" w14:textId="77777777" w:rsidR="00000000" w:rsidRDefault="004206B0">
      <w:pPr>
        <w:pStyle w:val="a3"/>
        <w:spacing w:before="0" w:beforeAutospacing="0" w:after="0" w:afterAutospacing="0"/>
        <w:rPr>
          <w:sz w:val="20"/>
          <w:szCs w:val="20"/>
        </w:rPr>
      </w:pPr>
      <w:r>
        <w:rPr>
          <w:sz w:val="20"/>
          <w:szCs w:val="20"/>
        </w:rPr>
        <w:t> </w:t>
      </w:r>
    </w:p>
    <w:p w14:paraId="3C6D9C5B" w14:textId="77777777" w:rsidR="00000000" w:rsidRDefault="004206B0">
      <w:pPr>
        <w:divId w:val="190337819"/>
        <w:rPr>
          <w:rFonts w:eastAsia="Times New Roman"/>
          <w:sz w:val="20"/>
          <w:szCs w:val="20"/>
        </w:rPr>
      </w:pPr>
      <w:r>
        <w:rPr>
          <w:rFonts w:eastAsia="Times New Roman"/>
          <w:sz w:val="20"/>
          <w:szCs w:val="20"/>
        </w:rPr>
        <w:t xml:space="preserve">  </w:t>
      </w:r>
    </w:p>
    <w:p w14:paraId="541419D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14:paraId="22300B3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w:t>
      </w:r>
    </w:p>
    <w:p w14:paraId="282B537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For the years ended December 31, 20</w:t>
      </w:r>
      <w:r>
        <w:rPr>
          <w:rFonts w:ascii="Arial" w:hAnsi="Arial" w:cs="Arial"/>
          <w:sz w:val="20"/>
          <w:szCs w:val="20"/>
        </w:rPr>
        <w:t>22, 2021 and 2020</w:t>
      </w:r>
    </w:p>
    <w:p w14:paraId="212CBF5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CB5234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452"/>
        <w:gridCol w:w="56"/>
        <w:gridCol w:w="112"/>
        <w:gridCol w:w="1457"/>
        <w:gridCol w:w="67"/>
        <w:gridCol w:w="56"/>
        <w:gridCol w:w="112"/>
        <w:gridCol w:w="1346"/>
        <w:gridCol w:w="67"/>
        <w:gridCol w:w="56"/>
        <w:gridCol w:w="112"/>
        <w:gridCol w:w="1346"/>
        <w:gridCol w:w="67"/>
      </w:tblGrid>
      <w:tr w:rsidR="00000000" w14:paraId="310D516D" w14:textId="77777777">
        <w:trPr>
          <w:divId w:val="1123034630"/>
          <w:tblCellSpacing w:w="0" w:type="dxa"/>
        </w:trPr>
        <w:tc>
          <w:tcPr>
            <w:tcW w:w="0" w:type="auto"/>
            <w:vAlign w:val="bottom"/>
            <w:hideMark/>
          </w:tcPr>
          <w:p w14:paraId="5C1831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73907A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14:paraId="51E7BCBA"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14:paraId="42401FB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EFECBED" w14:textId="77777777">
        <w:trPr>
          <w:divId w:val="1123034630"/>
          <w:tblCellSpacing w:w="0" w:type="dxa"/>
        </w:trPr>
        <w:tc>
          <w:tcPr>
            <w:tcW w:w="0" w:type="auto"/>
            <w:vAlign w:val="bottom"/>
            <w:hideMark/>
          </w:tcPr>
          <w:p w14:paraId="66F980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CD455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8ED42F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2022 </w:t>
            </w:r>
          </w:p>
        </w:tc>
        <w:tc>
          <w:tcPr>
            <w:tcW w:w="0" w:type="auto"/>
            <w:tcMar>
              <w:top w:w="0" w:type="dxa"/>
              <w:left w:w="0" w:type="dxa"/>
              <w:bottom w:w="15" w:type="dxa"/>
              <w:right w:w="0" w:type="dxa"/>
            </w:tcMar>
            <w:vAlign w:val="bottom"/>
            <w:hideMark/>
          </w:tcPr>
          <w:p w14:paraId="512DCF5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57955B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ADA1E0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14:paraId="1CBED6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037AB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2CCF6CD"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1C24E8A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49BE74C" w14:textId="77777777">
        <w:trPr>
          <w:divId w:val="1123034630"/>
          <w:tblCellSpacing w:w="0" w:type="dxa"/>
        </w:trPr>
        <w:tc>
          <w:tcPr>
            <w:tcW w:w="2750" w:type="pct"/>
            <w:shd w:val="clear" w:color="auto" w:fill="CCEEFF"/>
            <w:vAlign w:val="bottom"/>
            <w:hideMark/>
          </w:tcPr>
          <w:p w14:paraId="1FE21AD7"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Cash Flows from Operating Activities</w:t>
            </w:r>
          </w:p>
        </w:tc>
        <w:tc>
          <w:tcPr>
            <w:tcW w:w="0" w:type="auto"/>
            <w:shd w:val="clear" w:color="auto" w:fill="CCEEFF"/>
            <w:vAlign w:val="bottom"/>
            <w:hideMark/>
          </w:tcPr>
          <w:p w14:paraId="402C78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516E06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9AA869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DFAF04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EE1ADD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2D5D78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0B972F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57D28C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D93390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3FFCBB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736DCDB"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EC3B24B"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42B502C3" w14:textId="77777777">
        <w:trPr>
          <w:divId w:val="1123034630"/>
          <w:tblCellSpacing w:w="0" w:type="dxa"/>
        </w:trPr>
        <w:tc>
          <w:tcPr>
            <w:tcW w:w="0" w:type="auto"/>
            <w:shd w:val="clear" w:color="auto" w:fill="FFFFFF"/>
            <w:vAlign w:val="bottom"/>
            <w:hideMark/>
          </w:tcPr>
          <w:p w14:paraId="4C0538C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14:paraId="7F6039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816255"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63A62A1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390,808,622</w:t>
            </w:r>
          </w:p>
        </w:tc>
        <w:tc>
          <w:tcPr>
            <w:tcW w:w="50" w:type="pct"/>
            <w:shd w:val="clear" w:color="auto" w:fill="FFFFFF"/>
            <w:vAlign w:val="bottom"/>
            <w:hideMark/>
          </w:tcPr>
          <w:p w14:paraId="78AADFE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E5C3EF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3E85D6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4454F45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366,008,957</w:t>
            </w:r>
          </w:p>
        </w:tc>
        <w:tc>
          <w:tcPr>
            <w:tcW w:w="50" w:type="pct"/>
            <w:shd w:val="clear" w:color="auto" w:fill="FFFFFF"/>
            <w:vAlign w:val="bottom"/>
            <w:hideMark/>
          </w:tcPr>
          <w:p w14:paraId="0A2D997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2658C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CD85AA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7319ECD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FFFFFF"/>
            <w:vAlign w:val="bottom"/>
            <w:hideMark/>
          </w:tcPr>
          <w:p w14:paraId="449FD4D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2029E6E8" w14:textId="77777777">
        <w:trPr>
          <w:divId w:val="1123034630"/>
          <w:tblCellSpacing w:w="0" w:type="dxa"/>
        </w:trPr>
        <w:tc>
          <w:tcPr>
            <w:tcW w:w="0" w:type="auto"/>
            <w:shd w:val="clear" w:color="auto" w:fill="CCEEFF"/>
            <w:vAlign w:val="bottom"/>
            <w:hideMark/>
          </w:tcPr>
          <w:p w14:paraId="3537D7B2" w14:textId="77777777" w:rsidR="00000000" w:rsidRDefault="004206B0">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0" w:type="auto"/>
            <w:shd w:val="clear" w:color="auto" w:fill="CCEEFF"/>
            <w:vAlign w:val="bottom"/>
            <w:hideMark/>
          </w:tcPr>
          <w:p w14:paraId="3A5A8DD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F0185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86838C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15815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B50A5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FE3BB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ADF5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2AB422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F14FF8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39B84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027E42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567F4D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46A0E9F" w14:textId="77777777">
        <w:trPr>
          <w:divId w:val="1123034630"/>
          <w:tblCellSpacing w:w="0" w:type="dxa"/>
        </w:trPr>
        <w:tc>
          <w:tcPr>
            <w:tcW w:w="0" w:type="auto"/>
            <w:shd w:val="clear" w:color="auto" w:fill="FFFFFF"/>
            <w:vAlign w:val="bottom"/>
            <w:hideMark/>
          </w:tcPr>
          <w:p w14:paraId="028C083C"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14:paraId="512490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D6F2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B25561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(12,149,834,676</w:t>
            </w:r>
          </w:p>
        </w:tc>
        <w:tc>
          <w:tcPr>
            <w:tcW w:w="50" w:type="pct"/>
            <w:shd w:val="clear" w:color="auto" w:fill="FFFFFF"/>
            <w:vAlign w:val="bottom"/>
            <w:hideMark/>
          </w:tcPr>
          <w:p w14:paraId="32644B8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CB374F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9A47D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8C3A04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8,969,201,919</w:t>
            </w:r>
          </w:p>
        </w:tc>
        <w:tc>
          <w:tcPr>
            <w:tcW w:w="50" w:type="pct"/>
            <w:shd w:val="clear" w:color="auto" w:fill="FFFFFF"/>
            <w:vAlign w:val="bottom"/>
            <w:hideMark/>
          </w:tcPr>
          <w:p w14:paraId="53E8D06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59109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8335C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581493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(3,958,461,167</w:t>
            </w:r>
          </w:p>
        </w:tc>
        <w:tc>
          <w:tcPr>
            <w:tcW w:w="50" w:type="pct"/>
            <w:shd w:val="clear" w:color="auto" w:fill="FFFFFF"/>
            <w:vAlign w:val="bottom"/>
            <w:hideMark/>
          </w:tcPr>
          <w:p w14:paraId="7BE3922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24EAD917" w14:textId="77777777">
        <w:trPr>
          <w:divId w:val="1123034630"/>
          <w:tblCellSpacing w:w="0" w:type="dxa"/>
        </w:trPr>
        <w:tc>
          <w:tcPr>
            <w:tcW w:w="0" w:type="auto"/>
            <w:shd w:val="clear" w:color="auto" w:fill="CCEEFF"/>
            <w:vAlign w:val="bottom"/>
            <w:hideMark/>
          </w:tcPr>
          <w:p w14:paraId="53BFD5BC"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14:paraId="01775D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43EC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7CE2EA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12,468,482,968</w:t>
            </w:r>
          </w:p>
        </w:tc>
        <w:tc>
          <w:tcPr>
            <w:tcW w:w="50" w:type="pct"/>
            <w:shd w:val="clear" w:color="auto" w:fill="CCEEFF"/>
            <w:vAlign w:val="bottom"/>
            <w:hideMark/>
          </w:tcPr>
          <w:p w14:paraId="1BE1983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982E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12F30E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A75257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8,286,216,364</w:t>
            </w:r>
          </w:p>
        </w:tc>
        <w:tc>
          <w:tcPr>
            <w:tcW w:w="50" w:type="pct"/>
            <w:shd w:val="clear" w:color="auto" w:fill="CCEEFF"/>
            <w:vAlign w:val="bottom"/>
            <w:hideMark/>
          </w:tcPr>
          <w:p w14:paraId="0B2AAA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EE78E9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56AE1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C629E9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3,897,733,626</w:t>
            </w:r>
          </w:p>
        </w:tc>
        <w:tc>
          <w:tcPr>
            <w:tcW w:w="50" w:type="pct"/>
            <w:shd w:val="clear" w:color="auto" w:fill="CCEEFF"/>
            <w:vAlign w:val="bottom"/>
            <w:hideMark/>
          </w:tcPr>
          <w:p w14:paraId="4E6C1E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8B1041C" w14:textId="77777777">
        <w:trPr>
          <w:divId w:val="1123034630"/>
          <w:tblCellSpacing w:w="0" w:type="dxa"/>
        </w:trPr>
        <w:tc>
          <w:tcPr>
            <w:tcW w:w="0" w:type="auto"/>
            <w:shd w:val="clear" w:color="auto" w:fill="FFFFFF"/>
            <w:vAlign w:val="bottom"/>
            <w:hideMark/>
          </w:tcPr>
          <w:p w14:paraId="60971847"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14:paraId="1F8B3C3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B924E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6CCA97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(22,295,389</w:t>
            </w:r>
          </w:p>
        </w:tc>
        <w:tc>
          <w:tcPr>
            <w:tcW w:w="50" w:type="pct"/>
            <w:shd w:val="clear" w:color="auto" w:fill="FFFFFF"/>
            <w:vAlign w:val="bottom"/>
            <w:hideMark/>
          </w:tcPr>
          <w:p w14:paraId="248D699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0194E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5E293B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04AF2A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(426,034</w:t>
            </w:r>
          </w:p>
        </w:tc>
        <w:tc>
          <w:tcPr>
            <w:tcW w:w="50" w:type="pct"/>
            <w:shd w:val="clear" w:color="auto" w:fill="FFFFFF"/>
            <w:vAlign w:val="bottom"/>
            <w:hideMark/>
          </w:tcPr>
          <w:p w14:paraId="764C02E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D192D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F3FE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07E88B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(3,740,655</w:t>
            </w:r>
          </w:p>
        </w:tc>
        <w:tc>
          <w:tcPr>
            <w:tcW w:w="50" w:type="pct"/>
            <w:shd w:val="clear" w:color="auto" w:fill="FFFFFF"/>
            <w:vAlign w:val="bottom"/>
            <w:hideMark/>
          </w:tcPr>
          <w:p w14:paraId="614ED79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64FB35C2" w14:textId="77777777">
        <w:trPr>
          <w:divId w:val="1123034630"/>
          <w:tblCellSpacing w:w="0" w:type="dxa"/>
        </w:trPr>
        <w:tc>
          <w:tcPr>
            <w:tcW w:w="0" w:type="auto"/>
            <w:shd w:val="clear" w:color="auto" w:fill="CCEEFF"/>
            <w:vAlign w:val="bottom"/>
            <w:hideMark/>
          </w:tcPr>
          <w:p w14:paraId="29F77A9E"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14:paraId="1627CE1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0197E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D07850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59,481</w:t>
            </w:r>
          </w:p>
        </w:tc>
        <w:tc>
          <w:tcPr>
            <w:tcW w:w="50" w:type="pct"/>
            <w:shd w:val="clear" w:color="auto" w:fill="CCEEFF"/>
            <w:vAlign w:val="bottom"/>
            <w:hideMark/>
          </w:tcPr>
          <w:p w14:paraId="6488739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C6DA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B9ED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BD5F83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(1,072</w:t>
            </w:r>
          </w:p>
        </w:tc>
        <w:tc>
          <w:tcPr>
            <w:tcW w:w="50" w:type="pct"/>
            <w:shd w:val="clear" w:color="auto" w:fill="CCEEFF"/>
            <w:vAlign w:val="bottom"/>
            <w:hideMark/>
          </w:tcPr>
          <w:p w14:paraId="2A9F2CD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37891BE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009CA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C857DF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(62,112</w:t>
            </w:r>
          </w:p>
        </w:tc>
        <w:tc>
          <w:tcPr>
            <w:tcW w:w="50" w:type="pct"/>
            <w:shd w:val="clear" w:color="auto" w:fill="CCEEFF"/>
            <w:vAlign w:val="bottom"/>
            <w:hideMark/>
          </w:tcPr>
          <w:p w14:paraId="783D5BE4"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04C2C6FC" w14:textId="77777777">
        <w:trPr>
          <w:divId w:val="1123034630"/>
          <w:tblCellSpacing w:w="0" w:type="dxa"/>
        </w:trPr>
        <w:tc>
          <w:tcPr>
            <w:tcW w:w="0" w:type="auto"/>
            <w:shd w:val="clear" w:color="auto" w:fill="FFFFFF"/>
            <w:vAlign w:val="bottom"/>
            <w:hideMark/>
          </w:tcPr>
          <w:p w14:paraId="144A3E1A"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14:paraId="7F3D31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99295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79093A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(375,322</w:t>
            </w:r>
          </w:p>
        </w:tc>
        <w:tc>
          <w:tcPr>
            <w:tcW w:w="50" w:type="pct"/>
            <w:shd w:val="clear" w:color="auto" w:fill="FFFFFF"/>
            <w:vAlign w:val="bottom"/>
            <w:hideMark/>
          </w:tcPr>
          <w:p w14:paraId="407E375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51E59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86CB7F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DDA0A3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(3,775</w:t>
            </w:r>
          </w:p>
        </w:tc>
        <w:tc>
          <w:tcPr>
            <w:tcW w:w="50" w:type="pct"/>
            <w:shd w:val="clear" w:color="auto" w:fill="FFFFFF"/>
            <w:vAlign w:val="bottom"/>
            <w:hideMark/>
          </w:tcPr>
          <w:p w14:paraId="70C5F1F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4E137D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F29526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F4C3FD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81,566</w:t>
            </w:r>
          </w:p>
        </w:tc>
        <w:tc>
          <w:tcPr>
            <w:tcW w:w="50" w:type="pct"/>
            <w:shd w:val="clear" w:color="auto" w:fill="FFFFFF"/>
            <w:vAlign w:val="bottom"/>
            <w:hideMark/>
          </w:tcPr>
          <w:p w14:paraId="5B3B15D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D6AF552" w14:textId="77777777">
        <w:trPr>
          <w:divId w:val="1123034630"/>
          <w:tblCellSpacing w:w="0" w:type="dxa"/>
        </w:trPr>
        <w:tc>
          <w:tcPr>
            <w:tcW w:w="0" w:type="auto"/>
            <w:gridSpan w:val="12"/>
            <w:shd w:val="clear" w:color="auto" w:fill="CCEEFF"/>
            <w:vAlign w:val="bottom"/>
            <w:hideMark/>
          </w:tcPr>
          <w:p w14:paraId="3F586326" w14:textId="77777777" w:rsidR="00000000" w:rsidRDefault="004206B0">
            <w:pPr>
              <w:pStyle w:val="a3"/>
              <w:spacing w:before="0" w:beforeAutospacing="0" w:after="0" w:afterAutospacing="0"/>
              <w:ind w:left="360"/>
              <w:rPr>
                <w:rFonts w:ascii="Arial" w:hAnsi="Arial" w:cs="Arial"/>
                <w:sz w:val="20"/>
                <w:szCs w:val="20"/>
              </w:rPr>
            </w:pPr>
            <w:r>
              <w:rPr>
                <w:rStyle w:val="a6"/>
                <w:rFonts w:ascii="Arial" w:hAnsi="Arial" w:cs="Arial"/>
                <w:sz w:val="20"/>
                <w:szCs w:val="20"/>
              </w:rPr>
              <w:t>Change in operating assets and liabilities:</w:t>
            </w:r>
          </w:p>
        </w:tc>
        <w:tc>
          <w:tcPr>
            <w:tcW w:w="0" w:type="auto"/>
            <w:shd w:val="clear" w:color="auto" w:fill="CCEEFF"/>
            <w:vAlign w:val="bottom"/>
            <w:hideMark/>
          </w:tcPr>
          <w:p w14:paraId="3CE08C1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151F914" w14:textId="77777777">
        <w:trPr>
          <w:divId w:val="1123034630"/>
          <w:tblCellSpacing w:w="0" w:type="dxa"/>
        </w:trPr>
        <w:tc>
          <w:tcPr>
            <w:tcW w:w="0" w:type="auto"/>
            <w:shd w:val="clear" w:color="auto" w:fill="FFFFFF"/>
            <w:vAlign w:val="bottom"/>
            <w:hideMark/>
          </w:tcPr>
          <w:p w14:paraId="5B520FA6"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14:paraId="762F2A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795A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CA1020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(14,408,722</w:t>
            </w:r>
          </w:p>
        </w:tc>
        <w:tc>
          <w:tcPr>
            <w:tcW w:w="50" w:type="pct"/>
            <w:shd w:val="clear" w:color="auto" w:fill="FFFFFF"/>
            <w:vAlign w:val="bottom"/>
            <w:hideMark/>
          </w:tcPr>
          <w:p w14:paraId="77D84DB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02956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CDA910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7F9726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FFFFFF"/>
            <w:vAlign w:val="bottom"/>
            <w:hideMark/>
          </w:tcPr>
          <w:p w14:paraId="77A5FB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9E3A8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2384E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526397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FFFFFF"/>
            <w:vAlign w:val="bottom"/>
            <w:hideMark/>
          </w:tcPr>
          <w:p w14:paraId="76785496"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5AEA6895" w14:textId="77777777">
        <w:trPr>
          <w:divId w:val="1123034630"/>
          <w:tblCellSpacing w:w="0" w:type="dxa"/>
        </w:trPr>
        <w:tc>
          <w:tcPr>
            <w:tcW w:w="0" w:type="auto"/>
            <w:shd w:val="clear" w:color="auto" w:fill="CCEEFF"/>
            <w:vAlign w:val="bottom"/>
            <w:hideMark/>
          </w:tcPr>
          <w:p w14:paraId="40CD2E09"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14:paraId="1A6BEAD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91CD1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1978F8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CCEEFF"/>
            <w:vAlign w:val="bottom"/>
            <w:hideMark/>
          </w:tcPr>
          <w:p w14:paraId="4E6B2715"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FC72B1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6CC0E3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D4ACC5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CCEEFF"/>
            <w:vAlign w:val="bottom"/>
            <w:hideMark/>
          </w:tcPr>
          <w:p w14:paraId="298F114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097D16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491D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F075DF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14:paraId="28AB9E7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3E9F07DD" w14:textId="77777777">
        <w:trPr>
          <w:divId w:val="1123034630"/>
          <w:tblCellSpacing w:w="0" w:type="dxa"/>
        </w:trPr>
        <w:tc>
          <w:tcPr>
            <w:tcW w:w="0" w:type="auto"/>
            <w:shd w:val="clear" w:color="auto" w:fill="FFFFFF"/>
            <w:vAlign w:val="bottom"/>
            <w:hideMark/>
          </w:tcPr>
          <w:p w14:paraId="6DBB0EEB"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Payable for investment securities purchased</w:t>
            </w:r>
          </w:p>
        </w:tc>
        <w:tc>
          <w:tcPr>
            <w:tcW w:w="50" w:type="pct"/>
            <w:shd w:val="clear" w:color="auto" w:fill="FFFFFF"/>
            <w:vAlign w:val="bottom"/>
            <w:hideMark/>
          </w:tcPr>
          <w:p w14:paraId="3C3831B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2D782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0ACFCD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FFFFFF"/>
            <w:vAlign w:val="bottom"/>
            <w:hideMark/>
          </w:tcPr>
          <w:p w14:paraId="776C75E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6F523A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565584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BF8150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FFFFFF"/>
            <w:vAlign w:val="bottom"/>
            <w:hideMark/>
          </w:tcPr>
          <w:p w14:paraId="674C603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814560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34426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2E41B6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3FBD1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1CDAC2E" w14:textId="77777777">
        <w:trPr>
          <w:divId w:val="1123034630"/>
          <w:tblCellSpacing w:w="0" w:type="dxa"/>
        </w:trPr>
        <w:tc>
          <w:tcPr>
            <w:tcW w:w="0" w:type="auto"/>
            <w:shd w:val="clear" w:color="auto" w:fill="CCEEFF"/>
            <w:vAlign w:val="bottom"/>
            <w:hideMark/>
          </w:tcPr>
          <w:p w14:paraId="75FD7004"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14:paraId="16BF354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6BA6F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CF0C76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(63,564</w:t>
            </w:r>
          </w:p>
        </w:tc>
        <w:tc>
          <w:tcPr>
            <w:tcW w:w="50" w:type="pct"/>
            <w:shd w:val="clear" w:color="auto" w:fill="CCEEFF"/>
            <w:vAlign w:val="bottom"/>
            <w:hideMark/>
          </w:tcPr>
          <w:p w14:paraId="3C1E1E9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A8984C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B7263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5423C6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383,766</w:t>
            </w:r>
          </w:p>
        </w:tc>
        <w:tc>
          <w:tcPr>
            <w:tcW w:w="50" w:type="pct"/>
            <w:shd w:val="clear" w:color="auto" w:fill="CCEEFF"/>
            <w:vAlign w:val="bottom"/>
            <w:hideMark/>
          </w:tcPr>
          <w:p w14:paraId="391565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4E232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4B2F3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024F3B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41,371</w:t>
            </w:r>
          </w:p>
        </w:tc>
        <w:tc>
          <w:tcPr>
            <w:tcW w:w="50" w:type="pct"/>
            <w:shd w:val="clear" w:color="auto" w:fill="CCEEFF"/>
            <w:vAlign w:val="bottom"/>
            <w:hideMark/>
          </w:tcPr>
          <w:p w14:paraId="74A610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DAED859" w14:textId="77777777">
        <w:trPr>
          <w:divId w:val="1123034630"/>
          <w:tblCellSpacing w:w="0" w:type="dxa"/>
        </w:trPr>
        <w:tc>
          <w:tcPr>
            <w:tcW w:w="0" w:type="auto"/>
            <w:shd w:val="clear" w:color="auto" w:fill="FFFFFF"/>
            <w:vAlign w:val="bottom"/>
            <w:hideMark/>
          </w:tcPr>
          <w:p w14:paraId="6A531AC7" w14:textId="77777777" w:rsidR="00000000" w:rsidRDefault="004206B0">
            <w:pPr>
              <w:pStyle w:val="a3"/>
              <w:spacing w:before="0" w:beforeAutospacing="0" w:after="0" w:afterAutospacing="0"/>
              <w:ind w:left="720"/>
              <w:rPr>
                <w:rFonts w:ascii="Arial" w:hAnsi="Arial" w:cs="Arial"/>
                <w:sz w:val="20"/>
                <w:szCs w:val="20"/>
              </w:rPr>
            </w:pPr>
            <w:r>
              <w:rPr>
                <w:rFonts w:ascii="Arial" w:hAnsi="Arial" w:cs="Arial"/>
                <w:sz w:val="20"/>
                <w:szCs w:val="20"/>
              </w:rPr>
              <w:t>Brokerage commissions and fees payable</w:t>
            </w:r>
          </w:p>
        </w:tc>
        <w:tc>
          <w:tcPr>
            <w:tcW w:w="50" w:type="pct"/>
            <w:shd w:val="clear" w:color="auto" w:fill="FFFFFF"/>
            <w:vAlign w:val="bottom"/>
            <w:hideMark/>
          </w:tcPr>
          <w:p w14:paraId="11373BB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EFB3C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75DB26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409122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DFE53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A690E8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B5F169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19F1F4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49F9F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B06BB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C43424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6B52AC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75F418A" w14:textId="77777777">
        <w:trPr>
          <w:divId w:val="1123034630"/>
          <w:tblCellSpacing w:w="0" w:type="dxa"/>
        </w:trPr>
        <w:tc>
          <w:tcPr>
            <w:tcW w:w="0" w:type="auto"/>
            <w:shd w:val="clear" w:color="auto" w:fill="CCEEFF"/>
            <w:vAlign w:val="bottom"/>
            <w:hideMark/>
          </w:tcPr>
          <w:p w14:paraId="17AEB21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CCEEFF"/>
            <w:vAlign w:val="bottom"/>
            <w:hideMark/>
          </w:tcPr>
          <w:p w14:paraId="23F1E0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141ACF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F963F3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565,064,370</w:t>
            </w:r>
          </w:p>
        </w:tc>
        <w:tc>
          <w:tcPr>
            <w:tcW w:w="50" w:type="pct"/>
            <w:shd w:val="clear" w:color="auto" w:fill="CCEEFF"/>
            <w:tcMar>
              <w:top w:w="0" w:type="dxa"/>
              <w:left w:w="0" w:type="dxa"/>
              <w:bottom w:w="15" w:type="dxa"/>
              <w:right w:w="0" w:type="dxa"/>
            </w:tcMar>
            <w:vAlign w:val="bottom"/>
            <w:hideMark/>
          </w:tcPr>
          <w:p w14:paraId="62045B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C3075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A1448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73EB6D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(206,379,198</w:t>
            </w:r>
          </w:p>
        </w:tc>
        <w:tc>
          <w:tcPr>
            <w:tcW w:w="50" w:type="pct"/>
            <w:shd w:val="clear" w:color="auto" w:fill="CCEEFF"/>
            <w:tcMar>
              <w:top w:w="0" w:type="dxa"/>
              <w:left w:w="0" w:type="dxa"/>
              <w:bottom w:w="15" w:type="dxa"/>
              <w:right w:w="0" w:type="dxa"/>
            </w:tcMar>
            <w:vAlign w:val="bottom"/>
            <w:hideMark/>
          </w:tcPr>
          <w:p w14:paraId="0BFA256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67A00E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181ED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088939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(257,310,690</w:t>
            </w:r>
          </w:p>
        </w:tc>
        <w:tc>
          <w:tcPr>
            <w:tcW w:w="50" w:type="pct"/>
            <w:shd w:val="clear" w:color="auto" w:fill="CCEEFF"/>
            <w:tcMar>
              <w:top w:w="0" w:type="dxa"/>
              <w:left w:w="0" w:type="dxa"/>
              <w:bottom w:w="15" w:type="dxa"/>
              <w:right w:w="0" w:type="dxa"/>
            </w:tcMar>
            <w:vAlign w:val="bottom"/>
            <w:hideMark/>
          </w:tcPr>
          <w:p w14:paraId="2292DE1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49131E75" w14:textId="77777777">
        <w:trPr>
          <w:divId w:val="1123034630"/>
          <w:tblCellSpacing w:w="0" w:type="dxa"/>
        </w:trPr>
        <w:tc>
          <w:tcPr>
            <w:tcW w:w="0" w:type="auto"/>
            <w:shd w:val="clear" w:color="auto" w:fill="FFFFFF"/>
            <w:vAlign w:val="center"/>
            <w:hideMark/>
          </w:tcPr>
          <w:p w14:paraId="1C6250E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02C5AA6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7427AD2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312B7D2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6C6E12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55C5825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5270E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1660D02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B1F15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2926A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61CC9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696972A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0D60791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5F6B87F" w14:textId="77777777">
        <w:trPr>
          <w:divId w:val="1123034630"/>
          <w:tblCellSpacing w:w="0" w:type="dxa"/>
        </w:trPr>
        <w:tc>
          <w:tcPr>
            <w:tcW w:w="0" w:type="auto"/>
            <w:gridSpan w:val="12"/>
            <w:shd w:val="clear" w:color="auto" w:fill="CCEEFF"/>
            <w:vAlign w:val="bottom"/>
            <w:hideMark/>
          </w:tcPr>
          <w:p w14:paraId="7D844EEF"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Cash Flows from Financing Activities</w:t>
            </w:r>
          </w:p>
        </w:tc>
        <w:tc>
          <w:tcPr>
            <w:tcW w:w="0" w:type="auto"/>
            <w:shd w:val="clear" w:color="auto" w:fill="CCEEFF"/>
            <w:vAlign w:val="bottom"/>
            <w:hideMark/>
          </w:tcPr>
          <w:p w14:paraId="57D51E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FCA0A65" w14:textId="77777777">
        <w:trPr>
          <w:divId w:val="1123034630"/>
          <w:tblCellSpacing w:w="0" w:type="dxa"/>
        </w:trPr>
        <w:tc>
          <w:tcPr>
            <w:tcW w:w="0" w:type="auto"/>
            <w:shd w:val="clear" w:color="auto" w:fill="FFFFFF"/>
            <w:vAlign w:val="bottom"/>
            <w:hideMark/>
          </w:tcPr>
          <w:p w14:paraId="0510B6E8"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6D45A2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832EA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AA1552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477,233,516</w:t>
            </w:r>
          </w:p>
        </w:tc>
        <w:tc>
          <w:tcPr>
            <w:tcW w:w="50" w:type="pct"/>
            <w:shd w:val="clear" w:color="auto" w:fill="FFFFFF"/>
            <w:vAlign w:val="bottom"/>
            <w:hideMark/>
          </w:tcPr>
          <w:p w14:paraId="1A4D3BA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F702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2254B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BBDB6D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522,133,469</w:t>
            </w:r>
          </w:p>
        </w:tc>
        <w:tc>
          <w:tcPr>
            <w:tcW w:w="50" w:type="pct"/>
            <w:shd w:val="clear" w:color="auto" w:fill="FFFFFF"/>
            <w:vAlign w:val="bottom"/>
            <w:hideMark/>
          </w:tcPr>
          <w:p w14:paraId="481C7D5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80182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0B24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F94DCC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366,906,034</w:t>
            </w:r>
          </w:p>
        </w:tc>
        <w:tc>
          <w:tcPr>
            <w:tcW w:w="50" w:type="pct"/>
            <w:shd w:val="clear" w:color="auto" w:fill="FFFFFF"/>
            <w:vAlign w:val="bottom"/>
            <w:hideMark/>
          </w:tcPr>
          <w:p w14:paraId="3CE6DD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4925BFB" w14:textId="77777777">
        <w:trPr>
          <w:divId w:val="1123034630"/>
          <w:tblCellSpacing w:w="0" w:type="dxa"/>
        </w:trPr>
        <w:tc>
          <w:tcPr>
            <w:tcW w:w="0" w:type="auto"/>
            <w:shd w:val="clear" w:color="auto" w:fill="CCEEFF"/>
            <w:vAlign w:val="bottom"/>
            <w:hideMark/>
          </w:tcPr>
          <w:p w14:paraId="04FDB670"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144C8F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83C20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5B858B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(1,078,742,396</w:t>
            </w:r>
          </w:p>
        </w:tc>
        <w:tc>
          <w:tcPr>
            <w:tcW w:w="50" w:type="pct"/>
            <w:shd w:val="clear" w:color="auto" w:fill="CCEEFF"/>
            <w:tcMar>
              <w:top w:w="0" w:type="dxa"/>
              <w:left w:w="0" w:type="dxa"/>
              <w:bottom w:w="15" w:type="dxa"/>
              <w:right w:w="0" w:type="dxa"/>
            </w:tcMar>
            <w:vAlign w:val="bottom"/>
            <w:hideMark/>
          </w:tcPr>
          <w:p w14:paraId="5C3072D8"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9B2A6C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5B5FA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15C215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(294,751,228</w:t>
            </w:r>
          </w:p>
        </w:tc>
        <w:tc>
          <w:tcPr>
            <w:tcW w:w="50" w:type="pct"/>
            <w:shd w:val="clear" w:color="auto" w:fill="CCEEFF"/>
            <w:tcMar>
              <w:top w:w="0" w:type="dxa"/>
              <w:left w:w="0" w:type="dxa"/>
              <w:bottom w:w="15" w:type="dxa"/>
              <w:right w:w="0" w:type="dxa"/>
            </w:tcMar>
            <w:vAlign w:val="bottom"/>
            <w:hideMark/>
          </w:tcPr>
          <w:p w14:paraId="1677EB5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18B14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F97EA8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20D1B3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(120,214,971</w:t>
            </w:r>
          </w:p>
        </w:tc>
        <w:tc>
          <w:tcPr>
            <w:tcW w:w="50" w:type="pct"/>
            <w:shd w:val="clear" w:color="auto" w:fill="CCEEFF"/>
            <w:tcMar>
              <w:top w:w="0" w:type="dxa"/>
              <w:left w:w="0" w:type="dxa"/>
              <w:bottom w:w="15" w:type="dxa"/>
              <w:right w:w="0" w:type="dxa"/>
            </w:tcMar>
            <w:vAlign w:val="bottom"/>
            <w:hideMark/>
          </w:tcPr>
          <w:p w14:paraId="6BDA6645"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55AD15DA" w14:textId="77777777">
        <w:trPr>
          <w:divId w:val="1123034630"/>
          <w:tblCellSpacing w:w="0" w:type="dxa"/>
        </w:trPr>
        <w:tc>
          <w:tcPr>
            <w:tcW w:w="0" w:type="auto"/>
            <w:shd w:val="clear" w:color="auto" w:fill="FFFFFF"/>
            <w:vAlign w:val="bottom"/>
            <w:hideMark/>
          </w:tcPr>
          <w:p w14:paraId="6DDF69D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FFFFFF"/>
            <w:vAlign w:val="bottom"/>
            <w:hideMark/>
          </w:tcPr>
          <w:p w14:paraId="2EEC96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555AE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3217D3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(601,508,880</w:t>
            </w:r>
          </w:p>
        </w:tc>
        <w:tc>
          <w:tcPr>
            <w:tcW w:w="50" w:type="pct"/>
            <w:shd w:val="clear" w:color="auto" w:fill="FFFFFF"/>
            <w:tcMar>
              <w:top w:w="0" w:type="dxa"/>
              <w:left w:w="0" w:type="dxa"/>
              <w:bottom w:w="15" w:type="dxa"/>
              <w:right w:w="0" w:type="dxa"/>
            </w:tcMar>
            <w:vAlign w:val="bottom"/>
            <w:hideMark/>
          </w:tcPr>
          <w:p w14:paraId="36CDA4A3"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A31CC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3718A7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5DB08E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227,382,241</w:t>
            </w:r>
          </w:p>
        </w:tc>
        <w:tc>
          <w:tcPr>
            <w:tcW w:w="50" w:type="pct"/>
            <w:shd w:val="clear" w:color="auto" w:fill="FFFFFF"/>
            <w:tcMar>
              <w:top w:w="0" w:type="dxa"/>
              <w:left w:w="0" w:type="dxa"/>
              <w:bottom w:w="15" w:type="dxa"/>
              <w:right w:w="0" w:type="dxa"/>
            </w:tcMar>
            <w:vAlign w:val="bottom"/>
            <w:hideMark/>
          </w:tcPr>
          <w:p w14:paraId="5EF216F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8678AF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74A4CD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873AA2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246,691,063</w:t>
            </w:r>
          </w:p>
        </w:tc>
        <w:tc>
          <w:tcPr>
            <w:tcW w:w="50" w:type="pct"/>
            <w:shd w:val="clear" w:color="auto" w:fill="FFFFFF"/>
            <w:tcMar>
              <w:top w:w="0" w:type="dxa"/>
              <w:left w:w="0" w:type="dxa"/>
              <w:bottom w:w="15" w:type="dxa"/>
              <w:right w:w="0" w:type="dxa"/>
            </w:tcMar>
            <w:vAlign w:val="bottom"/>
            <w:hideMark/>
          </w:tcPr>
          <w:p w14:paraId="18537B4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1212612" w14:textId="77777777">
        <w:trPr>
          <w:divId w:val="1123034630"/>
          <w:tblCellSpacing w:w="0" w:type="dxa"/>
        </w:trPr>
        <w:tc>
          <w:tcPr>
            <w:tcW w:w="0" w:type="auto"/>
            <w:shd w:val="clear" w:color="auto" w:fill="CCEEFF"/>
            <w:vAlign w:val="bottom"/>
            <w:hideMark/>
          </w:tcPr>
          <w:p w14:paraId="6C2C3BD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cash and cash equivalents</w:t>
            </w:r>
          </w:p>
        </w:tc>
        <w:tc>
          <w:tcPr>
            <w:tcW w:w="50" w:type="pct"/>
            <w:shd w:val="clear" w:color="auto" w:fill="CCEEFF"/>
            <w:vAlign w:val="bottom"/>
            <w:hideMark/>
          </w:tcPr>
          <w:p w14:paraId="780073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4546D3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5EE0CB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(36,444,510</w:t>
            </w:r>
          </w:p>
        </w:tc>
        <w:tc>
          <w:tcPr>
            <w:tcW w:w="50" w:type="pct"/>
            <w:shd w:val="clear" w:color="auto" w:fill="CCEEFF"/>
            <w:tcMar>
              <w:top w:w="0" w:type="dxa"/>
              <w:left w:w="0" w:type="dxa"/>
              <w:bottom w:w="15" w:type="dxa"/>
              <w:right w:w="0" w:type="dxa"/>
            </w:tcMar>
            <w:vAlign w:val="bottom"/>
            <w:hideMark/>
          </w:tcPr>
          <w:p w14:paraId="486B152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F188F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C3AA3A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0A4BE0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21,003,043</w:t>
            </w:r>
          </w:p>
        </w:tc>
        <w:tc>
          <w:tcPr>
            <w:tcW w:w="50" w:type="pct"/>
            <w:shd w:val="clear" w:color="auto" w:fill="CCEEFF"/>
            <w:tcMar>
              <w:top w:w="0" w:type="dxa"/>
              <w:left w:w="0" w:type="dxa"/>
              <w:bottom w:w="15" w:type="dxa"/>
              <w:right w:w="0" w:type="dxa"/>
            </w:tcMar>
            <w:vAlign w:val="bottom"/>
            <w:hideMark/>
          </w:tcPr>
          <w:p w14:paraId="7B1B82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965FA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84578E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6C3AE93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(10,619,627</w:t>
            </w:r>
          </w:p>
        </w:tc>
        <w:tc>
          <w:tcPr>
            <w:tcW w:w="50" w:type="pct"/>
            <w:shd w:val="clear" w:color="auto" w:fill="CCEEFF"/>
            <w:tcMar>
              <w:top w:w="0" w:type="dxa"/>
              <w:left w:w="0" w:type="dxa"/>
              <w:bottom w:w="15" w:type="dxa"/>
              <w:right w:w="0" w:type="dxa"/>
            </w:tcMar>
            <w:vAlign w:val="bottom"/>
            <w:hideMark/>
          </w:tcPr>
          <w:p w14:paraId="2B11B388"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69829E27" w14:textId="77777777">
        <w:trPr>
          <w:divId w:val="1123034630"/>
          <w:tblCellSpacing w:w="0" w:type="dxa"/>
        </w:trPr>
        <w:tc>
          <w:tcPr>
            <w:tcW w:w="0" w:type="auto"/>
            <w:shd w:val="clear" w:color="auto" w:fill="FFFFFF"/>
            <w:vAlign w:val="bottom"/>
            <w:hideMark/>
          </w:tcPr>
          <w:p w14:paraId="4FBE6D2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76F8C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D6BF29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1466A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56C489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62956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ADC7C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79C624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5729A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88CCC5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C88543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51297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55719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F73EAC3" w14:textId="77777777">
        <w:trPr>
          <w:divId w:val="1123034630"/>
          <w:tblCellSpacing w:w="0" w:type="dxa"/>
        </w:trPr>
        <w:tc>
          <w:tcPr>
            <w:tcW w:w="0" w:type="auto"/>
            <w:shd w:val="clear" w:color="auto" w:fill="CCEEFF"/>
            <w:vAlign w:val="bottom"/>
            <w:hideMark/>
          </w:tcPr>
          <w:p w14:paraId="52FA371A" w14:textId="77777777" w:rsidR="00000000" w:rsidRDefault="004206B0">
            <w:pPr>
              <w:rPr>
                <w:rFonts w:ascii="Arial" w:eastAsia="Times New Roman" w:hAnsi="Arial" w:cs="Arial"/>
                <w:sz w:val="20"/>
                <w:szCs w:val="20"/>
              </w:rPr>
            </w:pPr>
            <w:r>
              <w:rPr>
                <w:rFonts w:ascii="Arial" w:eastAsia="Times New Roman" w:hAnsi="Arial" w:cs="Arial"/>
                <w:b/>
                <w:bCs/>
                <w:sz w:val="20"/>
                <w:szCs w:val="20"/>
              </w:rPr>
              <w:t>Cash</w:t>
            </w:r>
          </w:p>
        </w:tc>
        <w:tc>
          <w:tcPr>
            <w:tcW w:w="0" w:type="auto"/>
            <w:shd w:val="clear" w:color="auto" w:fill="CCEEFF"/>
            <w:vAlign w:val="bottom"/>
            <w:hideMark/>
          </w:tcPr>
          <w:p w14:paraId="6420C0B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78E891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22D47CA"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E27D87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9A81D0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16E809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748F68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5267DA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0B007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0F2A94"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CE1273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4AA2C5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4564E4EF" w14:textId="77777777">
        <w:trPr>
          <w:divId w:val="1123034630"/>
          <w:tblCellSpacing w:w="0" w:type="dxa"/>
        </w:trPr>
        <w:tc>
          <w:tcPr>
            <w:tcW w:w="0" w:type="auto"/>
            <w:shd w:val="clear" w:color="auto" w:fill="FFFFFF"/>
            <w:vAlign w:val="bottom"/>
            <w:hideMark/>
          </w:tcPr>
          <w:p w14:paraId="0D01F690" w14:textId="77777777" w:rsidR="00000000" w:rsidRDefault="004206B0">
            <w:pPr>
              <w:rPr>
                <w:rFonts w:ascii="Arial" w:eastAsia="Times New Roman" w:hAnsi="Arial" w:cs="Arial"/>
                <w:sz w:val="20"/>
                <w:szCs w:val="20"/>
              </w:rPr>
            </w:pPr>
            <w:r>
              <w:rPr>
                <w:rFonts w:ascii="Arial" w:eastAsia="Times New Roman" w:hAnsi="Arial" w:cs="Arial"/>
                <w:sz w:val="20"/>
                <w:szCs w:val="20"/>
              </w:rPr>
              <w:t>Beginning of year</w:t>
            </w:r>
          </w:p>
        </w:tc>
        <w:tc>
          <w:tcPr>
            <w:tcW w:w="0" w:type="auto"/>
            <w:shd w:val="clear" w:color="auto" w:fill="FFFFFF"/>
            <w:vAlign w:val="bottom"/>
            <w:hideMark/>
          </w:tcPr>
          <w:p w14:paraId="1F5C9CE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EFAF7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CF3A17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987006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B27D1B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1A4AF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5E006A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E6C9A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78310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A197B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EB4805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DABDD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2B4F23E" w14:textId="77777777">
        <w:trPr>
          <w:divId w:val="1123034630"/>
          <w:tblCellSpacing w:w="0" w:type="dxa"/>
        </w:trPr>
        <w:tc>
          <w:tcPr>
            <w:tcW w:w="0" w:type="auto"/>
            <w:shd w:val="clear" w:color="auto" w:fill="CCEEFF"/>
            <w:tcMar>
              <w:top w:w="0" w:type="dxa"/>
              <w:left w:w="360" w:type="dxa"/>
              <w:bottom w:w="0" w:type="dxa"/>
              <w:right w:w="0" w:type="dxa"/>
            </w:tcMar>
            <w:vAlign w:val="bottom"/>
            <w:hideMark/>
          </w:tcPr>
          <w:p w14:paraId="4AAF749F" w14:textId="77777777" w:rsidR="00000000" w:rsidRDefault="004206B0">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vAlign w:val="bottom"/>
            <w:hideMark/>
          </w:tcPr>
          <w:p w14:paraId="4819E2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41D150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ABB89C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CCEEFF"/>
            <w:tcMar>
              <w:top w:w="0" w:type="dxa"/>
              <w:left w:w="0" w:type="dxa"/>
              <w:bottom w:w="15" w:type="dxa"/>
              <w:right w:w="0" w:type="dxa"/>
            </w:tcMar>
            <w:vAlign w:val="bottom"/>
            <w:hideMark/>
          </w:tcPr>
          <w:p w14:paraId="57A0620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DE0A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755F2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673783A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CCEEFF"/>
            <w:tcMar>
              <w:top w:w="0" w:type="dxa"/>
              <w:left w:w="0" w:type="dxa"/>
              <w:bottom w:w="15" w:type="dxa"/>
              <w:right w:w="0" w:type="dxa"/>
            </w:tcMar>
            <w:vAlign w:val="bottom"/>
            <w:hideMark/>
          </w:tcPr>
          <w:p w14:paraId="57C2946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EC515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9E905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B8E0F6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CCEEFF"/>
            <w:tcMar>
              <w:top w:w="0" w:type="dxa"/>
              <w:left w:w="0" w:type="dxa"/>
              <w:bottom w:w="15" w:type="dxa"/>
              <w:right w:w="0" w:type="dxa"/>
            </w:tcMar>
            <w:vAlign w:val="bottom"/>
            <w:hideMark/>
          </w:tcPr>
          <w:p w14:paraId="63F1EA4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F1A4215" w14:textId="77777777">
        <w:trPr>
          <w:divId w:val="1123034630"/>
          <w:tblCellSpacing w:w="0" w:type="dxa"/>
        </w:trPr>
        <w:tc>
          <w:tcPr>
            <w:tcW w:w="0" w:type="auto"/>
            <w:shd w:val="clear" w:color="auto" w:fill="FFFFFF"/>
            <w:vAlign w:val="bottom"/>
            <w:hideMark/>
          </w:tcPr>
          <w:p w14:paraId="02BE0F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067D5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A721B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68845A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4E561D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EE6B80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42F30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5602F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BBC47D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11D17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4171CB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5B5539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854FA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58883FB" w14:textId="77777777">
        <w:trPr>
          <w:divId w:val="1123034630"/>
          <w:tblCellSpacing w:w="0" w:type="dxa"/>
        </w:trPr>
        <w:tc>
          <w:tcPr>
            <w:tcW w:w="0" w:type="auto"/>
            <w:shd w:val="clear" w:color="auto" w:fill="CCEEFF"/>
            <w:vAlign w:val="bottom"/>
            <w:hideMark/>
          </w:tcPr>
          <w:p w14:paraId="5D661424" w14:textId="77777777" w:rsidR="00000000" w:rsidRDefault="004206B0">
            <w:pPr>
              <w:rPr>
                <w:rFonts w:ascii="Arial" w:eastAsia="Times New Roman" w:hAnsi="Arial" w:cs="Arial"/>
                <w:sz w:val="20"/>
                <w:szCs w:val="20"/>
              </w:rPr>
            </w:pPr>
            <w:r>
              <w:rPr>
                <w:rFonts w:ascii="Arial" w:eastAsia="Times New Roman" w:hAnsi="Arial" w:cs="Arial"/>
                <w:b/>
                <w:bCs/>
                <w:sz w:val="20"/>
                <w:szCs w:val="20"/>
              </w:rPr>
              <w:t>End of year</w:t>
            </w:r>
          </w:p>
        </w:tc>
        <w:tc>
          <w:tcPr>
            <w:tcW w:w="0" w:type="auto"/>
            <w:shd w:val="clear" w:color="auto" w:fill="CCEEFF"/>
            <w:vAlign w:val="bottom"/>
            <w:hideMark/>
          </w:tcPr>
          <w:p w14:paraId="301F944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689250A"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65ECD0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DEC113B"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45DEB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2135EDB"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C2AE52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4A6E59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1C277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5FB82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F27666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58FB7B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5FA48F0A" w14:textId="77777777">
        <w:trPr>
          <w:divId w:val="1123034630"/>
          <w:tblCellSpacing w:w="0" w:type="dxa"/>
        </w:trPr>
        <w:tc>
          <w:tcPr>
            <w:tcW w:w="0" w:type="auto"/>
            <w:shd w:val="clear" w:color="auto" w:fill="FFFFFF"/>
            <w:tcMar>
              <w:top w:w="0" w:type="dxa"/>
              <w:left w:w="360" w:type="dxa"/>
              <w:bottom w:w="0" w:type="dxa"/>
              <w:right w:w="0" w:type="dxa"/>
            </w:tcMar>
            <w:vAlign w:val="bottom"/>
            <w:hideMark/>
          </w:tcPr>
          <w:p w14:paraId="413C2879" w14:textId="77777777" w:rsidR="00000000" w:rsidRDefault="004206B0">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tcMar>
              <w:top w:w="0" w:type="dxa"/>
              <w:left w:w="0" w:type="dxa"/>
              <w:bottom w:w="45" w:type="dxa"/>
              <w:right w:w="0" w:type="dxa"/>
            </w:tcMar>
            <w:vAlign w:val="bottom"/>
            <w:hideMark/>
          </w:tcPr>
          <w:p w14:paraId="3BE9803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7E800F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6A7AC94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5,181,064</w:t>
            </w:r>
          </w:p>
        </w:tc>
        <w:tc>
          <w:tcPr>
            <w:tcW w:w="50" w:type="pct"/>
            <w:shd w:val="clear" w:color="auto" w:fill="FFFFFF"/>
            <w:tcMar>
              <w:top w:w="0" w:type="dxa"/>
              <w:left w:w="0" w:type="dxa"/>
              <w:bottom w:w="45" w:type="dxa"/>
              <w:right w:w="0" w:type="dxa"/>
            </w:tcMar>
            <w:vAlign w:val="bottom"/>
            <w:hideMark/>
          </w:tcPr>
          <w:p w14:paraId="038924D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3F579A8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1ED03D5B"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35CE9FC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FFFFFF"/>
            <w:tcMar>
              <w:top w:w="0" w:type="dxa"/>
              <w:left w:w="0" w:type="dxa"/>
              <w:bottom w:w="45" w:type="dxa"/>
              <w:right w:w="0" w:type="dxa"/>
            </w:tcMar>
            <w:vAlign w:val="bottom"/>
            <w:hideMark/>
          </w:tcPr>
          <w:p w14:paraId="52D384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179BB16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4AF2787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53044D3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FFFFFF"/>
            <w:tcMar>
              <w:top w:w="0" w:type="dxa"/>
              <w:left w:w="0" w:type="dxa"/>
              <w:bottom w:w="45" w:type="dxa"/>
              <w:right w:w="0" w:type="dxa"/>
            </w:tcMar>
            <w:vAlign w:val="bottom"/>
            <w:hideMark/>
          </w:tcPr>
          <w:p w14:paraId="6713049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47105F9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A2F8EA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D8066FF"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71FC25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13DF3A6" w14:textId="77777777" w:rsidR="00000000" w:rsidRDefault="004206B0">
      <w:pPr>
        <w:jc w:val="center"/>
        <w:divId w:val="1414667313"/>
        <w:rPr>
          <w:rFonts w:ascii="Arial" w:eastAsia="Times New Roman" w:hAnsi="Arial" w:cs="Arial"/>
          <w:sz w:val="20"/>
          <w:szCs w:val="20"/>
        </w:rPr>
      </w:pPr>
      <w:r>
        <w:rPr>
          <w:rFonts w:ascii="Arial" w:eastAsia="Times New Roman" w:hAnsi="Arial" w:cs="Arial"/>
          <w:sz w:val="20"/>
          <w:szCs w:val="20"/>
        </w:rPr>
        <w:t xml:space="preserve">F-6 </w:t>
      </w:r>
    </w:p>
    <w:p w14:paraId="70B9221C" w14:textId="77777777" w:rsidR="00000000" w:rsidRDefault="004206B0">
      <w:pPr>
        <w:divId w:val="178543958"/>
        <w:rPr>
          <w:rFonts w:eastAsia="Times New Roman"/>
          <w:sz w:val="20"/>
          <w:szCs w:val="20"/>
        </w:rPr>
      </w:pPr>
      <w:r>
        <w:rPr>
          <w:rFonts w:eastAsia="Times New Roman"/>
          <w:sz w:val="20"/>
          <w:szCs w:val="20"/>
        </w:rPr>
        <w:pict w14:anchorId="2D65171F">
          <v:rect id="_x0000_i1085" style="width:415.3pt;height:1.5pt" o:hralign="center" o:hrstd="t" o:hrnoshade="t" o:hr="t" fillcolor="black" stroked="f"/>
        </w:pict>
      </w:r>
    </w:p>
    <w:p w14:paraId="095E814A" w14:textId="77777777" w:rsidR="00000000" w:rsidRDefault="004206B0">
      <w:pPr>
        <w:divId w:val="649938976"/>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0992A3C4" w14:textId="77777777" w:rsidR="00000000" w:rsidRDefault="004206B0">
      <w:pPr>
        <w:pStyle w:val="a3"/>
        <w:spacing w:before="0" w:beforeAutospacing="0" w:after="0" w:afterAutospacing="0"/>
        <w:rPr>
          <w:sz w:val="20"/>
          <w:szCs w:val="20"/>
        </w:rPr>
      </w:pPr>
      <w:r>
        <w:rPr>
          <w:sz w:val="20"/>
          <w:szCs w:val="20"/>
        </w:rPr>
        <w:t> </w:t>
      </w:r>
    </w:p>
    <w:p w14:paraId="59A14C4D" w14:textId="77777777" w:rsidR="00000000" w:rsidRDefault="004206B0">
      <w:pPr>
        <w:divId w:val="1433740220"/>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663E9AA" w14:textId="77777777">
        <w:trPr>
          <w:tblCellSpacing w:w="0" w:type="dxa"/>
        </w:trPr>
        <w:tc>
          <w:tcPr>
            <w:tcW w:w="2060" w:type="pct"/>
            <w:hideMark/>
          </w:tcPr>
          <w:p w14:paraId="1BF9055C"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w:t>
            </w:r>
            <w:r>
              <w:rPr>
                <w:rFonts w:ascii="Arial" w:hAnsi="Arial" w:cs="Arial"/>
                <w:b/>
                <w:bCs/>
                <w:sz w:val="20"/>
                <w:szCs w:val="20"/>
              </w:rPr>
              <w:t>Commodity-Indexed Trust</w:t>
            </w:r>
          </w:p>
          <w:p w14:paraId="3B4F56AA"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w:t>
            </w:r>
          </w:p>
          <w:p w14:paraId="6DBC931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December 31, 2022 </w:t>
            </w:r>
            <w:r>
              <w:rPr>
                <w:rFonts w:ascii="Arial" w:hAnsi="Arial" w:cs="Arial"/>
                <w:sz w:val="20"/>
                <w:szCs w:val="20"/>
              </w:rPr>
              <w:t xml:space="preserve">and </w:t>
            </w:r>
            <w:r>
              <w:rPr>
                <w:rStyle w:val="a6"/>
                <w:rFonts w:ascii="Arial" w:hAnsi="Arial" w:cs="Arial"/>
                <w:sz w:val="20"/>
                <w:szCs w:val="20"/>
              </w:rPr>
              <w:t>2021</w:t>
            </w:r>
          </w:p>
        </w:tc>
      </w:tr>
    </w:tbl>
    <w:p w14:paraId="720818F7" w14:textId="77777777" w:rsidR="00000000" w:rsidRDefault="004206B0">
      <w:pPr>
        <w:pStyle w:val="a3"/>
        <w:spacing w:before="0" w:beforeAutospacing="0" w:after="0" w:afterAutospacing="0"/>
        <w:rPr>
          <w:sz w:val="20"/>
          <w:szCs w:val="20"/>
        </w:rPr>
      </w:pPr>
      <w:r>
        <w:rPr>
          <w:sz w:val="20"/>
          <w:szCs w:val="20"/>
        </w:rPr>
        <w:t> </w:t>
      </w:r>
    </w:p>
    <w:p w14:paraId="3BB29F76" w14:textId="77777777" w:rsidR="00000000" w:rsidRDefault="004206B0">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2022</w:t>
      </w:r>
    </w:p>
    <w:p w14:paraId="4E9C42B7"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113"/>
        <w:gridCol w:w="56"/>
        <w:gridCol w:w="56"/>
        <w:gridCol w:w="112"/>
        <w:gridCol w:w="1280"/>
        <w:gridCol w:w="56"/>
      </w:tblGrid>
      <w:tr w:rsidR="00000000" w14:paraId="0F986185" w14:textId="77777777">
        <w:trPr>
          <w:tblCellSpacing w:w="0" w:type="dxa"/>
        </w:trPr>
        <w:tc>
          <w:tcPr>
            <w:tcW w:w="3500" w:type="pct"/>
            <w:vAlign w:val="bottom"/>
            <w:hideMark/>
          </w:tcPr>
          <w:p w14:paraId="5BB83FF2"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14:paraId="4679FC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0C985CD"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14:paraId="5E1EFC3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5BD9AC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5E86A6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Fair Value </w:t>
            </w:r>
          </w:p>
        </w:tc>
        <w:tc>
          <w:tcPr>
            <w:tcW w:w="0" w:type="auto"/>
            <w:tcMar>
              <w:top w:w="0" w:type="dxa"/>
              <w:left w:w="0" w:type="dxa"/>
              <w:bottom w:w="15" w:type="dxa"/>
              <w:right w:w="0" w:type="dxa"/>
            </w:tcMar>
            <w:vAlign w:val="bottom"/>
            <w:hideMark/>
          </w:tcPr>
          <w:p w14:paraId="30462F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1A3F191" w14:textId="77777777">
        <w:trPr>
          <w:tblCellSpacing w:w="0" w:type="dxa"/>
        </w:trPr>
        <w:tc>
          <w:tcPr>
            <w:tcW w:w="0" w:type="auto"/>
            <w:shd w:val="clear" w:color="auto" w:fill="CCEEFF"/>
            <w:vAlign w:val="bottom"/>
            <w:hideMark/>
          </w:tcPr>
          <w:p w14:paraId="63E1EB0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14:paraId="6D016E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AF2C5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E8D3E9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BA800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72DC4A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1DD5D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445ED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9B9A2B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5296EA4" w14:textId="77777777">
        <w:trPr>
          <w:tblCellSpacing w:w="0" w:type="dxa"/>
        </w:trPr>
        <w:tc>
          <w:tcPr>
            <w:tcW w:w="0" w:type="auto"/>
            <w:shd w:val="clear" w:color="auto" w:fill="FFFFFF"/>
            <w:vAlign w:val="bottom"/>
            <w:hideMark/>
          </w:tcPr>
          <w:p w14:paraId="59770C29"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3.05</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3.89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1/03/2</w:t>
            </w:r>
            <w:r>
              <w:rPr>
                <w:rFonts w:ascii="Arial" w:hAnsi="Arial" w:cs="Arial"/>
                <w:sz w:val="20"/>
                <w:szCs w:val="20"/>
              </w:rPr>
              <w:t>3</w:t>
            </w:r>
          </w:p>
        </w:tc>
        <w:tc>
          <w:tcPr>
            <w:tcW w:w="50" w:type="pct"/>
            <w:shd w:val="clear" w:color="auto" w:fill="FFFFFF"/>
            <w:vAlign w:val="bottom"/>
            <w:hideMark/>
          </w:tcPr>
          <w:p w14:paraId="471A5B7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9346EA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4B86B96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94,000,000</w:t>
            </w:r>
          </w:p>
        </w:tc>
        <w:tc>
          <w:tcPr>
            <w:tcW w:w="50" w:type="pct"/>
            <w:shd w:val="clear" w:color="auto" w:fill="FFFFFF"/>
            <w:vAlign w:val="bottom"/>
            <w:hideMark/>
          </w:tcPr>
          <w:p w14:paraId="0A8303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226FD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2AA21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499A262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94,000,000</w:t>
            </w:r>
          </w:p>
        </w:tc>
        <w:tc>
          <w:tcPr>
            <w:tcW w:w="50" w:type="pct"/>
            <w:shd w:val="clear" w:color="auto" w:fill="FFFFFF"/>
            <w:vAlign w:val="bottom"/>
            <w:hideMark/>
          </w:tcPr>
          <w:p w14:paraId="39B664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8ED7E3E" w14:textId="77777777">
        <w:trPr>
          <w:tblCellSpacing w:w="0" w:type="dxa"/>
        </w:trPr>
        <w:tc>
          <w:tcPr>
            <w:tcW w:w="0" w:type="auto"/>
            <w:shd w:val="clear" w:color="auto" w:fill="CCEEFF"/>
            <w:vAlign w:val="bottom"/>
            <w:hideMark/>
          </w:tcPr>
          <w:p w14:paraId="41863F3A"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3.37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3.87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1/05/2</w:t>
            </w:r>
            <w:r>
              <w:rPr>
                <w:rFonts w:ascii="Arial" w:hAnsi="Arial" w:cs="Arial"/>
                <w:sz w:val="20"/>
                <w:szCs w:val="20"/>
              </w:rPr>
              <w:t>3</w:t>
            </w:r>
          </w:p>
        </w:tc>
        <w:tc>
          <w:tcPr>
            <w:tcW w:w="50" w:type="pct"/>
            <w:shd w:val="clear" w:color="auto" w:fill="CCEEFF"/>
            <w:vAlign w:val="bottom"/>
            <w:hideMark/>
          </w:tcPr>
          <w:p w14:paraId="563470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4B9D1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7AE72C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CCEEFF"/>
            <w:vAlign w:val="bottom"/>
            <w:hideMark/>
          </w:tcPr>
          <w:p w14:paraId="5A752E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C9257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2A231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C91185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119,975,767</w:t>
            </w:r>
          </w:p>
        </w:tc>
        <w:tc>
          <w:tcPr>
            <w:tcW w:w="50" w:type="pct"/>
            <w:shd w:val="clear" w:color="auto" w:fill="CCEEFF"/>
            <w:vAlign w:val="bottom"/>
            <w:hideMark/>
          </w:tcPr>
          <w:p w14:paraId="155F02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E3CD7F9" w14:textId="77777777">
        <w:trPr>
          <w:tblCellSpacing w:w="0" w:type="dxa"/>
        </w:trPr>
        <w:tc>
          <w:tcPr>
            <w:tcW w:w="0" w:type="auto"/>
            <w:shd w:val="clear" w:color="auto" w:fill="FFFFFF"/>
            <w:vAlign w:val="bottom"/>
            <w:hideMark/>
          </w:tcPr>
          <w:p w14:paraId="4A10FE85"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3.81</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4.01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1/10/2</w:t>
            </w:r>
            <w:r>
              <w:rPr>
                <w:rFonts w:ascii="Arial" w:hAnsi="Arial" w:cs="Arial"/>
                <w:sz w:val="20"/>
                <w:szCs w:val="20"/>
              </w:rPr>
              <w:t>3</w:t>
            </w:r>
          </w:p>
        </w:tc>
        <w:tc>
          <w:tcPr>
            <w:tcW w:w="50" w:type="pct"/>
            <w:shd w:val="clear" w:color="auto" w:fill="FFFFFF"/>
            <w:vAlign w:val="bottom"/>
            <w:hideMark/>
          </w:tcPr>
          <w:p w14:paraId="090100A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6837D7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D71BDF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80,000,000</w:t>
            </w:r>
          </w:p>
        </w:tc>
        <w:tc>
          <w:tcPr>
            <w:tcW w:w="50" w:type="pct"/>
            <w:shd w:val="clear" w:color="auto" w:fill="FFFFFF"/>
            <w:vAlign w:val="bottom"/>
            <w:hideMark/>
          </w:tcPr>
          <w:p w14:paraId="0F915DE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6CB86E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90464E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89ECE5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79,943,727</w:t>
            </w:r>
          </w:p>
        </w:tc>
        <w:tc>
          <w:tcPr>
            <w:tcW w:w="50" w:type="pct"/>
            <w:shd w:val="clear" w:color="auto" w:fill="FFFFFF"/>
            <w:vAlign w:val="bottom"/>
            <w:hideMark/>
          </w:tcPr>
          <w:p w14:paraId="1F5F188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00297CA" w14:textId="77777777">
        <w:trPr>
          <w:tblCellSpacing w:w="0" w:type="dxa"/>
        </w:trPr>
        <w:tc>
          <w:tcPr>
            <w:tcW w:w="0" w:type="auto"/>
            <w:shd w:val="clear" w:color="auto" w:fill="CCEEFF"/>
            <w:vAlign w:val="bottom"/>
            <w:hideMark/>
          </w:tcPr>
          <w:p w14:paraId="1F3638A3"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3.81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1/12/2</w:t>
            </w:r>
            <w:r>
              <w:rPr>
                <w:rFonts w:ascii="Arial" w:hAnsi="Arial" w:cs="Arial"/>
                <w:sz w:val="20"/>
                <w:szCs w:val="20"/>
              </w:rPr>
              <w:t>3</w:t>
            </w:r>
          </w:p>
        </w:tc>
        <w:tc>
          <w:tcPr>
            <w:tcW w:w="50" w:type="pct"/>
            <w:shd w:val="clear" w:color="auto" w:fill="CCEEFF"/>
            <w:vAlign w:val="bottom"/>
            <w:hideMark/>
          </w:tcPr>
          <w:p w14:paraId="7E277C2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D22A0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8A303D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14:paraId="00D648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7A3C12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36B2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D6D341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34,969,615</w:t>
            </w:r>
          </w:p>
        </w:tc>
        <w:tc>
          <w:tcPr>
            <w:tcW w:w="50" w:type="pct"/>
            <w:shd w:val="clear" w:color="auto" w:fill="CCEEFF"/>
            <w:vAlign w:val="bottom"/>
            <w:hideMark/>
          </w:tcPr>
          <w:p w14:paraId="1174919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D81A8FA" w14:textId="77777777">
        <w:trPr>
          <w:tblCellSpacing w:w="0" w:type="dxa"/>
        </w:trPr>
        <w:tc>
          <w:tcPr>
            <w:tcW w:w="0" w:type="auto"/>
            <w:shd w:val="clear" w:color="auto" w:fill="FFFFFF"/>
            <w:vAlign w:val="bottom"/>
            <w:hideMark/>
          </w:tcPr>
          <w:p w14:paraId="3E85E7DD"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3.80</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4.10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1/17/2</w:t>
            </w:r>
            <w:r>
              <w:rPr>
                <w:rFonts w:ascii="Arial" w:hAnsi="Arial" w:cs="Arial"/>
                <w:sz w:val="20"/>
                <w:szCs w:val="20"/>
              </w:rPr>
              <w:t>3</w:t>
            </w:r>
          </w:p>
        </w:tc>
        <w:tc>
          <w:tcPr>
            <w:tcW w:w="50" w:type="pct"/>
            <w:shd w:val="clear" w:color="auto" w:fill="FFFFFF"/>
            <w:vAlign w:val="bottom"/>
            <w:hideMark/>
          </w:tcPr>
          <w:p w14:paraId="321CEE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E5C16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B39E50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170,000,000</w:t>
            </w:r>
          </w:p>
        </w:tc>
        <w:tc>
          <w:tcPr>
            <w:tcW w:w="50" w:type="pct"/>
            <w:shd w:val="clear" w:color="auto" w:fill="FFFFFF"/>
            <w:vAlign w:val="bottom"/>
            <w:hideMark/>
          </w:tcPr>
          <w:p w14:paraId="771468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066F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FDA1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734809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169,756,793</w:t>
            </w:r>
          </w:p>
        </w:tc>
        <w:tc>
          <w:tcPr>
            <w:tcW w:w="50" w:type="pct"/>
            <w:shd w:val="clear" w:color="auto" w:fill="FFFFFF"/>
            <w:vAlign w:val="bottom"/>
            <w:hideMark/>
          </w:tcPr>
          <w:p w14:paraId="543558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E4CD2E6" w14:textId="77777777">
        <w:trPr>
          <w:tblCellSpacing w:w="0" w:type="dxa"/>
        </w:trPr>
        <w:tc>
          <w:tcPr>
            <w:tcW w:w="0" w:type="auto"/>
            <w:shd w:val="clear" w:color="auto" w:fill="CCEEFF"/>
            <w:vAlign w:val="bottom"/>
            <w:hideMark/>
          </w:tcPr>
          <w:p w14:paraId="123C35E5"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3.56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3.86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1/19/2</w:t>
            </w:r>
            <w:r>
              <w:rPr>
                <w:rFonts w:ascii="Arial" w:hAnsi="Arial" w:cs="Arial"/>
                <w:sz w:val="20"/>
                <w:szCs w:val="20"/>
              </w:rPr>
              <w:t>3</w:t>
            </w:r>
          </w:p>
        </w:tc>
        <w:tc>
          <w:tcPr>
            <w:tcW w:w="50" w:type="pct"/>
            <w:shd w:val="clear" w:color="auto" w:fill="CCEEFF"/>
            <w:vAlign w:val="bottom"/>
            <w:hideMark/>
          </w:tcPr>
          <w:p w14:paraId="2AEC591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22014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B98A0D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71,000,000</w:t>
            </w:r>
          </w:p>
        </w:tc>
        <w:tc>
          <w:tcPr>
            <w:tcW w:w="50" w:type="pct"/>
            <w:shd w:val="clear" w:color="auto" w:fill="CCEEFF"/>
            <w:vAlign w:val="bottom"/>
            <w:hideMark/>
          </w:tcPr>
          <w:p w14:paraId="095E54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DAE0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1F1B9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1562DF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70,885,769</w:t>
            </w:r>
          </w:p>
        </w:tc>
        <w:tc>
          <w:tcPr>
            <w:tcW w:w="50" w:type="pct"/>
            <w:shd w:val="clear" w:color="auto" w:fill="CCEEFF"/>
            <w:vAlign w:val="bottom"/>
            <w:hideMark/>
          </w:tcPr>
          <w:p w14:paraId="722DB3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1820920" w14:textId="77777777">
        <w:trPr>
          <w:tblCellSpacing w:w="0" w:type="dxa"/>
        </w:trPr>
        <w:tc>
          <w:tcPr>
            <w:tcW w:w="0" w:type="auto"/>
            <w:shd w:val="clear" w:color="auto" w:fill="FFFFFF"/>
            <w:vAlign w:val="bottom"/>
            <w:hideMark/>
          </w:tcPr>
          <w:p w14:paraId="4443BCD0"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3.68</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4.19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1/24/2</w:t>
            </w:r>
            <w:r>
              <w:rPr>
                <w:rFonts w:ascii="Arial" w:hAnsi="Arial" w:cs="Arial"/>
                <w:sz w:val="20"/>
                <w:szCs w:val="20"/>
              </w:rPr>
              <w:t>3</w:t>
            </w:r>
          </w:p>
        </w:tc>
        <w:tc>
          <w:tcPr>
            <w:tcW w:w="50" w:type="pct"/>
            <w:shd w:val="clear" w:color="auto" w:fill="FFFFFF"/>
            <w:vAlign w:val="bottom"/>
            <w:hideMark/>
          </w:tcPr>
          <w:p w14:paraId="75AF49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AA9B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C18E71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255,000,000</w:t>
            </w:r>
          </w:p>
        </w:tc>
        <w:tc>
          <w:tcPr>
            <w:tcW w:w="50" w:type="pct"/>
            <w:shd w:val="clear" w:color="auto" w:fill="FFFFFF"/>
            <w:vAlign w:val="bottom"/>
            <w:hideMark/>
          </w:tcPr>
          <w:p w14:paraId="3265E59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25F7A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D9B5A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BE032C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254,428,687</w:t>
            </w:r>
          </w:p>
        </w:tc>
        <w:tc>
          <w:tcPr>
            <w:tcW w:w="50" w:type="pct"/>
            <w:shd w:val="clear" w:color="auto" w:fill="FFFFFF"/>
            <w:vAlign w:val="bottom"/>
            <w:hideMark/>
          </w:tcPr>
          <w:p w14:paraId="630853C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2964985" w14:textId="77777777">
        <w:trPr>
          <w:tblCellSpacing w:w="0" w:type="dxa"/>
        </w:trPr>
        <w:tc>
          <w:tcPr>
            <w:tcW w:w="0" w:type="auto"/>
            <w:shd w:val="clear" w:color="auto" w:fill="CCEEFF"/>
            <w:vAlign w:val="bottom"/>
            <w:hideMark/>
          </w:tcPr>
          <w:p w14:paraId="04A4EDB1"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3.72</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3.96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1/26/2</w:t>
            </w:r>
            <w:r>
              <w:rPr>
                <w:rFonts w:ascii="Arial" w:hAnsi="Arial" w:cs="Arial"/>
                <w:sz w:val="20"/>
                <w:szCs w:val="20"/>
              </w:rPr>
              <w:t>3</w:t>
            </w:r>
          </w:p>
        </w:tc>
        <w:tc>
          <w:tcPr>
            <w:tcW w:w="50" w:type="pct"/>
            <w:shd w:val="clear" w:color="auto" w:fill="CCEEFF"/>
            <w:vAlign w:val="bottom"/>
            <w:hideMark/>
          </w:tcPr>
          <w:p w14:paraId="463F435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40748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67940A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68,000,000</w:t>
            </w:r>
          </w:p>
        </w:tc>
        <w:tc>
          <w:tcPr>
            <w:tcW w:w="50" w:type="pct"/>
            <w:shd w:val="clear" w:color="auto" w:fill="CCEEFF"/>
            <w:vAlign w:val="bottom"/>
            <w:hideMark/>
          </w:tcPr>
          <w:p w14:paraId="14B1C7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47A62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BDE48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5F42DD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67,831,414</w:t>
            </w:r>
          </w:p>
        </w:tc>
        <w:tc>
          <w:tcPr>
            <w:tcW w:w="50" w:type="pct"/>
            <w:shd w:val="clear" w:color="auto" w:fill="CCEEFF"/>
            <w:vAlign w:val="bottom"/>
            <w:hideMark/>
          </w:tcPr>
          <w:p w14:paraId="0390519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9BB54E2" w14:textId="77777777">
        <w:trPr>
          <w:tblCellSpacing w:w="0" w:type="dxa"/>
        </w:trPr>
        <w:tc>
          <w:tcPr>
            <w:tcW w:w="0" w:type="auto"/>
            <w:shd w:val="clear" w:color="auto" w:fill="FFFFFF"/>
            <w:vAlign w:val="bottom"/>
            <w:hideMark/>
          </w:tcPr>
          <w:p w14:paraId="6A8F5A57"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4.09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1/31/2</w:t>
            </w:r>
            <w:r>
              <w:rPr>
                <w:rFonts w:ascii="Arial" w:hAnsi="Arial" w:cs="Arial"/>
                <w:sz w:val="20"/>
                <w:szCs w:val="20"/>
              </w:rPr>
              <w:t>3</w:t>
            </w:r>
          </w:p>
        </w:tc>
        <w:tc>
          <w:tcPr>
            <w:tcW w:w="50" w:type="pct"/>
            <w:shd w:val="clear" w:color="auto" w:fill="FFFFFF"/>
            <w:vAlign w:val="bottom"/>
            <w:hideMark/>
          </w:tcPr>
          <w:p w14:paraId="1889B2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8F76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BB0211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14:paraId="4EF1754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02DC29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8E2C5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747BC2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59,816,134</w:t>
            </w:r>
          </w:p>
        </w:tc>
        <w:tc>
          <w:tcPr>
            <w:tcW w:w="50" w:type="pct"/>
            <w:shd w:val="clear" w:color="auto" w:fill="FFFFFF"/>
            <w:vAlign w:val="bottom"/>
            <w:hideMark/>
          </w:tcPr>
          <w:p w14:paraId="460A070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0C8E9FE" w14:textId="77777777">
        <w:trPr>
          <w:tblCellSpacing w:w="0" w:type="dxa"/>
        </w:trPr>
        <w:tc>
          <w:tcPr>
            <w:tcW w:w="0" w:type="auto"/>
            <w:shd w:val="clear" w:color="auto" w:fill="CCEEFF"/>
            <w:vAlign w:val="bottom"/>
            <w:hideMark/>
          </w:tcPr>
          <w:p w14:paraId="72B41952"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3.99</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4.01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2/07/2</w:t>
            </w:r>
            <w:r>
              <w:rPr>
                <w:rFonts w:ascii="Arial" w:hAnsi="Arial" w:cs="Arial"/>
                <w:sz w:val="20"/>
                <w:szCs w:val="20"/>
              </w:rPr>
              <w:t>3</w:t>
            </w:r>
          </w:p>
        </w:tc>
        <w:tc>
          <w:tcPr>
            <w:tcW w:w="50" w:type="pct"/>
            <w:shd w:val="clear" w:color="auto" w:fill="CCEEFF"/>
            <w:vAlign w:val="bottom"/>
            <w:hideMark/>
          </w:tcPr>
          <w:p w14:paraId="023C59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05470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270F1A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81,000,000</w:t>
            </w:r>
          </w:p>
        </w:tc>
        <w:tc>
          <w:tcPr>
            <w:tcW w:w="50" w:type="pct"/>
            <w:shd w:val="clear" w:color="auto" w:fill="CCEEFF"/>
            <w:vAlign w:val="bottom"/>
            <w:hideMark/>
          </w:tcPr>
          <w:p w14:paraId="61F29F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3F028A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F53E7D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0F292F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80,692,100</w:t>
            </w:r>
          </w:p>
        </w:tc>
        <w:tc>
          <w:tcPr>
            <w:tcW w:w="50" w:type="pct"/>
            <w:shd w:val="clear" w:color="auto" w:fill="CCEEFF"/>
            <w:vAlign w:val="bottom"/>
            <w:hideMark/>
          </w:tcPr>
          <w:p w14:paraId="24FC5EA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FF5E472" w14:textId="77777777">
        <w:trPr>
          <w:tblCellSpacing w:w="0" w:type="dxa"/>
        </w:trPr>
        <w:tc>
          <w:tcPr>
            <w:tcW w:w="0" w:type="auto"/>
            <w:shd w:val="clear" w:color="auto" w:fill="FFFFFF"/>
            <w:vAlign w:val="bottom"/>
            <w:hideMark/>
          </w:tcPr>
          <w:p w14:paraId="36C57244"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4.04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2/14/2</w:t>
            </w:r>
            <w:r>
              <w:rPr>
                <w:rFonts w:ascii="Arial" w:hAnsi="Arial" w:cs="Arial"/>
                <w:sz w:val="20"/>
                <w:szCs w:val="20"/>
              </w:rPr>
              <w:t>3</w:t>
            </w:r>
          </w:p>
        </w:tc>
        <w:tc>
          <w:tcPr>
            <w:tcW w:w="50" w:type="pct"/>
            <w:shd w:val="clear" w:color="auto" w:fill="FFFFFF"/>
            <w:vAlign w:val="bottom"/>
            <w:hideMark/>
          </w:tcPr>
          <w:p w14:paraId="4FBD6E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581F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CB1DD5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6,000,000</w:t>
            </w:r>
          </w:p>
        </w:tc>
        <w:tc>
          <w:tcPr>
            <w:tcW w:w="50" w:type="pct"/>
            <w:shd w:val="clear" w:color="auto" w:fill="FFFFFF"/>
            <w:vAlign w:val="bottom"/>
            <w:hideMark/>
          </w:tcPr>
          <w:p w14:paraId="6E84349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E20EE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B624E3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55F8AD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5,971,795</w:t>
            </w:r>
          </w:p>
        </w:tc>
        <w:tc>
          <w:tcPr>
            <w:tcW w:w="50" w:type="pct"/>
            <w:shd w:val="clear" w:color="auto" w:fill="FFFFFF"/>
            <w:vAlign w:val="bottom"/>
            <w:hideMark/>
          </w:tcPr>
          <w:p w14:paraId="1D5D50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C823401" w14:textId="77777777">
        <w:trPr>
          <w:tblCellSpacing w:w="0" w:type="dxa"/>
        </w:trPr>
        <w:tc>
          <w:tcPr>
            <w:tcW w:w="0" w:type="auto"/>
            <w:shd w:val="clear" w:color="auto" w:fill="CCEEFF"/>
            <w:vAlign w:val="bottom"/>
            <w:hideMark/>
          </w:tcPr>
          <w:p w14:paraId="3749AF2C"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4.24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2/16/2</w:t>
            </w:r>
            <w:r>
              <w:rPr>
                <w:rFonts w:ascii="Arial" w:hAnsi="Arial" w:cs="Arial"/>
                <w:sz w:val="20"/>
                <w:szCs w:val="20"/>
              </w:rPr>
              <w:t>3</w:t>
            </w:r>
          </w:p>
        </w:tc>
        <w:tc>
          <w:tcPr>
            <w:tcW w:w="50" w:type="pct"/>
            <w:shd w:val="clear" w:color="auto" w:fill="CCEEFF"/>
            <w:vAlign w:val="bottom"/>
            <w:hideMark/>
          </w:tcPr>
          <w:p w14:paraId="20D208F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4ADFD3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1D7DD8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45,000,000</w:t>
            </w:r>
          </w:p>
        </w:tc>
        <w:tc>
          <w:tcPr>
            <w:tcW w:w="50" w:type="pct"/>
            <w:shd w:val="clear" w:color="auto" w:fill="CCEEFF"/>
            <w:vAlign w:val="bottom"/>
            <w:hideMark/>
          </w:tcPr>
          <w:p w14:paraId="215A66E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2969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3B7C03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B55395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44,776,219</w:t>
            </w:r>
          </w:p>
        </w:tc>
        <w:tc>
          <w:tcPr>
            <w:tcW w:w="50" w:type="pct"/>
            <w:shd w:val="clear" w:color="auto" w:fill="CCEEFF"/>
            <w:vAlign w:val="bottom"/>
            <w:hideMark/>
          </w:tcPr>
          <w:p w14:paraId="2F85D67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679349A" w14:textId="77777777">
        <w:trPr>
          <w:tblCellSpacing w:w="0" w:type="dxa"/>
        </w:trPr>
        <w:tc>
          <w:tcPr>
            <w:tcW w:w="0" w:type="auto"/>
            <w:shd w:val="clear" w:color="auto" w:fill="FFFFFF"/>
            <w:vAlign w:val="bottom"/>
            <w:hideMark/>
          </w:tcPr>
          <w:p w14:paraId="6A11E5D9"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4.22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2/21/2</w:t>
            </w:r>
            <w:r>
              <w:rPr>
                <w:rFonts w:ascii="Arial" w:hAnsi="Arial" w:cs="Arial"/>
                <w:sz w:val="20"/>
                <w:szCs w:val="20"/>
              </w:rPr>
              <w:t>3</w:t>
            </w:r>
          </w:p>
        </w:tc>
        <w:tc>
          <w:tcPr>
            <w:tcW w:w="50" w:type="pct"/>
            <w:shd w:val="clear" w:color="auto" w:fill="FFFFFF"/>
            <w:vAlign w:val="bottom"/>
            <w:hideMark/>
          </w:tcPr>
          <w:p w14:paraId="4BABAD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434374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23A351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14:paraId="7E130B4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BA4291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C914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42CCDF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59,660,552</w:t>
            </w:r>
          </w:p>
        </w:tc>
        <w:tc>
          <w:tcPr>
            <w:tcW w:w="50" w:type="pct"/>
            <w:shd w:val="clear" w:color="auto" w:fill="FFFFFF"/>
            <w:vAlign w:val="bottom"/>
            <w:hideMark/>
          </w:tcPr>
          <w:p w14:paraId="75E6E8A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5151A9B" w14:textId="77777777">
        <w:trPr>
          <w:tblCellSpacing w:w="0" w:type="dxa"/>
        </w:trPr>
        <w:tc>
          <w:tcPr>
            <w:tcW w:w="0" w:type="auto"/>
            <w:shd w:val="clear" w:color="auto" w:fill="CCEEFF"/>
            <w:vAlign w:val="bottom"/>
            <w:hideMark/>
          </w:tcPr>
          <w:p w14:paraId="62E3C63E"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3.97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2/23/2</w:t>
            </w:r>
            <w:r>
              <w:rPr>
                <w:rFonts w:ascii="Arial" w:hAnsi="Arial" w:cs="Arial"/>
                <w:sz w:val="20"/>
                <w:szCs w:val="20"/>
              </w:rPr>
              <w:t>3</w:t>
            </w:r>
          </w:p>
        </w:tc>
        <w:tc>
          <w:tcPr>
            <w:tcW w:w="50" w:type="pct"/>
            <w:shd w:val="clear" w:color="auto" w:fill="CCEEFF"/>
            <w:vAlign w:val="bottom"/>
            <w:hideMark/>
          </w:tcPr>
          <w:p w14:paraId="5739319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30F58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9481D4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tcMar>
              <w:top w:w="0" w:type="dxa"/>
              <w:left w:w="0" w:type="dxa"/>
              <w:bottom w:w="15" w:type="dxa"/>
              <w:right w:w="0" w:type="dxa"/>
            </w:tcMar>
            <w:vAlign w:val="bottom"/>
            <w:hideMark/>
          </w:tcPr>
          <w:p w14:paraId="7E98E3F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6E887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D773D1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26F63B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59,638,909</w:t>
            </w:r>
          </w:p>
        </w:tc>
        <w:tc>
          <w:tcPr>
            <w:tcW w:w="50" w:type="pct"/>
            <w:shd w:val="clear" w:color="auto" w:fill="CCEEFF"/>
            <w:tcMar>
              <w:top w:w="0" w:type="dxa"/>
              <w:left w:w="0" w:type="dxa"/>
              <w:bottom w:w="15" w:type="dxa"/>
              <w:right w:w="0" w:type="dxa"/>
            </w:tcMar>
            <w:vAlign w:val="bottom"/>
            <w:hideMark/>
          </w:tcPr>
          <w:p w14:paraId="76520EF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99EEBFE" w14:textId="77777777">
        <w:trPr>
          <w:tblCellSpacing w:w="0" w:type="dxa"/>
        </w:trPr>
        <w:tc>
          <w:tcPr>
            <w:tcW w:w="0" w:type="auto"/>
            <w:shd w:val="clear" w:color="auto" w:fill="FFFFFF"/>
            <w:vAlign w:val="bottom"/>
            <w:hideMark/>
          </w:tcPr>
          <w:p w14:paraId="55AA9655" w14:textId="77777777" w:rsidR="00000000" w:rsidRDefault="004206B0">
            <w:pPr>
              <w:rPr>
                <w:rFonts w:ascii="Arial" w:eastAsia="Times New Roman" w:hAnsi="Arial" w:cs="Arial"/>
                <w:sz w:val="20"/>
                <w:szCs w:val="20"/>
              </w:rPr>
            </w:pPr>
            <w:r>
              <w:rPr>
                <w:rFonts w:ascii="Arial" w:eastAsia="Times New Roman" w:hAnsi="Arial" w:cs="Arial"/>
                <w:sz w:val="20"/>
                <w:szCs w:val="20"/>
              </w:rPr>
              <w:t xml:space="preserve">Total U.S. Treasury bills (Cost: </w:t>
            </w:r>
            <w:r>
              <w:rPr>
                <w:rFonts w:ascii="Arial" w:eastAsia="Times New Roman" w:hAnsi="Arial" w:cs="Arial"/>
                <w:sz w:val="20"/>
                <w:szCs w:val="20"/>
              </w:rPr>
              <w:t>$</w:t>
            </w:r>
            <w:r>
              <w:rPr>
                <w:rFonts w:ascii="Arial" w:eastAsia="Times New Roman" w:hAnsi="Arial" w:cs="Arial"/>
                <w:sz w:val="20"/>
                <w:szCs w:val="20"/>
              </w:rPr>
              <w:t>1,201,949,82</w:t>
            </w:r>
            <w:r>
              <w:rPr>
                <w:rFonts w:ascii="Arial" w:eastAsia="Times New Roman" w:hAnsi="Arial" w:cs="Arial"/>
                <w:sz w:val="20"/>
                <w:szCs w:val="20"/>
              </w:rPr>
              <w:t>5</w:t>
            </w:r>
            <w:r>
              <w:rPr>
                <w:rFonts w:ascii="Arial" w:eastAsia="Times New Roman" w:hAnsi="Arial" w:cs="Arial"/>
                <w:sz w:val="20"/>
                <w:szCs w:val="20"/>
              </w:rPr>
              <w:t>)</w:t>
            </w:r>
          </w:p>
        </w:tc>
        <w:tc>
          <w:tcPr>
            <w:tcW w:w="0" w:type="auto"/>
            <w:shd w:val="clear" w:color="auto" w:fill="FFFFFF"/>
            <w:tcMar>
              <w:top w:w="0" w:type="dxa"/>
              <w:left w:w="0" w:type="dxa"/>
              <w:bottom w:w="15" w:type="dxa"/>
              <w:right w:w="0" w:type="dxa"/>
            </w:tcMar>
            <w:vAlign w:val="bottom"/>
            <w:hideMark/>
          </w:tcPr>
          <w:p w14:paraId="0C56158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D85471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D053623" w14:textId="77777777" w:rsidR="00000000" w:rsidRDefault="004206B0">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2BFAD5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50DA81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9B9235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E8CCFE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1,202,347,481</w:t>
            </w:r>
          </w:p>
        </w:tc>
        <w:tc>
          <w:tcPr>
            <w:tcW w:w="50" w:type="pct"/>
            <w:shd w:val="clear" w:color="auto" w:fill="FFFFFF"/>
            <w:tcMar>
              <w:top w:w="0" w:type="dxa"/>
              <w:left w:w="0" w:type="dxa"/>
              <w:bottom w:w="15" w:type="dxa"/>
              <w:right w:w="0" w:type="dxa"/>
            </w:tcMar>
            <w:vAlign w:val="bottom"/>
            <w:hideMark/>
          </w:tcPr>
          <w:p w14:paraId="7B1116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B2855BD" w14:textId="77777777">
        <w:trPr>
          <w:tblCellSpacing w:w="0" w:type="dxa"/>
        </w:trPr>
        <w:tc>
          <w:tcPr>
            <w:tcW w:w="0" w:type="auto"/>
            <w:shd w:val="clear" w:color="auto" w:fill="CCEEFF"/>
            <w:vAlign w:val="center"/>
            <w:hideMark/>
          </w:tcPr>
          <w:p w14:paraId="40D05B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145A8F2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7131F28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243203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2DBB4DE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05A7C1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0FBCE2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center"/>
            <w:hideMark/>
          </w:tcPr>
          <w:p w14:paraId="5C45A4B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76CCD58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19D7338" w14:textId="77777777">
        <w:trPr>
          <w:tblCellSpacing w:w="0" w:type="dxa"/>
        </w:trPr>
        <w:tc>
          <w:tcPr>
            <w:tcW w:w="0" w:type="auto"/>
            <w:shd w:val="clear" w:color="auto" w:fill="FFFFFF"/>
            <w:vAlign w:val="bottom"/>
            <w:hideMark/>
          </w:tcPr>
          <w:p w14:paraId="456E0867" w14:textId="77777777" w:rsidR="00000000" w:rsidRDefault="004206B0">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98.46</w:t>
            </w:r>
            <w:r>
              <w:rPr>
                <w:rFonts w:ascii="Arial" w:eastAsia="Times New Roman" w:hAnsi="Arial" w:cs="Arial"/>
                <w:sz w:val="20"/>
                <w:szCs w:val="20"/>
              </w:rPr>
              <w:t>%</w:t>
            </w:r>
          </w:p>
        </w:tc>
        <w:tc>
          <w:tcPr>
            <w:tcW w:w="0" w:type="auto"/>
            <w:shd w:val="clear" w:color="auto" w:fill="FFFFFF"/>
            <w:vAlign w:val="bottom"/>
            <w:hideMark/>
          </w:tcPr>
          <w:p w14:paraId="294541F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10085C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C1A314F" w14:textId="77777777" w:rsidR="00000000" w:rsidRDefault="004206B0">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14:paraId="43E29F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7FEAE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08A2F1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03E440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1,202,347,481</w:t>
            </w:r>
          </w:p>
        </w:tc>
        <w:tc>
          <w:tcPr>
            <w:tcW w:w="50" w:type="pct"/>
            <w:shd w:val="clear" w:color="auto" w:fill="FFFFFF"/>
            <w:vAlign w:val="bottom"/>
            <w:hideMark/>
          </w:tcPr>
          <w:p w14:paraId="2FC487E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89431CC" w14:textId="77777777">
        <w:trPr>
          <w:tblCellSpacing w:w="0" w:type="dxa"/>
        </w:trPr>
        <w:tc>
          <w:tcPr>
            <w:tcW w:w="0" w:type="auto"/>
            <w:shd w:val="clear" w:color="auto" w:fill="CCEEFF"/>
            <w:vAlign w:val="bottom"/>
            <w:hideMark/>
          </w:tcPr>
          <w:p w14:paraId="3059F2D4" w14:textId="77777777" w:rsidR="00000000" w:rsidRDefault="004206B0">
            <w:pPr>
              <w:rPr>
                <w:rFonts w:ascii="Arial" w:eastAsia="Times New Roman" w:hAnsi="Arial" w:cs="Arial"/>
                <w:sz w:val="20"/>
                <w:szCs w:val="20"/>
              </w:rPr>
            </w:pPr>
            <w:r>
              <w:rPr>
                <w:rFonts w:ascii="Arial" w:eastAsia="Times New Roman" w:hAnsi="Arial" w:cs="Arial"/>
                <w:sz w:val="20"/>
                <w:szCs w:val="20"/>
              </w:rPr>
              <w:t>Other Assets, Less Liabilities –</w:t>
            </w:r>
            <w:r>
              <w:rPr>
                <w:rFonts w:ascii="Arial" w:eastAsia="Times New Roman" w:hAnsi="Arial" w:cs="Arial"/>
                <w:sz w:val="20"/>
                <w:szCs w:val="20"/>
              </w:rPr>
              <w:t xml:space="preserve"> </w:t>
            </w:r>
            <w:r>
              <w:rPr>
                <w:rFonts w:ascii="Arial" w:eastAsia="Times New Roman" w:hAnsi="Arial" w:cs="Arial"/>
                <w:sz w:val="20"/>
                <w:szCs w:val="20"/>
              </w:rPr>
              <w:t>1.54</w:t>
            </w:r>
            <w:r>
              <w:rPr>
                <w:rFonts w:ascii="Arial" w:eastAsia="Times New Roman" w:hAnsi="Arial" w:cs="Arial"/>
                <w:sz w:val="20"/>
                <w:szCs w:val="20"/>
              </w:rPr>
              <w:t>%</w:t>
            </w:r>
          </w:p>
        </w:tc>
        <w:tc>
          <w:tcPr>
            <w:tcW w:w="0" w:type="auto"/>
            <w:shd w:val="clear" w:color="auto" w:fill="CCEEFF"/>
            <w:tcMar>
              <w:top w:w="0" w:type="dxa"/>
              <w:left w:w="0" w:type="dxa"/>
              <w:bottom w:w="15" w:type="dxa"/>
              <w:right w:w="0" w:type="dxa"/>
            </w:tcMar>
            <w:vAlign w:val="bottom"/>
            <w:hideMark/>
          </w:tcPr>
          <w:p w14:paraId="05C56D6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203FA9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B04BD6" w14:textId="77777777" w:rsidR="00000000" w:rsidRDefault="004206B0">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1F5A55A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679554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6D82C2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E23036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18,762,376</w:t>
            </w:r>
          </w:p>
        </w:tc>
        <w:tc>
          <w:tcPr>
            <w:tcW w:w="50" w:type="pct"/>
            <w:shd w:val="clear" w:color="auto" w:fill="CCEEFF"/>
            <w:tcMar>
              <w:top w:w="0" w:type="dxa"/>
              <w:left w:w="0" w:type="dxa"/>
              <w:bottom w:w="15" w:type="dxa"/>
              <w:right w:w="0" w:type="dxa"/>
            </w:tcMar>
            <w:vAlign w:val="bottom"/>
            <w:hideMark/>
          </w:tcPr>
          <w:p w14:paraId="704740F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A8593A6" w14:textId="77777777">
        <w:trPr>
          <w:tblCellSpacing w:w="0" w:type="dxa"/>
        </w:trPr>
        <w:tc>
          <w:tcPr>
            <w:tcW w:w="0" w:type="auto"/>
            <w:shd w:val="clear" w:color="auto" w:fill="FFFFFF"/>
            <w:vAlign w:val="bottom"/>
            <w:hideMark/>
          </w:tcPr>
          <w:p w14:paraId="684758DE" w14:textId="77777777" w:rsidR="00000000" w:rsidRDefault="004206B0">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100.00</w:t>
            </w:r>
            <w:r>
              <w:rPr>
                <w:rFonts w:ascii="Arial" w:eastAsia="Times New Roman" w:hAnsi="Arial" w:cs="Arial"/>
                <w:sz w:val="20"/>
                <w:szCs w:val="20"/>
              </w:rPr>
              <w:t>%</w:t>
            </w:r>
          </w:p>
        </w:tc>
        <w:tc>
          <w:tcPr>
            <w:tcW w:w="0" w:type="auto"/>
            <w:shd w:val="clear" w:color="auto" w:fill="FFFFFF"/>
            <w:tcMar>
              <w:top w:w="0" w:type="dxa"/>
              <w:left w:w="0" w:type="dxa"/>
              <w:bottom w:w="45" w:type="dxa"/>
              <w:right w:w="0" w:type="dxa"/>
            </w:tcMar>
            <w:vAlign w:val="bottom"/>
            <w:hideMark/>
          </w:tcPr>
          <w:p w14:paraId="14291CE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847BFF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39C109E" w14:textId="77777777" w:rsidR="00000000" w:rsidRDefault="004206B0">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45" w:type="dxa"/>
              <w:right w:w="0" w:type="dxa"/>
            </w:tcMar>
            <w:vAlign w:val="bottom"/>
            <w:hideMark/>
          </w:tcPr>
          <w:p w14:paraId="5536457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1E144F7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C3A0CA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2A0557B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1,221,109,857</w:t>
            </w:r>
          </w:p>
        </w:tc>
        <w:tc>
          <w:tcPr>
            <w:tcW w:w="50" w:type="pct"/>
            <w:shd w:val="clear" w:color="auto" w:fill="FFFFFF"/>
            <w:tcMar>
              <w:top w:w="0" w:type="dxa"/>
              <w:left w:w="0" w:type="dxa"/>
              <w:bottom w:w="45" w:type="dxa"/>
              <w:right w:w="0" w:type="dxa"/>
            </w:tcMar>
            <w:vAlign w:val="bottom"/>
            <w:hideMark/>
          </w:tcPr>
          <w:p w14:paraId="2A03B00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217E389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24E11A3" w14:textId="77777777" w:rsidR="00000000" w:rsidRDefault="004206B0">
      <w:pPr>
        <w:spacing w:before="60" w:after="60"/>
        <w:rPr>
          <w:rFonts w:eastAsia="Times New Roman"/>
          <w:sz w:val="20"/>
          <w:szCs w:val="20"/>
        </w:rPr>
      </w:pPr>
      <w:r>
        <w:rPr>
          <w:rFonts w:eastAsia="Times New Roman"/>
          <w:sz w:val="20"/>
          <w:szCs w:val="20"/>
        </w:rPr>
        <w:pict w14:anchorId="1A34C7BF">
          <v:rect id="_x0000_i1086"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14:paraId="016AAA66" w14:textId="77777777">
        <w:trPr>
          <w:tblCellSpacing w:w="0" w:type="dxa"/>
        </w:trPr>
        <w:tc>
          <w:tcPr>
            <w:tcW w:w="360" w:type="dxa"/>
            <w:hideMark/>
          </w:tcPr>
          <w:p w14:paraId="08075BB5"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6" w:type="dxa"/>
            <w:hideMark/>
          </w:tcPr>
          <w:p w14:paraId="1D55D8CB"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14:paraId="7417BA4B" w14:textId="77777777" w:rsidR="00000000" w:rsidRDefault="004206B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14:paraId="18FA9CD2" w14:textId="77777777">
        <w:trPr>
          <w:tblCellSpacing w:w="0" w:type="dxa"/>
        </w:trPr>
        <w:tc>
          <w:tcPr>
            <w:tcW w:w="360" w:type="dxa"/>
            <w:hideMark/>
          </w:tcPr>
          <w:p w14:paraId="4D52D063"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(b) </w:t>
            </w:r>
          </w:p>
        </w:tc>
        <w:tc>
          <w:tcPr>
            <w:tcW w:w="6" w:type="dxa"/>
            <w:hideMark/>
          </w:tcPr>
          <w:p w14:paraId="7D113A68"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615EF3A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2B59BC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w:t>
      </w:r>
      <w:r>
        <w:rPr>
          <w:rStyle w:val="a6"/>
          <w:rFonts w:ascii="Arial" w:hAnsi="Arial" w:cs="Arial"/>
          <w:sz w:val="20"/>
          <w:szCs w:val="20"/>
        </w:rPr>
        <w:t xml:space="preserve">2022, </w:t>
      </w:r>
      <w:r>
        <w:rPr>
          <w:rFonts w:ascii="Arial" w:hAnsi="Arial" w:cs="Arial"/>
          <w:sz w:val="20"/>
          <w:szCs w:val="20"/>
        </w:rPr>
        <w:t>the open S&amp;P GSCI-ER futures contracts were as follows:</w:t>
      </w:r>
    </w:p>
    <w:p w14:paraId="5C258917" w14:textId="77777777" w:rsidR="00000000" w:rsidRDefault="004206B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6"/>
        <w:gridCol w:w="82"/>
        <w:gridCol w:w="1861"/>
        <w:gridCol w:w="82"/>
        <w:gridCol w:w="112"/>
        <w:gridCol w:w="1946"/>
        <w:gridCol w:w="82"/>
        <w:gridCol w:w="82"/>
        <w:gridCol w:w="83"/>
        <w:gridCol w:w="1947"/>
        <w:gridCol w:w="83"/>
      </w:tblGrid>
      <w:tr w:rsidR="00000000" w14:paraId="55E47EC1" w14:textId="77777777">
        <w:trPr>
          <w:tblCellSpacing w:w="0" w:type="dxa"/>
        </w:trPr>
        <w:tc>
          <w:tcPr>
            <w:tcW w:w="0" w:type="auto"/>
            <w:tcBorders>
              <w:bottom w:val="single" w:sz="6" w:space="0" w:color="000000"/>
            </w:tcBorders>
            <w:vAlign w:val="bottom"/>
            <w:hideMark/>
          </w:tcPr>
          <w:p w14:paraId="27091DDC"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Number of Contracts</w:t>
            </w:r>
          </w:p>
        </w:tc>
        <w:tc>
          <w:tcPr>
            <w:tcW w:w="0" w:type="auto"/>
            <w:vAlign w:val="bottom"/>
            <w:hideMark/>
          </w:tcPr>
          <w:p w14:paraId="23CB46F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100" w:type="pct"/>
            <w:tcBorders>
              <w:bottom w:val="single" w:sz="6" w:space="0" w:color="000000"/>
            </w:tcBorders>
            <w:vAlign w:val="bottom"/>
            <w:hideMark/>
          </w:tcPr>
          <w:p w14:paraId="486EDEA7"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Expiration Date</w:t>
            </w:r>
          </w:p>
        </w:tc>
        <w:tc>
          <w:tcPr>
            <w:tcW w:w="0" w:type="auto"/>
            <w:tcMar>
              <w:top w:w="0" w:type="dxa"/>
              <w:left w:w="0" w:type="dxa"/>
              <w:bottom w:w="15" w:type="dxa"/>
              <w:right w:w="0" w:type="dxa"/>
            </w:tcMar>
            <w:vAlign w:val="bottom"/>
            <w:hideMark/>
          </w:tcPr>
          <w:p w14:paraId="606093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414A3E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Current Notional Amount</w:t>
            </w:r>
          </w:p>
        </w:tc>
        <w:tc>
          <w:tcPr>
            <w:tcW w:w="0" w:type="auto"/>
            <w:tcMar>
              <w:top w:w="0" w:type="dxa"/>
              <w:left w:w="0" w:type="dxa"/>
              <w:bottom w:w="15" w:type="dxa"/>
              <w:right w:w="0" w:type="dxa"/>
            </w:tcMar>
            <w:vAlign w:val="bottom"/>
            <w:hideMark/>
          </w:tcPr>
          <w:p w14:paraId="56DFC3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615B30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2590C63"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14:paraId="2D3CE29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14:paraId="13CDB6A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DFAC65E" w14:textId="77777777">
        <w:trPr>
          <w:tblCellSpacing w:w="0" w:type="dxa"/>
        </w:trPr>
        <w:tc>
          <w:tcPr>
            <w:tcW w:w="1150" w:type="pct"/>
            <w:shd w:val="clear" w:color="auto" w:fill="CCEEFF"/>
            <w:vAlign w:val="bottom"/>
            <w:hideMark/>
          </w:tcPr>
          <w:p w14:paraId="39DF8F66"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38,848</w:t>
            </w:r>
          </w:p>
        </w:tc>
        <w:tc>
          <w:tcPr>
            <w:tcW w:w="50" w:type="pct"/>
            <w:shd w:val="clear" w:color="auto" w:fill="CCEEFF"/>
            <w:vAlign w:val="bottom"/>
            <w:hideMark/>
          </w:tcPr>
          <w:p w14:paraId="508D1B5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05F9A6C"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March 15, 2023</w:t>
            </w:r>
          </w:p>
        </w:tc>
        <w:tc>
          <w:tcPr>
            <w:tcW w:w="50" w:type="pct"/>
            <w:shd w:val="clear" w:color="auto" w:fill="CCEEFF"/>
            <w:vAlign w:val="bottom"/>
            <w:hideMark/>
          </w:tcPr>
          <w:p w14:paraId="7EB400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8B6FE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324FBBA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1,215,724,851</w:t>
            </w:r>
          </w:p>
        </w:tc>
        <w:tc>
          <w:tcPr>
            <w:tcW w:w="50" w:type="pct"/>
            <w:shd w:val="clear" w:color="auto" w:fill="CCEEFF"/>
            <w:vAlign w:val="bottom"/>
            <w:hideMark/>
          </w:tcPr>
          <w:p w14:paraId="37DF5A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8E70C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8943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14:paraId="71FA200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60,324,698</w:t>
            </w:r>
          </w:p>
        </w:tc>
        <w:tc>
          <w:tcPr>
            <w:tcW w:w="50" w:type="pct"/>
            <w:shd w:val="clear" w:color="auto" w:fill="CCEEFF"/>
            <w:vAlign w:val="bottom"/>
            <w:hideMark/>
          </w:tcPr>
          <w:p w14:paraId="23AC8F1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0898C989" w14:textId="77777777" w:rsidR="00000000" w:rsidRDefault="004206B0">
      <w:pPr>
        <w:pStyle w:val="a3"/>
        <w:spacing w:before="0" w:beforeAutospacing="0" w:after="0" w:afterAutospacing="0"/>
        <w:rPr>
          <w:sz w:val="20"/>
          <w:szCs w:val="20"/>
        </w:rPr>
      </w:pPr>
      <w:r>
        <w:rPr>
          <w:sz w:val="20"/>
          <w:szCs w:val="20"/>
        </w:rPr>
        <w:t> </w:t>
      </w:r>
    </w:p>
    <w:p w14:paraId="687847E3" w14:textId="77777777" w:rsidR="00000000" w:rsidRDefault="004206B0">
      <w:pPr>
        <w:jc w:val="center"/>
        <w:divId w:val="1741096807"/>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7</w:t>
      </w:r>
      <w:r>
        <w:rPr>
          <w:rFonts w:ascii="Arial" w:eastAsia="Times New Roman" w:hAnsi="Arial" w:cs="Arial"/>
          <w:sz w:val="20"/>
          <w:szCs w:val="20"/>
        </w:rPr>
        <w:t xml:space="preserve"> </w:t>
      </w:r>
    </w:p>
    <w:p w14:paraId="696AB55D" w14:textId="77777777" w:rsidR="00000000" w:rsidRDefault="004206B0">
      <w:pPr>
        <w:rPr>
          <w:rFonts w:eastAsia="Times New Roman"/>
          <w:sz w:val="20"/>
          <w:szCs w:val="20"/>
        </w:rPr>
      </w:pPr>
      <w:r>
        <w:rPr>
          <w:rFonts w:eastAsia="Times New Roman"/>
          <w:sz w:val="20"/>
          <w:szCs w:val="20"/>
        </w:rPr>
        <w:pict w14:anchorId="75DFA8CD">
          <v:rect id="_x0000_i1087" style="width:415.3pt;height:1.5pt" o:hralign="center" o:hrstd="t" o:hrnoshade="t" o:hr="t" fillcolor="black" stroked="f"/>
        </w:pict>
      </w:r>
    </w:p>
    <w:p w14:paraId="3DBCB230" w14:textId="77777777" w:rsidR="00000000" w:rsidRDefault="004206B0">
      <w:pPr>
        <w:divId w:val="379982108"/>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0B0CA984" w14:textId="77777777" w:rsidR="00000000" w:rsidRDefault="004206B0">
      <w:pPr>
        <w:rPr>
          <w:rFonts w:eastAsia="Times New Roman"/>
          <w:sz w:val="20"/>
          <w:szCs w:val="20"/>
        </w:rPr>
      </w:pPr>
      <w:r>
        <w:rPr>
          <w:rFonts w:eastAsia="Times New Roman"/>
          <w:sz w:val="20"/>
          <w:szCs w:val="20"/>
        </w:rPr>
        <w:t xml:space="preserve">  </w:t>
      </w:r>
    </w:p>
    <w:p w14:paraId="7FCFEAC4" w14:textId="77777777" w:rsidR="00000000" w:rsidRDefault="004206B0">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2021</w:t>
      </w:r>
    </w:p>
    <w:p w14:paraId="666E5BC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54"/>
        <w:gridCol w:w="56"/>
        <w:gridCol w:w="112"/>
        <w:gridCol w:w="1113"/>
        <w:gridCol w:w="56"/>
        <w:gridCol w:w="56"/>
        <w:gridCol w:w="112"/>
        <w:gridCol w:w="1280"/>
        <w:gridCol w:w="67"/>
      </w:tblGrid>
      <w:tr w:rsidR="00000000" w14:paraId="4D9673FE" w14:textId="77777777">
        <w:trPr>
          <w:tblCellSpacing w:w="0" w:type="dxa"/>
        </w:trPr>
        <w:tc>
          <w:tcPr>
            <w:tcW w:w="3500" w:type="pct"/>
            <w:tcBorders>
              <w:bottom w:val="single" w:sz="6" w:space="0" w:color="000000"/>
            </w:tcBorders>
            <w:vAlign w:val="bottom"/>
            <w:hideMark/>
          </w:tcPr>
          <w:p w14:paraId="32C40E27"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14:paraId="265FC9B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3CAE36D"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14:paraId="598393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7CEE8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7B2BFD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Fair Value </w:t>
            </w:r>
          </w:p>
        </w:tc>
        <w:tc>
          <w:tcPr>
            <w:tcW w:w="0" w:type="auto"/>
            <w:tcMar>
              <w:top w:w="0" w:type="dxa"/>
              <w:left w:w="0" w:type="dxa"/>
              <w:bottom w:w="15" w:type="dxa"/>
              <w:right w:w="0" w:type="dxa"/>
            </w:tcMar>
            <w:vAlign w:val="bottom"/>
            <w:hideMark/>
          </w:tcPr>
          <w:p w14:paraId="2F7599B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EC9A214" w14:textId="77777777">
        <w:trPr>
          <w:tblCellSpacing w:w="0" w:type="dxa"/>
        </w:trPr>
        <w:tc>
          <w:tcPr>
            <w:tcW w:w="0" w:type="auto"/>
            <w:shd w:val="clear" w:color="auto" w:fill="CCEEFF"/>
            <w:vAlign w:val="bottom"/>
            <w:hideMark/>
          </w:tcPr>
          <w:p w14:paraId="1FECBCC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14:paraId="5813E30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F98C9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99338C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FF6CFE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A93FE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A8DFC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41007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607A8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3703B74" w14:textId="77777777">
        <w:trPr>
          <w:tblCellSpacing w:w="0" w:type="dxa"/>
        </w:trPr>
        <w:tc>
          <w:tcPr>
            <w:tcW w:w="0" w:type="auto"/>
            <w:shd w:val="clear" w:color="auto" w:fill="FFFFFF"/>
            <w:vAlign w:val="bottom"/>
            <w:hideMark/>
          </w:tcPr>
          <w:p w14:paraId="685B938F"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1/04/2</w:t>
            </w:r>
            <w:r>
              <w:rPr>
                <w:rFonts w:ascii="Arial" w:hAnsi="Arial" w:cs="Arial"/>
                <w:sz w:val="20"/>
                <w:szCs w:val="20"/>
              </w:rPr>
              <w:t>2</w:t>
            </w:r>
          </w:p>
        </w:tc>
        <w:tc>
          <w:tcPr>
            <w:tcW w:w="50" w:type="pct"/>
            <w:shd w:val="clear" w:color="auto" w:fill="FFFFFF"/>
            <w:vAlign w:val="bottom"/>
            <w:hideMark/>
          </w:tcPr>
          <w:p w14:paraId="1C38BA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67F81B"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7AA5EDC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14:paraId="4A9F366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8F6918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63A349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0200A6C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100,000,084</w:t>
            </w:r>
          </w:p>
        </w:tc>
        <w:tc>
          <w:tcPr>
            <w:tcW w:w="50" w:type="pct"/>
            <w:shd w:val="clear" w:color="auto" w:fill="FFFFFF"/>
            <w:vAlign w:val="bottom"/>
            <w:hideMark/>
          </w:tcPr>
          <w:p w14:paraId="6E0AE7E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9EE65DC" w14:textId="77777777">
        <w:trPr>
          <w:tblCellSpacing w:w="0" w:type="dxa"/>
        </w:trPr>
        <w:tc>
          <w:tcPr>
            <w:tcW w:w="0" w:type="auto"/>
            <w:shd w:val="clear" w:color="auto" w:fill="CCEEFF"/>
            <w:vAlign w:val="bottom"/>
            <w:hideMark/>
          </w:tcPr>
          <w:p w14:paraId="73A59F23"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1/06/2</w:t>
            </w:r>
            <w:r>
              <w:rPr>
                <w:rFonts w:ascii="Arial" w:hAnsi="Arial" w:cs="Arial"/>
                <w:sz w:val="20"/>
                <w:szCs w:val="20"/>
              </w:rPr>
              <w:t>2</w:t>
            </w:r>
          </w:p>
        </w:tc>
        <w:tc>
          <w:tcPr>
            <w:tcW w:w="50" w:type="pct"/>
            <w:shd w:val="clear" w:color="auto" w:fill="CCEEFF"/>
            <w:vAlign w:val="bottom"/>
            <w:hideMark/>
          </w:tcPr>
          <w:p w14:paraId="33D7054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F2C03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DC52A7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84,000,000</w:t>
            </w:r>
          </w:p>
        </w:tc>
        <w:tc>
          <w:tcPr>
            <w:tcW w:w="50" w:type="pct"/>
            <w:shd w:val="clear" w:color="auto" w:fill="CCEEFF"/>
            <w:vAlign w:val="bottom"/>
            <w:hideMark/>
          </w:tcPr>
          <w:p w14:paraId="7FFAF65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C848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38512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31DEF2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83,999,971</w:t>
            </w:r>
          </w:p>
        </w:tc>
        <w:tc>
          <w:tcPr>
            <w:tcW w:w="50" w:type="pct"/>
            <w:shd w:val="clear" w:color="auto" w:fill="CCEEFF"/>
            <w:vAlign w:val="bottom"/>
            <w:hideMark/>
          </w:tcPr>
          <w:p w14:paraId="3E6C40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9511C06" w14:textId="77777777">
        <w:trPr>
          <w:tblCellSpacing w:w="0" w:type="dxa"/>
        </w:trPr>
        <w:tc>
          <w:tcPr>
            <w:tcW w:w="0" w:type="auto"/>
            <w:shd w:val="clear" w:color="auto" w:fill="FFFFFF"/>
            <w:vAlign w:val="bottom"/>
            <w:hideMark/>
          </w:tcPr>
          <w:p w14:paraId="29C69199"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1/11/2</w:t>
            </w:r>
            <w:r>
              <w:rPr>
                <w:rFonts w:ascii="Arial" w:hAnsi="Arial" w:cs="Arial"/>
                <w:sz w:val="20"/>
                <w:szCs w:val="20"/>
              </w:rPr>
              <w:t>2</w:t>
            </w:r>
          </w:p>
        </w:tc>
        <w:tc>
          <w:tcPr>
            <w:tcW w:w="50" w:type="pct"/>
            <w:shd w:val="clear" w:color="auto" w:fill="FFFFFF"/>
            <w:vAlign w:val="bottom"/>
            <w:hideMark/>
          </w:tcPr>
          <w:p w14:paraId="41CC6AE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A2E15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4F5298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14:paraId="3C4817F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4CBF7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FCFDBE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432D32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52,999,941</w:t>
            </w:r>
          </w:p>
        </w:tc>
        <w:tc>
          <w:tcPr>
            <w:tcW w:w="50" w:type="pct"/>
            <w:shd w:val="clear" w:color="auto" w:fill="FFFFFF"/>
            <w:vAlign w:val="bottom"/>
            <w:hideMark/>
          </w:tcPr>
          <w:p w14:paraId="1CDC45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AEFCC0A" w14:textId="77777777">
        <w:trPr>
          <w:tblCellSpacing w:w="0" w:type="dxa"/>
        </w:trPr>
        <w:tc>
          <w:tcPr>
            <w:tcW w:w="0" w:type="auto"/>
            <w:shd w:val="clear" w:color="auto" w:fill="CCEEFF"/>
            <w:vAlign w:val="bottom"/>
            <w:hideMark/>
          </w:tcPr>
          <w:p w14:paraId="47ACDD08"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1/25/2</w:t>
            </w:r>
            <w:r>
              <w:rPr>
                <w:rFonts w:ascii="Arial" w:hAnsi="Arial" w:cs="Arial"/>
                <w:sz w:val="20"/>
                <w:szCs w:val="20"/>
              </w:rPr>
              <w:t>2</w:t>
            </w:r>
          </w:p>
        </w:tc>
        <w:tc>
          <w:tcPr>
            <w:tcW w:w="50" w:type="pct"/>
            <w:shd w:val="clear" w:color="auto" w:fill="CCEEFF"/>
            <w:vAlign w:val="bottom"/>
            <w:hideMark/>
          </w:tcPr>
          <w:p w14:paraId="4DA8675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091D3A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572172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14:paraId="04EEBFF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647DC5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DDD05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335FC3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19,999,771</w:t>
            </w:r>
          </w:p>
        </w:tc>
        <w:tc>
          <w:tcPr>
            <w:tcW w:w="50" w:type="pct"/>
            <w:shd w:val="clear" w:color="auto" w:fill="CCEEFF"/>
            <w:vAlign w:val="bottom"/>
            <w:hideMark/>
          </w:tcPr>
          <w:p w14:paraId="0918E4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4868ACE" w14:textId="77777777">
        <w:trPr>
          <w:tblCellSpacing w:w="0" w:type="dxa"/>
        </w:trPr>
        <w:tc>
          <w:tcPr>
            <w:tcW w:w="0" w:type="auto"/>
            <w:shd w:val="clear" w:color="auto" w:fill="FFFFFF"/>
            <w:vAlign w:val="bottom"/>
            <w:hideMark/>
          </w:tcPr>
          <w:p w14:paraId="7C734EA8"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2/01/2</w:t>
            </w:r>
            <w:r>
              <w:rPr>
                <w:rFonts w:ascii="Arial" w:hAnsi="Arial" w:cs="Arial"/>
                <w:sz w:val="20"/>
                <w:szCs w:val="20"/>
              </w:rPr>
              <w:t>2</w:t>
            </w:r>
          </w:p>
        </w:tc>
        <w:tc>
          <w:tcPr>
            <w:tcW w:w="50" w:type="pct"/>
            <w:shd w:val="clear" w:color="auto" w:fill="FFFFFF"/>
            <w:vAlign w:val="bottom"/>
            <w:hideMark/>
          </w:tcPr>
          <w:p w14:paraId="6E9D77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02DA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A85C60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74,000,000</w:t>
            </w:r>
          </w:p>
        </w:tc>
        <w:tc>
          <w:tcPr>
            <w:tcW w:w="50" w:type="pct"/>
            <w:shd w:val="clear" w:color="auto" w:fill="FFFFFF"/>
            <w:vAlign w:val="bottom"/>
            <w:hideMark/>
          </w:tcPr>
          <w:p w14:paraId="0909FC3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1D9A6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B8514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312188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73,998,510</w:t>
            </w:r>
          </w:p>
        </w:tc>
        <w:tc>
          <w:tcPr>
            <w:tcW w:w="50" w:type="pct"/>
            <w:shd w:val="clear" w:color="auto" w:fill="FFFFFF"/>
            <w:vAlign w:val="bottom"/>
            <w:hideMark/>
          </w:tcPr>
          <w:p w14:paraId="184405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29C5847" w14:textId="77777777">
        <w:trPr>
          <w:tblCellSpacing w:w="0" w:type="dxa"/>
        </w:trPr>
        <w:tc>
          <w:tcPr>
            <w:tcW w:w="0" w:type="auto"/>
            <w:shd w:val="clear" w:color="auto" w:fill="CCEEFF"/>
            <w:vAlign w:val="bottom"/>
            <w:hideMark/>
          </w:tcPr>
          <w:p w14:paraId="3887A7F3"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2/03/2</w:t>
            </w:r>
            <w:r>
              <w:rPr>
                <w:rFonts w:ascii="Arial" w:hAnsi="Arial" w:cs="Arial"/>
                <w:sz w:val="20"/>
                <w:szCs w:val="20"/>
              </w:rPr>
              <w:t>2</w:t>
            </w:r>
          </w:p>
        </w:tc>
        <w:tc>
          <w:tcPr>
            <w:tcW w:w="50" w:type="pct"/>
            <w:shd w:val="clear" w:color="auto" w:fill="CCEEFF"/>
            <w:vAlign w:val="bottom"/>
            <w:hideMark/>
          </w:tcPr>
          <w:p w14:paraId="4742E81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CDEFB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3728FB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14:paraId="4CFFE43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E2636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0B34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7E883D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19,999,483</w:t>
            </w:r>
          </w:p>
        </w:tc>
        <w:tc>
          <w:tcPr>
            <w:tcW w:w="50" w:type="pct"/>
            <w:shd w:val="clear" w:color="auto" w:fill="CCEEFF"/>
            <w:vAlign w:val="bottom"/>
            <w:hideMark/>
          </w:tcPr>
          <w:p w14:paraId="2E17657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9CB9F96" w14:textId="77777777">
        <w:trPr>
          <w:tblCellSpacing w:w="0" w:type="dxa"/>
        </w:trPr>
        <w:tc>
          <w:tcPr>
            <w:tcW w:w="0" w:type="auto"/>
            <w:shd w:val="clear" w:color="auto" w:fill="FFFFFF"/>
            <w:vAlign w:val="bottom"/>
            <w:hideMark/>
          </w:tcPr>
          <w:p w14:paraId="52F371A9"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2/08/2</w:t>
            </w:r>
            <w:r>
              <w:rPr>
                <w:rFonts w:ascii="Arial" w:hAnsi="Arial" w:cs="Arial"/>
                <w:sz w:val="20"/>
                <w:szCs w:val="20"/>
              </w:rPr>
              <w:t>2</w:t>
            </w:r>
          </w:p>
        </w:tc>
        <w:tc>
          <w:tcPr>
            <w:tcW w:w="50" w:type="pct"/>
            <w:shd w:val="clear" w:color="auto" w:fill="FFFFFF"/>
            <w:vAlign w:val="bottom"/>
            <w:hideMark/>
          </w:tcPr>
          <w:p w14:paraId="605C406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E1E96D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68E7D0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105,000,000</w:t>
            </w:r>
          </w:p>
        </w:tc>
        <w:tc>
          <w:tcPr>
            <w:tcW w:w="50" w:type="pct"/>
            <w:shd w:val="clear" w:color="auto" w:fill="FFFFFF"/>
            <w:vAlign w:val="bottom"/>
            <w:hideMark/>
          </w:tcPr>
          <w:p w14:paraId="235EEF6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C12F9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F0B5C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1F704C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104,996,981</w:t>
            </w:r>
          </w:p>
        </w:tc>
        <w:tc>
          <w:tcPr>
            <w:tcW w:w="50" w:type="pct"/>
            <w:shd w:val="clear" w:color="auto" w:fill="FFFFFF"/>
            <w:vAlign w:val="bottom"/>
            <w:hideMark/>
          </w:tcPr>
          <w:p w14:paraId="7C7EDC0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BCCD6FA" w14:textId="77777777">
        <w:trPr>
          <w:tblCellSpacing w:w="0" w:type="dxa"/>
        </w:trPr>
        <w:tc>
          <w:tcPr>
            <w:tcW w:w="0" w:type="auto"/>
            <w:shd w:val="clear" w:color="auto" w:fill="CCEEFF"/>
            <w:vAlign w:val="bottom"/>
            <w:hideMark/>
          </w:tcPr>
          <w:p w14:paraId="03B5F9F7"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2/10/2</w:t>
            </w:r>
            <w:r>
              <w:rPr>
                <w:rFonts w:ascii="Arial" w:hAnsi="Arial" w:cs="Arial"/>
                <w:sz w:val="20"/>
                <w:szCs w:val="20"/>
              </w:rPr>
              <w:t>2</w:t>
            </w:r>
          </w:p>
        </w:tc>
        <w:tc>
          <w:tcPr>
            <w:tcW w:w="50" w:type="pct"/>
            <w:shd w:val="clear" w:color="auto" w:fill="CCEEFF"/>
            <w:vAlign w:val="bottom"/>
            <w:hideMark/>
          </w:tcPr>
          <w:p w14:paraId="77431C3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49F7A7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52A48D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89,000,000</w:t>
            </w:r>
          </w:p>
        </w:tc>
        <w:tc>
          <w:tcPr>
            <w:tcW w:w="50" w:type="pct"/>
            <w:shd w:val="clear" w:color="auto" w:fill="CCEEFF"/>
            <w:vAlign w:val="bottom"/>
            <w:hideMark/>
          </w:tcPr>
          <w:p w14:paraId="5239A55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87F14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3F733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7335FE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88,996,946</w:t>
            </w:r>
          </w:p>
        </w:tc>
        <w:tc>
          <w:tcPr>
            <w:tcW w:w="50" w:type="pct"/>
            <w:shd w:val="clear" w:color="auto" w:fill="CCEEFF"/>
            <w:vAlign w:val="bottom"/>
            <w:hideMark/>
          </w:tcPr>
          <w:p w14:paraId="48F28B0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BF7FB58" w14:textId="77777777">
        <w:trPr>
          <w:tblCellSpacing w:w="0" w:type="dxa"/>
        </w:trPr>
        <w:tc>
          <w:tcPr>
            <w:tcW w:w="0" w:type="auto"/>
            <w:shd w:val="clear" w:color="auto" w:fill="FFFFFF"/>
            <w:vAlign w:val="bottom"/>
            <w:hideMark/>
          </w:tcPr>
          <w:p w14:paraId="1C5FEE38"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2/15/2</w:t>
            </w:r>
            <w:r>
              <w:rPr>
                <w:rFonts w:ascii="Arial" w:hAnsi="Arial" w:cs="Arial"/>
                <w:sz w:val="20"/>
                <w:szCs w:val="20"/>
              </w:rPr>
              <w:t>2</w:t>
            </w:r>
          </w:p>
        </w:tc>
        <w:tc>
          <w:tcPr>
            <w:tcW w:w="50" w:type="pct"/>
            <w:shd w:val="clear" w:color="auto" w:fill="FFFFFF"/>
            <w:vAlign w:val="bottom"/>
            <w:hideMark/>
          </w:tcPr>
          <w:p w14:paraId="274293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10B9E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CB8E51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14:paraId="3C39FEE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7F478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8D1C3D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2540C9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119,996,058</w:t>
            </w:r>
          </w:p>
        </w:tc>
        <w:tc>
          <w:tcPr>
            <w:tcW w:w="50" w:type="pct"/>
            <w:shd w:val="clear" w:color="auto" w:fill="FFFFFF"/>
            <w:vAlign w:val="bottom"/>
            <w:hideMark/>
          </w:tcPr>
          <w:p w14:paraId="2D72E6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B1E5DF7" w14:textId="77777777">
        <w:trPr>
          <w:tblCellSpacing w:w="0" w:type="dxa"/>
        </w:trPr>
        <w:tc>
          <w:tcPr>
            <w:tcW w:w="0" w:type="auto"/>
            <w:shd w:val="clear" w:color="auto" w:fill="CCEEFF"/>
            <w:vAlign w:val="bottom"/>
            <w:hideMark/>
          </w:tcPr>
          <w:p w14:paraId="63722D7E"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2/17/2</w:t>
            </w:r>
            <w:r>
              <w:rPr>
                <w:rFonts w:ascii="Arial" w:hAnsi="Arial" w:cs="Arial"/>
                <w:sz w:val="20"/>
                <w:szCs w:val="20"/>
              </w:rPr>
              <w:t>2</w:t>
            </w:r>
          </w:p>
        </w:tc>
        <w:tc>
          <w:tcPr>
            <w:tcW w:w="50" w:type="pct"/>
            <w:shd w:val="clear" w:color="auto" w:fill="CCEEFF"/>
            <w:vAlign w:val="bottom"/>
            <w:hideMark/>
          </w:tcPr>
          <w:p w14:paraId="2E48226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5C84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863C10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121,000,000</w:t>
            </w:r>
          </w:p>
        </w:tc>
        <w:tc>
          <w:tcPr>
            <w:tcW w:w="50" w:type="pct"/>
            <w:shd w:val="clear" w:color="auto" w:fill="CCEEFF"/>
            <w:vAlign w:val="bottom"/>
            <w:hideMark/>
          </w:tcPr>
          <w:p w14:paraId="45F0EF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73319C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706D2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A17B80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120,995,463</w:t>
            </w:r>
          </w:p>
        </w:tc>
        <w:tc>
          <w:tcPr>
            <w:tcW w:w="50" w:type="pct"/>
            <w:shd w:val="clear" w:color="auto" w:fill="CCEEFF"/>
            <w:vAlign w:val="bottom"/>
            <w:hideMark/>
          </w:tcPr>
          <w:p w14:paraId="4AFA9B2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D0B0D4B" w14:textId="77777777">
        <w:trPr>
          <w:tblCellSpacing w:w="0" w:type="dxa"/>
        </w:trPr>
        <w:tc>
          <w:tcPr>
            <w:tcW w:w="0" w:type="auto"/>
            <w:shd w:val="clear" w:color="auto" w:fill="FFFFFF"/>
            <w:vAlign w:val="bottom"/>
            <w:hideMark/>
          </w:tcPr>
          <w:p w14:paraId="270794D0"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2/22/2</w:t>
            </w:r>
            <w:r>
              <w:rPr>
                <w:rFonts w:ascii="Arial" w:hAnsi="Arial" w:cs="Arial"/>
                <w:sz w:val="20"/>
                <w:szCs w:val="20"/>
              </w:rPr>
              <w:t>2</w:t>
            </w:r>
          </w:p>
        </w:tc>
        <w:tc>
          <w:tcPr>
            <w:tcW w:w="50" w:type="pct"/>
            <w:shd w:val="clear" w:color="auto" w:fill="FFFFFF"/>
            <w:vAlign w:val="bottom"/>
            <w:hideMark/>
          </w:tcPr>
          <w:p w14:paraId="68E4BF5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8E176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8254C6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76,000,000</w:t>
            </w:r>
          </w:p>
        </w:tc>
        <w:tc>
          <w:tcPr>
            <w:tcW w:w="50" w:type="pct"/>
            <w:shd w:val="clear" w:color="auto" w:fill="FFFFFF"/>
            <w:vAlign w:val="bottom"/>
            <w:hideMark/>
          </w:tcPr>
          <w:p w14:paraId="39F0A7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54715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28D07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774CE9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75,998,152</w:t>
            </w:r>
          </w:p>
        </w:tc>
        <w:tc>
          <w:tcPr>
            <w:tcW w:w="50" w:type="pct"/>
            <w:shd w:val="clear" w:color="auto" w:fill="FFFFFF"/>
            <w:vAlign w:val="bottom"/>
            <w:hideMark/>
          </w:tcPr>
          <w:p w14:paraId="7726F82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F9DC6E4" w14:textId="77777777">
        <w:trPr>
          <w:tblCellSpacing w:w="0" w:type="dxa"/>
        </w:trPr>
        <w:tc>
          <w:tcPr>
            <w:tcW w:w="0" w:type="auto"/>
            <w:shd w:val="clear" w:color="auto" w:fill="CCEEFF"/>
            <w:vAlign w:val="bottom"/>
            <w:hideMark/>
          </w:tcPr>
          <w:p w14:paraId="1C09CC57"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2/24/2</w:t>
            </w:r>
            <w:r>
              <w:rPr>
                <w:rFonts w:ascii="Arial" w:hAnsi="Arial" w:cs="Arial"/>
                <w:sz w:val="20"/>
                <w:szCs w:val="20"/>
              </w:rPr>
              <w:t>2</w:t>
            </w:r>
          </w:p>
        </w:tc>
        <w:tc>
          <w:tcPr>
            <w:tcW w:w="50" w:type="pct"/>
            <w:shd w:val="clear" w:color="auto" w:fill="CCEEFF"/>
            <w:vAlign w:val="bottom"/>
            <w:hideMark/>
          </w:tcPr>
          <w:p w14:paraId="3EF0F42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D27D9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229D1E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135,450,000</w:t>
            </w:r>
          </w:p>
        </w:tc>
        <w:tc>
          <w:tcPr>
            <w:tcW w:w="50" w:type="pct"/>
            <w:shd w:val="clear" w:color="auto" w:fill="CCEEFF"/>
            <w:vAlign w:val="bottom"/>
            <w:hideMark/>
          </w:tcPr>
          <w:p w14:paraId="4965FA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83CB01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3D928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42BACF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135,444,620</w:t>
            </w:r>
          </w:p>
        </w:tc>
        <w:tc>
          <w:tcPr>
            <w:tcW w:w="50" w:type="pct"/>
            <w:shd w:val="clear" w:color="auto" w:fill="CCEEFF"/>
            <w:vAlign w:val="bottom"/>
            <w:hideMark/>
          </w:tcPr>
          <w:p w14:paraId="1A96A0A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E99B30F" w14:textId="77777777">
        <w:trPr>
          <w:tblCellSpacing w:w="0" w:type="dxa"/>
        </w:trPr>
        <w:tc>
          <w:tcPr>
            <w:tcW w:w="0" w:type="auto"/>
            <w:shd w:val="clear" w:color="auto" w:fill="FFFFFF"/>
            <w:vAlign w:val="bottom"/>
            <w:hideMark/>
          </w:tcPr>
          <w:p w14:paraId="02E3D05B"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3/1/2</w:t>
            </w:r>
            <w:r>
              <w:rPr>
                <w:rFonts w:ascii="Arial" w:hAnsi="Arial" w:cs="Arial"/>
                <w:sz w:val="20"/>
                <w:szCs w:val="20"/>
              </w:rPr>
              <w:t>2</w:t>
            </w:r>
          </w:p>
        </w:tc>
        <w:tc>
          <w:tcPr>
            <w:tcW w:w="50" w:type="pct"/>
            <w:shd w:val="clear" w:color="auto" w:fill="FFFFFF"/>
            <w:vAlign w:val="bottom"/>
            <w:hideMark/>
          </w:tcPr>
          <w:p w14:paraId="78BCD70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F91E23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AA02B1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14:paraId="0DA162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3535A7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C27C5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329122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119,993,349</w:t>
            </w:r>
          </w:p>
        </w:tc>
        <w:tc>
          <w:tcPr>
            <w:tcW w:w="50" w:type="pct"/>
            <w:shd w:val="clear" w:color="auto" w:fill="FFFFFF"/>
            <w:vAlign w:val="bottom"/>
            <w:hideMark/>
          </w:tcPr>
          <w:p w14:paraId="69A9B5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88B96C7" w14:textId="77777777">
        <w:trPr>
          <w:tblCellSpacing w:w="0" w:type="dxa"/>
        </w:trPr>
        <w:tc>
          <w:tcPr>
            <w:tcW w:w="0" w:type="auto"/>
            <w:shd w:val="clear" w:color="auto" w:fill="CCEEFF"/>
            <w:vAlign w:val="bottom"/>
            <w:hideMark/>
          </w:tcPr>
          <w:p w14:paraId="59770324"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3/03/2</w:t>
            </w:r>
            <w:r>
              <w:rPr>
                <w:rFonts w:ascii="Arial" w:hAnsi="Arial" w:cs="Arial"/>
                <w:sz w:val="20"/>
                <w:szCs w:val="20"/>
              </w:rPr>
              <w:t>2</w:t>
            </w:r>
          </w:p>
        </w:tc>
        <w:tc>
          <w:tcPr>
            <w:tcW w:w="50" w:type="pct"/>
            <w:shd w:val="clear" w:color="auto" w:fill="CCEEFF"/>
            <w:vAlign w:val="bottom"/>
            <w:hideMark/>
          </w:tcPr>
          <w:p w14:paraId="45C05AD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F6AA18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8C2CE2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127,000,000</w:t>
            </w:r>
          </w:p>
        </w:tc>
        <w:tc>
          <w:tcPr>
            <w:tcW w:w="50" w:type="pct"/>
            <w:shd w:val="clear" w:color="auto" w:fill="CCEEFF"/>
            <w:vAlign w:val="bottom"/>
            <w:hideMark/>
          </w:tcPr>
          <w:p w14:paraId="246C2EA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4666C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8E1BD4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727369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126,990,114</w:t>
            </w:r>
          </w:p>
        </w:tc>
        <w:tc>
          <w:tcPr>
            <w:tcW w:w="50" w:type="pct"/>
            <w:shd w:val="clear" w:color="auto" w:fill="CCEEFF"/>
            <w:vAlign w:val="bottom"/>
            <w:hideMark/>
          </w:tcPr>
          <w:p w14:paraId="66662AF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1D5E24A" w14:textId="77777777">
        <w:trPr>
          <w:tblCellSpacing w:w="0" w:type="dxa"/>
        </w:trPr>
        <w:tc>
          <w:tcPr>
            <w:tcW w:w="0" w:type="auto"/>
            <w:shd w:val="clear" w:color="auto" w:fill="FFFFFF"/>
            <w:vAlign w:val="bottom"/>
            <w:hideMark/>
          </w:tcPr>
          <w:p w14:paraId="1E2447F5"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3/08/2</w:t>
            </w:r>
            <w:r>
              <w:rPr>
                <w:rFonts w:ascii="Arial" w:hAnsi="Arial" w:cs="Arial"/>
                <w:sz w:val="20"/>
                <w:szCs w:val="20"/>
              </w:rPr>
              <w:t>2</w:t>
            </w:r>
          </w:p>
        </w:tc>
        <w:tc>
          <w:tcPr>
            <w:tcW w:w="50" w:type="pct"/>
            <w:shd w:val="clear" w:color="auto" w:fill="FFFFFF"/>
            <w:vAlign w:val="bottom"/>
            <w:hideMark/>
          </w:tcPr>
          <w:p w14:paraId="70E938A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E2E3BE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EBDB8D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66,000,000</w:t>
            </w:r>
          </w:p>
        </w:tc>
        <w:tc>
          <w:tcPr>
            <w:tcW w:w="50" w:type="pct"/>
            <w:shd w:val="clear" w:color="auto" w:fill="FFFFFF"/>
            <w:vAlign w:val="bottom"/>
            <w:hideMark/>
          </w:tcPr>
          <w:p w14:paraId="1F69878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E80CA9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DE9C5F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C5BB7B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65,994,133</w:t>
            </w:r>
          </w:p>
        </w:tc>
        <w:tc>
          <w:tcPr>
            <w:tcW w:w="50" w:type="pct"/>
            <w:shd w:val="clear" w:color="auto" w:fill="FFFFFF"/>
            <w:vAlign w:val="bottom"/>
            <w:hideMark/>
          </w:tcPr>
          <w:p w14:paraId="55A4E44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30517F7" w14:textId="77777777">
        <w:trPr>
          <w:tblCellSpacing w:w="0" w:type="dxa"/>
        </w:trPr>
        <w:tc>
          <w:tcPr>
            <w:tcW w:w="0" w:type="auto"/>
            <w:shd w:val="clear" w:color="auto" w:fill="CCEEFF"/>
            <w:vAlign w:val="bottom"/>
            <w:hideMark/>
          </w:tcPr>
          <w:p w14:paraId="755705B3"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3/10/2</w:t>
            </w:r>
            <w:r>
              <w:rPr>
                <w:rFonts w:ascii="Arial" w:hAnsi="Arial" w:cs="Arial"/>
                <w:sz w:val="20"/>
                <w:szCs w:val="20"/>
              </w:rPr>
              <w:t>2</w:t>
            </w:r>
          </w:p>
        </w:tc>
        <w:tc>
          <w:tcPr>
            <w:tcW w:w="50" w:type="pct"/>
            <w:shd w:val="clear" w:color="auto" w:fill="CCEEFF"/>
            <w:vAlign w:val="bottom"/>
            <w:hideMark/>
          </w:tcPr>
          <w:p w14:paraId="2682958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AAFD68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6C5DB8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14:paraId="2F828B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1D4B7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4E5C51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DC7C70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34,997,273</w:t>
            </w:r>
          </w:p>
        </w:tc>
        <w:tc>
          <w:tcPr>
            <w:tcW w:w="50" w:type="pct"/>
            <w:shd w:val="clear" w:color="auto" w:fill="CCEEFF"/>
            <w:vAlign w:val="bottom"/>
            <w:hideMark/>
          </w:tcPr>
          <w:p w14:paraId="742BE53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7740864" w14:textId="77777777">
        <w:trPr>
          <w:tblCellSpacing w:w="0" w:type="dxa"/>
        </w:trPr>
        <w:tc>
          <w:tcPr>
            <w:tcW w:w="0" w:type="auto"/>
            <w:shd w:val="clear" w:color="auto" w:fill="FFFFFF"/>
            <w:vAlign w:val="bottom"/>
            <w:hideMark/>
          </w:tcPr>
          <w:p w14:paraId="0575465C"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3/15/2</w:t>
            </w:r>
            <w:r>
              <w:rPr>
                <w:rFonts w:ascii="Arial" w:hAnsi="Arial" w:cs="Arial"/>
                <w:sz w:val="20"/>
                <w:szCs w:val="20"/>
              </w:rPr>
              <w:t>2</w:t>
            </w:r>
          </w:p>
        </w:tc>
        <w:tc>
          <w:tcPr>
            <w:tcW w:w="50" w:type="pct"/>
            <w:shd w:val="clear" w:color="auto" w:fill="FFFFFF"/>
            <w:vAlign w:val="bottom"/>
            <w:hideMark/>
          </w:tcPr>
          <w:p w14:paraId="7F18F2E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B2BDD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CD90BD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58,000,000</w:t>
            </w:r>
          </w:p>
        </w:tc>
        <w:tc>
          <w:tcPr>
            <w:tcW w:w="50" w:type="pct"/>
            <w:shd w:val="clear" w:color="auto" w:fill="FFFFFF"/>
            <w:vAlign w:val="bottom"/>
            <w:hideMark/>
          </w:tcPr>
          <w:p w14:paraId="0DA7E7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D71ECB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93050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13450E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57,995,081</w:t>
            </w:r>
          </w:p>
        </w:tc>
        <w:tc>
          <w:tcPr>
            <w:tcW w:w="50" w:type="pct"/>
            <w:shd w:val="clear" w:color="auto" w:fill="FFFFFF"/>
            <w:vAlign w:val="bottom"/>
            <w:hideMark/>
          </w:tcPr>
          <w:p w14:paraId="6F0FAD3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DFF2AB0" w14:textId="77777777">
        <w:trPr>
          <w:tblCellSpacing w:w="0" w:type="dxa"/>
        </w:trPr>
        <w:tc>
          <w:tcPr>
            <w:tcW w:w="0" w:type="auto"/>
            <w:shd w:val="clear" w:color="auto" w:fill="CCEEFF"/>
            <w:vAlign w:val="bottom"/>
            <w:hideMark/>
          </w:tcPr>
          <w:p w14:paraId="4972CB34"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3/17/2</w:t>
            </w:r>
            <w:r>
              <w:rPr>
                <w:rFonts w:ascii="Arial" w:hAnsi="Arial" w:cs="Arial"/>
                <w:sz w:val="20"/>
                <w:szCs w:val="20"/>
              </w:rPr>
              <w:t>2</w:t>
            </w:r>
          </w:p>
        </w:tc>
        <w:tc>
          <w:tcPr>
            <w:tcW w:w="50" w:type="pct"/>
            <w:shd w:val="clear" w:color="auto" w:fill="CCEEFF"/>
            <w:vAlign w:val="bottom"/>
            <w:hideMark/>
          </w:tcPr>
          <w:p w14:paraId="53EA72C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44294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94C0DB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14:paraId="25B73F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1F9108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FC255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630948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34,996,079</w:t>
            </w:r>
          </w:p>
        </w:tc>
        <w:tc>
          <w:tcPr>
            <w:tcW w:w="50" w:type="pct"/>
            <w:shd w:val="clear" w:color="auto" w:fill="CCEEFF"/>
            <w:vAlign w:val="bottom"/>
            <w:hideMark/>
          </w:tcPr>
          <w:p w14:paraId="50BFED4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15B55EF" w14:textId="77777777">
        <w:trPr>
          <w:tblCellSpacing w:w="0" w:type="dxa"/>
        </w:trPr>
        <w:tc>
          <w:tcPr>
            <w:tcW w:w="0" w:type="auto"/>
            <w:shd w:val="clear" w:color="auto" w:fill="FFFFFF"/>
            <w:vAlign w:val="bottom"/>
            <w:hideMark/>
          </w:tcPr>
          <w:p w14:paraId="711596F9"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3/24/2</w:t>
            </w:r>
            <w:r>
              <w:rPr>
                <w:rFonts w:ascii="Arial" w:hAnsi="Arial" w:cs="Arial"/>
                <w:sz w:val="20"/>
                <w:szCs w:val="20"/>
              </w:rPr>
              <w:t>2</w:t>
            </w:r>
          </w:p>
        </w:tc>
        <w:tc>
          <w:tcPr>
            <w:tcW w:w="50" w:type="pct"/>
            <w:shd w:val="clear" w:color="auto" w:fill="FFFFFF"/>
            <w:tcMar>
              <w:top w:w="0" w:type="dxa"/>
              <w:left w:w="0" w:type="dxa"/>
              <w:bottom w:w="15" w:type="dxa"/>
              <w:right w:w="0" w:type="dxa"/>
            </w:tcMar>
            <w:vAlign w:val="bottom"/>
            <w:hideMark/>
          </w:tcPr>
          <w:p w14:paraId="644DC42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6B8D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7168BB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tcMar>
              <w:top w:w="0" w:type="dxa"/>
              <w:left w:w="0" w:type="dxa"/>
              <w:bottom w:w="15" w:type="dxa"/>
              <w:right w:w="0" w:type="dxa"/>
            </w:tcMar>
            <w:vAlign w:val="bottom"/>
            <w:hideMark/>
          </w:tcPr>
          <w:p w14:paraId="76FBDA6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36F68E3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BBAA3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322FB40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59,992,534</w:t>
            </w:r>
          </w:p>
        </w:tc>
        <w:tc>
          <w:tcPr>
            <w:tcW w:w="50" w:type="pct"/>
            <w:shd w:val="clear" w:color="auto" w:fill="FFFFFF"/>
            <w:tcMar>
              <w:top w:w="0" w:type="dxa"/>
              <w:left w:w="0" w:type="dxa"/>
              <w:bottom w:w="15" w:type="dxa"/>
              <w:right w:w="0" w:type="dxa"/>
            </w:tcMar>
            <w:vAlign w:val="bottom"/>
            <w:hideMark/>
          </w:tcPr>
          <w:p w14:paraId="6B1A773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560FA36" w14:textId="77777777">
        <w:trPr>
          <w:tblCellSpacing w:w="0" w:type="dxa"/>
        </w:trPr>
        <w:tc>
          <w:tcPr>
            <w:tcW w:w="0" w:type="auto"/>
            <w:shd w:val="clear" w:color="auto" w:fill="CCEEFF"/>
            <w:vAlign w:val="bottom"/>
            <w:hideMark/>
          </w:tcPr>
          <w:p w14:paraId="57FCA86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1,498,362,21</w:t>
            </w:r>
            <w:r>
              <w:rPr>
                <w:rFonts w:ascii="Arial" w:hAnsi="Arial" w:cs="Arial"/>
                <w:sz w:val="20"/>
                <w:szCs w:val="20"/>
              </w:rPr>
              <w:t>1</w:t>
            </w:r>
            <w:r>
              <w:rPr>
                <w:rFonts w:ascii="Arial" w:hAnsi="Arial" w:cs="Arial"/>
                <w:sz w:val="20"/>
                <w:szCs w:val="20"/>
              </w:rPr>
              <w:t>)</w:t>
            </w:r>
          </w:p>
        </w:tc>
        <w:tc>
          <w:tcPr>
            <w:tcW w:w="0" w:type="auto"/>
            <w:shd w:val="clear" w:color="auto" w:fill="CCEEFF"/>
            <w:vAlign w:val="bottom"/>
            <w:hideMark/>
          </w:tcPr>
          <w:p w14:paraId="12D698D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DB26D3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1157DAC"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4083186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4B4C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3CF4A1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2593AFB"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tcMar>
              <w:top w:w="0" w:type="dxa"/>
              <w:left w:w="0" w:type="dxa"/>
              <w:bottom w:w="15" w:type="dxa"/>
              <w:right w:w="0" w:type="dxa"/>
            </w:tcMar>
            <w:vAlign w:val="bottom"/>
            <w:hideMark/>
          </w:tcPr>
          <w:p w14:paraId="543878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F5C1B1A" w14:textId="77777777">
        <w:trPr>
          <w:tblCellSpacing w:w="0" w:type="dxa"/>
        </w:trPr>
        <w:tc>
          <w:tcPr>
            <w:tcW w:w="0" w:type="auto"/>
            <w:shd w:val="clear" w:color="auto" w:fill="FFFFFF"/>
            <w:vAlign w:val="bottom"/>
            <w:hideMark/>
          </w:tcPr>
          <w:p w14:paraId="446BAB6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9B7AB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4BE9D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FB9E3C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964E6D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EF8CF3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A32A6F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43CCCE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B8D1B4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CEC2CF9" w14:textId="77777777">
        <w:trPr>
          <w:tblCellSpacing w:w="0" w:type="dxa"/>
        </w:trPr>
        <w:tc>
          <w:tcPr>
            <w:tcW w:w="0" w:type="auto"/>
            <w:shd w:val="clear" w:color="auto" w:fill="CCEEFF"/>
            <w:vAlign w:val="bottom"/>
            <w:hideMark/>
          </w:tcPr>
          <w:p w14:paraId="3B88AA2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104.65</w:t>
            </w:r>
            <w:r>
              <w:rPr>
                <w:rFonts w:ascii="Arial" w:hAnsi="Arial" w:cs="Arial"/>
                <w:sz w:val="20"/>
                <w:szCs w:val="20"/>
              </w:rPr>
              <w:t>%</w:t>
            </w:r>
          </w:p>
        </w:tc>
        <w:tc>
          <w:tcPr>
            <w:tcW w:w="0" w:type="auto"/>
            <w:shd w:val="clear" w:color="auto" w:fill="CCEEFF"/>
            <w:vAlign w:val="bottom"/>
            <w:hideMark/>
          </w:tcPr>
          <w:p w14:paraId="04F4A82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8E3E8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A570059"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14:paraId="16B51CC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D1D5B2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3EB9B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36867F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14:paraId="176872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D26BAFC" w14:textId="77777777">
        <w:trPr>
          <w:tblCellSpacing w:w="0" w:type="dxa"/>
        </w:trPr>
        <w:tc>
          <w:tcPr>
            <w:tcW w:w="0" w:type="auto"/>
            <w:shd w:val="clear" w:color="auto" w:fill="FFFFFF"/>
            <w:vAlign w:val="bottom"/>
            <w:hideMark/>
          </w:tcPr>
          <w:p w14:paraId="2B86148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(4.65)</w:t>
            </w:r>
            <w:r>
              <w:rPr>
                <w:rFonts w:ascii="Arial" w:hAnsi="Arial" w:cs="Arial"/>
                <w:sz w:val="20"/>
                <w:szCs w:val="20"/>
              </w:rPr>
              <w:t>%</w:t>
            </w:r>
          </w:p>
        </w:tc>
        <w:tc>
          <w:tcPr>
            <w:tcW w:w="0" w:type="auto"/>
            <w:shd w:val="clear" w:color="auto" w:fill="FFFFFF"/>
            <w:tcMar>
              <w:top w:w="0" w:type="dxa"/>
              <w:left w:w="0" w:type="dxa"/>
              <w:bottom w:w="15" w:type="dxa"/>
              <w:right w:w="0" w:type="dxa"/>
            </w:tcMar>
            <w:vAlign w:val="bottom"/>
            <w:hideMark/>
          </w:tcPr>
          <w:p w14:paraId="51CEC1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3F2B27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0B51B08"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0EDAC44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79A9488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E50A1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63FAED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(66,574,428</w:t>
            </w:r>
          </w:p>
        </w:tc>
        <w:tc>
          <w:tcPr>
            <w:tcW w:w="50" w:type="pct"/>
            <w:shd w:val="clear" w:color="auto" w:fill="FFFFFF"/>
            <w:tcMar>
              <w:top w:w="0" w:type="dxa"/>
              <w:left w:w="0" w:type="dxa"/>
              <w:bottom w:w="15" w:type="dxa"/>
              <w:right w:w="0" w:type="dxa"/>
            </w:tcMar>
            <w:vAlign w:val="bottom"/>
            <w:hideMark/>
          </w:tcPr>
          <w:p w14:paraId="74243C35"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70349876" w14:textId="77777777">
        <w:trPr>
          <w:tblCellSpacing w:w="0" w:type="dxa"/>
        </w:trPr>
        <w:tc>
          <w:tcPr>
            <w:tcW w:w="0" w:type="auto"/>
            <w:shd w:val="clear" w:color="auto" w:fill="CCEEFF"/>
            <w:vAlign w:val="bottom"/>
            <w:hideMark/>
          </w:tcPr>
          <w:p w14:paraId="41E0279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0" w:type="auto"/>
            <w:shd w:val="clear" w:color="auto" w:fill="CCEEFF"/>
            <w:vAlign w:val="bottom"/>
            <w:hideMark/>
          </w:tcPr>
          <w:p w14:paraId="4F5BC81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F17D3F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2BEB73"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45" w:type="dxa"/>
              <w:right w:w="0" w:type="dxa"/>
            </w:tcMar>
            <w:vAlign w:val="bottom"/>
            <w:hideMark/>
          </w:tcPr>
          <w:p w14:paraId="4FF455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B7359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433908D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14:paraId="7E155D9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45" w:type="dxa"/>
              <w:right w:w="0" w:type="dxa"/>
            </w:tcMar>
            <w:vAlign w:val="bottom"/>
            <w:hideMark/>
          </w:tcPr>
          <w:p w14:paraId="14B49E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2CC9DB02" w14:textId="77777777" w:rsidR="00000000" w:rsidRDefault="004206B0">
      <w:pPr>
        <w:pStyle w:val="a3"/>
        <w:spacing w:before="0" w:beforeAutospacing="0" w:after="0" w:afterAutospacing="0"/>
        <w:rPr>
          <w:sz w:val="20"/>
          <w:szCs w:val="20"/>
        </w:rPr>
      </w:pPr>
      <w:r>
        <w:rPr>
          <w:sz w:val="20"/>
          <w:szCs w:val="20"/>
        </w:rPr>
        <w:t> </w:t>
      </w:r>
    </w:p>
    <w:p w14:paraId="56E3A42E" w14:textId="77777777" w:rsidR="00000000" w:rsidRDefault="004206B0">
      <w:pPr>
        <w:spacing w:before="60" w:after="60"/>
        <w:rPr>
          <w:rFonts w:eastAsia="Times New Roman"/>
          <w:sz w:val="20"/>
          <w:szCs w:val="20"/>
        </w:rPr>
      </w:pPr>
      <w:r>
        <w:rPr>
          <w:rFonts w:eastAsia="Times New Roman"/>
          <w:sz w:val="20"/>
          <w:szCs w:val="20"/>
        </w:rPr>
        <w:pict w14:anchorId="205BA614">
          <v:rect id="_x0000_i1088"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14:paraId="63D36077" w14:textId="77777777">
        <w:trPr>
          <w:tblCellSpacing w:w="0" w:type="dxa"/>
        </w:trPr>
        <w:tc>
          <w:tcPr>
            <w:tcW w:w="360" w:type="dxa"/>
            <w:hideMark/>
          </w:tcPr>
          <w:p w14:paraId="761E6B59"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6" w:type="dxa"/>
            <w:hideMark/>
          </w:tcPr>
          <w:p w14:paraId="08093217"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A portion of the above U.S. Treasury bills are posted as margin for the Trust’s Index Futures positions as desc</w:t>
            </w:r>
            <w:r>
              <w:rPr>
                <w:rFonts w:ascii="Arial" w:hAnsi="Arial" w:cs="Arial"/>
                <w:sz w:val="16"/>
                <w:szCs w:val="16"/>
              </w:rPr>
              <w:t xml:space="preserve">ribed in Note </w:t>
            </w:r>
            <w:r>
              <w:rPr>
                <w:rStyle w:val="a6"/>
                <w:rFonts w:ascii="Arial" w:hAnsi="Arial" w:cs="Arial"/>
                <w:sz w:val="16"/>
                <w:szCs w:val="16"/>
              </w:rPr>
              <w:t>2D.</w:t>
            </w:r>
          </w:p>
        </w:tc>
      </w:tr>
    </w:tbl>
    <w:p w14:paraId="3F289357" w14:textId="77777777" w:rsidR="00000000" w:rsidRDefault="004206B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14:paraId="4191F282" w14:textId="77777777">
        <w:trPr>
          <w:tblCellSpacing w:w="0" w:type="dxa"/>
        </w:trPr>
        <w:tc>
          <w:tcPr>
            <w:tcW w:w="360" w:type="dxa"/>
            <w:hideMark/>
          </w:tcPr>
          <w:p w14:paraId="12A94FD8"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(b) </w:t>
            </w:r>
          </w:p>
        </w:tc>
        <w:tc>
          <w:tcPr>
            <w:tcW w:w="6" w:type="dxa"/>
            <w:hideMark/>
          </w:tcPr>
          <w:p w14:paraId="0468BFC7"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17114E6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DFA865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2021, </w:t>
      </w:r>
      <w:r>
        <w:rPr>
          <w:rFonts w:ascii="Arial" w:hAnsi="Arial" w:cs="Arial"/>
          <w:sz w:val="20"/>
          <w:szCs w:val="20"/>
        </w:rPr>
        <w:t>the open S&amp;P GSCI-ER futures contracts were as follows:</w:t>
      </w:r>
    </w:p>
    <w:p w14:paraId="5F0069CE" w14:textId="77777777" w:rsidR="00000000" w:rsidRDefault="004206B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6"/>
        <w:gridCol w:w="82"/>
        <w:gridCol w:w="1861"/>
        <w:gridCol w:w="82"/>
        <w:gridCol w:w="112"/>
        <w:gridCol w:w="1946"/>
        <w:gridCol w:w="82"/>
        <w:gridCol w:w="82"/>
        <w:gridCol w:w="83"/>
        <w:gridCol w:w="1947"/>
        <w:gridCol w:w="83"/>
      </w:tblGrid>
      <w:tr w:rsidR="00000000" w14:paraId="66FB3631" w14:textId="77777777">
        <w:trPr>
          <w:tblCellSpacing w:w="0" w:type="dxa"/>
        </w:trPr>
        <w:tc>
          <w:tcPr>
            <w:tcW w:w="0" w:type="auto"/>
            <w:tcBorders>
              <w:bottom w:val="single" w:sz="6" w:space="0" w:color="000000"/>
            </w:tcBorders>
            <w:vAlign w:val="bottom"/>
            <w:hideMark/>
          </w:tcPr>
          <w:p w14:paraId="2DE7F88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Number of Contracts</w:t>
            </w:r>
          </w:p>
        </w:tc>
        <w:tc>
          <w:tcPr>
            <w:tcW w:w="0" w:type="auto"/>
            <w:vAlign w:val="bottom"/>
            <w:hideMark/>
          </w:tcPr>
          <w:p w14:paraId="3735193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100" w:type="pct"/>
            <w:tcBorders>
              <w:bottom w:val="single" w:sz="6" w:space="0" w:color="000000"/>
            </w:tcBorders>
            <w:vAlign w:val="bottom"/>
            <w:hideMark/>
          </w:tcPr>
          <w:p w14:paraId="0B15679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Expiration Date</w:t>
            </w:r>
          </w:p>
        </w:tc>
        <w:tc>
          <w:tcPr>
            <w:tcW w:w="0" w:type="auto"/>
            <w:tcMar>
              <w:top w:w="0" w:type="dxa"/>
              <w:left w:w="0" w:type="dxa"/>
              <w:bottom w:w="15" w:type="dxa"/>
              <w:right w:w="0" w:type="dxa"/>
            </w:tcMar>
            <w:vAlign w:val="bottom"/>
            <w:hideMark/>
          </w:tcPr>
          <w:p w14:paraId="4F32E09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DDE120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Current Notional Amount</w:t>
            </w:r>
          </w:p>
        </w:tc>
        <w:tc>
          <w:tcPr>
            <w:tcW w:w="0" w:type="auto"/>
            <w:tcMar>
              <w:top w:w="0" w:type="dxa"/>
              <w:left w:w="0" w:type="dxa"/>
              <w:bottom w:w="15" w:type="dxa"/>
              <w:right w:w="0" w:type="dxa"/>
            </w:tcMar>
            <w:vAlign w:val="bottom"/>
            <w:hideMark/>
          </w:tcPr>
          <w:p w14:paraId="7B66CAA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3179F5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EC99225"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14:paraId="05F861B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14:paraId="24C9A6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DACCC71" w14:textId="77777777">
        <w:trPr>
          <w:tblCellSpacing w:w="0" w:type="dxa"/>
        </w:trPr>
        <w:tc>
          <w:tcPr>
            <w:tcW w:w="1150" w:type="pct"/>
            <w:shd w:val="clear" w:color="auto" w:fill="CCEEFF"/>
            <w:vAlign w:val="bottom"/>
            <w:hideMark/>
          </w:tcPr>
          <w:p w14:paraId="4E5AF34E"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56,436</w:t>
            </w:r>
          </w:p>
        </w:tc>
        <w:tc>
          <w:tcPr>
            <w:tcW w:w="50" w:type="pct"/>
            <w:shd w:val="clear" w:color="auto" w:fill="CCEEFF"/>
            <w:vAlign w:val="bottom"/>
            <w:hideMark/>
          </w:tcPr>
          <w:p w14:paraId="1234DAB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B68C99" w14:textId="77777777" w:rsidR="00000000" w:rsidRDefault="004206B0">
            <w:pPr>
              <w:jc w:val="center"/>
              <w:rPr>
                <w:rFonts w:ascii="Arial" w:eastAsia="Times New Roman" w:hAnsi="Arial" w:cs="Arial"/>
                <w:sz w:val="20"/>
                <w:szCs w:val="20"/>
              </w:rPr>
            </w:pPr>
            <w:r>
              <w:rPr>
                <w:rFonts w:ascii="Arial" w:eastAsia="Times New Roman" w:hAnsi="Arial" w:cs="Arial"/>
                <w:sz w:val="20"/>
                <w:szCs w:val="20"/>
              </w:rPr>
              <w:t>March 15, 2022</w:t>
            </w:r>
          </w:p>
        </w:tc>
        <w:tc>
          <w:tcPr>
            <w:tcW w:w="50" w:type="pct"/>
            <w:shd w:val="clear" w:color="auto" w:fill="CCEEFF"/>
            <w:vAlign w:val="bottom"/>
            <w:hideMark/>
          </w:tcPr>
          <w:p w14:paraId="463C8A5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B93433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7B87074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1,430,714,680</w:t>
            </w:r>
          </w:p>
        </w:tc>
        <w:tc>
          <w:tcPr>
            <w:tcW w:w="50" w:type="pct"/>
            <w:shd w:val="clear" w:color="auto" w:fill="CCEEFF"/>
            <w:vAlign w:val="bottom"/>
            <w:hideMark/>
          </w:tcPr>
          <w:p w14:paraId="062FD8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49C59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1BE2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14:paraId="21C1B3F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CCEEFF"/>
            <w:vAlign w:val="bottom"/>
            <w:hideMark/>
          </w:tcPr>
          <w:p w14:paraId="1F20F03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792BF00D" w14:textId="77777777" w:rsidR="00000000" w:rsidRDefault="004206B0">
      <w:pPr>
        <w:pStyle w:val="a3"/>
        <w:spacing w:before="0" w:beforeAutospacing="0" w:after="0" w:afterAutospacing="0"/>
        <w:rPr>
          <w:sz w:val="20"/>
          <w:szCs w:val="20"/>
        </w:rPr>
      </w:pPr>
      <w:r>
        <w:rPr>
          <w:sz w:val="20"/>
          <w:szCs w:val="20"/>
        </w:rPr>
        <w:t> </w:t>
      </w:r>
    </w:p>
    <w:p w14:paraId="25A51D3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A5F39AC"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4234622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EA5ACB5" w14:textId="77777777" w:rsidR="00000000" w:rsidRDefault="004206B0">
      <w:pPr>
        <w:jc w:val="center"/>
        <w:divId w:val="1706639057"/>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8</w:t>
      </w:r>
      <w:r>
        <w:rPr>
          <w:rFonts w:ascii="Arial" w:eastAsia="Times New Roman" w:hAnsi="Arial" w:cs="Arial"/>
          <w:sz w:val="20"/>
          <w:szCs w:val="20"/>
        </w:rPr>
        <w:t xml:space="preserve"> </w:t>
      </w:r>
    </w:p>
    <w:p w14:paraId="64DF8D58" w14:textId="77777777" w:rsidR="00000000" w:rsidRDefault="004206B0">
      <w:pPr>
        <w:rPr>
          <w:rFonts w:eastAsia="Times New Roman"/>
          <w:sz w:val="20"/>
          <w:szCs w:val="20"/>
        </w:rPr>
      </w:pPr>
      <w:r>
        <w:rPr>
          <w:rFonts w:eastAsia="Times New Roman"/>
          <w:sz w:val="20"/>
          <w:szCs w:val="20"/>
        </w:rPr>
        <w:pict w14:anchorId="76FF0C6D">
          <v:rect id="_x0000_i1089" style="width:415.3pt;height:1.5pt" o:hralign="center" o:hrstd="t" o:hrnoshade="t" o:hr="t" fillcolor="black" stroked="f"/>
        </w:pict>
      </w:r>
    </w:p>
    <w:p w14:paraId="6F3E50E4" w14:textId="77777777" w:rsidR="00000000" w:rsidRDefault="004206B0">
      <w:pPr>
        <w:divId w:val="1777942418"/>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44B2388F" w14:textId="77777777" w:rsidR="00000000" w:rsidRDefault="004206B0">
      <w:pPr>
        <w:rPr>
          <w:rFonts w:eastAsia="Times New Roman"/>
          <w:sz w:val="20"/>
          <w:szCs w:val="20"/>
        </w:rPr>
      </w:pPr>
      <w:r>
        <w:rPr>
          <w:rFonts w:eastAsia="Times New Roman"/>
          <w:sz w:val="20"/>
          <w:szCs w:val="20"/>
        </w:rPr>
        <w:t xml:space="preserve">  </w:t>
      </w:r>
    </w:p>
    <w:p w14:paraId="0430980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 xml:space="preserve">™ </w:t>
      </w:r>
      <w:r>
        <w:rPr>
          <w:rFonts w:ascii="Arial" w:hAnsi="Arial" w:cs="Arial"/>
          <w:b/>
          <w:bCs/>
          <w:sz w:val="20"/>
          <w:szCs w:val="20"/>
        </w:rPr>
        <w:t xml:space="preserve">Commodity-Indexed Trust </w:t>
      </w:r>
    </w:p>
    <w:p w14:paraId="5743E781"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Notes to Financial Statements</w:t>
      </w:r>
    </w:p>
    <w:p w14:paraId="63151FD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December 31, 2022</w:t>
      </w:r>
    </w:p>
    <w:p w14:paraId="3C73957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9398A3D" w14:textId="77777777" w:rsidR="00000000" w:rsidRDefault="004206B0">
      <w:pPr>
        <w:divId w:val="1781686550"/>
        <w:rPr>
          <w:rFonts w:eastAsia="Times New Roman"/>
          <w:sz w:val="20"/>
          <w:szCs w:val="20"/>
        </w:rPr>
      </w:pPr>
      <w:r>
        <w:rPr>
          <w:rFonts w:eastAsia="Times New Roman"/>
          <w:sz w:val="20"/>
          <w:szCs w:val="20"/>
        </w:rPr>
        <w:t xml:space="preserve">  </w:t>
      </w:r>
    </w:p>
    <w:p w14:paraId="6F790CBD"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 Organization</w:t>
      </w:r>
    </w:p>
    <w:p w14:paraId="11EAB2E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3DE5F0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w:t>
      </w:r>
      <w:r>
        <w:rPr>
          <w:rFonts w:ascii="Arial" w:hAnsi="Arial" w:cs="Arial"/>
          <w:sz w:val="20"/>
          <w:szCs w:val="20"/>
        </w:rPr>
        <w:t xml:space="preserve">Commodity-Indexed Trust (the “Trust”)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 xml:space="preserve">and commenced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limited liability compa</w:t>
      </w:r>
      <w:r>
        <w:rPr>
          <w:rFonts w:ascii="Arial" w:hAnsi="Arial" w:cs="Arial"/>
          <w:sz w:val="20"/>
          <w:szCs w:val="20"/>
        </w:rPr>
        <w:t>ny, is the sponsor of the Trust (the “Sponsor”). The sole member and manager of the Sponsor is BlackRock Asset Management International Inc., a Delaware corporation.</w:t>
      </w:r>
    </w:p>
    <w:p w14:paraId="34F1375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4E5A2C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BlackRock Institutional Trust Company, N.A. is the trustee of the Trust (the “Trustee”).</w:t>
      </w:r>
      <w:r>
        <w:rPr>
          <w:rFonts w:ascii="Arial" w:hAnsi="Arial" w:cs="Arial"/>
          <w:sz w:val="20"/>
          <w:szCs w:val="20"/>
        </w:rPr>
        <w:t xml:space="preserve"> The Trust is governed by the Third Amended and Restated Trust Agreement, dated as of </w:t>
      </w:r>
      <w:r>
        <w:rPr>
          <w:rStyle w:val="a6"/>
          <w:rFonts w:ascii="Arial" w:hAnsi="Arial" w:cs="Arial"/>
          <w:sz w:val="20"/>
          <w:szCs w:val="20"/>
        </w:rPr>
        <w:t>December 31, 2013 (</w:t>
      </w:r>
      <w:r>
        <w:rPr>
          <w:rFonts w:ascii="Arial" w:hAnsi="Arial" w:cs="Arial"/>
          <w:sz w:val="20"/>
          <w:szCs w:val="20"/>
        </w:rPr>
        <w:t>the “Trust Agreement”), among the Sponsor, the Trustee and Wilmington Trust Company (the “Delaware Trustee”). The Trust issues units of beneficial inte</w:t>
      </w:r>
      <w:r>
        <w:rPr>
          <w:rFonts w:ascii="Arial" w:hAnsi="Arial" w:cs="Arial"/>
          <w:sz w:val="20"/>
          <w:szCs w:val="20"/>
        </w:rPr>
        <w:t>rest (“Shares”) representing fractional undivided beneficial interests in its net assets.</w:t>
      </w:r>
    </w:p>
    <w:p w14:paraId="18A1BA4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F7317E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Return Index (“S&amp;P GSCI</w:t>
      </w:r>
      <w:r>
        <w:rPr>
          <w:rFonts w:ascii="Arial" w:hAnsi="Arial" w:cs="Arial"/>
          <w:sz w:val="20"/>
          <w:szCs w:val="20"/>
        </w:rPr>
        <w:noBreakHyphen/>
        <w:t>E</w:t>
      </w:r>
      <w:r>
        <w:rPr>
          <w:rFonts w:ascii="Arial" w:hAnsi="Arial" w:cs="Arial"/>
          <w:sz w:val="20"/>
          <w:szCs w:val="20"/>
        </w:rPr>
        <w:t>R”). In order to collateralize its Index Futures positions and to reflect the U.S. Treasury component of the S&amp;P GSCI™ Total Return Index (the “Index”), the Trust also holds “Collateral Assets,” which consist of cash, U.S. Treasury securities or other shor</w:t>
      </w:r>
      <w:r>
        <w:rPr>
          <w:rFonts w:ascii="Arial" w:hAnsi="Arial" w:cs="Arial"/>
          <w:sz w:val="20"/>
          <w:szCs w:val="20"/>
        </w:rPr>
        <w:t>t-term securities and similar securities that are eligible as margin deposits for those Index Futures positions. The Index Futures held by the Trust are listed on the Chicago Mercantile Exchange (the “CME”).</w:t>
      </w:r>
    </w:p>
    <w:p w14:paraId="4D69771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209F28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w:t>
      </w:r>
      <w:r>
        <w:rPr>
          <w:rFonts w:ascii="Arial" w:hAnsi="Arial" w:cs="Arial"/>
          <w:sz w:val="20"/>
          <w:szCs w:val="20"/>
        </w:rPr>
        <w:t>y collateralized investment in futures contracts on an index composed of a diversified group of commodity futures. The Trust seeks to track the investment returns of the Index before payment of the Trust’s expenses and liabilities.</w:t>
      </w:r>
    </w:p>
    <w:p w14:paraId="32AA5B6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C81F60E"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The Trust is a commodi</w:t>
      </w:r>
      <w:r>
        <w:rPr>
          <w:rFonts w:ascii="Arial" w:hAnsi="Arial" w:cs="Arial"/>
          <w:sz w:val="20"/>
          <w:szCs w:val="20"/>
        </w:rPr>
        <w:t>ty pool, as defined in the Commodity Exchange Act (the “CEA”) and the applicable regulations of the Commodity Futures Trading Commission (the “CFTC”), and is operated by the Sponsor, a commodity pool operator registered with the CFTC. The Sponsor is an ind</w:t>
      </w:r>
      <w:r>
        <w:rPr>
          <w:rFonts w:ascii="Arial" w:hAnsi="Arial" w:cs="Arial"/>
          <w:sz w:val="20"/>
          <w:szCs w:val="20"/>
        </w:rPr>
        <w:t>irect subsidiary of BlackRock, Inc. (“BlackRock”). BlackRock Fund Advisors (the “Advisor”), an indirect subsidiary of BlackRock, serves as the commodity trading advisor of the Trust and is registered with the CFTC.</w:t>
      </w:r>
    </w:p>
    <w:p w14:paraId="30C95D4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80CB06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w:t>
      </w:r>
      <w:r>
        <w:rPr>
          <w:rFonts w:ascii="Arial" w:hAnsi="Arial" w:cs="Arial"/>
          <w:sz w:val="20"/>
          <w:szCs w:val="20"/>
        </w:rPr>
        <w:t xml:space="preserve">mpany solely for accounting purposes and follows the accounting and reporting guidance under the Financial Accounting Standards Board (“FASB”) Accounting Standards Codification Topic </w:t>
      </w:r>
      <w:r>
        <w:rPr>
          <w:rStyle w:val="a6"/>
          <w:rFonts w:ascii="Arial" w:hAnsi="Arial" w:cs="Arial"/>
          <w:sz w:val="20"/>
          <w:szCs w:val="20"/>
        </w:rPr>
        <w:t>946,</w:t>
      </w:r>
      <w:r>
        <w:rPr>
          <w:rFonts w:ascii="Arial" w:hAnsi="Arial" w:cs="Arial"/>
          <w:sz w:val="20"/>
          <w:szCs w:val="20"/>
        </w:rPr>
        <w:t xml:space="preserve"> Financial Services – Investment Companies, but is </w:t>
      </w:r>
      <w:r>
        <w:rPr>
          <w:rStyle w:val="a6"/>
          <w:rFonts w:ascii="Arial" w:hAnsi="Arial" w:cs="Arial"/>
          <w:sz w:val="20"/>
          <w:szCs w:val="20"/>
        </w:rPr>
        <w:t>not</w:t>
      </w:r>
      <w:r>
        <w:rPr>
          <w:rFonts w:ascii="Arial" w:hAnsi="Arial" w:cs="Arial"/>
          <w:sz w:val="20"/>
          <w:szCs w:val="20"/>
        </w:rPr>
        <w:t xml:space="preserve"> registered, an</w:t>
      </w:r>
      <w:r>
        <w:rPr>
          <w:rFonts w:ascii="Arial" w:hAnsi="Arial" w:cs="Arial"/>
          <w:sz w:val="20"/>
          <w:szCs w:val="20"/>
        </w:rPr>
        <w:t xml:space="preserve">d is </w:t>
      </w:r>
      <w:r>
        <w:rPr>
          <w:rStyle w:val="a6"/>
          <w:rFonts w:ascii="Arial" w:hAnsi="Arial" w:cs="Arial"/>
          <w:sz w:val="20"/>
          <w:szCs w:val="20"/>
        </w:rPr>
        <w:t>not</w:t>
      </w:r>
      <w:r>
        <w:rPr>
          <w:rFonts w:ascii="Arial" w:hAnsi="Arial" w:cs="Arial"/>
          <w:sz w:val="20"/>
          <w:szCs w:val="20"/>
        </w:rPr>
        <w:t xml:space="preserve"> required to be registered, as an investment company under the Investment Company Act of </w:t>
      </w:r>
      <w:r>
        <w:rPr>
          <w:rStyle w:val="a6"/>
          <w:rFonts w:ascii="Arial" w:hAnsi="Arial" w:cs="Arial"/>
          <w:sz w:val="20"/>
          <w:szCs w:val="20"/>
        </w:rPr>
        <w:t>1940,</w:t>
      </w:r>
      <w:r>
        <w:rPr>
          <w:rFonts w:ascii="Arial" w:hAnsi="Arial" w:cs="Arial"/>
          <w:sz w:val="20"/>
          <w:szCs w:val="20"/>
        </w:rPr>
        <w:t xml:space="preserve"> as amended.</w:t>
      </w:r>
    </w:p>
    <w:p w14:paraId="59D94FE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0DBA9B1" w14:textId="77777777" w:rsidR="00000000" w:rsidRDefault="004206B0">
      <w:pPr>
        <w:divId w:val="984121135"/>
        <w:rPr>
          <w:rFonts w:eastAsia="Times New Roman"/>
          <w:sz w:val="20"/>
          <w:szCs w:val="20"/>
        </w:rPr>
      </w:pPr>
      <w:r>
        <w:rPr>
          <w:rFonts w:eastAsia="Times New Roman"/>
          <w:sz w:val="20"/>
          <w:szCs w:val="20"/>
        </w:rPr>
        <w:t xml:space="preserve">  </w:t>
      </w:r>
    </w:p>
    <w:p w14:paraId="06098B13"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 Significant Accounting Policies</w:t>
      </w:r>
    </w:p>
    <w:p w14:paraId="37290BF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14:paraId="1A88BBAD" w14:textId="77777777">
        <w:trPr>
          <w:tblCellSpacing w:w="0" w:type="dxa"/>
        </w:trPr>
        <w:tc>
          <w:tcPr>
            <w:tcW w:w="360" w:type="dxa"/>
            <w:hideMark/>
          </w:tcPr>
          <w:p w14:paraId="3CBD645F"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A. </w:t>
            </w:r>
          </w:p>
        </w:tc>
        <w:tc>
          <w:tcPr>
            <w:tcW w:w="6" w:type="dxa"/>
            <w:hideMark/>
          </w:tcPr>
          <w:p w14:paraId="48C07657"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14:paraId="0A94AE0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4E5BFC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w:t>
      </w:r>
    </w:p>
    <w:p w14:paraId="7CFBF33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8AE535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year have been changed to conform to the current financial statement presentation.</w:t>
      </w:r>
    </w:p>
    <w:p w14:paraId="02C0A3E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14:paraId="428E3618" w14:textId="77777777">
        <w:trPr>
          <w:tblCellSpacing w:w="0" w:type="dxa"/>
        </w:trPr>
        <w:tc>
          <w:tcPr>
            <w:tcW w:w="360" w:type="dxa"/>
            <w:hideMark/>
          </w:tcPr>
          <w:p w14:paraId="335C803A"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B. </w:t>
            </w:r>
          </w:p>
        </w:tc>
        <w:tc>
          <w:tcPr>
            <w:tcW w:w="6" w:type="dxa"/>
            <w:hideMark/>
          </w:tcPr>
          <w:p w14:paraId="7EB00A75"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Investment in Index Futures</w:t>
            </w:r>
          </w:p>
        </w:tc>
      </w:tr>
    </w:tbl>
    <w:p w14:paraId="64BE1FD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CD875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including energy commodities, precious and industrial metal commodities, agricultural commodit</w:t>
      </w:r>
      <w:r>
        <w:rPr>
          <w:rFonts w:ascii="Arial" w:hAnsi="Arial" w:cs="Arial"/>
          <w:sz w:val="20"/>
          <w:szCs w:val="20"/>
        </w:rPr>
        <w:t>ies and livestock commodities. The Trust seeks to track the investment returns of the Index before payment of the Trust’s expenses and liabilities.</w:t>
      </w:r>
    </w:p>
    <w:p w14:paraId="471681D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5802FD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appli</w:t>
      </w:r>
      <w:r>
        <w:rPr>
          <w:rFonts w:ascii="Arial" w:hAnsi="Arial" w:cs="Arial"/>
          <w:sz w:val="20"/>
          <w:szCs w:val="20"/>
        </w:rPr>
        <w:t>cable margin requirements for those Index Futures positions. Index Futures are exchange-traded index futures contracts on the S&amp;P GSCI-ER, and are expected to include contracts of different terms and expirations. The Trust is expected to roll out of existi</w:t>
      </w:r>
      <w:r>
        <w:rPr>
          <w:rFonts w:ascii="Arial" w:hAnsi="Arial" w:cs="Arial"/>
          <w:sz w:val="20"/>
          <w:szCs w:val="20"/>
        </w:rPr>
        <w:t>ng positions in Index Futures and establish new positions in Index Futures on an ongoing basis. When establishing positions in Index Futures, the Trust is required to deposit cash or other Collateral Assets with the broker as “initial margin.” On a daily b</w:t>
      </w:r>
      <w:r>
        <w:rPr>
          <w:rFonts w:ascii="Arial" w:hAnsi="Arial" w:cs="Arial"/>
          <w:sz w:val="20"/>
          <w:szCs w:val="20"/>
        </w:rPr>
        <w:t>asis, the Trust is obligated to pay, or entitled to receive, cash in an amount equal to the change in the daily settlement level of its Index Futures positions. Such payments or receipts are known as variation margin. Variation margin is recorded as unreal</w:t>
      </w:r>
      <w:r>
        <w:rPr>
          <w:rFonts w:ascii="Arial" w:hAnsi="Arial" w:cs="Arial"/>
          <w:sz w:val="20"/>
          <w:szCs w:val="20"/>
        </w:rPr>
        <w:t>ized appreciation (depreciation) and, if any, shown as variation margin receivable (or payable) on futures contracts in the Statements of Assets and Liabilities. When an Index Futures contract is closed, the Trust records a realized gain or loss based on t</w:t>
      </w:r>
      <w:r>
        <w:rPr>
          <w:rFonts w:ascii="Arial" w:hAnsi="Arial" w:cs="Arial"/>
          <w:sz w:val="20"/>
          <w:szCs w:val="20"/>
        </w:rPr>
        <w:t>he difference between the value of the Index Futures contract at the time it was opened and the value at the time it was closed.</w:t>
      </w:r>
    </w:p>
    <w:p w14:paraId="61B7DB9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570083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announced se</w:t>
      </w:r>
      <w:r>
        <w:rPr>
          <w:rFonts w:ascii="Arial" w:hAnsi="Arial" w:cs="Arial"/>
          <w:sz w:val="20"/>
          <w:szCs w:val="20"/>
        </w:rPr>
        <w:t xml:space="preserve">ttlement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that day, the Trustee will use the most recently announced settlement </w:t>
      </w:r>
      <w:r>
        <w:rPr>
          <w:rFonts w:ascii="Arial" w:hAnsi="Arial" w:cs="Arial"/>
          <w:sz w:val="20"/>
          <w:szCs w:val="20"/>
        </w:rPr>
        <w:t xml:space="preserve">price unless the Trustee, in consultation with the Sponsor, determines that such price is inappropriate as a basis for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Ope</w:t>
      </w:r>
      <w:r>
        <w:rPr>
          <w:rFonts w:ascii="Arial" w:hAnsi="Arial" w:cs="Arial"/>
          <w:sz w:val="20"/>
          <w:szCs w:val="20"/>
        </w:rPr>
        <w:t>rations.</w:t>
      </w:r>
    </w:p>
    <w:p w14:paraId="15F745E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A424DD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For futures contracts, counterparty credit risk is mitigated because futures contracts are exchange-traded and the exchange’s clearing house acts as central counterparty to all exchange-traded futures contracts (although customers continue to ha</w:t>
      </w:r>
      <w:r>
        <w:rPr>
          <w:rFonts w:ascii="Arial" w:hAnsi="Arial" w:cs="Arial"/>
          <w:sz w:val="20"/>
          <w:szCs w:val="20"/>
        </w:rPr>
        <w:t>ve credit exposure to the clearing member who holds their account).</w:t>
      </w:r>
    </w:p>
    <w:p w14:paraId="6CB0380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F6203A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14:paraId="2E326CB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F827769" w14:textId="77777777" w:rsidR="00000000" w:rsidRDefault="004206B0">
      <w:pPr>
        <w:jc w:val="center"/>
        <w:divId w:val="2022199879"/>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9</w:t>
      </w:r>
      <w:r>
        <w:rPr>
          <w:rFonts w:ascii="Arial" w:eastAsia="Times New Roman" w:hAnsi="Arial" w:cs="Arial"/>
          <w:sz w:val="20"/>
          <w:szCs w:val="20"/>
        </w:rPr>
        <w:t xml:space="preserve"> </w:t>
      </w:r>
    </w:p>
    <w:p w14:paraId="2B2BCE70" w14:textId="77777777" w:rsidR="00000000" w:rsidRDefault="004206B0">
      <w:pPr>
        <w:rPr>
          <w:rFonts w:eastAsia="Times New Roman"/>
          <w:sz w:val="20"/>
          <w:szCs w:val="20"/>
        </w:rPr>
      </w:pPr>
      <w:r>
        <w:rPr>
          <w:rFonts w:eastAsia="Times New Roman"/>
          <w:sz w:val="20"/>
          <w:szCs w:val="20"/>
        </w:rPr>
        <w:pict w14:anchorId="318CB686">
          <v:rect id="_x0000_i1090" style="width:415.3pt;height:1.5pt" o:hralign="center" o:hrstd="t" o:hrnoshade="t" o:hr="t" fillcolor="black" stroked="f"/>
        </w:pict>
      </w:r>
    </w:p>
    <w:p w14:paraId="4A9B699E" w14:textId="77777777" w:rsidR="00000000" w:rsidRDefault="004206B0">
      <w:pPr>
        <w:divId w:val="204827782"/>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472F9E73" w14:textId="77777777" w:rsidR="00000000" w:rsidRDefault="004206B0">
      <w:pPr>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3616"/>
        <w:gridCol w:w="4690"/>
      </w:tblGrid>
      <w:tr w:rsidR="00000000" w14:paraId="6C189B7B" w14:textId="77777777">
        <w:trPr>
          <w:tblCellSpacing w:w="0" w:type="dxa"/>
        </w:trPr>
        <w:tc>
          <w:tcPr>
            <w:tcW w:w="360" w:type="dxa"/>
            <w:hideMark/>
          </w:tcPr>
          <w:p w14:paraId="08DE89A2"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C. </w:t>
            </w:r>
          </w:p>
        </w:tc>
        <w:tc>
          <w:tcPr>
            <w:tcW w:w="6" w:type="dxa"/>
            <w:hideMark/>
          </w:tcPr>
          <w:p w14:paraId="5C52B5E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14:paraId="0711AB9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BF11EC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account. Cash is presented on the Statements of Cash Flows as unrestricted cash.</w:t>
      </w:r>
    </w:p>
    <w:p w14:paraId="7C362DA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8"/>
        <w:gridCol w:w="6228"/>
      </w:tblGrid>
      <w:tr w:rsidR="00000000" w14:paraId="28B1663A" w14:textId="77777777">
        <w:trPr>
          <w:tblCellSpacing w:w="0" w:type="dxa"/>
        </w:trPr>
        <w:tc>
          <w:tcPr>
            <w:tcW w:w="360" w:type="dxa"/>
            <w:hideMark/>
          </w:tcPr>
          <w:p w14:paraId="45824173"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D. </w:t>
            </w:r>
          </w:p>
        </w:tc>
        <w:tc>
          <w:tcPr>
            <w:tcW w:w="6" w:type="dxa"/>
            <w:hideMark/>
          </w:tcPr>
          <w:p w14:paraId="3115B444"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Short-Te</w:t>
            </w:r>
            <w:r>
              <w:rPr>
                <w:rFonts w:ascii="Arial" w:hAnsi="Arial" w:cs="Arial"/>
                <w:i/>
                <w:iCs/>
                <w:sz w:val="20"/>
                <w:szCs w:val="20"/>
              </w:rPr>
              <w:t>rm Investments</w:t>
            </w:r>
          </w:p>
        </w:tc>
      </w:tr>
    </w:tbl>
    <w:p w14:paraId="38AB8A8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7EE0D2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Short-term investments on the Statements of Assets and Liabilities consist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14:paraId="727B35C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BCC193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2022 </w:t>
      </w:r>
      <w:r>
        <w:rPr>
          <w:rFonts w:ascii="Arial" w:hAnsi="Arial" w:cs="Arial"/>
          <w:sz w:val="20"/>
          <w:szCs w:val="20"/>
        </w:rPr>
        <w:t xml:space="preserve">and </w:t>
      </w:r>
      <w:r>
        <w:rPr>
          <w:rStyle w:val="a6"/>
          <w:rFonts w:ascii="Arial" w:hAnsi="Arial" w:cs="Arial"/>
          <w:sz w:val="20"/>
          <w:szCs w:val="20"/>
        </w:rPr>
        <w:t>December 31</w:t>
      </w:r>
      <w:r>
        <w:rPr>
          <w:rStyle w:val="a6"/>
          <w:rFonts w:ascii="Arial" w:hAnsi="Arial" w:cs="Arial"/>
          <w:sz w:val="20"/>
          <w:szCs w:val="20"/>
        </w:rPr>
        <w:t xml:space="preserve">, 2021, </w:t>
      </w:r>
      <w:r>
        <w:rPr>
          <w:rFonts w:ascii="Arial" w:hAnsi="Arial" w:cs="Arial"/>
          <w:sz w:val="20"/>
          <w:szCs w:val="20"/>
        </w:rPr>
        <w:t>the Trust had restricted short-term investments held at the broker of $102,037,820 and $85,581,308, respectively, which were posted as margin for the Trust’s Index Futures positions.</w:t>
      </w:r>
    </w:p>
    <w:p w14:paraId="5FF05D1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87"/>
        <w:gridCol w:w="6319"/>
      </w:tblGrid>
      <w:tr w:rsidR="00000000" w14:paraId="5C38582C" w14:textId="77777777">
        <w:trPr>
          <w:tblCellSpacing w:w="0" w:type="dxa"/>
        </w:trPr>
        <w:tc>
          <w:tcPr>
            <w:tcW w:w="360" w:type="dxa"/>
            <w:hideMark/>
          </w:tcPr>
          <w:p w14:paraId="232F72C1"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E. </w:t>
            </w:r>
          </w:p>
        </w:tc>
        <w:tc>
          <w:tcPr>
            <w:tcW w:w="6" w:type="dxa"/>
            <w:hideMark/>
          </w:tcPr>
          <w:p w14:paraId="6E520936"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14:paraId="789B7E0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03FB269"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Securities transactions are accounted for on the trade date. Realized gains and losses on investment transactions are determined using the specific identification method. Interest income, including amortization and accretion of premiums and discounts on de</w:t>
      </w:r>
      <w:r>
        <w:rPr>
          <w:rFonts w:ascii="Arial" w:hAnsi="Arial" w:cs="Arial"/>
          <w:sz w:val="20"/>
          <w:szCs w:val="20"/>
        </w:rPr>
        <w:t>bt securities, is recognized daily on an accrual basis.</w:t>
      </w:r>
    </w:p>
    <w:p w14:paraId="26AC190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43"/>
        <w:gridCol w:w="5363"/>
      </w:tblGrid>
      <w:tr w:rsidR="00000000" w14:paraId="05605942" w14:textId="77777777">
        <w:trPr>
          <w:tblCellSpacing w:w="0" w:type="dxa"/>
        </w:trPr>
        <w:tc>
          <w:tcPr>
            <w:tcW w:w="360" w:type="dxa"/>
            <w:hideMark/>
          </w:tcPr>
          <w:p w14:paraId="3348BB79"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F. </w:t>
            </w:r>
          </w:p>
        </w:tc>
        <w:tc>
          <w:tcPr>
            <w:tcW w:w="6" w:type="dxa"/>
            <w:hideMark/>
          </w:tcPr>
          <w:p w14:paraId="084CCCFA"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14:paraId="5C4CE28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C9C80E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14:paraId="6B093E6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CAB1F19"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provision for federal, state, and local income taxes has been made in the accompanyin</w:t>
      </w:r>
      <w:r>
        <w:rPr>
          <w:rFonts w:ascii="Arial" w:hAnsi="Arial" w:cs="Arial"/>
          <w:sz w:val="20"/>
          <w:szCs w:val="20"/>
        </w:rPr>
        <w:t xml:space="preserve">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Shareholders are individually responsible for their own tax payments on their proportionate share of income, gain, loss, deduction, expense and credit.</w:t>
      </w:r>
    </w:p>
    <w:p w14:paraId="2BD4F8B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4558CB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w:t>
      </w:r>
      <w:r>
        <w:rPr>
          <w:rFonts w:ascii="Arial" w:hAnsi="Arial" w:cs="Arial"/>
          <w:sz w:val="20"/>
          <w:szCs w:val="20"/>
        </w:rPr>
        <w:t xml:space="preserve">tax positions as of </w:t>
      </w:r>
      <w:r>
        <w:rPr>
          <w:rStyle w:val="a6"/>
          <w:rFonts w:ascii="Arial" w:hAnsi="Arial" w:cs="Arial"/>
          <w:sz w:val="20"/>
          <w:szCs w:val="20"/>
        </w:rPr>
        <w:t xml:space="preserve">December 31, 2022, </w:t>
      </w:r>
      <w:r>
        <w:rPr>
          <w:rFonts w:ascii="Arial" w:hAnsi="Arial" w:cs="Arial"/>
          <w:sz w:val="20"/>
          <w:szCs w:val="20"/>
        </w:rPr>
        <w:t xml:space="preserve">inclusive of the open tax 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a tax liability.</w:t>
      </w:r>
    </w:p>
    <w:p w14:paraId="01054B3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14:paraId="42B94607" w14:textId="77777777">
        <w:trPr>
          <w:tblCellSpacing w:w="0" w:type="dxa"/>
        </w:trPr>
        <w:tc>
          <w:tcPr>
            <w:tcW w:w="360" w:type="dxa"/>
            <w:hideMark/>
          </w:tcPr>
          <w:p w14:paraId="43223512"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G. </w:t>
            </w:r>
          </w:p>
        </w:tc>
        <w:tc>
          <w:tcPr>
            <w:tcW w:w="6" w:type="dxa"/>
            <w:hideMark/>
          </w:tcPr>
          <w:p w14:paraId="125ADC11"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14:paraId="58C049D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3DCB78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net asset value of the T</w:t>
      </w:r>
      <w:r>
        <w:rPr>
          <w:rFonts w:ascii="Arial" w:hAnsi="Arial" w:cs="Arial"/>
          <w:sz w:val="20"/>
          <w:szCs w:val="20"/>
        </w:rPr>
        <w:t>rust on any given day is obtained by subtracting the Trust’s accrued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 and Collateral Assets on that day, (</w:t>
      </w:r>
      <w:r>
        <w:rPr>
          <w:rStyle w:val="a6"/>
          <w:rFonts w:ascii="Arial" w:hAnsi="Arial" w:cs="Arial"/>
          <w:sz w:val="20"/>
          <w:szCs w:val="20"/>
        </w:rPr>
        <w:t>2</w:t>
      </w:r>
      <w:r>
        <w:rPr>
          <w:rFonts w:ascii="Arial" w:hAnsi="Arial" w:cs="Arial"/>
          <w:sz w:val="20"/>
          <w:szCs w:val="20"/>
        </w:rPr>
        <w:t>) the interest earned on those assets by the Trus</w:t>
      </w:r>
      <w:r>
        <w:rPr>
          <w:rFonts w:ascii="Arial" w:hAnsi="Arial" w:cs="Arial"/>
          <w:sz w:val="20"/>
          <w:szCs w:val="20"/>
        </w:rPr>
        <w:t>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York time) that day. The Trustee determines the net asset value per Share (the “NAV”) by dividing the net asset value of the Trust on a given day by the number of Shares outstanding at the time </w:t>
      </w:r>
      <w:r>
        <w:rPr>
          <w:rFonts w:ascii="Arial" w:hAnsi="Arial" w:cs="Arial"/>
          <w:sz w:val="20"/>
          <w:szCs w:val="20"/>
        </w:rPr>
        <w:t xml:space="preserve">the calculation is made. The NAV is calculated each business day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p.m. (New York time).</w:t>
      </w:r>
    </w:p>
    <w:p w14:paraId="2578D53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47"/>
        <w:gridCol w:w="6259"/>
      </w:tblGrid>
      <w:tr w:rsidR="00000000" w14:paraId="21AB31ED" w14:textId="77777777">
        <w:trPr>
          <w:tblCellSpacing w:w="0" w:type="dxa"/>
        </w:trPr>
        <w:tc>
          <w:tcPr>
            <w:tcW w:w="360" w:type="dxa"/>
            <w:hideMark/>
          </w:tcPr>
          <w:p w14:paraId="279944ED"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 xml:space="preserve">H. </w:t>
            </w:r>
          </w:p>
        </w:tc>
        <w:tc>
          <w:tcPr>
            <w:tcW w:w="6" w:type="dxa"/>
            <w:hideMark/>
          </w:tcPr>
          <w:p w14:paraId="3DF601AD" w14:textId="77777777" w:rsidR="00000000" w:rsidRDefault="004206B0">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14:paraId="3FA7100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71F194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 xml:space="preserve">be used to acquire additional Index Futures and Collateral Assets or, in the discretion of the Sponsor, distributed to shareholders. The Trust is under </w:t>
      </w:r>
      <w:r>
        <w:rPr>
          <w:rStyle w:val="a6"/>
          <w:rFonts w:ascii="Arial" w:hAnsi="Arial" w:cs="Arial"/>
          <w:sz w:val="20"/>
          <w:szCs w:val="20"/>
        </w:rPr>
        <w:t>no</w:t>
      </w:r>
      <w:r>
        <w:rPr>
          <w:rFonts w:ascii="Arial" w:hAnsi="Arial" w:cs="Arial"/>
          <w:sz w:val="20"/>
          <w:szCs w:val="20"/>
        </w:rPr>
        <w:t xml:space="preserve"> obligation to make periodic distri</w:t>
      </w:r>
      <w:r>
        <w:rPr>
          <w:rFonts w:ascii="Arial" w:hAnsi="Arial" w:cs="Arial"/>
          <w:sz w:val="20"/>
          <w:szCs w:val="20"/>
        </w:rPr>
        <w:t>butions to shareholders.</w:t>
      </w:r>
    </w:p>
    <w:p w14:paraId="4F19F49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1C8197F" w14:textId="77777777" w:rsidR="00000000" w:rsidRDefault="004206B0">
      <w:pPr>
        <w:divId w:val="1557669358"/>
        <w:rPr>
          <w:rFonts w:eastAsia="Times New Roman"/>
          <w:sz w:val="20"/>
          <w:szCs w:val="20"/>
        </w:rPr>
      </w:pPr>
      <w:r>
        <w:rPr>
          <w:rFonts w:eastAsia="Times New Roman"/>
          <w:sz w:val="20"/>
          <w:szCs w:val="20"/>
        </w:rPr>
        <w:t xml:space="preserve">  </w:t>
      </w:r>
    </w:p>
    <w:p w14:paraId="6486E72A"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 Offering of the Shares</w:t>
      </w:r>
    </w:p>
    <w:p w14:paraId="265F21C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A9FC2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 in exchange for Index Futures and cash (or, in the discretion of the Sponsor, other Collateral Ass</w:t>
      </w:r>
      <w:r>
        <w:rPr>
          <w:rFonts w:ascii="Arial" w:hAnsi="Arial" w:cs="Arial"/>
          <w:sz w:val="20"/>
          <w:szCs w:val="20"/>
        </w:rPr>
        <w:t xml:space="preserve">ets in lieu of cash). Only registered broker-dealers who have entered into an authorized participant agreement with the Trust (each, an “Authorized Participant”)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w:t>
      </w:r>
      <w:r>
        <w:rPr>
          <w:rFonts w:ascii="Arial" w:hAnsi="Arial" w:cs="Arial"/>
          <w:sz w:val="20"/>
          <w:szCs w:val="20"/>
        </w:rPr>
        <w:t xml:space="preserve">ot purchase or redeem Shares in direct transactions with the Trust. Authorized Participants </w:t>
      </w:r>
      <w:r>
        <w:rPr>
          <w:rStyle w:val="a6"/>
          <w:rFonts w:ascii="Arial" w:hAnsi="Arial" w:cs="Arial"/>
          <w:sz w:val="20"/>
          <w:szCs w:val="20"/>
        </w:rPr>
        <w:t xml:space="preserve">may </w:t>
      </w:r>
      <w:r>
        <w:rPr>
          <w:rFonts w:ascii="Arial" w:hAnsi="Arial" w:cs="Arial"/>
          <w:sz w:val="20"/>
          <w:szCs w:val="20"/>
        </w:rPr>
        <w:t xml:space="preserve">redeem their Shares (as well as Shares on behalf of other investors)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w:t>
      </w:r>
      <w:r>
        <w:rPr>
          <w:rFonts w:ascii="Arial" w:hAnsi="Arial" w:cs="Arial"/>
          <w:sz w:val="20"/>
          <w:szCs w:val="20"/>
        </w:rPr>
        <w:t>demptions of Shares in exchange for baskets of Index Futures and cash (or, in the discretion of the Sponsor, other Collateral Assets in lieu of cash) are treated as sales for financial statement purposes.</w:t>
      </w:r>
    </w:p>
    <w:p w14:paraId="4DEB43B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59103F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It is possible that, from time to time, BlackRock</w:t>
      </w:r>
      <w:r>
        <w:rPr>
          <w:rFonts w:ascii="Arial" w:hAnsi="Arial" w:cs="Arial"/>
          <w:sz w:val="20"/>
          <w:szCs w:val="20"/>
        </w:rPr>
        <w:t xml:space="preserve"> and/or funds or other accounts managed by the Trustee or an affiliate (collectively, “Affiliates”) </w:t>
      </w:r>
      <w:r>
        <w:rPr>
          <w:rStyle w:val="a6"/>
          <w:rFonts w:ascii="Arial" w:hAnsi="Arial" w:cs="Arial"/>
          <w:sz w:val="20"/>
          <w:szCs w:val="20"/>
        </w:rPr>
        <w:t xml:space="preserve">may </w:t>
      </w:r>
      <w:r>
        <w:rPr>
          <w:rFonts w:ascii="Arial" w:hAnsi="Arial" w:cs="Arial"/>
          <w:sz w:val="20"/>
          <w:szCs w:val="20"/>
        </w:rPr>
        <w:t>purchase and hold Shares of the Trust. Affiliates reserve the right, subject to compliance with applicable law, to sell into the market or redeem in Bas</w:t>
      </w:r>
      <w:r>
        <w:rPr>
          <w:rFonts w:ascii="Arial" w:hAnsi="Arial" w:cs="Arial"/>
          <w:sz w:val="20"/>
          <w:szCs w:val="20"/>
        </w:rPr>
        <w:t>kets through an Authorized Participant at any time some or all of the Shares of the Trust acquired for their own accounts. A large sale or redemption of Shares of the Trust by Affiliates could significantly reduce the asset size of the Trust, which might h</w:t>
      </w:r>
      <w:r>
        <w:rPr>
          <w:rFonts w:ascii="Arial" w:hAnsi="Arial" w:cs="Arial"/>
          <w:sz w:val="20"/>
          <w:szCs w:val="20"/>
        </w:rPr>
        <w:t>ave an adverse effect on the Trust and the Shares that remain outstanding.</w:t>
      </w:r>
    </w:p>
    <w:p w14:paraId="37510D3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B73E612" w14:textId="77777777" w:rsidR="00000000" w:rsidRDefault="004206B0">
      <w:pPr>
        <w:divId w:val="538593569"/>
        <w:rPr>
          <w:rFonts w:eastAsia="Times New Roman"/>
          <w:sz w:val="20"/>
          <w:szCs w:val="20"/>
        </w:rPr>
      </w:pPr>
      <w:r>
        <w:rPr>
          <w:rFonts w:eastAsia="Times New Roman"/>
          <w:sz w:val="20"/>
          <w:szCs w:val="20"/>
        </w:rPr>
        <w:t xml:space="preserve">  </w:t>
      </w:r>
    </w:p>
    <w:p w14:paraId="684E0F23"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 Trust Expenses</w:t>
      </w:r>
    </w:p>
    <w:p w14:paraId="15A7A05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ABDD46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 in connection with the roll of Index Futures held by the Trust. These expenses are recorded as brokerage commissions and fees in the Sta</w:t>
      </w:r>
      <w:r>
        <w:rPr>
          <w:rFonts w:ascii="Arial" w:hAnsi="Arial" w:cs="Arial"/>
          <w:sz w:val="20"/>
          <w:szCs w:val="20"/>
        </w:rPr>
        <w:t>tements of Operations as incurred.</w:t>
      </w:r>
    </w:p>
    <w:p w14:paraId="3F8B891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716AD8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Sponsor pays the amounts that would otherwise be considered the ordinary operating expenses, if any, of the Trust. In return, the Sponsor receives a fee from the Trust that accrues daily and is payable monthly in ar</w:t>
      </w:r>
      <w:r>
        <w:rPr>
          <w:rFonts w:ascii="Arial" w:hAnsi="Arial" w:cs="Arial"/>
          <w:sz w:val="20"/>
          <w:szCs w:val="20"/>
        </w:rPr>
        <w:t>rears at an annualized rate equal to 0.75% of the net asset value of the Trust, as calculated before deducting fees and expenses based on the value of the Trust’s assets.</w:t>
      </w:r>
    </w:p>
    <w:p w14:paraId="6C0C68D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31ED48D"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The Sponsor has agreed under the Trust Agreement to pay the following administrativ</w:t>
      </w:r>
      <w:r>
        <w:rPr>
          <w:rFonts w:ascii="Arial" w:hAnsi="Arial" w:cs="Arial"/>
          <w:sz w:val="20"/>
          <w:szCs w:val="20"/>
        </w:rPr>
        <w:t>e, operational and marketing expenses: (</w:t>
      </w:r>
      <w:r>
        <w:rPr>
          <w:rStyle w:val="a6"/>
          <w:rFonts w:ascii="Arial" w:hAnsi="Arial" w:cs="Arial"/>
          <w:sz w:val="20"/>
          <w:szCs w:val="20"/>
        </w:rPr>
        <w:t>1</w:t>
      </w:r>
      <w:r>
        <w:rPr>
          <w:rFonts w:ascii="Arial" w:hAnsi="Arial" w:cs="Arial"/>
          <w:sz w:val="20"/>
          <w:szCs w:val="20"/>
        </w:rPr>
        <w:t>) the fees of 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fees for registration of the Shares with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xml:space="preserve">) legal expenses relating to the Trust of up to $500,000 annually. Prior to </w:t>
      </w:r>
      <w:r>
        <w:rPr>
          <w:rStyle w:val="a6"/>
          <w:rFonts w:ascii="Arial" w:hAnsi="Arial" w:cs="Arial"/>
          <w:sz w:val="20"/>
          <w:szCs w:val="20"/>
        </w:rPr>
        <w:t xml:space="preserve">March 31, 2022 </w:t>
      </w:r>
      <w:r>
        <w:rPr>
          <w:rFonts w:ascii="Arial" w:hAnsi="Arial" w:cs="Arial"/>
          <w:sz w:val="20"/>
          <w:szCs w:val="20"/>
        </w:rPr>
        <w:t>the Sponsor had agreed to assume up to $100,000 per annum in lega</w:t>
      </w:r>
      <w:r>
        <w:rPr>
          <w:rFonts w:ascii="Arial" w:hAnsi="Arial" w:cs="Arial"/>
          <w:sz w:val="20"/>
          <w:szCs w:val="20"/>
        </w:rPr>
        <w:t xml:space="preserve">l fees and expenses. The Sponsor </w:t>
      </w:r>
      <w:r>
        <w:rPr>
          <w:rStyle w:val="a6"/>
          <w:rFonts w:ascii="Arial" w:hAnsi="Arial" w:cs="Arial"/>
          <w:sz w:val="20"/>
          <w:szCs w:val="20"/>
        </w:rPr>
        <w:t xml:space="preserve">may </w:t>
      </w:r>
      <w:r>
        <w:rPr>
          <w:rFonts w:ascii="Arial" w:hAnsi="Arial" w:cs="Arial"/>
          <w:sz w:val="20"/>
          <w:szCs w:val="20"/>
        </w:rPr>
        <w:t xml:space="preserve">determine in its sole discretion to assume legal fees and expenses of the Trust in excess of the amount required under the Trust Agreement. To the extent that the Sponsor does </w:t>
      </w:r>
      <w:r>
        <w:rPr>
          <w:rStyle w:val="a6"/>
          <w:rFonts w:ascii="Arial" w:hAnsi="Arial" w:cs="Arial"/>
          <w:sz w:val="20"/>
          <w:szCs w:val="20"/>
        </w:rPr>
        <w:t>not</w:t>
      </w:r>
      <w:r>
        <w:rPr>
          <w:rFonts w:ascii="Arial" w:hAnsi="Arial" w:cs="Arial"/>
          <w:sz w:val="20"/>
          <w:szCs w:val="20"/>
        </w:rPr>
        <w:t xml:space="preserve"> voluntarily assume such fees and expens</w:t>
      </w:r>
      <w:r>
        <w:rPr>
          <w:rFonts w:ascii="Arial" w:hAnsi="Arial" w:cs="Arial"/>
          <w:sz w:val="20"/>
          <w:szCs w:val="20"/>
        </w:rPr>
        <w:t>es, they will be the responsibility of the Trust.</w:t>
      </w:r>
    </w:p>
    <w:p w14:paraId="40CCF3F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1B86DA1" w14:textId="77777777" w:rsidR="00000000" w:rsidRDefault="004206B0">
      <w:pPr>
        <w:jc w:val="center"/>
        <w:divId w:val="508520045"/>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10</w:t>
      </w:r>
      <w:r>
        <w:rPr>
          <w:rFonts w:ascii="Arial" w:eastAsia="Times New Roman" w:hAnsi="Arial" w:cs="Arial"/>
          <w:sz w:val="20"/>
          <w:szCs w:val="20"/>
        </w:rPr>
        <w:t xml:space="preserve"> </w:t>
      </w:r>
    </w:p>
    <w:p w14:paraId="6B52689E" w14:textId="77777777" w:rsidR="00000000" w:rsidRDefault="004206B0">
      <w:pPr>
        <w:rPr>
          <w:rFonts w:eastAsia="Times New Roman"/>
          <w:sz w:val="20"/>
          <w:szCs w:val="20"/>
        </w:rPr>
      </w:pPr>
      <w:r>
        <w:rPr>
          <w:rFonts w:eastAsia="Times New Roman"/>
          <w:sz w:val="20"/>
          <w:szCs w:val="20"/>
        </w:rPr>
        <w:pict w14:anchorId="7E42EF25">
          <v:rect id="_x0000_i1091" style="width:415.3pt;height:1.5pt" o:hralign="center" o:hrstd="t" o:hrnoshade="t" o:hr="t" fillcolor="black" stroked="f"/>
        </w:pict>
      </w:r>
    </w:p>
    <w:p w14:paraId="538458E7" w14:textId="77777777" w:rsidR="00000000" w:rsidRDefault="004206B0">
      <w:pPr>
        <w:divId w:val="2029092319"/>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17537827" w14:textId="77777777" w:rsidR="00000000" w:rsidRDefault="004206B0">
      <w:pPr>
        <w:rPr>
          <w:rFonts w:eastAsia="Times New Roman"/>
          <w:sz w:val="20"/>
          <w:szCs w:val="20"/>
        </w:rPr>
      </w:pPr>
      <w:r>
        <w:rPr>
          <w:rFonts w:eastAsia="Times New Roman"/>
          <w:sz w:val="20"/>
          <w:szCs w:val="20"/>
        </w:rPr>
        <w:t xml:space="preserve">  </w:t>
      </w:r>
    </w:p>
    <w:p w14:paraId="783528A9" w14:textId="77777777" w:rsidR="00000000" w:rsidRDefault="004206B0">
      <w:pPr>
        <w:divId w:val="2027556287"/>
        <w:rPr>
          <w:rFonts w:eastAsia="Times New Roman"/>
          <w:sz w:val="20"/>
          <w:szCs w:val="20"/>
        </w:rPr>
      </w:pPr>
      <w:r>
        <w:rPr>
          <w:rFonts w:eastAsia="Times New Roman"/>
          <w:sz w:val="20"/>
          <w:szCs w:val="20"/>
        </w:rPr>
        <w:t xml:space="preserve">  </w:t>
      </w:r>
    </w:p>
    <w:p w14:paraId="2A65D9F3"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 Related Parties</w:t>
      </w:r>
    </w:p>
    <w:p w14:paraId="2067112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D0AB34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w:t>
      </w:r>
      <w:r>
        <w:rPr>
          <w:rFonts w:ascii="Arial" w:hAnsi="Arial" w:cs="Arial"/>
          <w:sz w:val="20"/>
          <w:szCs w:val="20"/>
        </w:rPr>
        <w:t xml:space="preserve"> Sponsor, the Trustee and the Advisor are considered to be related parties to the Trust. The 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14:paraId="0E8C930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1F0F3B1" w14:textId="77777777" w:rsidR="00000000" w:rsidRDefault="004206B0">
      <w:pPr>
        <w:divId w:val="1699771662"/>
        <w:rPr>
          <w:rFonts w:eastAsia="Times New Roman"/>
          <w:sz w:val="20"/>
          <w:szCs w:val="20"/>
        </w:rPr>
      </w:pPr>
      <w:r>
        <w:rPr>
          <w:rFonts w:eastAsia="Times New Roman"/>
          <w:sz w:val="20"/>
          <w:szCs w:val="20"/>
        </w:rPr>
        <w:t xml:space="preserve">  </w:t>
      </w:r>
    </w:p>
    <w:p w14:paraId="53C1B513"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 Indemnification</w:t>
      </w:r>
    </w:p>
    <w:p w14:paraId="494C89B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84B4BC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the </w:t>
      </w:r>
      <w:r>
        <w:rPr>
          <w:rFonts w:ascii="Arial" w:hAnsi="Arial" w:cs="Arial"/>
          <w:sz w:val="20"/>
          <w:szCs w:val="20"/>
        </w:rPr>
        <w:t>Trustee shall indemnify the Sponsor, its directors, employees, delegees and agents against, and hold each of them harmless from, any loss, liability, claim, cost, expense or judgment of any kind whatsoever (including reasonable fees and expenses of counsel</w:t>
      </w:r>
      <w:r>
        <w:rPr>
          <w:rFonts w:ascii="Arial" w:hAnsi="Arial" w:cs="Arial"/>
          <w:sz w:val="20"/>
          <w:szCs w:val="20"/>
        </w:rPr>
        <w:t>) (i) caused by the negligence or bad faith of the Trustee or (ii) arising out of any information furnished in writing to the Sponsor by the Trustee expressly for use in the registration statement, or any amendment thereto or periodic report, filed with th</w:t>
      </w:r>
      <w:r>
        <w:rPr>
          <w:rFonts w:ascii="Arial" w:hAnsi="Arial" w:cs="Arial"/>
          <w:sz w:val="20"/>
          <w:szCs w:val="20"/>
        </w:rPr>
        <w:t xml:space="preserve">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14:paraId="1BA7E50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309B9B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the Sponsor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w:t>
      </w:r>
      <w:r>
        <w:rPr>
          <w:rFonts w:ascii="Arial" w:hAnsi="Arial" w:cs="Arial"/>
          <w:sz w:val="20"/>
          <w:szCs w:val="20"/>
        </w:rPr>
        <w:t>ed) and subsidiaries and agents shall be indemnified from the Trust and held harmless against any loss, liability, claim, cost, expense or judgment of any kind whatsoever (including the reasonable fees and expenses of counsel) arising out of or in connecti</w:t>
      </w:r>
      <w:r>
        <w:rPr>
          <w:rFonts w:ascii="Arial" w:hAnsi="Arial" w:cs="Arial"/>
          <w:sz w:val="20"/>
          <w:szCs w:val="20"/>
        </w:rPr>
        <w:t>on with the performance of their obligations under the Trust Agreement or any actions taken in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w:t>
      </w:r>
      <w:r>
        <w:rPr>
          <w:rFonts w:ascii="Arial" w:hAnsi="Arial" w:cs="Arial"/>
          <w:sz w:val="20"/>
          <w:szCs w:val="20"/>
        </w:rPr>
        <w:t>ir obligations and duties under the Trust Agreement.</w:t>
      </w:r>
    </w:p>
    <w:p w14:paraId="7726BDE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451377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 between the Trust and the Advisor provides that the Advisor and its shareholders, directors, officers, employees, affiliates (as such term i</w:t>
      </w:r>
      <w:r>
        <w:rPr>
          <w:rFonts w:ascii="Arial" w:hAnsi="Arial" w:cs="Arial"/>
          <w:sz w:val="20"/>
          <w:szCs w:val="20"/>
        </w:rPr>
        <w:t xml:space="preserve">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 from the Trust and held harmless against any loss, liability, cost, expense or judgment (including the reasonable fees and expenses of counsel) arising out of or </w:t>
      </w:r>
      <w:r>
        <w:rPr>
          <w:rFonts w:ascii="Arial" w:hAnsi="Arial" w:cs="Arial"/>
          <w:sz w:val="20"/>
          <w:szCs w:val="20"/>
        </w:rPr>
        <w:t>in connection with the performance of their obligations under the Advisory Agreement or any actions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w:t>
      </w:r>
      <w:r>
        <w:rPr>
          <w:rFonts w:ascii="Arial" w:hAnsi="Arial" w:cs="Arial"/>
          <w:sz w:val="20"/>
          <w:szCs w:val="20"/>
        </w:rPr>
        <w:t xml:space="preserve"> disregard of their obligations and duties under the Advisory Agreement.</w:t>
      </w:r>
    </w:p>
    <w:p w14:paraId="5ACAA32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AE11855" w14:textId="77777777" w:rsidR="00000000" w:rsidRDefault="004206B0">
      <w:pPr>
        <w:divId w:val="1106971756"/>
        <w:rPr>
          <w:rFonts w:eastAsia="Times New Roman"/>
          <w:sz w:val="20"/>
          <w:szCs w:val="20"/>
        </w:rPr>
      </w:pPr>
      <w:r>
        <w:rPr>
          <w:rFonts w:eastAsia="Times New Roman"/>
          <w:sz w:val="20"/>
          <w:szCs w:val="20"/>
        </w:rPr>
        <w:t xml:space="preserve">  </w:t>
      </w:r>
    </w:p>
    <w:p w14:paraId="186F4B93"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 Commitments and Contingent Liabilities</w:t>
      </w:r>
    </w:p>
    <w:p w14:paraId="00B2FFF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E11D3EF" w14:textId="77777777" w:rsidR="00000000" w:rsidRDefault="004206B0">
      <w:pPr>
        <w:pStyle w:val="a3"/>
        <w:spacing w:before="0" w:beforeAutospacing="0" w:after="0" w:afterAutospacing="0"/>
        <w:jc w:val="both"/>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 xml:space="preserve">enter into contracts with service providers that contain general indemnification clauses. The Trust’s maximum exposure under these arrangements is unknown as this 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14:paraId="3CFC5CA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87C50F5" w14:textId="77777777" w:rsidR="00000000" w:rsidRDefault="004206B0">
      <w:pPr>
        <w:divId w:val="196744273"/>
        <w:rPr>
          <w:rFonts w:eastAsia="Times New Roman"/>
          <w:sz w:val="20"/>
          <w:szCs w:val="20"/>
        </w:rPr>
      </w:pPr>
      <w:r>
        <w:rPr>
          <w:rFonts w:eastAsia="Times New Roman"/>
          <w:sz w:val="20"/>
          <w:szCs w:val="20"/>
        </w:rPr>
        <w:t xml:space="preserve">  </w:t>
      </w:r>
    </w:p>
    <w:p w14:paraId="143AA75D"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 Financial Highlights</w:t>
      </w:r>
    </w:p>
    <w:p w14:paraId="293364E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3B24AF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years ended </w:t>
      </w:r>
      <w:r>
        <w:rPr>
          <w:rStyle w:val="a6"/>
          <w:rFonts w:ascii="Arial" w:hAnsi="Arial" w:cs="Arial"/>
          <w:sz w:val="20"/>
          <w:szCs w:val="20"/>
        </w:rPr>
        <w:t>December 31, 2022, 2021</w:t>
      </w:r>
      <w:r>
        <w:rPr>
          <w:rFonts w:ascii="Arial" w:hAnsi="Arial" w:cs="Arial"/>
          <w:sz w:val="20"/>
          <w:szCs w:val="20"/>
        </w:rPr>
        <w:t xml:space="preserve"> and </w:t>
      </w:r>
      <w:r>
        <w:rPr>
          <w:rStyle w:val="a6"/>
          <w:rFonts w:ascii="Arial" w:hAnsi="Arial" w:cs="Arial"/>
          <w:sz w:val="20"/>
          <w:szCs w:val="20"/>
        </w:rPr>
        <w:t>2020.</w:t>
      </w:r>
    </w:p>
    <w:p w14:paraId="59F2617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CellMar>
          <w:left w:w="0" w:type="dxa"/>
          <w:right w:w="0" w:type="dxa"/>
        </w:tblCellMar>
        <w:tblLook w:val="04A0" w:firstRow="1" w:lastRow="0" w:firstColumn="1" w:lastColumn="0" w:noHBand="0" w:noVBand="1"/>
      </w:tblPr>
      <w:tblGrid>
        <w:gridCol w:w="4027"/>
        <w:gridCol w:w="56"/>
        <w:gridCol w:w="112"/>
        <w:gridCol w:w="897"/>
        <w:gridCol w:w="178"/>
        <w:gridCol w:w="56"/>
        <w:gridCol w:w="112"/>
        <w:gridCol w:w="897"/>
        <w:gridCol w:w="245"/>
        <w:gridCol w:w="56"/>
        <w:gridCol w:w="112"/>
        <w:gridCol w:w="898"/>
        <w:gridCol w:w="245"/>
      </w:tblGrid>
      <w:tr w:rsidR="00000000" w14:paraId="794A44AD" w14:textId="77777777">
        <w:trPr>
          <w:tblCellSpacing w:w="0" w:type="dxa"/>
        </w:trPr>
        <w:tc>
          <w:tcPr>
            <w:tcW w:w="0" w:type="auto"/>
            <w:vAlign w:val="bottom"/>
            <w:hideMark/>
          </w:tcPr>
          <w:p w14:paraId="4291B8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B5239D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14:paraId="4C818AC7"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tc>
        <w:tc>
          <w:tcPr>
            <w:tcW w:w="0" w:type="auto"/>
            <w:vAlign w:val="bottom"/>
            <w:hideMark/>
          </w:tcPr>
          <w:p w14:paraId="20B5CB7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1829990" w14:textId="77777777">
        <w:trPr>
          <w:tblCellSpacing w:w="0" w:type="dxa"/>
        </w:trPr>
        <w:tc>
          <w:tcPr>
            <w:tcW w:w="0" w:type="auto"/>
            <w:vAlign w:val="bottom"/>
            <w:hideMark/>
          </w:tcPr>
          <w:p w14:paraId="31399B8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A0F8B0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155DD0C" w14:textId="77777777" w:rsidR="00000000" w:rsidRDefault="004206B0">
            <w:pPr>
              <w:jc w:val="center"/>
              <w:rPr>
                <w:rFonts w:ascii="Arial" w:eastAsia="Times New Roman" w:hAnsi="Arial" w:cs="Arial"/>
                <w:sz w:val="20"/>
                <w:szCs w:val="20"/>
              </w:rPr>
            </w:pPr>
            <w:r>
              <w:rPr>
                <w:rFonts w:ascii="Arial" w:eastAsia="Times New Roman" w:hAnsi="Arial" w:cs="Arial"/>
                <w:b/>
                <w:bCs/>
                <w:sz w:val="20"/>
                <w:szCs w:val="20"/>
              </w:rPr>
              <w:t xml:space="preserve">2022 </w:t>
            </w:r>
          </w:p>
        </w:tc>
        <w:tc>
          <w:tcPr>
            <w:tcW w:w="0" w:type="auto"/>
            <w:tcMar>
              <w:top w:w="0" w:type="dxa"/>
              <w:left w:w="0" w:type="dxa"/>
              <w:bottom w:w="15" w:type="dxa"/>
              <w:right w:w="0" w:type="dxa"/>
            </w:tcMar>
            <w:vAlign w:val="bottom"/>
            <w:hideMark/>
          </w:tcPr>
          <w:p w14:paraId="260DC3B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91B14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EE31A5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14:paraId="09760A1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06D0A3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22CAF60"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4750CA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93573FC" w14:textId="77777777">
        <w:trPr>
          <w:tblCellSpacing w:w="0" w:type="dxa"/>
        </w:trPr>
        <w:tc>
          <w:tcPr>
            <w:tcW w:w="2600" w:type="pct"/>
            <w:shd w:val="clear" w:color="auto" w:fill="CCEEFF"/>
            <w:vAlign w:val="bottom"/>
            <w:hideMark/>
          </w:tcPr>
          <w:p w14:paraId="0A49DB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year</w:t>
            </w:r>
          </w:p>
        </w:tc>
        <w:tc>
          <w:tcPr>
            <w:tcW w:w="50" w:type="pct"/>
            <w:shd w:val="clear" w:color="auto" w:fill="CCEEFF"/>
            <w:vAlign w:val="bottom"/>
            <w:hideMark/>
          </w:tcPr>
          <w:p w14:paraId="4E7CE4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869E09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14:paraId="00DAE49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17.10</w:t>
            </w:r>
          </w:p>
        </w:tc>
        <w:tc>
          <w:tcPr>
            <w:tcW w:w="50" w:type="pct"/>
            <w:shd w:val="clear" w:color="auto" w:fill="CCEEFF"/>
            <w:tcMar>
              <w:top w:w="0" w:type="dxa"/>
              <w:left w:w="0" w:type="dxa"/>
              <w:bottom w:w="15" w:type="dxa"/>
              <w:right w:w="0" w:type="dxa"/>
            </w:tcMar>
            <w:vAlign w:val="bottom"/>
            <w:hideMark/>
          </w:tcPr>
          <w:p w14:paraId="688145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4EAA9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EF37C28"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14:paraId="3DEEFCC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CCEEFF"/>
            <w:tcMar>
              <w:top w:w="0" w:type="dxa"/>
              <w:left w:w="0" w:type="dxa"/>
              <w:bottom w:w="15" w:type="dxa"/>
              <w:right w:w="0" w:type="dxa"/>
            </w:tcMar>
            <w:vAlign w:val="bottom"/>
            <w:hideMark/>
          </w:tcPr>
          <w:p w14:paraId="1464F80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8BD6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FBD0B9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14:paraId="62713B8C"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CCEEFF"/>
            <w:tcMar>
              <w:top w:w="0" w:type="dxa"/>
              <w:left w:w="0" w:type="dxa"/>
              <w:bottom w:w="15" w:type="dxa"/>
              <w:right w:w="0" w:type="dxa"/>
            </w:tcMar>
            <w:vAlign w:val="bottom"/>
            <w:hideMark/>
          </w:tcPr>
          <w:p w14:paraId="2D0663F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02263972" w14:textId="77777777">
        <w:trPr>
          <w:tblCellSpacing w:w="0" w:type="dxa"/>
        </w:trPr>
        <w:tc>
          <w:tcPr>
            <w:tcW w:w="2600" w:type="pct"/>
            <w:shd w:val="clear" w:color="auto" w:fill="FFFFFF"/>
            <w:vAlign w:val="center"/>
            <w:hideMark/>
          </w:tcPr>
          <w:p w14:paraId="42AF7D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616B10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63629D1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center"/>
            <w:hideMark/>
          </w:tcPr>
          <w:p w14:paraId="59312D4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4EA215C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B29E3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5105F98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center"/>
            <w:hideMark/>
          </w:tcPr>
          <w:p w14:paraId="6D4192D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07AB3F2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4FA2E7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7A6705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center"/>
            <w:hideMark/>
          </w:tcPr>
          <w:p w14:paraId="0731808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11C34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24924EA" w14:textId="77777777">
        <w:trPr>
          <w:tblCellSpacing w:w="0" w:type="dxa"/>
        </w:trPr>
        <w:tc>
          <w:tcPr>
            <w:tcW w:w="2600" w:type="pct"/>
            <w:shd w:val="clear" w:color="auto" w:fill="CCEEFF"/>
            <w:vAlign w:val="bottom"/>
            <w:hideMark/>
          </w:tcPr>
          <w:p w14:paraId="0F766E62"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(a)</w:t>
            </w:r>
          </w:p>
        </w:tc>
        <w:tc>
          <w:tcPr>
            <w:tcW w:w="50" w:type="pct"/>
            <w:shd w:val="clear" w:color="auto" w:fill="CCEEFF"/>
            <w:vAlign w:val="bottom"/>
            <w:hideMark/>
          </w:tcPr>
          <w:p w14:paraId="4D75604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FB308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01816F6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0.09</w:t>
            </w:r>
          </w:p>
        </w:tc>
        <w:tc>
          <w:tcPr>
            <w:tcW w:w="50" w:type="pct"/>
            <w:shd w:val="clear" w:color="auto" w:fill="CCEEFF"/>
            <w:vAlign w:val="bottom"/>
            <w:hideMark/>
          </w:tcPr>
          <w:p w14:paraId="5D9AA8E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4E05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93D854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482F1284"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(0.13</w:t>
            </w:r>
          </w:p>
        </w:tc>
        <w:tc>
          <w:tcPr>
            <w:tcW w:w="50" w:type="pct"/>
            <w:shd w:val="clear" w:color="auto" w:fill="CCEEFF"/>
            <w:vAlign w:val="bottom"/>
            <w:hideMark/>
          </w:tcPr>
          <w:p w14:paraId="50E6396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B3604E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66165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3174B37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(0.04</w:t>
            </w:r>
          </w:p>
        </w:tc>
        <w:tc>
          <w:tcPr>
            <w:tcW w:w="50" w:type="pct"/>
            <w:shd w:val="clear" w:color="auto" w:fill="CCEEFF"/>
            <w:vAlign w:val="bottom"/>
            <w:hideMark/>
          </w:tcPr>
          <w:p w14:paraId="6515D995"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05D9A6C8" w14:textId="77777777">
        <w:trPr>
          <w:tblCellSpacing w:w="0" w:type="dxa"/>
        </w:trPr>
        <w:tc>
          <w:tcPr>
            <w:tcW w:w="0" w:type="auto"/>
            <w:shd w:val="clear" w:color="auto" w:fill="FFFFFF"/>
            <w:vAlign w:val="bottom"/>
            <w:hideMark/>
          </w:tcPr>
          <w:p w14:paraId="1B19DB2F"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FFFFFF"/>
            <w:vAlign w:val="bottom"/>
            <w:hideMark/>
          </w:tcPr>
          <w:p w14:paraId="49FA5A1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45DF64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43BE9D5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4.03</w:t>
            </w:r>
          </w:p>
        </w:tc>
        <w:tc>
          <w:tcPr>
            <w:tcW w:w="50" w:type="pct"/>
            <w:shd w:val="clear" w:color="auto" w:fill="FFFFFF"/>
            <w:tcMar>
              <w:top w:w="0" w:type="dxa"/>
              <w:left w:w="0" w:type="dxa"/>
              <w:bottom w:w="15" w:type="dxa"/>
              <w:right w:w="0" w:type="dxa"/>
            </w:tcMar>
            <w:vAlign w:val="bottom"/>
            <w:hideMark/>
          </w:tcPr>
          <w:p w14:paraId="02A6393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EDD86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894F1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35119BD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4.93</w:t>
            </w:r>
          </w:p>
        </w:tc>
        <w:tc>
          <w:tcPr>
            <w:tcW w:w="50" w:type="pct"/>
            <w:shd w:val="clear" w:color="auto" w:fill="FFFFFF"/>
            <w:tcMar>
              <w:top w:w="0" w:type="dxa"/>
              <w:left w:w="0" w:type="dxa"/>
              <w:bottom w:w="15" w:type="dxa"/>
              <w:right w:w="0" w:type="dxa"/>
            </w:tcMar>
            <w:vAlign w:val="bottom"/>
            <w:hideMark/>
          </w:tcPr>
          <w:p w14:paraId="7F93536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F466C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8177C3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280626D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(3.90</w:t>
            </w:r>
          </w:p>
        </w:tc>
        <w:tc>
          <w:tcPr>
            <w:tcW w:w="50" w:type="pct"/>
            <w:shd w:val="clear" w:color="auto" w:fill="FFFFFF"/>
            <w:tcMar>
              <w:top w:w="0" w:type="dxa"/>
              <w:left w:w="0" w:type="dxa"/>
              <w:bottom w:w="15" w:type="dxa"/>
              <w:right w:w="0" w:type="dxa"/>
            </w:tcMar>
            <w:vAlign w:val="bottom"/>
            <w:hideMark/>
          </w:tcPr>
          <w:p w14:paraId="0F0D21E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21E36101" w14:textId="77777777">
        <w:trPr>
          <w:tblCellSpacing w:w="0" w:type="dxa"/>
        </w:trPr>
        <w:tc>
          <w:tcPr>
            <w:tcW w:w="0" w:type="auto"/>
            <w:shd w:val="clear" w:color="auto" w:fill="CCEEFF"/>
            <w:vAlign w:val="bottom"/>
            <w:hideMark/>
          </w:tcPr>
          <w:p w14:paraId="09E00BA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vAlign w:val="bottom"/>
            <w:hideMark/>
          </w:tcPr>
          <w:p w14:paraId="732C5DC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815D5F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48BEFDC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4.12</w:t>
            </w:r>
          </w:p>
        </w:tc>
        <w:tc>
          <w:tcPr>
            <w:tcW w:w="50" w:type="pct"/>
            <w:shd w:val="clear" w:color="auto" w:fill="CCEEFF"/>
            <w:tcMar>
              <w:top w:w="0" w:type="dxa"/>
              <w:left w:w="0" w:type="dxa"/>
              <w:bottom w:w="15" w:type="dxa"/>
              <w:right w:w="0" w:type="dxa"/>
            </w:tcMar>
            <w:vAlign w:val="bottom"/>
            <w:hideMark/>
          </w:tcPr>
          <w:p w14:paraId="621AEEA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4310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DDC09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6D75179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4.80</w:t>
            </w:r>
          </w:p>
        </w:tc>
        <w:tc>
          <w:tcPr>
            <w:tcW w:w="50" w:type="pct"/>
            <w:shd w:val="clear" w:color="auto" w:fill="CCEEFF"/>
            <w:tcMar>
              <w:top w:w="0" w:type="dxa"/>
              <w:left w:w="0" w:type="dxa"/>
              <w:bottom w:w="15" w:type="dxa"/>
              <w:right w:w="0" w:type="dxa"/>
            </w:tcMar>
            <w:vAlign w:val="bottom"/>
            <w:hideMark/>
          </w:tcPr>
          <w:p w14:paraId="4016136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9F34ED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623F0E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5BDCEE15"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(3.94</w:t>
            </w:r>
          </w:p>
        </w:tc>
        <w:tc>
          <w:tcPr>
            <w:tcW w:w="50" w:type="pct"/>
            <w:shd w:val="clear" w:color="auto" w:fill="CCEEFF"/>
            <w:tcMar>
              <w:top w:w="0" w:type="dxa"/>
              <w:left w:w="0" w:type="dxa"/>
              <w:bottom w:w="15" w:type="dxa"/>
              <w:right w:w="0" w:type="dxa"/>
            </w:tcMar>
            <w:vAlign w:val="bottom"/>
            <w:hideMark/>
          </w:tcPr>
          <w:p w14:paraId="45A68FB1"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0A777CEE" w14:textId="77777777">
        <w:trPr>
          <w:tblCellSpacing w:w="0" w:type="dxa"/>
        </w:trPr>
        <w:tc>
          <w:tcPr>
            <w:tcW w:w="0" w:type="auto"/>
            <w:shd w:val="clear" w:color="auto" w:fill="FFFFFF"/>
            <w:vAlign w:val="bottom"/>
            <w:hideMark/>
          </w:tcPr>
          <w:p w14:paraId="2B0D25D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Net asset value per Share, end of year</w:t>
            </w:r>
          </w:p>
        </w:tc>
        <w:tc>
          <w:tcPr>
            <w:tcW w:w="50" w:type="pct"/>
            <w:shd w:val="clear" w:color="auto" w:fill="FFFFFF"/>
            <w:tcMar>
              <w:top w:w="0" w:type="dxa"/>
              <w:left w:w="0" w:type="dxa"/>
              <w:bottom w:w="45" w:type="dxa"/>
              <w:right w:w="0" w:type="dxa"/>
            </w:tcMar>
            <w:vAlign w:val="bottom"/>
            <w:hideMark/>
          </w:tcPr>
          <w:p w14:paraId="3270ED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163F0D1"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621A4E5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21.22</w:t>
            </w:r>
          </w:p>
        </w:tc>
        <w:tc>
          <w:tcPr>
            <w:tcW w:w="50" w:type="pct"/>
            <w:shd w:val="clear" w:color="auto" w:fill="FFFFFF"/>
            <w:tcMar>
              <w:top w:w="0" w:type="dxa"/>
              <w:left w:w="0" w:type="dxa"/>
              <w:bottom w:w="45" w:type="dxa"/>
              <w:right w:w="0" w:type="dxa"/>
            </w:tcMar>
            <w:vAlign w:val="bottom"/>
            <w:hideMark/>
          </w:tcPr>
          <w:p w14:paraId="263CB70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0246435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C92122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6ACE7EA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17.10</w:t>
            </w:r>
          </w:p>
        </w:tc>
        <w:tc>
          <w:tcPr>
            <w:tcW w:w="50" w:type="pct"/>
            <w:shd w:val="clear" w:color="auto" w:fill="FFFFFF"/>
            <w:tcMar>
              <w:top w:w="0" w:type="dxa"/>
              <w:left w:w="0" w:type="dxa"/>
              <w:bottom w:w="45" w:type="dxa"/>
              <w:right w:w="0" w:type="dxa"/>
            </w:tcMar>
            <w:vAlign w:val="bottom"/>
            <w:hideMark/>
          </w:tcPr>
          <w:p w14:paraId="0EDE283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7BB95B2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10EC036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494C2F0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FFFFFF"/>
            <w:tcMar>
              <w:top w:w="0" w:type="dxa"/>
              <w:left w:w="0" w:type="dxa"/>
              <w:bottom w:w="45" w:type="dxa"/>
              <w:right w:w="0" w:type="dxa"/>
            </w:tcMar>
            <w:vAlign w:val="bottom"/>
            <w:hideMark/>
          </w:tcPr>
          <w:p w14:paraId="0AB630B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91C9066" w14:textId="77777777">
        <w:trPr>
          <w:tblCellSpacing w:w="0" w:type="dxa"/>
        </w:trPr>
        <w:tc>
          <w:tcPr>
            <w:tcW w:w="0" w:type="auto"/>
            <w:shd w:val="clear" w:color="auto" w:fill="CCEEFF"/>
            <w:vAlign w:val="bottom"/>
            <w:hideMark/>
          </w:tcPr>
          <w:p w14:paraId="25005C8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9EA650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031DFE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66B8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3D3C49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297F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91E050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FB404D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82B368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CD895C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BF6522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3BB57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50EF0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6DCACAF" w14:textId="77777777">
        <w:trPr>
          <w:tblCellSpacing w:w="0" w:type="dxa"/>
        </w:trPr>
        <w:tc>
          <w:tcPr>
            <w:tcW w:w="0" w:type="auto"/>
            <w:shd w:val="clear" w:color="auto" w:fill="FFFFFF"/>
            <w:vAlign w:val="bottom"/>
            <w:hideMark/>
          </w:tcPr>
          <w:p w14:paraId="77DC52D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w:t>
            </w:r>
          </w:p>
        </w:tc>
        <w:tc>
          <w:tcPr>
            <w:tcW w:w="50" w:type="pct"/>
            <w:shd w:val="clear" w:color="auto" w:fill="FFFFFF"/>
            <w:vAlign w:val="bottom"/>
            <w:hideMark/>
          </w:tcPr>
          <w:p w14:paraId="5A62443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6DFCAA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26D0B0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24.09</w:t>
            </w:r>
          </w:p>
        </w:tc>
        <w:tc>
          <w:tcPr>
            <w:tcW w:w="50" w:type="pct"/>
            <w:shd w:val="clear" w:color="auto" w:fill="FFFFFF"/>
            <w:vAlign w:val="bottom"/>
            <w:hideMark/>
          </w:tcPr>
          <w:p w14:paraId="3C4D008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11943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13DBD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6891AFF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39.02</w:t>
            </w:r>
          </w:p>
        </w:tc>
        <w:tc>
          <w:tcPr>
            <w:tcW w:w="50" w:type="pct"/>
            <w:shd w:val="clear" w:color="auto" w:fill="FFFFFF"/>
            <w:vAlign w:val="bottom"/>
            <w:hideMark/>
          </w:tcPr>
          <w:p w14:paraId="38196D3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2802EA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A8980D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181FEA2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(24.26</w:t>
            </w:r>
          </w:p>
        </w:tc>
        <w:tc>
          <w:tcPr>
            <w:tcW w:w="50" w:type="pct"/>
            <w:shd w:val="clear" w:color="auto" w:fill="FFFFFF"/>
            <w:vAlign w:val="bottom"/>
            <w:hideMark/>
          </w:tcPr>
          <w:p w14:paraId="1B67C426"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03305A93" w14:textId="77777777">
        <w:trPr>
          <w:tblCellSpacing w:w="0" w:type="dxa"/>
        </w:trPr>
        <w:tc>
          <w:tcPr>
            <w:tcW w:w="0" w:type="auto"/>
            <w:shd w:val="clear" w:color="auto" w:fill="CCEEFF"/>
            <w:vAlign w:val="bottom"/>
            <w:hideMark/>
          </w:tcPr>
          <w:p w14:paraId="0AD9AF5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C28302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CC7E6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C19B8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1D8BDA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EFBF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982E4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35287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95F78E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AD73E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F4464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C2C99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4BD74A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7AD67A02" w14:textId="77777777">
        <w:trPr>
          <w:tblCellSpacing w:w="0" w:type="dxa"/>
        </w:trPr>
        <w:tc>
          <w:tcPr>
            <w:tcW w:w="0" w:type="auto"/>
            <w:shd w:val="clear" w:color="auto" w:fill="FFFFFF"/>
            <w:vAlign w:val="bottom"/>
            <w:hideMark/>
          </w:tcPr>
          <w:p w14:paraId="710F663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0" w:type="auto"/>
            <w:shd w:val="clear" w:color="auto" w:fill="FFFFFF"/>
            <w:vAlign w:val="bottom"/>
            <w:hideMark/>
          </w:tcPr>
          <w:p w14:paraId="76D0F0E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B76D4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FE7BA5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7E3B5D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5C452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A842F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D1D805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FD1E44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22E1FC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E85D56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F59C9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28F9F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3EBCAFA" w14:textId="77777777">
        <w:trPr>
          <w:tblCellSpacing w:w="0" w:type="dxa"/>
        </w:trPr>
        <w:tc>
          <w:tcPr>
            <w:tcW w:w="0" w:type="auto"/>
            <w:shd w:val="clear" w:color="auto" w:fill="CCEEFF"/>
            <w:vAlign w:val="bottom"/>
            <w:hideMark/>
          </w:tcPr>
          <w:p w14:paraId="1113A454"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14:paraId="3993D8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F4B3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01A03EB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0.42</w:t>
            </w:r>
          </w:p>
        </w:tc>
        <w:tc>
          <w:tcPr>
            <w:tcW w:w="50" w:type="pct"/>
            <w:shd w:val="clear" w:color="auto" w:fill="CCEEFF"/>
            <w:vAlign w:val="bottom"/>
            <w:hideMark/>
          </w:tcPr>
          <w:p w14:paraId="7B93B3D8"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C6767D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607B0F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001C07E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(0.82</w:t>
            </w:r>
          </w:p>
        </w:tc>
        <w:tc>
          <w:tcPr>
            <w:tcW w:w="50" w:type="pct"/>
            <w:shd w:val="clear" w:color="auto" w:fill="CCEEFF"/>
            <w:vAlign w:val="bottom"/>
            <w:hideMark/>
          </w:tcPr>
          <w:p w14:paraId="4E6840D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08D92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4AE6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E8A78A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(0.34</w:t>
            </w:r>
          </w:p>
        </w:tc>
        <w:tc>
          <w:tcPr>
            <w:tcW w:w="50" w:type="pct"/>
            <w:shd w:val="clear" w:color="auto" w:fill="CCEEFF"/>
            <w:vAlign w:val="bottom"/>
            <w:hideMark/>
          </w:tcPr>
          <w:p w14:paraId="114374F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627D29DE" w14:textId="77777777">
        <w:trPr>
          <w:tblCellSpacing w:w="0" w:type="dxa"/>
        </w:trPr>
        <w:tc>
          <w:tcPr>
            <w:tcW w:w="0" w:type="auto"/>
            <w:shd w:val="clear" w:color="auto" w:fill="FFFFFF"/>
            <w:vAlign w:val="bottom"/>
            <w:hideMark/>
          </w:tcPr>
          <w:p w14:paraId="67D6B415" w14:textId="77777777" w:rsidR="00000000" w:rsidRDefault="004206B0">
            <w:pPr>
              <w:pStyle w:val="a3"/>
              <w:spacing w:before="0" w:beforeAutospacing="0" w:after="0" w:afterAutospacing="0"/>
              <w:ind w:left="360"/>
              <w:rPr>
                <w:rFonts w:ascii="Arial" w:hAnsi="Arial" w:cs="Arial"/>
                <w:sz w:val="20"/>
                <w:szCs w:val="20"/>
              </w:rPr>
            </w:pPr>
            <w:r>
              <w:rPr>
                <w:rFonts w:ascii="Arial" w:hAnsi="Arial" w:cs="Arial"/>
                <w:sz w:val="20"/>
                <w:szCs w:val="20"/>
              </w:rPr>
              <w:t>Expenses</w:t>
            </w:r>
          </w:p>
        </w:tc>
        <w:tc>
          <w:tcPr>
            <w:tcW w:w="50" w:type="pct"/>
            <w:shd w:val="clear" w:color="auto" w:fill="FFFFFF"/>
            <w:vAlign w:val="bottom"/>
            <w:hideMark/>
          </w:tcPr>
          <w:p w14:paraId="32C76C9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79E747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04E7B4C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0.82</w:t>
            </w:r>
          </w:p>
        </w:tc>
        <w:tc>
          <w:tcPr>
            <w:tcW w:w="50" w:type="pct"/>
            <w:shd w:val="clear" w:color="auto" w:fill="FFFFFF"/>
            <w:vAlign w:val="bottom"/>
            <w:hideMark/>
          </w:tcPr>
          <w:p w14:paraId="480E25A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1C86EA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14B0DA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1758D1D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0.86</w:t>
            </w:r>
          </w:p>
        </w:tc>
        <w:tc>
          <w:tcPr>
            <w:tcW w:w="50" w:type="pct"/>
            <w:shd w:val="clear" w:color="auto" w:fill="FFFFFF"/>
            <w:vAlign w:val="bottom"/>
            <w:hideMark/>
          </w:tcPr>
          <w:p w14:paraId="4575C6DE"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25B163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B70984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798E69CD"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0.90</w:t>
            </w:r>
          </w:p>
        </w:tc>
        <w:tc>
          <w:tcPr>
            <w:tcW w:w="50" w:type="pct"/>
            <w:shd w:val="clear" w:color="auto" w:fill="FFFFFF"/>
            <w:vAlign w:val="bottom"/>
            <w:hideMark/>
          </w:tcPr>
          <w:p w14:paraId="677DDC66"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bl>
    <w:p w14:paraId="76BC0A4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6E43851" w14:textId="77777777" w:rsidR="00000000" w:rsidRDefault="004206B0">
      <w:pPr>
        <w:spacing w:before="60" w:after="60"/>
        <w:rPr>
          <w:rFonts w:eastAsia="Times New Roman"/>
          <w:sz w:val="20"/>
          <w:szCs w:val="20"/>
        </w:rPr>
      </w:pPr>
      <w:r>
        <w:rPr>
          <w:rFonts w:eastAsia="Times New Roman"/>
          <w:sz w:val="20"/>
          <w:szCs w:val="20"/>
        </w:rPr>
        <w:pict w14:anchorId="68DD4EAF">
          <v:rect id="_x0000_i1092"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14:paraId="64CD6B37" w14:textId="77777777">
        <w:trPr>
          <w:tblCellSpacing w:w="0" w:type="dxa"/>
        </w:trPr>
        <w:tc>
          <w:tcPr>
            <w:tcW w:w="360" w:type="dxa"/>
            <w:hideMark/>
          </w:tcPr>
          <w:p w14:paraId="1C513725"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6" w:type="dxa"/>
            <w:hideMark/>
          </w:tcPr>
          <w:p w14:paraId="72BD575C"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year.</w:t>
            </w:r>
          </w:p>
        </w:tc>
      </w:tr>
    </w:tbl>
    <w:p w14:paraId="3797147E" w14:textId="77777777" w:rsidR="00000000" w:rsidRDefault="004206B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75"/>
        <w:gridCol w:w="5931"/>
      </w:tblGrid>
      <w:tr w:rsidR="00000000" w14:paraId="3E162DFF" w14:textId="77777777">
        <w:trPr>
          <w:tblCellSpacing w:w="0" w:type="dxa"/>
        </w:trPr>
        <w:tc>
          <w:tcPr>
            <w:tcW w:w="360" w:type="dxa"/>
            <w:hideMark/>
          </w:tcPr>
          <w:p w14:paraId="39F9F4C0"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(b) </w:t>
            </w:r>
          </w:p>
        </w:tc>
        <w:tc>
          <w:tcPr>
            <w:tcW w:w="6" w:type="dxa"/>
            <w:hideMark/>
          </w:tcPr>
          <w:p w14:paraId="452F2E76"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accord with the change in aggregate gains and losses on investment</w:t>
            </w:r>
            <w:r>
              <w:rPr>
                <w:rFonts w:ascii="Arial" w:hAnsi="Arial" w:cs="Arial"/>
                <w:sz w:val="16"/>
                <w:szCs w:val="16"/>
              </w:rPr>
              <w:t>s for the period due to the timing of Trust Share transactions in relation to the fluctuating fair values of the Trust’s underlying investments.</w:t>
            </w:r>
          </w:p>
        </w:tc>
      </w:tr>
    </w:tbl>
    <w:p w14:paraId="73EF7443" w14:textId="77777777" w:rsidR="00000000" w:rsidRDefault="004206B0">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379"/>
        <w:gridCol w:w="4927"/>
      </w:tblGrid>
      <w:tr w:rsidR="00000000" w14:paraId="26C277ED" w14:textId="77777777">
        <w:trPr>
          <w:tblCellSpacing w:w="0" w:type="dxa"/>
        </w:trPr>
        <w:tc>
          <w:tcPr>
            <w:tcW w:w="360" w:type="dxa"/>
            <w:hideMark/>
          </w:tcPr>
          <w:p w14:paraId="444C2C5F"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(c) </w:t>
            </w:r>
          </w:p>
        </w:tc>
        <w:tc>
          <w:tcPr>
            <w:tcW w:w="6" w:type="dxa"/>
            <w:hideMark/>
          </w:tcPr>
          <w:p w14:paraId="394F0012"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 of a Share during the year.</w:t>
            </w:r>
          </w:p>
        </w:tc>
      </w:tr>
    </w:tbl>
    <w:p w14:paraId="0D7F7A3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E8075E1" w14:textId="77777777" w:rsidR="00000000" w:rsidRDefault="004206B0">
      <w:pPr>
        <w:divId w:val="1884245376"/>
        <w:rPr>
          <w:rFonts w:eastAsia="Times New Roman"/>
          <w:sz w:val="20"/>
          <w:szCs w:val="20"/>
        </w:rPr>
      </w:pPr>
      <w:r>
        <w:rPr>
          <w:rFonts w:eastAsia="Times New Roman"/>
          <w:sz w:val="20"/>
          <w:szCs w:val="20"/>
        </w:rPr>
        <w:t xml:space="preserve">  </w:t>
      </w:r>
    </w:p>
    <w:p w14:paraId="51373A24"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 Investing in Index Futures</w:t>
      </w:r>
    </w:p>
    <w:p w14:paraId="4EBE453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472AD3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Substantially all of the Trust’s assets are invested in Index Futures. The Index Futures’ settlement value at expiration is based on the value of the </w:t>
      </w:r>
      <w:r>
        <w:rPr>
          <w:rFonts w:ascii="Arial" w:hAnsi="Arial" w:cs="Arial"/>
          <w:sz w:val="20"/>
          <w:szCs w:val="20"/>
        </w:rPr>
        <w:t>S&amp;P GSCI-ER at that time. Therefore, the value of the Trust will fluctuate based upon the value of the S&amp;P GSCI-ER and the prices of futures contracts and commodities underlying the S&amp;P GSCI-ER. The commodities markets have historically been extremely vola</w:t>
      </w:r>
      <w:r>
        <w:rPr>
          <w:rFonts w:ascii="Arial" w:hAnsi="Arial" w:cs="Arial"/>
          <w:sz w:val="20"/>
          <w:szCs w:val="20"/>
        </w:rPr>
        <w:t xml:space="preserve">tile. For the year ended </w:t>
      </w:r>
      <w:r>
        <w:rPr>
          <w:rStyle w:val="a6"/>
          <w:rFonts w:ascii="Arial" w:hAnsi="Arial" w:cs="Arial"/>
          <w:sz w:val="20"/>
          <w:szCs w:val="20"/>
        </w:rPr>
        <w:t>December 31,</w:t>
      </w:r>
      <w:r>
        <w:rPr>
          <w:rFonts w:ascii="Arial" w:hAnsi="Arial" w:cs="Arial"/>
          <w:sz w:val="20"/>
          <w:szCs w:val="20"/>
        </w:rPr>
        <w:t> </w:t>
      </w:r>
      <w:r>
        <w:rPr>
          <w:rStyle w:val="a6"/>
          <w:rFonts w:ascii="Arial" w:hAnsi="Arial" w:cs="Arial"/>
          <w:sz w:val="20"/>
          <w:szCs w:val="20"/>
        </w:rPr>
        <w:t>2022</w:t>
      </w:r>
      <w:r>
        <w:rPr>
          <w:rFonts w:ascii="Arial" w:hAnsi="Arial" w:cs="Arial"/>
          <w:sz w:val="20"/>
          <w:szCs w:val="20"/>
        </w:rPr>
        <w:t xml:space="preserve"> and the year ended </w:t>
      </w:r>
      <w:r>
        <w:rPr>
          <w:rStyle w:val="a6"/>
          <w:rFonts w:ascii="Arial" w:hAnsi="Arial" w:cs="Arial"/>
          <w:sz w:val="20"/>
          <w:szCs w:val="20"/>
        </w:rPr>
        <w:t>December 31,</w:t>
      </w:r>
      <w:r>
        <w:rPr>
          <w:rFonts w:ascii="Arial" w:hAnsi="Arial" w:cs="Arial"/>
          <w:sz w:val="20"/>
          <w:szCs w:val="20"/>
        </w:rPr>
        <w:t xml:space="preserve"> </w:t>
      </w:r>
      <w:r>
        <w:rPr>
          <w:rStyle w:val="a6"/>
          <w:rFonts w:ascii="Arial" w:hAnsi="Arial" w:cs="Arial"/>
          <w:sz w:val="20"/>
          <w:szCs w:val="20"/>
        </w:rPr>
        <w:t>2021,</w:t>
      </w:r>
      <w:r>
        <w:rPr>
          <w:rFonts w:ascii="Arial" w:hAnsi="Arial" w:cs="Arial"/>
          <w:sz w:val="20"/>
          <w:szCs w:val="20"/>
        </w:rPr>
        <w:t xml:space="preserve"> the average month-end notional amounts of open Index Futures were $1,745,238,033 and $1,239,905,352, respectively.</w:t>
      </w:r>
    </w:p>
    <w:p w14:paraId="6E6C0D7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24C88A2" w14:textId="77777777" w:rsidR="00000000" w:rsidRDefault="004206B0">
      <w:pPr>
        <w:jc w:val="center"/>
        <w:divId w:val="865556122"/>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11</w:t>
      </w:r>
      <w:r>
        <w:rPr>
          <w:rFonts w:ascii="Arial" w:eastAsia="Times New Roman" w:hAnsi="Arial" w:cs="Arial"/>
          <w:sz w:val="20"/>
          <w:szCs w:val="20"/>
        </w:rPr>
        <w:t xml:space="preserve"> </w:t>
      </w:r>
    </w:p>
    <w:p w14:paraId="0D228DF0" w14:textId="77777777" w:rsidR="00000000" w:rsidRDefault="004206B0">
      <w:pPr>
        <w:rPr>
          <w:rFonts w:eastAsia="Times New Roman"/>
          <w:sz w:val="20"/>
          <w:szCs w:val="20"/>
        </w:rPr>
      </w:pPr>
      <w:r>
        <w:rPr>
          <w:rFonts w:eastAsia="Times New Roman"/>
          <w:sz w:val="20"/>
          <w:szCs w:val="20"/>
        </w:rPr>
        <w:pict w14:anchorId="0D206D50">
          <v:rect id="_x0000_i1093" style="width:415.3pt;height:1.5pt" o:hralign="center" o:hrstd="t" o:hrnoshade="t" o:hr="t" fillcolor="black" stroked="f"/>
        </w:pict>
      </w:r>
    </w:p>
    <w:p w14:paraId="01ABF6ED" w14:textId="77777777" w:rsidR="00000000" w:rsidRDefault="004206B0">
      <w:pPr>
        <w:divId w:val="1692686479"/>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3D2C8132" w14:textId="77777777" w:rsidR="00000000" w:rsidRDefault="004206B0">
      <w:pPr>
        <w:rPr>
          <w:rFonts w:eastAsia="Times New Roman"/>
          <w:sz w:val="20"/>
          <w:szCs w:val="20"/>
        </w:rPr>
      </w:pPr>
      <w:r>
        <w:rPr>
          <w:rFonts w:eastAsia="Times New Roman"/>
          <w:sz w:val="20"/>
          <w:szCs w:val="20"/>
        </w:rPr>
        <w:t xml:space="preserve">  </w:t>
      </w:r>
    </w:p>
    <w:p w14:paraId="6F651D4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Liabilities as of </w:t>
      </w:r>
      <w:r>
        <w:rPr>
          <w:rStyle w:val="a6"/>
          <w:rFonts w:ascii="Arial" w:hAnsi="Arial" w:cs="Arial"/>
          <w:sz w:val="20"/>
          <w:szCs w:val="20"/>
        </w:rPr>
        <w:t xml:space="preserve">December 31, 2022 </w:t>
      </w:r>
      <w:r>
        <w:rPr>
          <w:rFonts w:ascii="Arial" w:hAnsi="Arial" w:cs="Arial"/>
          <w:sz w:val="20"/>
          <w:szCs w:val="20"/>
        </w:rPr>
        <w:t xml:space="preserve">and </w:t>
      </w:r>
      <w:r>
        <w:rPr>
          <w:rStyle w:val="a6"/>
          <w:rFonts w:ascii="Arial" w:hAnsi="Arial" w:cs="Arial"/>
          <w:sz w:val="20"/>
          <w:szCs w:val="20"/>
        </w:rPr>
        <w:t>December 31, 2021:</w:t>
      </w:r>
    </w:p>
    <w:p w14:paraId="1520190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654"/>
        <w:gridCol w:w="76"/>
        <w:gridCol w:w="112"/>
        <w:gridCol w:w="1323"/>
        <w:gridCol w:w="77"/>
        <w:gridCol w:w="1655"/>
        <w:gridCol w:w="77"/>
        <w:gridCol w:w="112"/>
        <w:gridCol w:w="1323"/>
        <w:gridCol w:w="77"/>
      </w:tblGrid>
      <w:tr w:rsidR="00000000" w14:paraId="6544DEBE" w14:textId="77777777">
        <w:trPr>
          <w:tblCellSpacing w:w="0" w:type="dxa"/>
        </w:trPr>
        <w:tc>
          <w:tcPr>
            <w:tcW w:w="1100" w:type="pct"/>
            <w:vAlign w:val="bottom"/>
            <w:hideMark/>
          </w:tcPr>
          <w:p w14:paraId="0B6D409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14:paraId="7954B8C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Asset Derivatives</w:t>
            </w:r>
          </w:p>
        </w:tc>
        <w:tc>
          <w:tcPr>
            <w:tcW w:w="50" w:type="pct"/>
            <w:vAlign w:val="bottom"/>
            <w:hideMark/>
          </w:tcPr>
          <w:p w14:paraId="424179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4EA2FF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vAlign w:val="bottom"/>
            <w:hideMark/>
          </w:tcPr>
          <w:p w14:paraId="073E308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14:paraId="77D88E2C"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Liability Derivatives</w:t>
            </w:r>
          </w:p>
        </w:tc>
        <w:tc>
          <w:tcPr>
            <w:tcW w:w="50" w:type="pct"/>
            <w:vAlign w:val="bottom"/>
            <w:hideMark/>
          </w:tcPr>
          <w:p w14:paraId="49D313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41A906E9"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vAlign w:val="bottom"/>
            <w:hideMark/>
          </w:tcPr>
          <w:p w14:paraId="0C7AFC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D11D87E" w14:textId="77777777">
        <w:trPr>
          <w:tblCellSpacing w:w="0" w:type="dxa"/>
        </w:trPr>
        <w:tc>
          <w:tcPr>
            <w:tcW w:w="1100" w:type="pct"/>
            <w:shd w:val="clear" w:color="auto" w:fill="CCEEFF"/>
            <w:vAlign w:val="bottom"/>
            <w:hideMark/>
          </w:tcPr>
          <w:p w14:paraId="1E21FB0A"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2022</w:t>
            </w:r>
          </w:p>
        </w:tc>
        <w:tc>
          <w:tcPr>
            <w:tcW w:w="1000" w:type="pct"/>
            <w:shd w:val="clear" w:color="auto" w:fill="CCEEFF"/>
            <w:vAlign w:val="bottom"/>
            <w:hideMark/>
          </w:tcPr>
          <w:p w14:paraId="18A8643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191A3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0FD5C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CCEEFF"/>
            <w:vAlign w:val="bottom"/>
            <w:hideMark/>
          </w:tcPr>
          <w:p w14:paraId="6789CBD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C5D39E4"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0F82AA4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CC614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5BDC78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CCEEFF"/>
            <w:vAlign w:val="bottom"/>
            <w:hideMark/>
          </w:tcPr>
          <w:p w14:paraId="2C9D3A6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6D539A9"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2405A548" w14:textId="77777777">
        <w:trPr>
          <w:tblCellSpacing w:w="0" w:type="dxa"/>
        </w:trPr>
        <w:tc>
          <w:tcPr>
            <w:tcW w:w="1100" w:type="pct"/>
            <w:shd w:val="clear" w:color="auto" w:fill="FFFFFF"/>
            <w:vAlign w:val="bottom"/>
            <w:hideMark/>
          </w:tcPr>
          <w:p w14:paraId="10AB3A4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0" w:type="pct"/>
            <w:shd w:val="clear" w:color="auto" w:fill="FFFFFF"/>
            <w:vAlign w:val="bottom"/>
            <w:hideMark/>
          </w:tcPr>
          <w:p w14:paraId="13E7B433" w14:textId="77777777" w:rsidR="00000000" w:rsidRDefault="004206B0">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Receivable for variation margin on open futures contracts</w:t>
            </w:r>
          </w:p>
        </w:tc>
        <w:tc>
          <w:tcPr>
            <w:tcW w:w="50" w:type="pct"/>
            <w:shd w:val="clear" w:color="auto" w:fill="FFFFFF"/>
            <w:vAlign w:val="bottom"/>
            <w:hideMark/>
          </w:tcPr>
          <w:p w14:paraId="3AF8CC6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C6C7B6"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FFFFFF"/>
            <w:vAlign w:val="bottom"/>
            <w:hideMark/>
          </w:tcPr>
          <w:p w14:paraId="65E87CB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14,408,722</w:t>
            </w:r>
          </w:p>
        </w:tc>
        <w:tc>
          <w:tcPr>
            <w:tcW w:w="50" w:type="pct"/>
            <w:shd w:val="clear" w:color="auto" w:fill="FFFFFF"/>
            <w:vAlign w:val="bottom"/>
            <w:hideMark/>
          </w:tcPr>
          <w:p w14:paraId="23054C0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1D427054" w14:textId="77777777" w:rsidR="00000000" w:rsidRDefault="004206B0">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Payable for variation margin on open futures contracts</w:t>
            </w:r>
          </w:p>
        </w:tc>
        <w:tc>
          <w:tcPr>
            <w:tcW w:w="50" w:type="pct"/>
            <w:shd w:val="clear" w:color="auto" w:fill="FFFFFF"/>
            <w:vAlign w:val="bottom"/>
            <w:hideMark/>
          </w:tcPr>
          <w:p w14:paraId="18DBFA7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A23962B"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FFFFFF"/>
            <w:vAlign w:val="bottom"/>
            <w:hideMark/>
          </w:tcPr>
          <w:p w14:paraId="5244D6A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5EB6EC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EF86AF0" w14:textId="77777777">
        <w:trPr>
          <w:tblCellSpacing w:w="0" w:type="dxa"/>
        </w:trPr>
        <w:tc>
          <w:tcPr>
            <w:tcW w:w="1100" w:type="pct"/>
            <w:shd w:val="clear" w:color="auto" w:fill="CCEEFF"/>
            <w:vAlign w:val="bottom"/>
            <w:hideMark/>
          </w:tcPr>
          <w:p w14:paraId="07A27E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7FDF52F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57F1EC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8CCB01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0F8CC04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B9D7D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6599F75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EB3CE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F4C1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729F2B5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4ED96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1E49817A" w14:textId="77777777">
        <w:trPr>
          <w:tblCellSpacing w:w="0" w:type="dxa"/>
        </w:trPr>
        <w:tc>
          <w:tcPr>
            <w:tcW w:w="1100" w:type="pct"/>
            <w:shd w:val="clear" w:color="auto" w:fill="FFFFFF"/>
            <w:vAlign w:val="bottom"/>
            <w:hideMark/>
          </w:tcPr>
          <w:p w14:paraId="4B2B5D71"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2021</w:t>
            </w:r>
          </w:p>
        </w:tc>
        <w:tc>
          <w:tcPr>
            <w:tcW w:w="1000" w:type="pct"/>
            <w:shd w:val="clear" w:color="auto" w:fill="FFFFFF"/>
            <w:vAlign w:val="bottom"/>
            <w:hideMark/>
          </w:tcPr>
          <w:p w14:paraId="59AC93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C9F26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0A4B2B5"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FFFFFF"/>
            <w:vAlign w:val="bottom"/>
            <w:hideMark/>
          </w:tcPr>
          <w:p w14:paraId="1968791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57FAF93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FFFFFF"/>
            <w:vAlign w:val="bottom"/>
            <w:hideMark/>
          </w:tcPr>
          <w:p w14:paraId="5237AF3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498A9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957039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FFFFFF"/>
            <w:vAlign w:val="bottom"/>
            <w:hideMark/>
          </w:tcPr>
          <w:p w14:paraId="2A30D8C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2EF8EA8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4BCEAEC0" w14:textId="77777777">
        <w:trPr>
          <w:tblCellSpacing w:w="0" w:type="dxa"/>
        </w:trPr>
        <w:tc>
          <w:tcPr>
            <w:tcW w:w="1100" w:type="pct"/>
            <w:shd w:val="clear" w:color="auto" w:fill="CCEEFF"/>
            <w:vAlign w:val="bottom"/>
            <w:hideMark/>
          </w:tcPr>
          <w:p w14:paraId="04F8EFA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0" w:type="pct"/>
            <w:shd w:val="clear" w:color="auto" w:fill="CCEEFF"/>
            <w:vAlign w:val="bottom"/>
            <w:hideMark/>
          </w:tcPr>
          <w:p w14:paraId="5D0E9456" w14:textId="77777777" w:rsidR="00000000" w:rsidRDefault="004206B0">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Receivable for variation margin on open futures contracts</w:t>
            </w:r>
          </w:p>
        </w:tc>
        <w:tc>
          <w:tcPr>
            <w:tcW w:w="50" w:type="pct"/>
            <w:shd w:val="clear" w:color="auto" w:fill="CCEEFF"/>
            <w:vAlign w:val="bottom"/>
            <w:hideMark/>
          </w:tcPr>
          <w:p w14:paraId="135D89B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78656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14:paraId="53D7F8C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F7030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2DFAE347" w14:textId="77777777" w:rsidR="00000000" w:rsidRDefault="004206B0">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Payable for variation margin on open futures contracts</w:t>
            </w:r>
          </w:p>
        </w:tc>
        <w:tc>
          <w:tcPr>
            <w:tcW w:w="50" w:type="pct"/>
            <w:shd w:val="clear" w:color="auto" w:fill="CCEEFF"/>
            <w:vAlign w:val="bottom"/>
            <w:hideMark/>
          </w:tcPr>
          <w:p w14:paraId="0CEDEFB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F11051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14:paraId="6AFBED4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CCEEFF"/>
            <w:vAlign w:val="bottom"/>
            <w:hideMark/>
          </w:tcPr>
          <w:p w14:paraId="5DCAE56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5312E6E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730D5A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years ended </w:t>
      </w:r>
      <w:r>
        <w:rPr>
          <w:rStyle w:val="a6"/>
          <w:rFonts w:ascii="Arial" w:hAnsi="Arial" w:cs="Arial"/>
          <w:sz w:val="20"/>
          <w:szCs w:val="20"/>
        </w:rPr>
        <w:t>December 31, 2022, 2021</w:t>
      </w:r>
      <w:r>
        <w:rPr>
          <w:rFonts w:ascii="Arial" w:hAnsi="Arial" w:cs="Arial"/>
          <w:sz w:val="20"/>
          <w:szCs w:val="20"/>
        </w:rPr>
        <w:t xml:space="preserve"> and </w:t>
      </w:r>
      <w:r>
        <w:rPr>
          <w:rStyle w:val="a6"/>
          <w:rFonts w:ascii="Arial" w:hAnsi="Arial" w:cs="Arial"/>
          <w:sz w:val="20"/>
          <w:szCs w:val="20"/>
        </w:rPr>
        <w:t>2020:</w:t>
      </w:r>
    </w:p>
    <w:p w14:paraId="4781482D" w14:textId="77777777" w:rsidR="00000000" w:rsidRDefault="004206B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10"/>
        <w:gridCol w:w="2415"/>
        <w:gridCol w:w="56"/>
        <w:gridCol w:w="112"/>
        <w:gridCol w:w="1433"/>
        <w:gridCol w:w="67"/>
        <w:gridCol w:w="56"/>
        <w:gridCol w:w="114"/>
        <w:gridCol w:w="2376"/>
        <w:gridCol w:w="67"/>
      </w:tblGrid>
      <w:tr w:rsidR="00000000" w14:paraId="4B684AD4" w14:textId="77777777">
        <w:trPr>
          <w:tblCellSpacing w:w="0" w:type="dxa"/>
        </w:trPr>
        <w:tc>
          <w:tcPr>
            <w:tcW w:w="1100" w:type="pct"/>
            <w:vAlign w:val="bottom"/>
            <w:hideMark/>
          </w:tcPr>
          <w:p w14:paraId="45BABE6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500" w:type="pct"/>
            <w:tcBorders>
              <w:bottom w:val="single" w:sz="6" w:space="0" w:color="000000"/>
            </w:tcBorders>
            <w:vAlign w:val="bottom"/>
            <w:hideMark/>
          </w:tcPr>
          <w:p w14:paraId="2826C637"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p>
          <w:p w14:paraId="728EF52F"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14:paraId="7160F7A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00A5508"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14:paraId="176CDBC4"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vAlign w:val="bottom"/>
            <w:hideMark/>
          </w:tcPr>
          <w:p w14:paraId="4637A9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05EF5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5ECE7A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14:paraId="5C80581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vAlign w:val="bottom"/>
            <w:hideMark/>
          </w:tcPr>
          <w:p w14:paraId="42BF994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B301C75" w14:textId="77777777">
        <w:trPr>
          <w:tblCellSpacing w:w="0" w:type="dxa"/>
        </w:trPr>
        <w:tc>
          <w:tcPr>
            <w:tcW w:w="1100" w:type="pct"/>
            <w:shd w:val="clear" w:color="auto" w:fill="CCEEFF"/>
            <w:vAlign w:val="bottom"/>
            <w:hideMark/>
          </w:tcPr>
          <w:p w14:paraId="7B0B8187"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2022</w:t>
            </w:r>
          </w:p>
        </w:tc>
        <w:tc>
          <w:tcPr>
            <w:tcW w:w="1500" w:type="pct"/>
            <w:shd w:val="clear" w:color="auto" w:fill="CCEEFF"/>
            <w:vAlign w:val="bottom"/>
            <w:hideMark/>
          </w:tcPr>
          <w:p w14:paraId="0375021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DD20E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044899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705E9AB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861BE1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8C7266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B18ABA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2C7E4A5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3F78EDB"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37BFEFE2" w14:textId="77777777">
        <w:trPr>
          <w:tblCellSpacing w:w="0" w:type="dxa"/>
        </w:trPr>
        <w:tc>
          <w:tcPr>
            <w:tcW w:w="1100" w:type="pct"/>
            <w:shd w:val="clear" w:color="auto" w:fill="FFFFFF"/>
            <w:vAlign w:val="bottom"/>
            <w:hideMark/>
          </w:tcPr>
          <w:p w14:paraId="0FC0977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500" w:type="pct"/>
            <w:shd w:val="clear" w:color="auto" w:fill="FFFFFF"/>
            <w:vAlign w:val="bottom"/>
            <w:hideMark/>
          </w:tcPr>
          <w:p w14:paraId="6A8047DC"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14:paraId="5651BEA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0AFC0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55748F8F"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359,651,081</w:t>
            </w:r>
          </w:p>
        </w:tc>
        <w:tc>
          <w:tcPr>
            <w:tcW w:w="50" w:type="pct"/>
            <w:shd w:val="clear" w:color="auto" w:fill="FFFFFF"/>
            <w:vAlign w:val="bottom"/>
            <w:hideMark/>
          </w:tcPr>
          <w:p w14:paraId="73B43F0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E401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216B5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0F1EECFA"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3075F18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5EA309E" w14:textId="77777777">
        <w:trPr>
          <w:tblCellSpacing w:w="0" w:type="dxa"/>
        </w:trPr>
        <w:tc>
          <w:tcPr>
            <w:tcW w:w="1100" w:type="pct"/>
            <w:shd w:val="clear" w:color="auto" w:fill="CCEEFF"/>
            <w:vAlign w:val="bottom"/>
            <w:hideMark/>
          </w:tcPr>
          <w:p w14:paraId="5962862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CCEEFF"/>
            <w:vAlign w:val="bottom"/>
            <w:hideMark/>
          </w:tcPr>
          <w:p w14:paraId="33C11980" w14:textId="77777777" w:rsidR="00000000" w:rsidRDefault="004206B0">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14:paraId="11FC18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352D5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0618DCD7"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02DCD81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D5B5FE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7AB7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2FCF220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23,317,777</w:t>
            </w:r>
          </w:p>
        </w:tc>
        <w:tc>
          <w:tcPr>
            <w:tcW w:w="50" w:type="pct"/>
            <w:shd w:val="clear" w:color="auto" w:fill="CCEEFF"/>
            <w:vAlign w:val="bottom"/>
            <w:hideMark/>
          </w:tcPr>
          <w:p w14:paraId="38587E1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CBBEB7A" w14:textId="77777777">
        <w:trPr>
          <w:tblCellSpacing w:w="0" w:type="dxa"/>
        </w:trPr>
        <w:tc>
          <w:tcPr>
            <w:tcW w:w="1100" w:type="pct"/>
            <w:shd w:val="clear" w:color="auto" w:fill="FFFFFF"/>
            <w:vAlign w:val="bottom"/>
            <w:hideMark/>
          </w:tcPr>
          <w:p w14:paraId="7457E55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FFFFFF"/>
            <w:vAlign w:val="bottom"/>
            <w:hideMark/>
          </w:tcPr>
          <w:p w14:paraId="6B05AF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33D8F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17B74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14:paraId="7CDEEB1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ECE7E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8A7FE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5AD1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14:paraId="1C349D1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7A1D1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363575FD" w14:textId="77777777">
        <w:trPr>
          <w:tblCellSpacing w:w="0" w:type="dxa"/>
        </w:trPr>
        <w:tc>
          <w:tcPr>
            <w:tcW w:w="1100" w:type="pct"/>
            <w:shd w:val="clear" w:color="auto" w:fill="CCEEFF"/>
            <w:vAlign w:val="bottom"/>
            <w:hideMark/>
          </w:tcPr>
          <w:p w14:paraId="60459085"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2021</w:t>
            </w:r>
          </w:p>
        </w:tc>
        <w:tc>
          <w:tcPr>
            <w:tcW w:w="1500" w:type="pct"/>
            <w:shd w:val="clear" w:color="auto" w:fill="CCEEFF"/>
            <w:vAlign w:val="bottom"/>
            <w:hideMark/>
          </w:tcPr>
          <w:p w14:paraId="67C6190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5BC06A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5802F9"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1076B6D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55037C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6178D4E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38CE60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7F609BC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8447B2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5E74F5C4" w14:textId="77777777">
        <w:trPr>
          <w:tblCellSpacing w:w="0" w:type="dxa"/>
        </w:trPr>
        <w:tc>
          <w:tcPr>
            <w:tcW w:w="1100" w:type="pct"/>
            <w:shd w:val="clear" w:color="auto" w:fill="FFFFFF"/>
            <w:vAlign w:val="bottom"/>
            <w:hideMark/>
          </w:tcPr>
          <w:p w14:paraId="3BFC373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500" w:type="pct"/>
            <w:shd w:val="clear" w:color="auto" w:fill="FFFFFF"/>
            <w:vAlign w:val="bottom"/>
            <w:hideMark/>
          </w:tcPr>
          <w:p w14:paraId="55DE02D4"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14:paraId="411F696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D1BDEA6"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613969A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381,834,976</w:t>
            </w:r>
          </w:p>
        </w:tc>
        <w:tc>
          <w:tcPr>
            <w:tcW w:w="50" w:type="pct"/>
            <w:shd w:val="clear" w:color="auto" w:fill="FFFFFF"/>
            <w:vAlign w:val="bottom"/>
            <w:hideMark/>
          </w:tcPr>
          <w:p w14:paraId="72974CD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6BA2C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50A20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7563E7E9"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14C4D6E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7CE1971" w14:textId="77777777">
        <w:trPr>
          <w:tblCellSpacing w:w="0" w:type="dxa"/>
        </w:trPr>
        <w:tc>
          <w:tcPr>
            <w:tcW w:w="1100" w:type="pct"/>
            <w:shd w:val="clear" w:color="auto" w:fill="CCEEFF"/>
            <w:vAlign w:val="bottom"/>
            <w:hideMark/>
          </w:tcPr>
          <w:p w14:paraId="4805539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CCEEFF"/>
            <w:vAlign w:val="bottom"/>
            <w:hideMark/>
          </w:tcPr>
          <w:p w14:paraId="0F64BD92" w14:textId="77777777" w:rsidR="00000000" w:rsidRDefault="004206B0">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14:paraId="26C94B3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357CAF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2A11FF82"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0F83E44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D997F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3A8AC1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18DEA66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(5,445,651</w:t>
            </w:r>
          </w:p>
        </w:tc>
        <w:tc>
          <w:tcPr>
            <w:tcW w:w="50" w:type="pct"/>
            <w:shd w:val="clear" w:color="auto" w:fill="CCEEFF"/>
            <w:vAlign w:val="bottom"/>
            <w:hideMark/>
          </w:tcPr>
          <w:p w14:paraId="30A2922A"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r>
      <w:tr w:rsidR="00000000" w14:paraId="3E9A0E86" w14:textId="77777777">
        <w:trPr>
          <w:tblCellSpacing w:w="0" w:type="dxa"/>
        </w:trPr>
        <w:tc>
          <w:tcPr>
            <w:tcW w:w="1100" w:type="pct"/>
            <w:shd w:val="clear" w:color="auto" w:fill="FFFFFF"/>
            <w:vAlign w:val="bottom"/>
            <w:hideMark/>
          </w:tcPr>
          <w:p w14:paraId="68B2E92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FFFFFF"/>
            <w:vAlign w:val="bottom"/>
            <w:hideMark/>
          </w:tcPr>
          <w:p w14:paraId="32A6721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674247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0A8AF7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14:paraId="0260633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CA050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F308A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445269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14:paraId="3BE5CE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A3AD8B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5A263B2B" w14:textId="77777777">
        <w:trPr>
          <w:tblCellSpacing w:w="0" w:type="dxa"/>
        </w:trPr>
        <w:tc>
          <w:tcPr>
            <w:tcW w:w="1100" w:type="pct"/>
            <w:shd w:val="clear" w:color="auto" w:fill="CCEEFF"/>
            <w:vAlign w:val="bottom"/>
            <w:hideMark/>
          </w:tcPr>
          <w:p w14:paraId="372BFD54"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2020</w:t>
            </w:r>
          </w:p>
        </w:tc>
        <w:tc>
          <w:tcPr>
            <w:tcW w:w="1500" w:type="pct"/>
            <w:shd w:val="clear" w:color="auto" w:fill="CCEEFF"/>
            <w:vAlign w:val="bottom"/>
            <w:hideMark/>
          </w:tcPr>
          <w:p w14:paraId="2DA2406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48D94C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9226B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2FE4BEDC"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57AB91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01C7A6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90BEC5"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4EF38759"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6F9C4C4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32C9B3BB" w14:textId="77777777">
        <w:trPr>
          <w:tblCellSpacing w:w="0" w:type="dxa"/>
        </w:trPr>
        <w:tc>
          <w:tcPr>
            <w:tcW w:w="1100" w:type="pct"/>
            <w:shd w:val="clear" w:color="auto" w:fill="FFFFFF"/>
            <w:vAlign w:val="bottom"/>
            <w:hideMark/>
          </w:tcPr>
          <w:p w14:paraId="07B8CDA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500" w:type="pct"/>
            <w:shd w:val="clear" w:color="auto" w:fill="FFFFFF"/>
            <w:vAlign w:val="bottom"/>
            <w:hideMark/>
          </w:tcPr>
          <w:p w14:paraId="57B5F16E"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14:paraId="79FBF58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20743D0"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7BC1617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(204,137,367</w:t>
            </w:r>
          </w:p>
        </w:tc>
        <w:tc>
          <w:tcPr>
            <w:tcW w:w="50" w:type="pct"/>
            <w:shd w:val="clear" w:color="auto" w:fill="FFFFFF"/>
            <w:vAlign w:val="bottom"/>
            <w:hideMark/>
          </w:tcPr>
          <w:p w14:paraId="44C6244C"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06B457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E548F25"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7D0438A9"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25FE95E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989BD9B" w14:textId="77777777">
        <w:trPr>
          <w:tblCellSpacing w:w="0" w:type="dxa"/>
        </w:trPr>
        <w:tc>
          <w:tcPr>
            <w:tcW w:w="1100" w:type="pct"/>
            <w:shd w:val="clear" w:color="auto" w:fill="CCEEFF"/>
            <w:vAlign w:val="bottom"/>
            <w:hideMark/>
          </w:tcPr>
          <w:p w14:paraId="7F00ED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CCEEFF"/>
            <w:vAlign w:val="bottom"/>
            <w:hideMark/>
          </w:tcPr>
          <w:p w14:paraId="61A79FD5" w14:textId="77777777" w:rsidR="00000000" w:rsidRDefault="004206B0">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14:paraId="76AB907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D1CFC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421D58D1" w14:textId="77777777" w:rsidR="00000000" w:rsidRDefault="004206B0">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7AE51AF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49970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32F0A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6946469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22,817,921</w:t>
            </w:r>
          </w:p>
        </w:tc>
        <w:tc>
          <w:tcPr>
            <w:tcW w:w="50" w:type="pct"/>
            <w:shd w:val="clear" w:color="auto" w:fill="CCEEFF"/>
            <w:vAlign w:val="bottom"/>
            <w:hideMark/>
          </w:tcPr>
          <w:p w14:paraId="480E596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643BCBA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501D363" w14:textId="77777777" w:rsidR="00000000" w:rsidRDefault="004206B0">
      <w:pPr>
        <w:divId w:val="565457523"/>
        <w:rPr>
          <w:rFonts w:eastAsia="Times New Roman"/>
          <w:sz w:val="20"/>
          <w:szCs w:val="20"/>
        </w:rPr>
      </w:pPr>
      <w:r>
        <w:rPr>
          <w:rFonts w:eastAsia="Times New Roman"/>
          <w:sz w:val="20"/>
          <w:szCs w:val="20"/>
        </w:rPr>
        <w:t xml:space="preserve">  </w:t>
      </w:r>
    </w:p>
    <w:p w14:paraId="12175C80" w14:textId="77777777" w:rsidR="00000000" w:rsidRDefault="004206B0">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 Investment Valuation</w:t>
      </w:r>
    </w:p>
    <w:p w14:paraId="254464A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BD73A4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Fair Value Measurements and Disclosures, defines fair value as the price the Trust would receive to sell an asset or pay to transfer a liability in an orderly transaction between market participants at the </w:t>
      </w:r>
      <w:r>
        <w:rPr>
          <w:rFonts w:ascii="Arial" w:hAnsi="Arial" w:cs="Arial"/>
          <w:sz w:val="20"/>
          <w:szCs w:val="20"/>
        </w:rPr>
        <w:t>measurement date. The Trust’s policy is to value its investments at fair value.</w:t>
      </w:r>
    </w:p>
    <w:p w14:paraId="1AE4AD0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1CEFEE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Investments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announced settlement price for a particular Index Futures contract on a Business Day, the Trustee uses the most recently announced settlement price unless the Trustee, in consultation with the Sponsor, determines that such price is inappropriate as a basis</w:t>
      </w:r>
      <w:r>
        <w:rPr>
          <w:rFonts w:ascii="Arial" w:hAnsi="Arial" w:cs="Arial"/>
          <w:sz w:val="20"/>
          <w:szCs w:val="20"/>
        </w:rPr>
        <w:t xml:space="preserve"> for valuation.</w:t>
      </w:r>
    </w:p>
    <w:p w14:paraId="0D16769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1D0EE1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U.S. Treasury bills are valued at the last available bid price received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w:t>
      </w:r>
      <w:r>
        <w:rPr>
          <w:rFonts w:ascii="Arial" w:hAnsi="Arial" w:cs="Arial"/>
          <w:sz w:val="20"/>
          <w:szCs w:val="20"/>
        </w:rPr>
        <w:t xml:space="preserve"> such investments, quotations from dealers, pricing matrixes, market transactions in comparable investments, various relationships observed in the market between investments and calculated yield measures.</w:t>
      </w:r>
    </w:p>
    <w:p w14:paraId="374B3476"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5B28649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Various inputs are used in determining the fair v</w:t>
      </w:r>
      <w:r>
        <w:rPr>
          <w:rFonts w:ascii="Arial" w:hAnsi="Arial" w:cs="Arial"/>
          <w:sz w:val="20"/>
          <w:szCs w:val="20"/>
        </w:rPr>
        <w:t xml:space="preserve">alue of financial instruments. Inputs </w:t>
      </w:r>
      <w:r>
        <w:rPr>
          <w:rStyle w:val="a6"/>
          <w:rFonts w:ascii="Arial" w:hAnsi="Arial" w:cs="Arial"/>
          <w:sz w:val="20"/>
          <w:szCs w:val="20"/>
        </w:rPr>
        <w:t xml:space="preserve">may </w:t>
      </w:r>
      <w:r>
        <w:rPr>
          <w:rFonts w:ascii="Arial" w:hAnsi="Arial" w:cs="Arial"/>
          <w:sz w:val="20"/>
          <w:szCs w:val="20"/>
        </w:rPr>
        <w:t xml:space="preserve">be based on independent market data (“observable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w:t>
      </w:r>
      <w:r>
        <w:rPr>
          <w:rFonts w:ascii="Arial" w:hAnsi="Arial" w:cs="Arial"/>
          <w:sz w:val="20"/>
          <w:szCs w:val="20"/>
        </w:rPr>
        <w:t xml:space="preserve">inancial reporting purposes. The level of a value determined for a financial instrument within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w:t>
      </w:r>
      <w:r>
        <w:rPr>
          <w:rFonts w:ascii="Arial" w:hAnsi="Arial" w:cs="Arial"/>
          <w:sz w:val="20"/>
          <w:szCs w:val="20"/>
        </w:rPr>
        <w:t>r value hierarchy are as follows:</w:t>
      </w:r>
    </w:p>
    <w:p w14:paraId="37A8BB6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72"/>
        <w:gridCol w:w="2840"/>
        <w:gridCol w:w="3194"/>
      </w:tblGrid>
      <w:tr w:rsidR="00000000" w14:paraId="3E7F4AAD" w14:textId="77777777">
        <w:trPr>
          <w:tblCellSpacing w:w="0" w:type="dxa"/>
        </w:trPr>
        <w:tc>
          <w:tcPr>
            <w:tcW w:w="720" w:type="dxa"/>
            <w:hideMark/>
          </w:tcPr>
          <w:p w14:paraId="5F29DBCB" w14:textId="77777777" w:rsidR="00000000" w:rsidRDefault="004206B0">
            <w:pPr>
              <w:rPr>
                <w:rFonts w:eastAsia="Times New Roman"/>
              </w:rPr>
            </w:pPr>
            <w:r>
              <w:rPr>
                <w:rFonts w:eastAsia="Times New Roman"/>
              </w:rPr>
              <w:t> </w:t>
            </w:r>
          </w:p>
        </w:tc>
        <w:tc>
          <w:tcPr>
            <w:tcW w:w="900" w:type="dxa"/>
            <w:hideMark/>
          </w:tcPr>
          <w:p w14:paraId="63E1ED3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w:t>
            </w:r>
          </w:p>
        </w:tc>
        <w:tc>
          <w:tcPr>
            <w:tcW w:w="6" w:type="dxa"/>
            <w:hideMark/>
          </w:tcPr>
          <w:p w14:paraId="6D57059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 markets for identical assets or liabilities</w:t>
            </w:r>
            <w:r>
              <w:rPr>
                <w:rFonts w:ascii="Arial" w:hAnsi="Arial" w:cs="Arial"/>
                <w:sz w:val="20"/>
                <w:szCs w:val="20"/>
              </w:rPr>
              <w:t>;</w:t>
            </w:r>
          </w:p>
        </w:tc>
      </w:tr>
    </w:tbl>
    <w:p w14:paraId="3460A56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72"/>
        <w:gridCol w:w="2714"/>
        <w:gridCol w:w="3420"/>
      </w:tblGrid>
      <w:tr w:rsidR="00000000" w14:paraId="117AB206" w14:textId="77777777">
        <w:trPr>
          <w:tblCellSpacing w:w="0" w:type="dxa"/>
        </w:trPr>
        <w:tc>
          <w:tcPr>
            <w:tcW w:w="720" w:type="dxa"/>
            <w:hideMark/>
          </w:tcPr>
          <w:p w14:paraId="7AB5BF4C" w14:textId="77777777" w:rsidR="00000000" w:rsidRDefault="004206B0">
            <w:pPr>
              <w:rPr>
                <w:rFonts w:eastAsia="Times New Roman"/>
              </w:rPr>
            </w:pPr>
            <w:r>
              <w:rPr>
                <w:rFonts w:eastAsia="Times New Roman"/>
              </w:rPr>
              <w:t> </w:t>
            </w:r>
          </w:p>
        </w:tc>
        <w:tc>
          <w:tcPr>
            <w:tcW w:w="900" w:type="dxa"/>
            <w:hideMark/>
          </w:tcPr>
          <w:p w14:paraId="2978BBE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w:t>
            </w:r>
          </w:p>
        </w:tc>
        <w:tc>
          <w:tcPr>
            <w:tcW w:w="6" w:type="dxa"/>
            <w:hideMark/>
          </w:tcPr>
          <w:p w14:paraId="17CC3E3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Inputs other than quoted prices included within Level </w:t>
            </w:r>
            <w:r>
              <w:rPr>
                <w:rStyle w:val="a6"/>
                <w:rFonts w:ascii="Arial" w:hAnsi="Arial" w:cs="Arial"/>
                <w:sz w:val="20"/>
                <w:szCs w:val="20"/>
              </w:rPr>
              <w:t>1</w:t>
            </w:r>
            <w:r>
              <w:rPr>
                <w:rFonts w:ascii="Arial" w:hAnsi="Arial" w:cs="Arial"/>
                <w:sz w:val="20"/>
                <w:szCs w:val="20"/>
              </w:rPr>
              <w:t xml:space="preserve"> </w:t>
            </w:r>
            <w:r>
              <w:rPr>
                <w:rFonts w:ascii="Arial" w:hAnsi="Arial" w:cs="Arial"/>
                <w:sz w:val="20"/>
                <w:szCs w:val="20"/>
              </w:rPr>
              <w:t xml:space="preserve">that are observable for the asset or liability either directly or indirectly, including quoted prices for similar assets or liabilities in active 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w:t>
            </w:r>
            <w:r>
              <w:rPr>
                <w:rFonts w:ascii="Arial" w:hAnsi="Arial" w:cs="Arial"/>
                <w:sz w:val="20"/>
                <w:szCs w:val="20"/>
              </w:rPr>
              <w:t xml:space="preserve"> active, inputs other than quoted prices that are observable for the asset or liability, and inputs that are derived principally from or corroborated by observable market data by correlation or other means</w:t>
            </w:r>
            <w:r>
              <w:rPr>
                <w:rFonts w:ascii="Arial" w:hAnsi="Arial" w:cs="Arial"/>
                <w:sz w:val="20"/>
                <w:szCs w:val="20"/>
              </w:rPr>
              <w:t>;</w:t>
            </w:r>
            <w:r>
              <w:rPr>
                <w:rFonts w:ascii="Arial" w:hAnsi="Arial" w:cs="Arial"/>
                <w:sz w:val="20"/>
                <w:szCs w:val="20"/>
              </w:rPr>
              <w:t xml:space="preserve"> and</w:t>
            </w:r>
          </w:p>
        </w:tc>
      </w:tr>
    </w:tbl>
    <w:p w14:paraId="2B0C49F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95"/>
        <w:gridCol w:w="2618"/>
        <w:gridCol w:w="3593"/>
      </w:tblGrid>
      <w:tr w:rsidR="00000000" w14:paraId="6A56CDD9" w14:textId="77777777">
        <w:trPr>
          <w:tblCellSpacing w:w="0" w:type="dxa"/>
        </w:trPr>
        <w:tc>
          <w:tcPr>
            <w:tcW w:w="720" w:type="dxa"/>
            <w:hideMark/>
          </w:tcPr>
          <w:p w14:paraId="117DCAD8" w14:textId="77777777" w:rsidR="00000000" w:rsidRDefault="004206B0">
            <w:pPr>
              <w:rPr>
                <w:rFonts w:eastAsia="Times New Roman"/>
              </w:rPr>
            </w:pPr>
            <w:r>
              <w:rPr>
                <w:rFonts w:eastAsia="Times New Roman"/>
              </w:rPr>
              <w:t> </w:t>
            </w:r>
          </w:p>
        </w:tc>
        <w:tc>
          <w:tcPr>
            <w:tcW w:w="900" w:type="dxa"/>
            <w:hideMark/>
          </w:tcPr>
          <w:p w14:paraId="21DB729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w:t>
            </w:r>
          </w:p>
        </w:tc>
        <w:tc>
          <w:tcPr>
            <w:tcW w:w="6" w:type="dxa"/>
            <w:hideMark/>
          </w:tcPr>
          <w:p w14:paraId="7AC81EE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Unobservable inputs that are u</w:t>
            </w:r>
            <w:r>
              <w:rPr>
                <w:rFonts w:ascii="Arial" w:hAnsi="Arial" w:cs="Arial"/>
                <w:sz w:val="20"/>
                <w:szCs w:val="20"/>
              </w:rPr>
              <w:t>nobservable for the asset or liability, including the Trust’s assumptions used in determining the fair value of investments.</w:t>
            </w:r>
          </w:p>
        </w:tc>
      </w:tr>
    </w:tbl>
    <w:p w14:paraId="1F23EBC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018107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Fair value pricing could result in a difference between the prices used to calculate the Trust’s net asset value and the prices </w:t>
      </w:r>
      <w:r>
        <w:rPr>
          <w:rFonts w:ascii="Arial" w:hAnsi="Arial" w:cs="Arial"/>
          <w:sz w:val="20"/>
          <w:szCs w:val="20"/>
        </w:rPr>
        <w:t>used by the Trust’s underlying index, which in turn could result in a difference between the Trust’s performance and the performance of the Trust’s underlying index.</w:t>
      </w:r>
    </w:p>
    <w:p w14:paraId="763DB99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906C84D" w14:textId="77777777" w:rsidR="00000000" w:rsidRDefault="004206B0">
      <w:pPr>
        <w:jc w:val="center"/>
        <w:divId w:val="804543496"/>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12</w:t>
      </w:r>
      <w:r>
        <w:rPr>
          <w:rFonts w:ascii="Arial" w:eastAsia="Times New Roman" w:hAnsi="Arial" w:cs="Arial"/>
          <w:sz w:val="20"/>
          <w:szCs w:val="20"/>
        </w:rPr>
        <w:t xml:space="preserve"> </w:t>
      </w:r>
    </w:p>
    <w:p w14:paraId="543F0D02" w14:textId="77777777" w:rsidR="00000000" w:rsidRDefault="004206B0">
      <w:pPr>
        <w:rPr>
          <w:rFonts w:eastAsia="Times New Roman"/>
          <w:sz w:val="20"/>
          <w:szCs w:val="20"/>
        </w:rPr>
      </w:pPr>
      <w:r>
        <w:rPr>
          <w:rFonts w:eastAsia="Times New Roman"/>
          <w:sz w:val="20"/>
          <w:szCs w:val="20"/>
        </w:rPr>
        <w:pict w14:anchorId="300E5275">
          <v:rect id="_x0000_i1094" style="width:415.3pt;height:1.5pt" o:hralign="center" o:hrstd="t" o:hrnoshade="t" o:hr="t" fillcolor="black" stroked="f"/>
        </w:pict>
      </w:r>
    </w:p>
    <w:p w14:paraId="11E2FA2B" w14:textId="77777777" w:rsidR="00000000" w:rsidRDefault="004206B0">
      <w:pPr>
        <w:divId w:val="1197280470"/>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4BA40170" w14:textId="77777777" w:rsidR="00000000" w:rsidRDefault="004206B0">
      <w:pPr>
        <w:rPr>
          <w:rFonts w:eastAsia="Times New Roman"/>
          <w:sz w:val="20"/>
          <w:szCs w:val="20"/>
        </w:rPr>
      </w:pPr>
      <w:r>
        <w:rPr>
          <w:rFonts w:eastAsia="Times New Roman"/>
          <w:sz w:val="20"/>
          <w:szCs w:val="20"/>
        </w:rPr>
        <w:t xml:space="preserve">  </w:t>
      </w:r>
    </w:p>
    <w:p w14:paraId="6DD7F9E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summarizes the value of each of the Trust’s investments by the fair value hierarchy levels as of </w:t>
      </w:r>
      <w:r>
        <w:rPr>
          <w:rStyle w:val="a6"/>
          <w:rFonts w:ascii="Arial" w:hAnsi="Arial" w:cs="Arial"/>
          <w:sz w:val="20"/>
          <w:szCs w:val="20"/>
        </w:rPr>
        <w:t xml:space="preserve">December 31, 2022 </w:t>
      </w:r>
      <w:r>
        <w:rPr>
          <w:rFonts w:ascii="Arial" w:hAnsi="Arial" w:cs="Arial"/>
          <w:sz w:val="20"/>
          <w:szCs w:val="20"/>
        </w:rPr>
        <w:t xml:space="preserve">and </w:t>
      </w:r>
      <w:r>
        <w:rPr>
          <w:rStyle w:val="a6"/>
          <w:rFonts w:ascii="Arial" w:hAnsi="Arial" w:cs="Arial"/>
          <w:sz w:val="20"/>
          <w:szCs w:val="20"/>
        </w:rPr>
        <w:t>December 31,</w:t>
      </w:r>
      <w:r>
        <w:rPr>
          <w:rFonts w:ascii="Arial" w:hAnsi="Arial" w:cs="Arial"/>
          <w:sz w:val="20"/>
          <w:szCs w:val="20"/>
        </w:rPr>
        <w:t> </w:t>
      </w:r>
      <w:r>
        <w:rPr>
          <w:rStyle w:val="a6"/>
          <w:rFonts w:ascii="Arial" w:hAnsi="Arial" w:cs="Arial"/>
          <w:sz w:val="20"/>
          <w:szCs w:val="20"/>
        </w:rPr>
        <w:t>2021:</w:t>
      </w:r>
    </w:p>
    <w:p w14:paraId="119B196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88"/>
        <w:gridCol w:w="56"/>
        <w:gridCol w:w="112"/>
        <w:gridCol w:w="1001"/>
        <w:gridCol w:w="56"/>
        <w:gridCol w:w="56"/>
        <w:gridCol w:w="112"/>
        <w:gridCol w:w="1280"/>
        <w:gridCol w:w="56"/>
        <w:gridCol w:w="56"/>
        <w:gridCol w:w="113"/>
        <w:gridCol w:w="460"/>
        <w:gridCol w:w="56"/>
        <w:gridCol w:w="56"/>
        <w:gridCol w:w="112"/>
        <w:gridCol w:w="1280"/>
        <w:gridCol w:w="56"/>
      </w:tblGrid>
      <w:tr w:rsidR="00000000" w14:paraId="18AA6160" w14:textId="77777777">
        <w:trPr>
          <w:tblCellSpacing w:w="0" w:type="dxa"/>
        </w:trPr>
        <w:tc>
          <w:tcPr>
            <w:tcW w:w="0" w:type="auto"/>
            <w:vAlign w:val="bottom"/>
            <w:hideMark/>
          </w:tcPr>
          <w:p w14:paraId="062AD32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33F311E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F028E22"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Level 1</w:t>
            </w:r>
          </w:p>
        </w:tc>
        <w:tc>
          <w:tcPr>
            <w:tcW w:w="0" w:type="auto"/>
            <w:tcMar>
              <w:top w:w="0" w:type="dxa"/>
              <w:left w:w="0" w:type="dxa"/>
              <w:bottom w:w="15" w:type="dxa"/>
              <w:right w:w="0" w:type="dxa"/>
            </w:tcMar>
            <w:vAlign w:val="bottom"/>
            <w:hideMark/>
          </w:tcPr>
          <w:p w14:paraId="70135F3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3238383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1D1663B"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Level 2</w:t>
            </w:r>
          </w:p>
        </w:tc>
        <w:tc>
          <w:tcPr>
            <w:tcW w:w="0" w:type="auto"/>
            <w:tcMar>
              <w:top w:w="0" w:type="dxa"/>
              <w:left w:w="0" w:type="dxa"/>
              <w:bottom w:w="15" w:type="dxa"/>
              <w:right w:w="0" w:type="dxa"/>
            </w:tcMar>
            <w:vAlign w:val="bottom"/>
            <w:hideMark/>
          </w:tcPr>
          <w:p w14:paraId="494BAD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774C70C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A8E60BF"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Level 3</w:t>
            </w:r>
          </w:p>
        </w:tc>
        <w:tc>
          <w:tcPr>
            <w:tcW w:w="0" w:type="auto"/>
            <w:tcMar>
              <w:top w:w="0" w:type="dxa"/>
              <w:left w:w="0" w:type="dxa"/>
              <w:bottom w:w="15" w:type="dxa"/>
              <w:right w:w="0" w:type="dxa"/>
            </w:tcMar>
            <w:vAlign w:val="bottom"/>
            <w:hideMark/>
          </w:tcPr>
          <w:p w14:paraId="532267E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69F93E6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9DB7FFC"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Total</w:t>
            </w:r>
          </w:p>
        </w:tc>
        <w:tc>
          <w:tcPr>
            <w:tcW w:w="0" w:type="auto"/>
            <w:tcMar>
              <w:top w:w="0" w:type="dxa"/>
              <w:left w:w="0" w:type="dxa"/>
              <w:bottom w:w="15" w:type="dxa"/>
              <w:right w:w="0" w:type="dxa"/>
            </w:tcMar>
            <w:vAlign w:val="bottom"/>
            <w:hideMark/>
          </w:tcPr>
          <w:p w14:paraId="14C9B17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B0EE41F" w14:textId="77777777">
        <w:trPr>
          <w:tblCellSpacing w:w="0" w:type="dxa"/>
        </w:trPr>
        <w:tc>
          <w:tcPr>
            <w:tcW w:w="2600" w:type="pct"/>
            <w:shd w:val="clear" w:color="auto" w:fill="CCEEFF"/>
            <w:vAlign w:val="bottom"/>
            <w:hideMark/>
          </w:tcPr>
          <w:p w14:paraId="5B66615C"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2022</w:t>
            </w:r>
          </w:p>
        </w:tc>
        <w:tc>
          <w:tcPr>
            <w:tcW w:w="0" w:type="auto"/>
            <w:shd w:val="clear" w:color="auto" w:fill="CCEEFF"/>
            <w:vAlign w:val="bottom"/>
            <w:hideMark/>
          </w:tcPr>
          <w:p w14:paraId="01B1FD3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4ACA1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437C24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A24FA2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79E8F2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8E5A559"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D0548A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EC1428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72110C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A8E5C5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2787315"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1E3B66F"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7DA96F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DD747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5CAD08E"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0AF95B4"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63CEF32F" w14:textId="77777777">
        <w:trPr>
          <w:tblCellSpacing w:w="0" w:type="dxa"/>
        </w:trPr>
        <w:tc>
          <w:tcPr>
            <w:tcW w:w="0" w:type="auto"/>
            <w:shd w:val="clear" w:color="auto" w:fill="FFFFFF"/>
            <w:vAlign w:val="bottom"/>
            <w:hideMark/>
          </w:tcPr>
          <w:p w14:paraId="755248E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14:paraId="70C3EFB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7CFBD4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679E4F5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60,324,698</w:t>
            </w:r>
          </w:p>
        </w:tc>
        <w:tc>
          <w:tcPr>
            <w:tcW w:w="50" w:type="pct"/>
            <w:shd w:val="clear" w:color="auto" w:fill="FFFFFF"/>
            <w:vAlign w:val="bottom"/>
            <w:hideMark/>
          </w:tcPr>
          <w:p w14:paraId="3F56E66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3D17B1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6C2FB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4F6F842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42EA67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CB5D1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63B3E2F"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19CD6FB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9435C6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3CB99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A92F39"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41857539"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60,324,698</w:t>
            </w:r>
          </w:p>
        </w:tc>
        <w:tc>
          <w:tcPr>
            <w:tcW w:w="50" w:type="pct"/>
            <w:shd w:val="clear" w:color="auto" w:fill="FFFFFF"/>
            <w:vAlign w:val="bottom"/>
            <w:hideMark/>
          </w:tcPr>
          <w:p w14:paraId="37EEEB8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2C283077" w14:textId="77777777">
        <w:trPr>
          <w:tblCellSpacing w:w="0" w:type="dxa"/>
        </w:trPr>
        <w:tc>
          <w:tcPr>
            <w:tcW w:w="0" w:type="auto"/>
            <w:shd w:val="clear" w:color="auto" w:fill="CCEEFF"/>
            <w:vAlign w:val="bottom"/>
            <w:hideMark/>
          </w:tcPr>
          <w:p w14:paraId="15543B0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14:paraId="5B6A278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7C578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7363021"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4E13F4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0453FB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AB114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3CC3701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1,202,347,481</w:t>
            </w:r>
          </w:p>
        </w:tc>
        <w:tc>
          <w:tcPr>
            <w:tcW w:w="50" w:type="pct"/>
            <w:shd w:val="clear" w:color="auto" w:fill="CCEEFF"/>
            <w:vAlign w:val="bottom"/>
            <w:hideMark/>
          </w:tcPr>
          <w:p w14:paraId="30AF25C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480DF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4CA70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1CB1944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3918F7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39290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E90F1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18F41197"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1,202,347,481</w:t>
            </w:r>
          </w:p>
        </w:tc>
        <w:tc>
          <w:tcPr>
            <w:tcW w:w="50" w:type="pct"/>
            <w:shd w:val="clear" w:color="auto" w:fill="CCEEFF"/>
            <w:vAlign w:val="bottom"/>
            <w:hideMark/>
          </w:tcPr>
          <w:p w14:paraId="66537E7B"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F56925F" w14:textId="77777777">
        <w:trPr>
          <w:tblCellSpacing w:w="0" w:type="dxa"/>
        </w:trPr>
        <w:tc>
          <w:tcPr>
            <w:tcW w:w="0" w:type="auto"/>
            <w:shd w:val="clear" w:color="auto" w:fill="FFFFFF"/>
            <w:vAlign w:val="bottom"/>
            <w:hideMark/>
          </w:tcPr>
          <w:p w14:paraId="1CD821C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A94428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4CA201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93D2E4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B2433A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6DF594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171B69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275991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47FCF7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646F19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AAEA37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8C0F66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DB88FEC"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7642C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FEC917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94DBB7"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6BDEDB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6CC39B5C" w14:textId="77777777">
        <w:trPr>
          <w:tblCellSpacing w:w="0" w:type="dxa"/>
        </w:trPr>
        <w:tc>
          <w:tcPr>
            <w:tcW w:w="0" w:type="auto"/>
            <w:shd w:val="clear" w:color="auto" w:fill="CCEEFF"/>
            <w:vAlign w:val="bottom"/>
            <w:hideMark/>
          </w:tcPr>
          <w:p w14:paraId="673A4C8E"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2021</w:t>
            </w:r>
          </w:p>
        </w:tc>
        <w:tc>
          <w:tcPr>
            <w:tcW w:w="0" w:type="auto"/>
            <w:shd w:val="clear" w:color="auto" w:fill="CCEEFF"/>
            <w:vAlign w:val="bottom"/>
            <w:hideMark/>
          </w:tcPr>
          <w:p w14:paraId="4297E22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7CB50E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DEB6EE2"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C099A16"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7690A7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C46F11"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E5E39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B5856BD"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70496C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61955E4"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500E080"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DB14BB8"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5B294AF"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EFEB1F3"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BFD8FD7"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9841FC5" w14:textId="77777777" w:rsidR="00000000" w:rsidRDefault="004206B0">
            <w:pPr>
              <w:rPr>
                <w:rFonts w:ascii="Arial" w:eastAsia="Times New Roman" w:hAnsi="Arial" w:cs="Arial"/>
                <w:sz w:val="20"/>
                <w:szCs w:val="20"/>
              </w:rPr>
            </w:pPr>
            <w:r>
              <w:rPr>
                <w:rFonts w:ascii="Arial" w:eastAsia="Times New Roman" w:hAnsi="Arial" w:cs="Arial"/>
                <w:b/>
                <w:bCs/>
                <w:sz w:val="20"/>
                <w:szCs w:val="20"/>
              </w:rPr>
              <w:t> </w:t>
            </w:r>
          </w:p>
        </w:tc>
      </w:tr>
      <w:tr w:rsidR="00000000" w14:paraId="09327ECD" w14:textId="77777777">
        <w:trPr>
          <w:tblCellSpacing w:w="0" w:type="dxa"/>
        </w:trPr>
        <w:tc>
          <w:tcPr>
            <w:tcW w:w="0" w:type="auto"/>
            <w:shd w:val="clear" w:color="auto" w:fill="FFFFFF"/>
            <w:vAlign w:val="bottom"/>
            <w:hideMark/>
          </w:tcPr>
          <w:p w14:paraId="272C0D9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14:paraId="6012F6C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2933492"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7454A8EA"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FFFFFF"/>
            <w:vAlign w:val="bottom"/>
            <w:hideMark/>
          </w:tcPr>
          <w:p w14:paraId="6EE11E14"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D4BD5E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159193D"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022A26B6"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61BB6D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04100D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CAEAB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0B9B2C73"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B04F39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00FFE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6729C7" w14:textId="77777777" w:rsidR="00000000" w:rsidRDefault="004206B0">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55BA6260"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FFFFFF"/>
            <w:vAlign w:val="bottom"/>
            <w:hideMark/>
          </w:tcPr>
          <w:p w14:paraId="6A5CE7B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r w:rsidR="00000000" w14:paraId="45A9A5D9" w14:textId="77777777">
        <w:trPr>
          <w:tblCellSpacing w:w="0" w:type="dxa"/>
        </w:trPr>
        <w:tc>
          <w:tcPr>
            <w:tcW w:w="0" w:type="auto"/>
            <w:shd w:val="clear" w:color="auto" w:fill="CCEEFF"/>
            <w:vAlign w:val="bottom"/>
            <w:hideMark/>
          </w:tcPr>
          <w:p w14:paraId="713722B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14:paraId="6B3C8333"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8233F1"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1D0F5422"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01B5CF0"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4C9530E"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842145"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9FD1E1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14:paraId="5E786A3D"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C90991A"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4E465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6FED9E3E"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9DCAF88"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46A362"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F6E289"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0C5D6608" w14:textId="77777777" w:rsidR="00000000" w:rsidRDefault="004206B0">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14:paraId="76200696" w14:textId="77777777" w:rsidR="00000000" w:rsidRDefault="004206B0">
            <w:pPr>
              <w:rPr>
                <w:rFonts w:ascii="Arial" w:eastAsia="Times New Roman" w:hAnsi="Arial" w:cs="Arial"/>
                <w:sz w:val="20"/>
                <w:szCs w:val="20"/>
              </w:rPr>
            </w:pPr>
            <w:r>
              <w:rPr>
                <w:rFonts w:ascii="Arial" w:eastAsia="Times New Roman" w:hAnsi="Arial" w:cs="Arial"/>
                <w:sz w:val="20"/>
                <w:szCs w:val="20"/>
              </w:rPr>
              <w:t> </w:t>
            </w:r>
          </w:p>
        </w:tc>
      </w:tr>
    </w:tbl>
    <w:p w14:paraId="184C4B54" w14:textId="77777777" w:rsidR="00000000" w:rsidRDefault="004206B0">
      <w:pPr>
        <w:pStyle w:val="a3"/>
        <w:spacing w:before="0" w:beforeAutospacing="0" w:after="0" w:afterAutospacing="0"/>
        <w:rPr>
          <w:sz w:val="20"/>
          <w:szCs w:val="20"/>
        </w:rPr>
      </w:pPr>
      <w:r>
        <w:rPr>
          <w:sz w:val="20"/>
          <w:szCs w:val="20"/>
        </w:rPr>
        <w:t> </w:t>
      </w:r>
    </w:p>
    <w:p w14:paraId="41F292A8" w14:textId="77777777" w:rsidR="00000000" w:rsidRDefault="004206B0">
      <w:pPr>
        <w:spacing w:before="60" w:after="60"/>
        <w:rPr>
          <w:rFonts w:eastAsia="Times New Roman"/>
          <w:sz w:val="20"/>
          <w:szCs w:val="20"/>
        </w:rPr>
      </w:pPr>
      <w:r>
        <w:rPr>
          <w:rFonts w:eastAsia="Times New Roman"/>
          <w:sz w:val="20"/>
          <w:szCs w:val="20"/>
        </w:rPr>
        <w:pict w14:anchorId="307E156B">
          <v:rect id="_x0000_i1095"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14:paraId="15BEC2B9" w14:textId="77777777">
        <w:trPr>
          <w:tblCellSpacing w:w="0" w:type="dxa"/>
        </w:trPr>
        <w:tc>
          <w:tcPr>
            <w:tcW w:w="360" w:type="dxa"/>
            <w:hideMark/>
          </w:tcPr>
          <w:p w14:paraId="11F11944" w14:textId="77777777" w:rsidR="00000000" w:rsidRDefault="004206B0">
            <w:pPr>
              <w:pStyle w:val="a3"/>
              <w:spacing w:before="0" w:beforeAutospacing="0" w:after="0" w:afterAutospacing="0"/>
              <w:rPr>
                <w:rFonts w:ascii="Arial" w:hAnsi="Arial" w:cs="Arial"/>
                <w:sz w:val="20"/>
                <w:szCs w:val="20"/>
              </w:rPr>
            </w:pPr>
            <w:r>
              <w:rPr>
                <w:rFonts w:ascii="Arial" w:hAnsi="Arial" w:cs="Arial"/>
                <w:sz w:val="12"/>
                <w:szCs w:val="12"/>
              </w:rPr>
              <w:t xml:space="preserve">(a) </w:t>
            </w:r>
          </w:p>
        </w:tc>
        <w:tc>
          <w:tcPr>
            <w:tcW w:w="6" w:type="dxa"/>
            <w:hideMark/>
          </w:tcPr>
          <w:p w14:paraId="6962FE32" w14:textId="77777777" w:rsidR="00000000" w:rsidRDefault="004206B0">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14:paraId="5240DEA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DAB0716" w14:textId="77777777" w:rsidR="00000000" w:rsidRDefault="004206B0">
      <w:pPr>
        <w:jc w:val="center"/>
        <w:divId w:val="1548755429"/>
        <w:rPr>
          <w:rFonts w:ascii="Arial" w:eastAsia="Times New Roman" w:hAnsi="Arial" w:cs="Arial"/>
          <w:sz w:val="20"/>
          <w:szCs w:val="20"/>
        </w:rPr>
      </w:pPr>
      <w:r>
        <w:rPr>
          <w:rFonts w:ascii="Arial" w:eastAsia="Times New Roman" w:hAnsi="Arial" w:cs="Arial"/>
          <w:sz w:val="20"/>
          <w:szCs w:val="20"/>
        </w:rPr>
        <w:t xml:space="preserve">F-13 </w:t>
      </w:r>
    </w:p>
    <w:p w14:paraId="453B9CFA" w14:textId="77777777" w:rsidR="00000000" w:rsidRDefault="004206B0">
      <w:pPr>
        <w:divId w:val="2138255001"/>
        <w:rPr>
          <w:rFonts w:eastAsia="Times New Roman"/>
          <w:sz w:val="20"/>
          <w:szCs w:val="20"/>
        </w:rPr>
      </w:pPr>
      <w:r>
        <w:rPr>
          <w:rFonts w:eastAsia="Times New Roman"/>
          <w:sz w:val="20"/>
          <w:szCs w:val="20"/>
        </w:rPr>
        <w:pict w14:anchorId="70086536">
          <v:rect id="_x0000_i1096" style="width:415.3pt;height:1.5pt" o:hralign="center" o:hrstd="t" o:hrnoshade="t" o:hr="t" fillcolor="black" stroked="f"/>
        </w:pict>
      </w:r>
    </w:p>
    <w:p w14:paraId="1B01EF53" w14:textId="77777777" w:rsidR="00000000" w:rsidRDefault="004206B0">
      <w:pPr>
        <w:divId w:val="1534926526"/>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14:paraId="34470816" w14:textId="77777777" w:rsidR="00000000" w:rsidRDefault="004206B0">
      <w:pPr>
        <w:divId w:val="982660949"/>
        <w:rPr>
          <w:rFonts w:eastAsia="Times New Roman"/>
          <w:sz w:val="20"/>
          <w:szCs w:val="20"/>
        </w:rPr>
      </w:pPr>
      <w:r>
        <w:rPr>
          <w:rFonts w:eastAsia="Times New Roman"/>
          <w:sz w:val="20"/>
          <w:szCs w:val="20"/>
        </w:rPr>
        <w:t xml:space="preserve">  </w:t>
      </w:r>
    </w:p>
    <w:p w14:paraId="240E1207"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 </w:t>
      </w:r>
    </w:p>
    <w:p w14:paraId="4AD66ECF" w14:textId="77777777" w:rsidR="00000000" w:rsidRDefault="004206B0">
      <w:pPr>
        <w:divId w:val="1418599081"/>
        <w:rPr>
          <w:rFonts w:eastAsia="Times New Roman"/>
          <w:sz w:val="20"/>
          <w:szCs w:val="20"/>
        </w:rPr>
      </w:pPr>
      <w:r>
        <w:rPr>
          <w:rFonts w:eastAsia="Times New Roman"/>
          <w:sz w:val="20"/>
          <w:szCs w:val="20"/>
        </w:rPr>
        <w:t xml:space="preserve">  </w:t>
      </w:r>
    </w:p>
    <w:p w14:paraId="1F65D3FE"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14:paraId="2082741E"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47AD6942"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Pursuant t</w:t>
      </w:r>
      <w:r>
        <w:rPr>
          <w:rFonts w:ascii="Arial" w:hAnsi="Arial" w:cs="Arial"/>
          <w:sz w:val="20"/>
          <w:szCs w:val="20"/>
        </w:rPr>
        <w:t>o the requirements of the Securities Exchange Act of 1934, the registrant has duly caused this report to be signed on its behalf by the undersigned in the capacities* indicated, thereunto duly authorized.</w:t>
      </w:r>
    </w:p>
    <w:p w14:paraId="62ABD1F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4A27AB1"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For purposes of CFTC Rule 4.22(h), to the best of</w:t>
      </w:r>
      <w:r>
        <w:rPr>
          <w:rFonts w:ascii="Arial" w:hAnsi="Arial" w:cs="Arial"/>
          <w:b/>
          <w:bCs/>
          <w:sz w:val="20"/>
          <w:szCs w:val="20"/>
        </w:rPr>
        <w:t xml:space="preserve"> the knowledge and belief of the undersigned, the information contained in the CFTC Annual Report set forth herein is accurate and complete.</w:t>
      </w:r>
    </w:p>
    <w:p w14:paraId="1849DE93"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64EC740F"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14:paraId="5E2D484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Sponsor of the iShares S&amp;P GSCI™ Commodity-Indexed Trust (registrant)</w:t>
      </w:r>
    </w:p>
    <w:p w14:paraId="0A3B9E8C"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65C14BDA" w14:textId="77777777">
        <w:trPr>
          <w:tblCellSpacing w:w="0" w:type="dxa"/>
        </w:trPr>
        <w:tc>
          <w:tcPr>
            <w:tcW w:w="5000" w:type="pct"/>
            <w:tcBorders>
              <w:bottom w:val="single" w:sz="6" w:space="0" w:color="000000"/>
            </w:tcBorders>
            <w:vAlign w:val="center"/>
            <w:hideMark/>
          </w:tcPr>
          <w:p w14:paraId="2C3E1BE8" w14:textId="77777777" w:rsidR="00000000" w:rsidRDefault="004206B0">
            <w:pPr>
              <w:rPr>
                <w:rFonts w:ascii="Arial" w:eastAsia="Times New Roman" w:hAnsi="Arial" w:cs="Arial"/>
                <w:sz w:val="20"/>
                <w:szCs w:val="20"/>
              </w:rPr>
            </w:pPr>
            <w:r>
              <w:rPr>
                <w:rFonts w:ascii="Arial" w:eastAsia="Times New Roman" w:hAnsi="Arial" w:cs="Arial"/>
                <w:sz w:val="20"/>
                <w:szCs w:val="20"/>
              </w:rPr>
              <w:t>/s/ S</w:t>
            </w:r>
            <w:r>
              <w:rPr>
                <w:rFonts w:ascii="Arial" w:eastAsia="Times New Roman" w:hAnsi="Arial" w:cs="Arial"/>
                <w:sz w:val="20"/>
                <w:szCs w:val="20"/>
              </w:rPr>
              <w:t>hannon Ghia</w:t>
            </w:r>
          </w:p>
        </w:tc>
      </w:tr>
    </w:tbl>
    <w:p w14:paraId="4387C95B"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Shannon Ghia</w:t>
      </w:r>
    </w:p>
    <w:p w14:paraId="4B4475C2"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 xml:space="preserve">Director, President and Chief Executive Officer </w:t>
      </w:r>
    </w:p>
    <w:p w14:paraId="1C667B2E"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(Principal executive officer)</w:t>
      </w:r>
    </w:p>
    <w:p w14:paraId="2290562D"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3ACAC817" w14:textId="77777777">
        <w:trPr>
          <w:tblCellSpacing w:w="0" w:type="dxa"/>
        </w:trPr>
        <w:tc>
          <w:tcPr>
            <w:tcW w:w="600" w:type="pct"/>
            <w:vAlign w:val="center"/>
            <w:hideMark/>
          </w:tcPr>
          <w:p w14:paraId="1646B43F" w14:textId="77777777" w:rsidR="00000000" w:rsidRDefault="004206B0">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317D9BB2" w14:textId="77777777" w:rsidR="00000000" w:rsidRDefault="004206B0">
            <w:pPr>
              <w:rPr>
                <w:rFonts w:ascii="Arial" w:eastAsia="Times New Roman" w:hAnsi="Arial" w:cs="Arial"/>
                <w:sz w:val="20"/>
                <w:szCs w:val="20"/>
              </w:rPr>
            </w:pPr>
            <w:r>
              <w:rPr>
                <w:rFonts w:ascii="Arial" w:eastAsia="Times New Roman" w:hAnsi="Arial" w:cs="Arial"/>
                <w:sz w:val="20"/>
                <w:szCs w:val="20"/>
              </w:rPr>
              <w:t>February 23, 2023</w:t>
            </w:r>
          </w:p>
        </w:tc>
      </w:tr>
    </w:tbl>
    <w:p w14:paraId="106AFEB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3B961B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21FCED0B" w14:textId="77777777">
        <w:trPr>
          <w:tblCellSpacing w:w="0" w:type="dxa"/>
        </w:trPr>
        <w:tc>
          <w:tcPr>
            <w:tcW w:w="5000" w:type="pct"/>
            <w:tcBorders>
              <w:bottom w:val="single" w:sz="6" w:space="0" w:color="000000"/>
            </w:tcBorders>
            <w:vAlign w:val="center"/>
            <w:hideMark/>
          </w:tcPr>
          <w:p w14:paraId="29E71AD3" w14:textId="77777777" w:rsidR="00000000" w:rsidRDefault="004206B0">
            <w:pPr>
              <w:rPr>
                <w:rFonts w:ascii="Arial" w:eastAsia="Times New Roman" w:hAnsi="Arial" w:cs="Arial"/>
                <w:sz w:val="20"/>
                <w:szCs w:val="20"/>
              </w:rPr>
            </w:pPr>
            <w:r>
              <w:rPr>
                <w:rFonts w:ascii="Arial" w:eastAsia="Times New Roman" w:hAnsi="Arial" w:cs="Arial"/>
                <w:sz w:val="20"/>
                <w:szCs w:val="20"/>
              </w:rPr>
              <w:t>/s/ Bryan Bowers</w:t>
            </w:r>
          </w:p>
        </w:tc>
      </w:tr>
    </w:tbl>
    <w:p w14:paraId="7F1E710B"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Bryan Bowers</w:t>
      </w:r>
    </w:p>
    <w:p w14:paraId="4DE3C016"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Director and Chief Financial Officer</w:t>
      </w:r>
    </w:p>
    <w:p w14:paraId="354CE708"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(Principal financial and accounting officer)</w:t>
      </w:r>
    </w:p>
    <w:p w14:paraId="6247EBF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1BC21A80" w14:textId="77777777">
        <w:trPr>
          <w:tblCellSpacing w:w="0" w:type="dxa"/>
        </w:trPr>
        <w:tc>
          <w:tcPr>
            <w:tcW w:w="600" w:type="pct"/>
            <w:vAlign w:val="center"/>
            <w:hideMark/>
          </w:tcPr>
          <w:p w14:paraId="7C34E05C" w14:textId="77777777" w:rsidR="00000000" w:rsidRDefault="004206B0">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13902402" w14:textId="77777777" w:rsidR="00000000" w:rsidRDefault="004206B0">
            <w:pPr>
              <w:rPr>
                <w:rFonts w:ascii="Arial" w:eastAsia="Times New Roman" w:hAnsi="Arial" w:cs="Arial"/>
                <w:sz w:val="20"/>
                <w:szCs w:val="20"/>
              </w:rPr>
            </w:pPr>
            <w:r>
              <w:rPr>
                <w:rFonts w:ascii="Arial" w:eastAsia="Times New Roman" w:hAnsi="Arial" w:cs="Arial"/>
                <w:sz w:val="20"/>
                <w:szCs w:val="20"/>
              </w:rPr>
              <w:t>February 23, 2023</w:t>
            </w:r>
          </w:p>
        </w:tc>
      </w:tr>
    </w:tbl>
    <w:p w14:paraId="007F55B4"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30078C8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0D2E6FA7" w14:textId="77777777">
        <w:trPr>
          <w:tblCellSpacing w:w="0" w:type="dxa"/>
        </w:trPr>
        <w:tc>
          <w:tcPr>
            <w:tcW w:w="5000" w:type="pct"/>
            <w:tcBorders>
              <w:bottom w:val="single" w:sz="6" w:space="0" w:color="000000"/>
            </w:tcBorders>
            <w:vAlign w:val="center"/>
            <w:hideMark/>
          </w:tcPr>
          <w:p w14:paraId="2CA691A7" w14:textId="77777777" w:rsidR="00000000" w:rsidRDefault="004206B0">
            <w:pPr>
              <w:rPr>
                <w:rFonts w:ascii="Arial" w:eastAsia="Times New Roman" w:hAnsi="Arial" w:cs="Arial"/>
                <w:sz w:val="20"/>
                <w:szCs w:val="20"/>
              </w:rPr>
            </w:pPr>
            <w:r>
              <w:rPr>
                <w:rFonts w:ascii="Arial" w:eastAsia="Times New Roman" w:hAnsi="Arial" w:cs="Arial"/>
                <w:sz w:val="20"/>
                <w:szCs w:val="20"/>
              </w:rPr>
              <w:t>/s/ Philip Jensen</w:t>
            </w:r>
          </w:p>
        </w:tc>
      </w:tr>
    </w:tbl>
    <w:p w14:paraId="497E096F"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 xml:space="preserve">Philip Jensen </w:t>
      </w:r>
    </w:p>
    <w:p w14:paraId="033CCC85"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Director</w:t>
      </w:r>
    </w:p>
    <w:p w14:paraId="4E7EB660"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122DFCDE" w14:textId="77777777">
        <w:trPr>
          <w:tblCellSpacing w:w="0" w:type="dxa"/>
        </w:trPr>
        <w:tc>
          <w:tcPr>
            <w:tcW w:w="600" w:type="pct"/>
            <w:vAlign w:val="center"/>
            <w:hideMark/>
          </w:tcPr>
          <w:p w14:paraId="6E275339" w14:textId="77777777" w:rsidR="00000000" w:rsidRDefault="004206B0">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75B09416" w14:textId="77777777" w:rsidR="00000000" w:rsidRDefault="004206B0">
            <w:pPr>
              <w:rPr>
                <w:rFonts w:ascii="Arial" w:eastAsia="Times New Roman" w:hAnsi="Arial" w:cs="Arial"/>
                <w:sz w:val="20"/>
                <w:szCs w:val="20"/>
              </w:rPr>
            </w:pPr>
            <w:r>
              <w:rPr>
                <w:rFonts w:ascii="Arial" w:eastAsia="Times New Roman" w:hAnsi="Arial" w:cs="Arial"/>
                <w:sz w:val="20"/>
                <w:szCs w:val="20"/>
              </w:rPr>
              <w:t>February 23, 2023</w:t>
            </w:r>
          </w:p>
        </w:tc>
      </w:tr>
    </w:tbl>
    <w:p w14:paraId="094A814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0A4E563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24E6E886" w14:textId="77777777">
        <w:trPr>
          <w:tblCellSpacing w:w="0" w:type="dxa"/>
        </w:trPr>
        <w:tc>
          <w:tcPr>
            <w:tcW w:w="5000" w:type="pct"/>
            <w:tcBorders>
              <w:bottom w:val="single" w:sz="6" w:space="0" w:color="000000"/>
            </w:tcBorders>
            <w:vAlign w:val="center"/>
            <w:hideMark/>
          </w:tcPr>
          <w:p w14:paraId="7A4E3227" w14:textId="77777777" w:rsidR="00000000" w:rsidRDefault="004206B0">
            <w:pPr>
              <w:rPr>
                <w:rFonts w:ascii="Arial" w:eastAsia="Times New Roman" w:hAnsi="Arial" w:cs="Arial"/>
                <w:sz w:val="20"/>
                <w:szCs w:val="20"/>
              </w:rPr>
            </w:pPr>
            <w:r>
              <w:rPr>
                <w:rFonts w:ascii="Arial" w:eastAsia="Times New Roman" w:hAnsi="Arial" w:cs="Arial"/>
                <w:sz w:val="20"/>
                <w:szCs w:val="20"/>
              </w:rPr>
              <w:t>/s/ Peter Landini  </w:t>
            </w:r>
          </w:p>
        </w:tc>
      </w:tr>
    </w:tbl>
    <w:p w14:paraId="497314F3"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 xml:space="preserve">Peter Landini </w:t>
      </w:r>
    </w:p>
    <w:p w14:paraId="5EF797ED"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Director</w:t>
      </w:r>
    </w:p>
    <w:p w14:paraId="5B8C3D48"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1980040D" w14:textId="77777777">
        <w:trPr>
          <w:tblCellSpacing w:w="0" w:type="dxa"/>
        </w:trPr>
        <w:tc>
          <w:tcPr>
            <w:tcW w:w="600" w:type="pct"/>
            <w:vAlign w:val="center"/>
            <w:hideMark/>
          </w:tcPr>
          <w:p w14:paraId="2E17D95C" w14:textId="77777777" w:rsidR="00000000" w:rsidRDefault="004206B0">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63FA6EF8" w14:textId="77777777" w:rsidR="00000000" w:rsidRDefault="004206B0">
            <w:pPr>
              <w:rPr>
                <w:rFonts w:ascii="Arial" w:eastAsia="Times New Roman" w:hAnsi="Arial" w:cs="Arial"/>
                <w:sz w:val="20"/>
                <w:szCs w:val="20"/>
              </w:rPr>
            </w:pPr>
            <w:r>
              <w:rPr>
                <w:rFonts w:ascii="Arial" w:eastAsia="Times New Roman" w:hAnsi="Arial" w:cs="Arial"/>
                <w:sz w:val="20"/>
                <w:szCs w:val="20"/>
              </w:rPr>
              <w:t>February 23, 2023</w:t>
            </w:r>
          </w:p>
        </w:tc>
      </w:tr>
    </w:tbl>
    <w:p w14:paraId="5F282609"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224813C5"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0B9016A3" w14:textId="77777777">
        <w:trPr>
          <w:tblCellSpacing w:w="0" w:type="dxa"/>
        </w:trPr>
        <w:tc>
          <w:tcPr>
            <w:tcW w:w="5000" w:type="pct"/>
            <w:tcBorders>
              <w:bottom w:val="single" w:sz="6" w:space="0" w:color="000000"/>
            </w:tcBorders>
            <w:vAlign w:val="center"/>
            <w:hideMark/>
          </w:tcPr>
          <w:p w14:paraId="422B20A4" w14:textId="77777777" w:rsidR="00000000" w:rsidRDefault="004206B0">
            <w:pPr>
              <w:rPr>
                <w:rFonts w:ascii="Arial" w:eastAsia="Times New Roman" w:hAnsi="Arial" w:cs="Arial"/>
                <w:sz w:val="20"/>
                <w:szCs w:val="20"/>
              </w:rPr>
            </w:pPr>
            <w:r>
              <w:rPr>
                <w:rFonts w:ascii="Arial" w:eastAsia="Times New Roman" w:hAnsi="Arial" w:cs="Arial"/>
                <w:sz w:val="20"/>
                <w:szCs w:val="20"/>
              </w:rPr>
              <w:t>/s/ Kimun Lee</w:t>
            </w:r>
          </w:p>
        </w:tc>
      </w:tr>
    </w:tbl>
    <w:p w14:paraId="31C123A3"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 xml:space="preserve">Kimun Lee </w:t>
      </w:r>
    </w:p>
    <w:p w14:paraId="5980F570" w14:textId="77777777" w:rsidR="00000000" w:rsidRDefault="004206B0">
      <w:pPr>
        <w:pStyle w:val="a3"/>
        <w:spacing w:before="0" w:beforeAutospacing="0" w:after="0" w:afterAutospacing="0"/>
        <w:rPr>
          <w:rFonts w:ascii="Arial" w:hAnsi="Arial" w:cs="Arial"/>
          <w:sz w:val="20"/>
          <w:szCs w:val="20"/>
        </w:rPr>
      </w:pPr>
      <w:r>
        <w:rPr>
          <w:rFonts w:ascii="Arial" w:hAnsi="Arial" w:cs="Arial"/>
          <w:b/>
          <w:bCs/>
          <w:sz w:val="20"/>
          <w:szCs w:val="20"/>
        </w:rPr>
        <w:t>Director</w:t>
      </w:r>
    </w:p>
    <w:p w14:paraId="43549FA1"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375A9AB2" w14:textId="77777777">
        <w:trPr>
          <w:tblCellSpacing w:w="0" w:type="dxa"/>
        </w:trPr>
        <w:tc>
          <w:tcPr>
            <w:tcW w:w="600" w:type="pct"/>
            <w:vAlign w:val="center"/>
            <w:hideMark/>
          </w:tcPr>
          <w:p w14:paraId="207CCA71" w14:textId="77777777" w:rsidR="00000000" w:rsidRDefault="004206B0">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6E6F1A8E" w14:textId="77777777" w:rsidR="00000000" w:rsidRDefault="004206B0">
            <w:pPr>
              <w:rPr>
                <w:rFonts w:ascii="Arial" w:eastAsia="Times New Roman" w:hAnsi="Arial" w:cs="Arial"/>
                <w:sz w:val="20"/>
                <w:szCs w:val="20"/>
              </w:rPr>
            </w:pPr>
            <w:r>
              <w:rPr>
                <w:rFonts w:ascii="Arial" w:eastAsia="Times New Roman" w:hAnsi="Arial" w:cs="Arial"/>
                <w:sz w:val="20"/>
                <w:szCs w:val="20"/>
              </w:rPr>
              <w:t>February 23, 2023</w:t>
            </w:r>
          </w:p>
        </w:tc>
      </w:tr>
    </w:tbl>
    <w:p w14:paraId="29ED61BA"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12CAE5DA" w14:textId="77777777" w:rsidR="00000000" w:rsidRDefault="004206B0">
      <w:pPr>
        <w:spacing w:before="60" w:after="60"/>
        <w:rPr>
          <w:rFonts w:eastAsia="Times New Roman"/>
          <w:sz w:val="20"/>
          <w:szCs w:val="20"/>
        </w:rPr>
      </w:pPr>
      <w:r>
        <w:rPr>
          <w:rFonts w:eastAsia="Times New Roman"/>
          <w:sz w:val="20"/>
          <w:szCs w:val="20"/>
        </w:rPr>
        <w:pict w14:anchorId="0D1FC36E">
          <v:rect id="_x0000_i1097" style="width:41.55pt;height:.75pt" o:hrpct="100" o:hrstd="t" o:hrnoshade="t" o:hr="t" fillcolor="black" stroked="f"/>
        </w:pict>
      </w:r>
    </w:p>
    <w:p w14:paraId="0CE0A867"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xml:space="preserve">*    </w:t>
      </w:r>
      <w:r>
        <w:rPr>
          <w:rFonts w:ascii="Arial" w:hAnsi="Arial" w:cs="Arial"/>
          <w:sz w:val="16"/>
          <w:szCs w:val="16"/>
        </w:rPr>
        <w:t>The registrant is a trust and the persons are signing in their respective capacities as officers or directors of iShares Delaware Trust Sponsor LLC, the Sponsor of the registrant.</w:t>
      </w:r>
    </w:p>
    <w:p w14:paraId="21A9207B" w14:textId="77777777" w:rsidR="00000000" w:rsidRDefault="004206B0">
      <w:pPr>
        <w:pStyle w:val="a3"/>
        <w:spacing w:before="0" w:beforeAutospacing="0" w:after="0" w:afterAutospacing="0"/>
        <w:rPr>
          <w:rFonts w:ascii="Arial" w:hAnsi="Arial" w:cs="Arial"/>
          <w:sz w:val="20"/>
          <w:szCs w:val="20"/>
        </w:rPr>
      </w:pPr>
      <w:r>
        <w:rPr>
          <w:rFonts w:ascii="Arial" w:hAnsi="Arial" w:cs="Arial"/>
          <w:sz w:val="20"/>
          <w:szCs w:val="20"/>
        </w:rPr>
        <w:t> </w:t>
      </w:r>
    </w:p>
    <w:p w14:paraId="704FD6D6" w14:textId="77777777" w:rsidR="00000000" w:rsidRDefault="004206B0">
      <w:pPr>
        <w:pStyle w:val="a3"/>
        <w:spacing w:before="0" w:beforeAutospacing="0" w:after="0" w:afterAutospacing="0"/>
        <w:jc w:val="center"/>
        <w:rPr>
          <w:rFonts w:ascii="Arial" w:hAnsi="Arial" w:cs="Arial"/>
          <w:sz w:val="20"/>
          <w:szCs w:val="20"/>
        </w:rPr>
      </w:pPr>
      <w:r>
        <w:rPr>
          <w:rFonts w:ascii="Arial" w:hAnsi="Arial" w:cs="Arial"/>
          <w:sz w:val="20"/>
          <w:szCs w:val="20"/>
        </w:rPr>
        <w:t>37</w:t>
      </w:r>
    </w:p>
    <w:p w14:paraId="41F1CCDF" w14:textId="77777777" w:rsidR="004206B0" w:rsidRDefault="004206B0">
      <w:pPr>
        <w:divId w:val="775636002"/>
        <w:rPr>
          <w:rFonts w:eastAsia="Times New Roman"/>
          <w:sz w:val="20"/>
          <w:szCs w:val="20"/>
        </w:rPr>
      </w:pPr>
      <w:r>
        <w:rPr>
          <w:rFonts w:eastAsia="Times New Roman"/>
          <w:sz w:val="20"/>
          <w:szCs w:val="20"/>
        </w:rPr>
        <w:t xml:space="preserve">  </w:t>
      </w:r>
    </w:p>
    <w:sectPr w:rsidR="004206B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206B0"/>
    <w:rsid w:val="004206B0"/>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2"/>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2"/>
  <w:attachedSchema w:val="http://www.xbrl.org/2003/linkbase"/>
  <w:attachedSchema w:val="http://www.xbrl.org/2003/iso4217"/>
  <w:attachedSchema w:val="http://xbrl.org/2005/xbrldt"/>
  <w:attachedSchema w:val="http://www.RDGFilings.com"/>
  <w:attachedSchema w:val="http://xbrl.sec.gov/dei/2022"/>
  <w:attachedSchema w:val="http://us.ishares.com/20221231"/>
  <w:attachedSchema w:val="http://fasb.org/srt/2022"/>
  <w:attachedSchema w:val="http://xbrl.sec.gov/currency/2022"/>
  <w:attachedSchema w:val="http://xbrl.sec.gov/sic/2022"/>
  <w:attachedSchema w:val="http://xbrl.sec.gov/exch/2022"/>
  <w:attachedSchema w:val="http://xbrl.sec.gov/country/2022"/>
  <w:attachedSchema w:val="http://fasb.org/us-gaap/2022"/>
  <w:attachedSchema w:val="http://xbrl.sec.gov/rr/2022"/>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F5B81"/>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223">
      <w:marLeft w:val="0"/>
      <w:marRight w:val="0"/>
      <w:marTop w:val="0"/>
      <w:marBottom w:val="0"/>
      <w:divBdr>
        <w:top w:val="none" w:sz="0" w:space="0" w:color="auto"/>
        <w:left w:val="none" w:sz="0" w:space="0" w:color="auto"/>
        <w:bottom w:val="none" w:sz="0" w:space="0" w:color="auto"/>
        <w:right w:val="none" w:sz="0" w:space="0" w:color="auto"/>
      </w:divBdr>
      <w:divsChild>
        <w:div w:id="2071925712">
          <w:marLeft w:val="0"/>
          <w:marRight w:val="0"/>
          <w:marTop w:val="0"/>
          <w:marBottom w:val="0"/>
          <w:divBdr>
            <w:top w:val="none" w:sz="0" w:space="0" w:color="auto"/>
            <w:left w:val="none" w:sz="0" w:space="0" w:color="auto"/>
            <w:bottom w:val="none" w:sz="0" w:space="0" w:color="auto"/>
            <w:right w:val="none" w:sz="0" w:space="0" w:color="auto"/>
          </w:divBdr>
        </w:div>
        <w:div w:id="608053030">
          <w:marLeft w:val="0"/>
          <w:marRight w:val="0"/>
          <w:marTop w:val="0"/>
          <w:marBottom w:val="0"/>
          <w:divBdr>
            <w:top w:val="none" w:sz="0" w:space="0" w:color="auto"/>
            <w:left w:val="none" w:sz="0" w:space="0" w:color="auto"/>
            <w:bottom w:val="none" w:sz="0" w:space="0" w:color="auto"/>
            <w:right w:val="none" w:sz="0" w:space="0" w:color="auto"/>
          </w:divBdr>
        </w:div>
      </w:divsChild>
    </w:div>
    <w:div w:id="11416448">
      <w:marLeft w:val="0"/>
      <w:marRight w:val="0"/>
      <w:marTop w:val="0"/>
      <w:marBottom w:val="0"/>
      <w:divBdr>
        <w:top w:val="none" w:sz="0" w:space="0" w:color="auto"/>
        <w:left w:val="none" w:sz="0" w:space="0" w:color="auto"/>
        <w:bottom w:val="none" w:sz="0" w:space="0" w:color="auto"/>
        <w:right w:val="none" w:sz="0" w:space="0" w:color="auto"/>
      </w:divBdr>
      <w:divsChild>
        <w:div w:id="417602173">
          <w:marLeft w:val="0"/>
          <w:marRight w:val="0"/>
          <w:marTop w:val="0"/>
          <w:marBottom w:val="0"/>
          <w:divBdr>
            <w:top w:val="none" w:sz="0" w:space="0" w:color="auto"/>
            <w:left w:val="none" w:sz="0" w:space="0" w:color="auto"/>
            <w:bottom w:val="none" w:sz="0" w:space="0" w:color="auto"/>
            <w:right w:val="none" w:sz="0" w:space="0" w:color="auto"/>
          </w:divBdr>
        </w:div>
        <w:div w:id="1321621263">
          <w:marLeft w:val="0"/>
          <w:marRight w:val="0"/>
          <w:marTop w:val="0"/>
          <w:marBottom w:val="0"/>
          <w:divBdr>
            <w:top w:val="none" w:sz="0" w:space="0" w:color="auto"/>
            <w:left w:val="none" w:sz="0" w:space="0" w:color="auto"/>
            <w:bottom w:val="none" w:sz="0" w:space="0" w:color="auto"/>
            <w:right w:val="none" w:sz="0" w:space="0" w:color="auto"/>
          </w:divBdr>
        </w:div>
      </w:divsChild>
    </w:div>
    <w:div w:id="21638711">
      <w:marLeft w:val="0"/>
      <w:marRight w:val="0"/>
      <w:marTop w:val="0"/>
      <w:marBottom w:val="0"/>
      <w:divBdr>
        <w:top w:val="none" w:sz="0" w:space="0" w:color="auto"/>
        <w:left w:val="none" w:sz="0" w:space="0" w:color="auto"/>
        <w:bottom w:val="none" w:sz="0" w:space="0" w:color="auto"/>
        <w:right w:val="none" w:sz="0" w:space="0" w:color="auto"/>
      </w:divBdr>
      <w:divsChild>
        <w:div w:id="104276707">
          <w:marLeft w:val="0"/>
          <w:marRight w:val="0"/>
          <w:marTop w:val="0"/>
          <w:marBottom w:val="0"/>
          <w:divBdr>
            <w:top w:val="none" w:sz="0" w:space="0" w:color="auto"/>
            <w:left w:val="none" w:sz="0" w:space="0" w:color="auto"/>
            <w:bottom w:val="none" w:sz="0" w:space="0" w:color="auto"/>
            <w:right w:val="none" w:sz="0" w:space="0" w:color="auto"/>
          </w:divBdr>
          <w:divsChild>
            <w:div w:id="1763449631">
              <w:marLeft w:val="0"/>
              <w:marRight w:val="0"/>
              <w:marTop w:val="0"/>
              <w:marBottom w:val="0"/>
              <w:divBdr>
                <w:top w:val="none" w:sz="0" w:space="0" w:color="auto"/>
                <w:left w:val="none" w:sz="0" w:space="0" w:color="auto"/>
                <w:bottom w:val="none" w:sz="0" w:space="0" w:color="auto"/>
                <w:right w:val="none" w:sz="0" w:space="0" w:color="auto"/>
              </w:divBdr>
              <w:divsChild>
                <w:div w:id="7756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0600">
      <w:marLeft w:val="0"/>
      <w:marRight w:val="0"/>
      <w:marTop w:val="0"/>
      <w:marBottom w:val="0"/>
      <w:divBdr>
        <w:top w:val="none" w:sz="0" w:space="0" w:color="auto"/>
        <w:left w:val="none" w:sz="0" w:space="0" w:color="auto"/>
        <w:bottom w:val="none" w:sz="0" w:space="0" w:color="auto"/>
        <w:right w:val="none" w:sz="0" w:space="0" w:color="auto"/>
      </w:divBdr>
    </w:div>
    <w:div w:id="130710310">
      <w:marLeft w:val="0"/>
      <w:marRight w:val="0"/>
      <w:marTop w:val="0"/>
      <w:marBottom w:val="0"/>
      <w:divBdr>
        <w:top w:val="none" w:sz="0" w:space="0" w:color="auto"/>
        <w:left w:val="none" w:sz="0" w:space="0" w:color="auto"/>
        <w:bottom w:val="none" w:sz="0" w:space="0" w:color="auto"/>
        <w:right w:val="none" w:sz="0" w:space="0" w:color="auto"/>
      </w:divBdr>
      <w:divsChild>
        <w:div w:id="229118615">
          <w:marLeft w:val="0"/>
          <w:marRight w:val="0"/>
          <w:marTop w:val="0"/>
          <w:marBottom w:val="0"/>
          <w:divBdr>
            <w:top w:val="none" w:sz="0" w:space="0" w:color="auto"/>
            <w:left w:val="none" w:sz="0" w:space="0" w:color="auto"/>
            <w:bottom w:val="none" w:sz="0" w:space="0" w:color="auto"/>
            <w:right w:val="none" w:sz="0" w:space="0" w:color="auto"/>
          </w:divBdr>
        </w:div>
        <w:div w:id="787704496">
          <w:marLeft w:val="0"/>
          <w:marRight w:val="0"/>
          <w:marTop w:val="0"/>
          <w:marBottom w:val="0"/>
          <w:divBdr>
            <w:top w:val="none" w:sz="0" w:space="0" w:color="auto"/>
            <w:left w:val="none" w:sz="0" w:space="0" w:color="auto"/>
            <w:bottom w:val="none" w:sz="0" w:space="0" w:color="auto"/>
            <w:right w:val="none" w:sz="0" w:space="0" w:color="auto"/>
          </w:divBdr>
        </w:div>
      </w:divsChild>
    </w:div>
    <w:div w:id="164982938">
      <w:marLeft w:val="0"/>
      <w:marRight w:val="0"/>
      <w:marTop w:val="0"/>
      <w:marBottom w:val="0"/>
      <w:divBdr>
        <w:top w:val="none" w:sz="0" w:space="0" w:color="auto"/>
        <w:left w:val="none" w:sz="0" w:space="0" w:color="auto"/>
        <w:bottom w:val="none" w:sz="0" w:space="0" w:color="auto"/>
        <w:right w:val="none" w:sz="0" w:space="0" w:color="auto"/>
      </w:divBdr>
      <w:divsChild>
        <w:div w:id="1069812107">
          <w:marLeft w:val="0"/>
          <w:marRight w:val="0"/>
          <w:marTop w:val="0"/>
          <w:marBottom w:val="0"/>
          <w:divBdr>
            <w:top w:val="none" w:sz="0" w:space="0" w:color="auto"/>
            <w:left w:val="none" w:sz="0" w:space="0" w:color="auto"/>
            <w:bottom w:val="none" w:sz="0" w:space="0" w:color="auto"/>
            <w:right w:val="none" w:sz="0" w:space="0" w:color="auto"/>
          </w:divBdr>
        </w:div>
        <w:div w:id="797144619">
          <w:marLeft w:val="0"/>
          <w:marRight w:val="0"/>
          <w:marTop w:val="0"/>
          <w:marBottom w:val="0"/>
          <w:divBdr>
            <w:top w:val="none" w:sz="0" w:space="0" w:color="auto"/>
            <w:left w:val="none" w:sz="0" w:space="0" w:color="auto"/>
            <w:bottom w:val="none" w:sz="0" w:space="0" w:color="auto"/>
            <w:right w:val="none" w:sz="0" w:space="0" w:color="auto"/>
          </w:divBdr>
        </w:div>
      </w:divsChild>
    </w:div>
    <w:div w:id="178543958">
      <w:marLeft w:val="0"/>
      <w:marRight w:val="0"/>
      <w:marTop w:val="0"/>
      <w:marBottom w:val="0"/>
      <w:divBdr>
        <w:top w:val="none" w:sz="0" w:space="0" w:color="auto"/>
        <w:left w:val="none" w:sz="0" w:space="0" w:color="auto"/>
        <w:bottom w:val="none" w:sz="0" w:space="0" w:color="auto"/>
        <w:right w:val="none" w:sz="0" w:space="0" w:color="auto"/>
      </w:divBdr>
      <w:divsChild>
        <w:div w:id="1414667313">
          <w:marLeft w:val="0"/>
          <w:marRight w:val="0"/>
          <w:marTop w:val="0"/>
          <w:marBottom w:val="0"/>
          <w:divBdr>
            <w:top w:val="none" w:sz="0" w:space="0" w:color="auto"/>
            <w:left w:val="none" w:sz="0" w:space="0" w:color="auto"/>
            <w:bottom w:val="none" w:sz="0" w:space="0" w:color="auto"/>
            <w:right w:val="none" w:sz="0" w:space="0" w:color="auto"/>
          </w:divBdr>
        </w:div>
        <w:div w:id="649938976">
          <w:marLeft w:val="0"/>
          <w:marRight w:val="0"/>
          <w:marTop w:val="0"/>
          <w:marBottom w:val="0"/>
          <w:divBdr>
            <w:top w:val="none" w:sz="0" w:space="0" w:color="auto"/>
            <w:left w:val="none" w:sz="0" w:space="0" w:color="auto"/>
            <w:bottom w:val="none" w:sz="0" w:space="0" w:color="auto"/>
            <w:right w:val="none" w:sz="0" w:space="0" w:color="auto"/>
          </w:divBdr>
        </w:div>
      </w:divsChild>
    </w:div>
    <w:div w:id="190337819">
      <w:marLeft w:val="0"/>
      <w:marRight w:val="0"/>
      <w:marTop w:val="0"/>
      <w:marBottom w:val="0"/>
      <w:divBdr>
        <w:top w:val="none" w:sz="0" w:space="0" w:color="auto"/>
        <w:left w:val="none" w:sz="0" w:space="0" w:color="auto"/>
        <w:bottom w:val="none" w:sz="0" w:space="0" w:color="auto"/>
        <w:right w:val="none" w:sz="0" w:space="0" w:color="auto"/>
      </w:divBdr>
    </w:div>
    <w:div w:id="196744273">
      <w:marLeft w:val="0"/>
      <w:marRight w:val="0"/>
      <w:marTop w:val="0"/>
      <w:marBottom w:val="0"/>
      <w:divBdr>
        <w:top w:val="none" w:sz="0" w:space="0" w:color="auto"/>
        <w:left w:val="none" w:sz="0" w:space="0" w:color="auto"/>
        <w:bottom w:val="none" w:sz="0" w:space="0" w:color="auto"/>
        <w:right w:val="none" w:sz="0" w:space="0" w:color="auto"/>
      </w:divBdr>
    </w:div>
    <w:div w:id="204827782">
      <w:marLeft w:val="0"/>
      <w:marRight w:val="0"/>
      <w:marTop w:val="0"/>
      <w:marBottom w:val="0"/>
      <w:divBdr>
        <w:top w:val="none" w:sz="0" w:space="0" w:color="auto"/>
        <w:left w:val="none" w:sz="0" w:space="0" w:color="auto"/>
        <w:bottom w:val="none" w:sz="0" w:space="0" w:color="auto"/>
        <w:right w:val="none" w:sz="0" w:space="0" w:color="auto"/>
      </w:divBdr>
    </w:div>
    <w:div w:id="231816834">
      <w:marLeft w:val="0"/>
      <w:marRight w:val="0"/>
      <w:marTop w:val="0"/>
      <w:marBottom w:val="0"/>
      <w:divBdr>
        <w:top w:val="none" w:sz="0" w:space="0" w:color="auto"/>
        <w:left w:val="none" w:sz="0" w:space="0" w:color="auto"/>
        <w:bottom w:val="none" w:sz="0" w:space="0" w:color="auto"/>
        <w:right w:val="none" w:sz="0" w:space="0" w:color="auto"/>
      </w:divBdr>
    </w:div>
    <w:div w:id="271254165">
      <w:marLeft w:val="0"/>
      <w:marRight w:val="0"/>
      <w:marTop w:val="0"/>
      <w:marBottom w:val="0"/>
      <w:divBdr>
        <w:top w:val="none" w:sz="0" w:space="0" w:color="auto"/>
        <w:left w:val="none" w:sz="0" w:space="0" w:color="auto"/>
        <w:bottom w:val="none" w:sz="0" w:space="0" w:color="auto"/>
        <w:right w:val="none" w:sz="0" w:space="0" w:color="auto"/>
      </w:divBdr>
      <w:divsChild>
        <w:div w:id="1898584762">
          <w:marLeft w:val="0"/>
          <w:marRight w:val="0"/>
          <w:marTop w:val="0"/>
          <w:marBottom w:val="0"/>
          <w:divBdr>
            <w:top w:val="none" w:sz="0" w:space="0" w:color="auto"/>
            <w:left w:val="none" w:sz="0" w:space="0" w:color="auto"/>
            <w:bottom w:val="none" w:sz="0" w:space="0" w:color="auto"/>
            <w:right w:val="none" w:sz="0" w:space="0" w:color="auto"/>
          </w:divBdr>
        </w:div>
        <w:div w:id="1746681190">
          <w:marLeft w:val="0"/>
          <w:marRight w:val="0"/>
          <w:marTop w:val="0"/>
          <w:marBottom w:val="0"/>
          <w:divBdr>
            <w:top w:val="none" w:sz="0" w:space="0" w:color="auto"/>
            <w:left w:val="none" w:sz="0" w:space="0" w:color="auto"/>
            <w:bottom w:val="none" w:sz="0" w:space="0" w:color="auto"/>
            <w:right w:val="none" w:sz="0" w:space="0" w:color="auto"/>
          </w:divBdr>
        </w:div>
      </w:divsChild>
    </w:div>
    <w:div w:id="313725266">
      <w:marLeft w:val="0"/>
      <w:marRight w:val="0"/>
      <w:marTop w:val="0"/>
      <w:marBottom w:val="0"/>
      <w:divBdr>
        <w:top w:val="none" w:sz="0" w:space="0" w:color="auto"/>
        <w:left w:val="none" w:sz="0" w:space="0" w:color="auto"/>
        <w:bottom w:val="none" w:sz="0" w:space="0" w:color="auto"/>
        <w:right w:val="none" w:sz="0" w:space="0" w:color="auto"/>
      </w:divBdr>
    </w:div>
    <w:div w:id="350568367">
      <w:marLeft w:val="0"/>
      <w:marRight w:val="0"/>
      <w:marTop w:val="0"/>
      <w:marBottom w:val="0"/>
      <w:divBdr>
        <w:top w:val="none" w:sz="0" w:space="0" w:color="auto"/>
        <w:left w:val="none" w:sz="0" w:space="0" w:color="auto"/>
        <w:bottom w:val="none" w:sz="0" w:space="0" w:color="auto"/>
        <w:right w:val="none" w:sz="0" w:space="0" w:color="auto"/>
      </w:divBdr>
      <w:divsChild>
        <w:div w:id="1009989074">
          <w:marLeft w:val="0"/>
          <w:marRight w:val="0"/>
          <w:marTop w:val="0"/>
          <w:marBottom w:val="0"/>
          <w:divBdr>
            <w:top w:val="none" w:sz="0" w:space="0" w:color="auto"/>
            <w:left w:val="none" w:sz="0" w:space="0" w:color="auto"/>
            <w:bottom w:val="none" w:sz="0" w:space="0" w:color="auto"/>
            <w:right w:val="none" w:sz="0" w:space="0" w:color="auto"/>
          </w:divBdr>
        </w:div>
        <w:div w:id="1199927845">
          <w:marLeft w:val="0"/>
          <w:marRight w:val="0"/>
          <w:marTop w:val="0"/>
          <w:marBottom w:val="0"/>
          <w:divBdr>
            <w:top w:val="none" w:sz="0" w:space="0" w:color="auto"/>
            <w:left w:val="none" w:sz="0" w:space="0" w:color="auto"/>
            <w:bottom w:val="none" w:sz="0" w:space="0" w:color="auto"/>
            <w:right w:val="none" w:sz="0" w:space="0" w:color="auto"/>
          </w:divBdr>
        </w:div>
      </w:divsChild>
    </w:div>
    <w:div w:id="369458836">
      <w:marLeft w:val="0"/>
      <w:marRight w:val="0"/>
      <w:marTop w:val="0"/>
      <w:marBottom w:val="0"/>
      <w:divBdr>
        <w:top w:val="none" w:sz="0" w:space="0" w:color="auto"/>
        <w:left w:val="none" w:sz="0" w:space="0" w:color="auto"/>
        <w:bottom w:val="none" w:sz="0" w:space="0" w:color="auto"/>
        <w:right w:val="none" w:sz="0" w:space="0" w:color="auto"/>
      </w:divBdr>
      <w:divsChild>
        <w:div w:id="598611375">
          <w:marLeft w:val="0"/>
          <w:marRight w:val="0"/>
          <w:marTop w:val="0"/>
          <w:marBottom w:val="0"/>
          <w:divBdr>
            <w:top w:val="none" w:sz="0" w:space="0" w:color="auto"/>
            <w:left w:val="none" w:sz="0" w:space="0" w:color="auto"/>
            <w:bottom w:val="none" w:sz="0" w:space="0" w:color="auto"/>
            <w:right w:val="none" w:sz="0" w:space="0" w:color="auto"/>
          </w:divBdr>
        </w:div>
        <w:div w:id="1824852630">
          <w:marLeft w:val="0"/>
          <w:marRight w:val="0"/>
          <w:marTop w:val="0"/>
          <w:marBottom w:val="0"/>
          <w:divBdr>
            <w:top w:val="none" w:sz="0" w:space="0" w:color="auto"/>
            <w:left w:val="none" w:sz="0" w:space="0" w:color="auto"/>
            <w:bottom w:val="none" w:sz="0" w:space="0" w:color="auto"/>
            <w:right w:val="none" w:sz="0" w:space="0" w:color="auto"/>
          </w:divBdr>
        </w:div>
      </w:divsChild>
    </w:div>
    <w:div w:id="379982108">
      <w:marLeft w:val="0"/>
      <w:marRight w:val="0"/>
      <w:marTop w:val="0"/>
      <w:marBottom w:val="0"/>
      <w:divBdr>
        <w:top w:val="none" w:sz="0" w:space="0" w:color="auto"/>
        <w:left w:val="none" w:sz="0" w:space="0" w:color="auto"/>
        <w:bottom w:val="none" w:sz="0" w:space="0" w:color="auto"/>
        <w:right w:val="none" w:sz="0" w:space="0" w:color="auto"/>
      </w:divBdr>
    </w:div>
    <w:div w:id="423843227">
      <w:marLeft w:val="0"/>
      <w:marRight w:val="0"/>
      <w:marTop w:val="0"/>
      <w:marBottom w:val="0"/>
      <w:divBdr>
        <w:top w:val="none" w:sz="0" w:space="0" w:color="auto"/>
        <w:left w:val="none" w:sz="0" w:space="0" w:color="auto"/>
        <w:bottom w:val="none" w:sz="0" w:space="0" w:color="auto"/>
        <w:right w:val="none" w:sz="0" w:space="0" w:color="auto"/>
      </w:divBdr>
    </w:div>
    <w:div w:id="435714735">
      <w:marLeft w:val="0"/>
      <w:marRight w:val="0"/>
      <w:marTop w:val="0"/>
      <w:marBottom w:val="0"/>
      <w:divBdr>
        <w:top w:val="none" w:sz="0" w:space="0" w:color="auto"/>
        <w:left w:val="none" w:sz="0" w:space="0" w:color="auto"/>
        <w:bottom w:val="none" w:sz="0" w:space="0" w:color="auto"/>
        <w:right w:val="none" w:sz="0" w:space="0" w:color="auto"/>
      </w:divBdr>
      <w:divsChild>
        <w:div w:id="818109945">
          <w:marLeft w:val="0"/>
          <w:marRight w:val="0"/>
          <w:marTop w:val="0"/>
          <w:marBottom w:val="0"/>
          <w:divBdr>
            <w:top w:val="none" w:sz="0" w:space="0" w:color="auto"/>
            <w:left w:val="none" w:sz="0" w:space="0" w:color="auto"/>
            <w:bottom w:val="none" w:sz="0" w:space="0" w:color="auto"/>
            <w:right w:val="none" w:sz="0" w:space="0" w:color="auto"/>
          </w:divBdr>
        </w:div>
        <w:div w:id="1319075095">
          <w:marLeft w:val="0"/>
          <w:marRight w:val="0"/>
          <w:marTop w:val="0"/>
          <w:marBottom w:val="0"/>
          <w:divBdr>
            <w:top w:val="none" w:sz="0" w:space="0" w:color="auto"/>
            <w:left w:val="none" w:sz="0" w:space="0" w:color="auto"/>
            <w:bottom w:val="none" w:sz="0" w:space="0" w:color="auto"/>
            <w:right w:val="none" w:sz="0" w:space="0" w:color="auto"/>
          </w:divBdr>
        </w:div>
      </w:divsChild>
    </w:div>
    <w:div w:id="447358148">
      <w:marLeft w:val="0"/>
      <w:marRight w:val="0"/>
      <w:marTop w:val="0"/>
      <w:marBottom w:val="0"/>
      <w:divBdr>
        <w:top w:val="none" w:sz="0" w:space="0" w:color="auto"/>
        <w:left w:val="none" w:sz="0" w:space="0" w:color="auto"/>
        <w:bottom w:val="none" w:sz="0" w:space="0" w:color="auto"/>
        <w:right w:val="none" w:sz="0" w:space="0" w:color="auto"/>
      </w:divBdr>
    </w:div>
    <w:div w:id="508520045">
      <w:marLeft w:val="0"/>
      <w:marRight w:val="0"/>
      <w:marTop w:val="0"/>
      <w:marBottom w:val="0"/>
      <w:divBdr>
        <w:top w:val="none" w:sz="0" w:space="0" w:color="auto"/>
        <w:left w:val="none" w:sz="0" w:space="0" w:color="auto"/>
        <w:bottom w:val="none" w:sz="0" w:space="0" w:color="auto"/>
        <w:right w:val="none" w:sz="0" w:space="0" w:color="auto"/>
      </w:divBdr>
    </w:div>
    <w:div w:id="538013512">
      <w:marLeft w:val="0"/>
      <w:marRight w:val="0"/>
      <w:marTop w:val="0"/>
      <w:marBottom w:val="0"/>
      <w:divBdr>
        <w:top w:val="none" w:sz="0" w:space="0" w:color="auto"/>
        <w:left w:val="none" w:sz="0" w:space="0" w:color="auto"/>
        <w:bottom w:val="none" w:sz="0" w:space="0" w:color="auto"/>
        <w:right w:val="none" w:sz="0" w:space="0" w:color="auto"/>
      </w:divBdr>
      <w:divsChild>
        <w:div w:id="2085102368">
          <w:marLeft w:val="0"/>
          <w:marRight w:val="0"/>
          <w:marTop w:val="0"/>
          <w:marBottom w:val="0"/>
          <w:divBdr>
            <w:top w:val="none" w:sz="0" w:space="0" w:color="auto"/>
            <w:left w:val="none" w:sz="0" w:space="0" w:color="auto"/>
            <w:bottom w:val="none" w:sz="0" w:space="0" w:color="auto"/>
            <w:right w:val="none" w:sz="0" w:space="0" w:color="auto"/>
          </w:divBdr>
          <w:divsChild>
            <w:div w:id="256987225">
              <w:marLeft w:val="0"/>
              <w:marRight w:val="0"/>
              <w:marTop w:val="0"/>
              <w:marBottom w:val="0"/>
              <w:divBdr>
                <w:top w:val="none" w:sz="0" w:space="0" w:color="auto"/>
                <w:left w:val="none" w:sz="0" w:space="0" w:color="auto"/>
                <w:bottom w:val="none" w:sz="0" w:space="0" w:color="auto"/>
                <w:right w:val="none" w:sz="0" w:space="0" w:color="auto"/>
              </w:divBdr>
            </w:div>
          </w:divsChild>
        </w:div>
        <w:div w:id="589195492">
          <w:marLeft w:val="0"/>
          <w:marRight w:val="0"/>
          <w:marTop w:val="0"/>
          <w:marBottom w:val="0"/>
          <w:divBdr>
            <w:top w:val="none" w:sz="0" w:space="0" w:color="auto"/>
            <w:left w:val="none" w:sz="0" w:space="0" w:color="auto"/>
            <w:bottom w:val="none" w:sz="0" w:space="0" w:color="auto"/>
            <w:right w:val="none" w:sz="0" w:space="0" w:color="auto"/>
          </w:divBdr>
        </w:div>
      </w:divsChild>
    </w:div>
    <w:div w:id="538593569">
      <w:marLeft w:val="0"/>
      <w:marRight w:val="0"/>
      <w:marTop w:val="0"/>
      <w:marBottom w:val="0"/>
      <w:divBdr>
        <w:top w:val="none" w:sz="0" w:space="0" w:color="auto"/>
        <w:left w:val="none" w:sz="0" w:space="0" w:color="auto"/>
        <w:bottom w:val="none" w:sz="0" w:space="0" w:color="auto"/>
        <w:right w:val="none" w:sz="0" w:space="0" w:color="auto"/>
      </w:divBdr>
    </w:div>
    <w:div w:id="565457523">
      <w:marLeft w:val="0"/>
      <w:marRight w:val="0"/>
      <w:marTop w:val="0"/>
      <w:marBottom w:val="0"/>
      <w:divBdr>
        <w:top w:val="none" w:sz="0" w:space="0" w:color="auto"/>
        <w:left w:val="none" w:sz="0" w:space="0" w:color="auto"/>
        <w:bottom w:val="none" w:sz="0" w:space="0" w:color="auto"/>
        <w:right w:val="none" w:sz="0" w:space="0" w:color="auto"/>
      </w:divBdr>
    </w:div>
    <w:div w:id="719207321">
      <w:marLeft w:val="0"/>
      <w:marRight w:val="0"/>
      <w:marTop w:val="0"/>
      <w:marBottom w:val="0"/>
      <w:divBdr>
        <w:top w:val="none" w:sz="0" w:space="0" w:color="auto"/>
        <w:left w:val="none" w:sz="0" w:space="0" w:color="auto"/>
        <w:bottom w:val="none" w:sz="0" w:space="0" w:color="auto"/>
        <w:right w:val="none" w:sz="0" w:space="0" w:color="auto"/>
      </w:divBdr>
      <w:divsChild>
        <w:div w:id="323362062">
          <w:marLeft w:val="0"/>
          <w:marRight w:val="0"/>
          <w:marTop w:val="0"/>
          <w:marBottom w:val="0"/>
          <w:divBdr>
            <w:top w:val="none" w:sz="0" w:space="0" w:color="auto"/>
            <w:left w:val="none" w:sz="0" w:space="0" w:color="auto"/>
            <w:bottom w:val="none" w:sz="0" w:space="0" w:color="auto"/>
            <w:right w:val="none" w:sz="0" w:space="0" w:color="auto"/>
          </w:divBdr>
        </w:div>
        <w:div w:id="893153332">
          <w:marLeft w:val="0"/>
          <w:marRight w:val="0"/>
          <w:marTop w:val="0"/>
          <w:marBottom w:val="0"/>
          <w:divBdr>
            <w:top w:val="none" w:sz="0" w:space="0" w:color="auto"/>
            <w:left w:val="none" w:sz="0" w:space="0" w:color="auto"/>
            <w:bottom w:val="none" w:sz="0" w:space="0" w:color="auto"/>
            <w:right w:val="none" w:sz="0" w:space="0" w:color="auto"/>
          </w:divBdr>
        </w:div>
      </w:divsChild>
    </w:div>
    <w:div w:id="760641210">
      <w:marLeft w:val="0"/>
      <w:marRight w:val="0"/>
      <w:marTop w:val="0"/>
      <w:marBottom w:val="0"/>
      <w:divBdr>
        <w:top w:val="none" w:sz="0" w:space="0" w:color="auto"/>
        <w:left w:val="none" w:sz="0" w:space="0" w:color="auto"/>
        <w:bottom w:val="none" w:sz="0" w:space="0" w:color="auto"/>
        <w:right w:val="none" w:sz="0" w:space="0" w:color="auto"/>
      </w:divBdr>
      <w:divsChild>
        <w:div w:id="1859734511">
          <w:marLeft w:val="0"/>
          <w:marRight w:val="0"/>
          <w:marTop w:val="0"/>
          <w:marBottom w:val="0"/>
          <w:divBdr>
            <w:top w:val="none" w:sz="0" w:space="0" w:color="auto"/>
            <w:left w:val="none" w:sz="0" w:space="0" w:color="auto"/>
            <w:bottom w:val="none" w:sz="0" w:space="0" w:color="auto"/>
            <w:right w:val="none" w:sz="0" w:space="0" w:color="auto"/>
          </w:divBdr>
        </w:div>
        <w:div w:id="621108068">
          <w:marLeft w:val="0"/>
          <w:marRight w:val="0"/>
          <w:marTop w:val="0"/>
          <w:marBottom w:val="0"/>
          <w:divBdr>
            <w:top w:val="none" w:sz="0" w:space="0" w:color="auto"/>
            <w:left w:val="none" w:sz="0" w:space="0" w:color="auto"/>
            <w:bottom w:val="none" w:sz="0" w:space="0" w:color="auto"/>
            <w:right w:val="none" w:sz="0" w:space="0" w:color="auto"/>
          </w:divBdr>
        </w:div>
      </w:divsChild>
    </w:div>
    <w:div w:id="796608226">
      <w:marLeft w:val="0"/>
      <w:marRight w:val="0"/>
      <w:marTop w:val="0"/>
      <w:marBottom w:val="0"/>
      <w:divBdr>
        <w:top w:val="none" w:sz="0" w:space="0" w:color="auto"/>
        <w:left w:val="none" w:sz="0" w:space="0" w:color="auto"/>
        <w:bottom w:val="none" w:sz="0" w:space="0" w:color="auto"/>
        <w:right w:val="none" w:sz="0" w:space="0" w:color="auto"/>
      </w:divBdr>
      <w:divsChild>
        <w:div w:id="367604247">
          <w:marLeft w:val="0"/>
          <w:marRight w:val="0"/>
          <w:marTop w:val="0"/>
          <w:marBottom w:val="0"/>
          <w:divBdr>
            <w:top w:val="none" w:sz="0" w:space="0" w:color="auto"/>
            <w:left w:val="none" w:sz="0" w:space="0" w:color="auto"/>
            <w:bottom w:val="none" w:sz="0" w:space="0" w:color="auto"/>
            <w:right w:val="none" w:sz="0" w:space="0" w:color="auto"/>
          </w:divBdr>
        </w:div>
        <w:div w:id="719331632">
          <w:marLeft w:val="0"/>
          <w:marRight w:val="0"/>
          <w:marTop w:val="0"/>
          <w:marBottom w:val="0"/>
          <w:divBdr>
            <w:top w:val="none" w:sz="0" w:space="0" w:color="auto"/>
            <w:left w:val="none" w:sz="0" w:space="0" w:color="auto"/>
            <w:bottom w:val="none" w:sz="0" w:space="0" w:color="auto"/>
            <w:right w:val="none" w:sz="0" w:space="0" w:color="auto"/>
          </w:divBdr>
        </w:div>
      </w:divsChild>
    </w:div>
    <w:div w:id="804543496">
      <w:marLeft w:val="0"/>
      <w:marRight w:val="0"/>
      <w:marTop w:val="0"/>
      <w:marBottom w:val="0"/>
      <w:divBdr>
        <w:top w:val="none" w:sz="0" w:space="0" w:color="auto"/>
        <w:left w:val="none" w:sz="0" w:space="0" w:color="auto"/>
        <w:bottom w:val="none" w:sz="0" w:space="0" w:color="auto"/>
        <w:right w:val="none" w:sz="0" w:space="0" w:color="auto"/>
      </w:divBdr>
    </w:div>
    <w:div w:id="832261408">
      <w:marLeft w:val="0"/>
      <w:marRight w:val="0"/>
      <w:marTop w:val="0"/>
      <w:marBottom w:val="0"/>
      <w:divBdr>
        <w:top w:val="none" w:sz="0" w:space="0" w:color="auto"/>
        <w:left w:val="none" w:sz="0" w:space="0" w:color="auto"/>
        <w:bottom w:val="none" w:sz="0" w:space="0" w:color="auto"/>
        <w:right w:val="none" w:sz="0" w:space="0" w:color="auto"/>
      </w:divBdr>
      <w:divsChild>
        <w:div w:id="2065062232">
          <w:marLeft w:val="0"/>
          <w:marRight w:val="0"/>
          <w:marTop w:val="0"/>
          <w:marBottom w:val="0"/>
          <w:divBdr>
            <w:top w:val="none" w:sz="0" w:space="0" w:color="auto"/>
            <w:left w:val="none" w:sz="0" w:space="0" w:color="auto"/>
            <w:bottom w:val="none" w:sz="0" w:space="0" w:color="auto"/>
            <w:right w:val="none" w:sz="0" w:space="0" w:color="auto"/>
          </w:divBdr>
        </w:div>
        <w:div w:id="806431021">
          <w:marLeft w:val="0"/>
          <w:marRight w:val="0"/>
          <w:marTop w:val="0"/>
          <w:marBottom w:val="0"/>
          <w:divBdr>
            <w:top w:val="none" w:sz="0" w:space="0" w:color="auto"/>
            <w:left w:val="none" w:sz="0" w:space="0" w:color="auto"/>
            <w:bottom w:val="none" w:sz="0" w:space="0" w:color="auto"/>
            <w:right w:val="none" w:sz="0" w:space="0" w:color="auto"/>
          </w:divBdr>
        </w:div>
      </w:divsChild>
    </w:div>
    <w:div w:id="851532565">
      <w:marLeft w:val="0"/>
      <w:marRight w:val="0"/>
      <w:marTop w:val="0"/>
      <w:marBottom w:val="0"/>
      <w:divBdr>
        <w:top w:val="none" w:sz="0" w:space="0" w:color="auto"/>
        <w:left w:val="none" w:sz="0" w:space="0" w:color="auto"/>
        <w:bottom w:val="none" w:sz="0" w:space="0" w:color="auto"/>
        <w:right w:val="none" w:sz="0" w:space="0" w:color="auto"/>
      </w:divBdr>
    </w:div>
    <w:div w:id="865556122">
      <w:marLeft w:val="0"/>
      <w:marRight w:val="0"/>
      <w:marTop w:val="0"/>
      <w:marBottom w:val="0"/>
      <w:divBdr>
        <w:top w:val="none" w:sz="0" w:space="0" w:color="auto"/>
        <w:left w:val="none" w:sz="0" w:space="0" w:color="auto"/>
        <w:bottom w:val="none" w:sz="0" w:space="0" w:color="auto"/>
        <w:right w:val="none" w:sz="0" w:space="0" w:color="auto"/>
      </w:divBdr>
    </w:div>
    <w:div w:id="876549836">
      <w:marLeft w:val="0"/>
      <w:marRight w:val="0"/>
      <w:marTop w:val="0"/>
      <w:marBottom w:val="0"/>
      <w:divBdr>
        <w:top w:val="none" w:sz="0" w:space="0" w:color="auto"/>
        <w:left w:val="none" w:sz="0" w:space="0" w:color="auto"/>
        <w:bottom w:val="none" w:sz="0" w:space="0" w:color="auto"/>
        <w:right w:val="none" w:sz="0" w:space="0" w:color="auto"/>
      </w:divBdr>
      <w:divsChild>
        <w:div w:id="84424270">
          <w:marLeft w:val="0"/>
          <w:marRight w:val="0"/>
          <w:marTop w:val="0"/>
          <w:marBottom w:val="0"/>
          <w:divBdr>
            <w:top w:val="none" w:sz="0" w:space="0" w:color="auto"/>
            <w:left w:val="none" w:sz="0" w:space="0" w:color="auto"/>
            <w:bottom w:val="none" w:sz="0" w:space="0" w:color="auto"/>
            <w:right w:val="none" w:sz="0" w:space="0" w:color="auto"/>
          </w:divBdr>
        </w:div>
        <w:div w:id="1632442815">
          <w:marLeft w:val="0"/>
          <w:marRight w:val="0"/>
          <w:marTop w:val="0"/>
          <w:marBottom w:val="0"/>
          <w:divBdr>
            <w:top w:val="none" w:sz="0" w:space="0" w:color="auto"/>
            <w:left w:val="none" w:sz="0" w:space="0" w:color="auto"/>
            <w:bottom w:val="none" w:sz="0" w:space="0" w:color="auto"/>
            <w:right w:val="none" w:sz="0" w:space="0" w:color="auto"/>
          </w:divBdr>
        </w:div>
      </w:divsChild>
    </w:div>
    <w:div w:id="911357954">
      <w:marLeft w:val="0"/>
      <w:marRight w:val="0"/>
      <w:marTop w:val="0"/>
      <w:marBottom w:val="0"/>
      <w:divBdr>
        <w:top w:val="none" w:sz="0" w:space="0" w:color="auto"/>
        <w:left w:val="none" w:sz="0" w:space="0" w:color="auto"/>
        <w:bottom w:val="none" w:sz="0" w:space="0" w:color="auto"/>
        <w:right w:val="none" w:sz="0" w:space="0" w:color="auto"/>
      </w:divBdr>
      <w:divsChild>
        <w:div w:id="1703551275">
          <w:marLeft w:val="0"/>
          <w:marRight w:val="0"/>
          <w:marTop w:val="0"/>
          <w:marBottom w:val="0"/>
          <w:divBdr>
            <w:top w:val="none" w:sz="0" w:space="0" w:color="auto"/>
            <w:left w:val="none" w:sz="0" w:space="0" w:color="auto"/>
            <w:bottom w:val="none" w:sz="0" w:space="0" w:color="auto"/>
            <w:right w:val="none" w:sz="0" w:space="0" w:color="auto"/>
          </w:divBdr>
        </w:div>
        <w:div w:id="281152351">
          <w:marLeft w:val="0"/>
          <w:marRight w:val="0"/>
          <w:marTop w:val="0"/>
          <w:marBottom w:val="0"/>
          <w:divBdr>
            <w:top w:val="none" w:sz="0" w:space="0" w:color="auto"/>
            <w:left w:val="none" w:sz="0" w:space="0" w:color="auto"/>
            <w:bottom w:val="none" w:sz="0" w:space="0" w:color="auto"/>
            <w:right w:val="none" w:sz="0" w:space="0" w:color="auto"/>
          </w:divBdr>
        </w:div>
      </w:divsChild>
    </w:div>
    <w:div w:id="925847460">
      <w:marLeft w:val="0"/>
      <w:marRight w:val="0"/>
      <w:marTop w:val="0"/>
      <w:marBottom w:val="0"/>
      <w:divBdr>
        <w:top w:val="none" w:sz="0" w:space="0" w:color="auto"/>
        <w:left w:val="none" w:sz="0" w:space="0" w:color="auto"/>
        <w:bottom w:val="none" w:sz="0" w:space="0" w:color="auto"/>
        <w:right w:val="none" w:sz="0" w:space="0" w:color="auto"/>
      </w:divBdr>
      <w:divsChild>
        <w:div w:id="46952754">
          <w:marLeft w:val="0"/>
          <w:marRight w:val="0"/>
          <w:marTop w:val="0"/>
          <w:marBottom w:val="0"/>
          <w:divBdr>
            <w:top w:val="none" w:sz="0" w:space="0" w:color="auto"/>
            <w:left w:val="none" w:sz="0" w:space="0" w:color="auto"/>
            <w:bottom w:val="none" w:sz="0" w:space="0" w:color="auto"/>
            <w:right w:val="none" w:sz="0" w:space="0" w:color="auto"/>
          </w:divBdr>
        </w:div>
        <w:div w:id="893201049">
          <w:marLeft w:val="0"/>
          <w:marRight w:val="0"/>
          <w:marTop w:val="0"/>
          <w:marBottom w:val="0"/>
          <w:divBdr>
            <w:top w:val="none" w:sz="0" w:space="0" w:color="auto"/>
            <w:left w:val="none" w:sz="0" w:space="0" w:color="auto"/>
            <w:bottom w:val="none" w:sz="0" w:space="0" w:color="auto"/>
            <w:right w:val="none" w:sz="0" w:space="0" w:color="auto"/>
          </w:divBdr>
        </w:div>
      </w:divsChild>
    </w:div>
    <w:div w:id="960382247">
      <w:marLeft w:val="0"/>
      <w:marRight w:val="0"/>
      <w:marTop w:val="0"/>
      <w:marBottom w:val="0"/>
      <w:divBdr>
        <w:top w:val="none" w:sz="0" w:space="0" w:color="auto"/>
        <w:left w:val="none" w:sz="0" w:space="0" w:color="auto"/>
        <w:bottom w:val="none" w:sz="0" w:space="0" w:color="auto"/>
        <w:right w:val="none" w:sz="0" w:space="0" w:color="auto"/>
      </w:divBdr>
      <w:divsChild>
        <w:div w:id="623586319">
          <w:marLeft w:val="0"/>
          <w:marRight w:val="0"/>
          <w:marTop w:val="0"/>
          <w:marBottom w:val="0"/>
          <w:divBdr>
            <w:top w:val="none" w:sz="0" w:space="0" w:color="auto"/>
            <w:left w:val="none" w:sz="0" w:space="0" w:color="auto"/>
            <w:bottom w:val="none" w:sz="0" w:space="0" w:color="auto"/>
            <w:right w:val="none" w:sz="0" w:space="0" w:color="auto"/>
          </w:divBdr>
        </w:div>
        <w:div w:id="1249344485">
          <w:marLeft w:val="0"/>
          <w:marRight w:val="0"/>
          <w:marTop w:val="0"/>
          <w:marBottom w:val="0"/>
          <w:divBdr>
            <w:top w:val="none" w:sz="0" w:space="0" w:color="auto"/>
            <w:left w:val="none" w:sz="0" w:space="0" w:color="auto"/>
            <w:bottom w:val="none" w:sz="0" w:space="0" w:color="auto"/>
            <w:right w:val="none" w:sz="0" w:space="0" w:color="auto"/>
          </w:divBdr>
        </w:div>
      </w:divsChild>
    </w:div>
    <w:div w:id="969869315">
      <w:marLeft w:val="0"/>
      <w:marRight w:val="0"/>
      <w:marTop w:val="0"/>
      <w:marBottom w:val="0"/>
      <w:divBdr>
        <w:top w:val="none" w:sz="0" w:space="0" w:color="auto"/>
        <w:left w:val="none" w:sz="0" w:space="0" w:color="auto"/>
        <w:bottom w:val="none" w:sz="0" w:space="0" w:color="auto"/>
        <w:right w:val="none" w:sz="0" w:space="0" w:color="auto"/>
      </w:divBdr>
      <w:divsChild>
        <w:div w:id="1105077813">
          <w:marLeft w:val="0"/>
          <w:marRight w:val="0"/>
          <w:marTop w:val="0"/>
          <w:marBottom w:val="0"/>
          <w:divBdr>
            <w:top w:val="none" w:sz="0" w:space="0" w:color="auto"/>
            <w:left w:val="none" w:sz="0" w:space="0" w:color="auto"/>
            <w:bottom w:val="none" w:sz="0" w:space="0" w:color="auto"/>
            <w:right w:val="none" w:sz="0" w:space="0" w:color="auto"/>
          </w:divBdr>
        </w:div>
        <w:div w:id="1356493443">
          <w:marLeft w:val="0"/>
          <w:marRight w:val="0"/>
          <w:marTop w:val="0"/>
          <w:marBottom w:val="0"/>
          <w:divBdr>
            <w:top w:val="none" w:sz="0" w:space="0" w:color="auto"/>
            <w:left w:val="none" w:sz="0" w:space="0" w:color="auto"/>
            <w:bottom w:val="none" w:sz="0" w:space="0" w:color="auto"/>
            <w:right w:val="none" w:sz="0" w:space="0" w:color="auto"/>
          </w:divBdr>
        </w:div>
      </w:divsChild>
    </w:div>
    <w:div w:id="982660949">
      <w:marLeft w:val="0"/>
      <w:marRight w:val="0"/>
      <w:marTop w:val="0"/>
      <w:marBottom w:val="0"/>
      <w:divBdr>
        <w:top w:val="none" w:sz="0" w:space="0" w:color="auto"/>
        <w:left w:val="none" w:sz="0" w:space="0" w:color="auto"/>
        <w:bottom w:val="none" w:sz="0" w:space="0" w:color="auto"/>
        <w:right w:val="none" w:sz="0" w:space="0" w:color="auto"/>
      </w:divBdr>
    </w:div>
    <w:div w:id="984121135">
      <w:marLeft w:val="0"/>
      <w:marRight w:val="0"/>
      <w:marTop w:val="0"/>
      <w:marBottom w:val="0"/>
      <w:divBdr>
        <w:top w:val="none" w:sz="0" w:space="0" w:color="auto"/>
        <w:left w:val="none" w:sz="0" w:space="0" w:color="auto"/>
        <w:bottom w:val="none" w:sz="0" w:space="0" w:color="auto"/>
        <w:right w:val="none" w:sz="0" w:space="0" w:color="auto"/>
      </w:divBdr>
    </w:div>
    <w:div w:id="1022441726">
      <w:marLeft w:val="0"/>
      <w:marRight w:val="0"/>
      <w:marTop w:val="0"/>
      <w:marBottom w:val="0"/>
      <w:divBdr>
        <w:top w:val="none" w:sz="0" w:space="0" w:color="auto"/>
        <w:left w:val="none" w:sz="0" w:space="0" w:color="auto"/>
        <w:bottom w:val="none" w:sz="0" w:space="0" w:color="auto"/>
        <w:right w:val="none" w:sz="0" w:space="0" w:color="auto"/>
      </w:divBdr>
    </w:div>
    <w:div w:id="1028675427">
      <w:marLeft w:val="0"/>
      <w:marRight w:val="0"/>
      <w:marTop w:val="0"/>
      <w:marBottom w:val="0"/>
      <w:divBdr>
        <w:top w:val="none" w:sz="0" w:space="0" w:color="auto"/>
        <w:left w:val="none" w:sz="0" w:space="0" w:color="auto"/>
        <w:bottom w:val="none" w:sz="0" w:space="0" w:color="auto"/>
        <w:right w:val="none" w:sz="0" w:space="0" w:color="auto"/>
      </w:divBdr>
      <w:divsChild>
        <w:div w:id="193421342">
          <w:marLeft w:val="0"/>
          <w:marRight w:val="0"/>
          <w:marTop w:val="0"/>
          <w:marBottom w:val="0"/>
          <w:divBdr>
            <w:top w:val="none" w:sz="0" w:space="0" w:color="auto"/>
            <w:left w:val="none" w:sz="0" w:space="0" w:color="auto"/>
            <w:bottom w:val="none" w:sz="0" w:space="0" w:color="auto"/>
            <w:right w:val="none" w:sz="0" w:space="0" w:color="auto"/>
          </w:divBdr>
        </w:div>
        <w:div w:id="154221814">
          <w:marLeft w:val="0"/>
          <w:marRight w:val="0"/>
          <w:marTop w:val="0"/>
          <w:marBottom w:val="0"/>
          <w:divBdr>
            <w:top w:val="none" w:sz="0" w:space="0" w:color="auto"/>
            <w:left w:val="none" w:sz="0" w:space="0" w:color="auto"/>
            <w:bottom w:val="none" w:sz="0" w:space="0" w:color="auto"/>
            <w:right w:val="none" w:sz="0" w:space="0" w:color="auto"/>
          </w:divBdr>
        </w:div>
      </w:divsChild>
    </w:div>
    <w:div w:id="1080562213">
      <w:marLeft w:val="0"/>
      <w:marRight w:val="0"/>
      <w:marTop w:val="0"/>
      <w:marBottom w:val="0"/>
      <w:divBdr>
        <w:top w:val="none" w:sz="0" w:space="0" w:color="auto"/>
        <w:left w:val="none" w:sz="0" w:space="0" w:color="auto"/>
        <w:bottom w:val="none" w:sz="0" w:space="0" w:color="auto"/>
        <w:right w:val="none" w:sz="0" w:space="0" w:color="auto"/>
      </w:divBdr>
      <w:divsChild>
        <w:div w:id="1948192298">
          <w:marLeft w:val="0"/>
          <w:marRight w:val="0"/>
          <w:marTop w:val="0"/>
          <w:marBottom w:val="0"/>
          <w:divBdr>
            <w:top w:val="none" w:sz="0" w:space="0" w:color="auto"/>
            <w:left w:val="none" w:sz="0" w:space="0" w:color="auto"/>
            <w:bottom w:val="none" w:sz="0" w:space="0" w:color="auto"/>
            <w:right w:val="none" w:sz="0" w:space="0" w:color="auto"/>
          </w:divBdr>
        </w:div>
        <w:div w:id="1553228768">
          <w:marLeft w:val="0"/>
          <w:marRight w:val="0"/>
          <w:marTop w:val="0"/>
          <w:marBottom w:val="0"/>
          <w:divBdr>
            <w:top w:val="none" w:sz="0" w:space="0" w:color="auto"/>
            <w:left w:val="none" w:sz="0" w:space="0" w:color="auto"/>
            <w:bottom w:val="none" w:sz="0" w:space="0" w:color="auto"/>
            <w:right w:val="none" w:sz="0" w:space="0" w:color="auto"/>
          </w:divBdr>
        </w:div>
      </w:divsChild>
    </w:div>
    <w:div w:id="1105269958">
      <w:marLeft w:val="0"/>
      <w:marRight w:val="0"/>
      <w:marTop w:val="0"/>
      <w:marBottom w:val="0"/>
      <w:divBdr>
        <w:top w:val="none" w:sz="0" w:space="0" w:color="auto"/>
        <w:left w:val="none" w:sz="0" w:space="0" w:color="auto"/>
        <w:bottom w:val="none" w:sz="0" w:space="0" w:color="auto"/>
        <w:right w:val="none" w:sz="0" w:space="0" w:color="auto"/>
      </w:divBdr>
      <w:divsChild>
        <w:div w:id="1118333308">
          <w:marLeft w:val="0"/>
          <w:marRight w:val="0"/>
          <w:marTop w:val="0"/>
          <w:marBottom w:val="0"/>
          <w:divBdr>
            <w:top w:val="none" w:sz="0" w:space="0" w:color="auto"/>
            <w:left w:val="none" w:sz="0" w:space="0" w:color="auto"/>
            <w:bottom w:val="none" w:sz="0" w:space="0" w:color="auto"/>
            <w:right w:val="none" w:sz="0" w:space="0" w:color="auto"/>
          </w:divBdr>
        </w:div>
        <w:div w:id="1388068993">
          <w:marLeft w:val="0"/>
          <w:marRight w:val="0"/>
          <w:marTop w:val="0"/>
          <w:marBottom w:val="0"/>
          <w:divBdr>
            <w:top w:val="none" w:sz="0" w:space="0" w:color="auto"/>
            <w:left w:val="none" w:sz="0" w:space="0" w:color="auto"/>
            <w:bottom w:val="none" w:sz="0" w:space="0" w:color="auto"/>
            <w:right w:val="none" w:sz="0" w:space="0" w:color="auto"/>
          </w:divBdr>
        </w:div>
      </w:divsChild>
    </w:div>
    <w:div w:id="1106971756">
      <w:marLeft w:val="0"/>
      <w:marRight w:val="0"/>
      <w:marTop w:val="0"/>
      <w:marBottom w:val="0"/>
      <w:divBdr>
        <w:top w:val="none" w:sz="0" w:space="0" w:color="auto"/>
        <w:left w:val="none" w:sz="0" w:space="0" w:color="auto"/>
        <w:bottom w:val="none" w:sz="0" w:space="0" w:color="auto"/>
        <w:right w:val="none" w:sz="0" w:space="0" w:color="auto"/>
      </w:divBdr>
    </w:div>
    <w:div w:id="1123034630">
      <w:marLeft w:val="0"/>
      <w:marRight w:val="0"/>
      <w:marTop w:val="0"/>
      <w:marBottom w:val="0"/>
      <w:divBdr>
        <w:top w:val="none" w:sz="0" w:space="0" w:color="auto"/>
        <w:left w:val="none" w:sz="0" w:space="0" w:color="auto"/>
        <w:bottom w:val="none" w:sz="0" w:space="0" w:color="auto"/>
        <w:right w:val="none" w:sz="0" w:space="0" w:color="auto"/>
      </w:divBdr>
    </w:div>
    <w:div w:id="1147476749">
      <w:marLeft w:val="0"/>
      <w:marRight w:val="0"/>
      <w:marTop w:val="0"/>
      <w:marBottom w:val="0"/>
      <w:divBdr>
        <w:top w:val="none" w:sz="0" w:space="0" w:color="auto"/>
        <w:left w:val="none" w:sz="0" w:space="0" w:color="auto"/>
        <w:bottom w:val="none" w:sz="0" w:space="0" w:color="auto"/>
        <w:right w:val="none" w:sz="0" w:space="0" w:color="auto"/>
      </w:divBdr>
      <w:divsChild>
        <w:div w:id="673529792">
          <w:marLeft w:val="0"/>
          <w:marRight w:val="0"/>
          <w:marTop w:val="0"/>
          <w:marBottom w:val="0"/>
          <w:divBdr>
            <w:top w:val="none" w:sz="0" w:space="0" w:color="auto"/>
            <w:left w:val="none" w:sz="0" w:space="0" w:color="auto"/>
            <w:bottom w:val="none" w:sz="0" w:space="0" w:color="auto"/>
            <w:right w:val="none" w:sz="0" w:space="0" w:color="auto"/>
          </w:divBdr>
        </w:div>
        <w:div w:id="867791812">
          <w:marLeft w:val="0"/>
          <w:marRight w:val="0"/>
          <w:marTop w:val="0"/>
          <w:marBottom w:val="0"/>
          <w:divBdr>
            <w:top w:val="none" w:sz="0" w:space="0" w:color="auto"/>
            <w:left w:val="none" w:sz="0" w:space="0" w:color="auto"/>
            <w:bottom w:val="none" w:sz="0" w:space="0" w:color="auto"/>
            <w:right w:val="none" w:sz="0" w:space="0" w:color="auto"/>
          </w:divBdr>
        </w:div>
      </w:divsChild>
    </w:div>
    <w:div w:id="1169710036">
      <w:marLeft w:val="0"/>
      <w:marRight w:val="0"/>
      <w:marTop w:val="0"/>
      <w:marBottom w:val="0"/>
      <w:divBdr>
        <w:top w:val="none" w:sz="0" w:space="0" w:color="auto"/>
        <w:left w:val="none" w:sz="0" w:space="0" w:color="auto"/>
        <w:bottom w:val="none" w:sz="0" w:space="0" w:color="auto"/>
        <w:right w:val="none" w:sz="0" w:space="0" w:color="auto"/>
      </w:divBdr>
      <w:divsChild>
        <w:div w:id="998928032">
          <w:marLeft w:val="0"/>
          <w:marRight w:val="0"/>
          <w:marTop w:val="0"/>
          <w:marBottom w:val="0"/>
          <w:divBdr>
            <w:top w:val="none" w:sz="0" w:space="0" w:color="auto"/>
            <w:left w:val="none" w:sz="0" w:space="0" w:color="auto"/>
            <w:bottom w:val="none" w:sz="0" w:space="0" w:color="auto"/>
            <w:right w:val="none" w:sz="0" w:space="0" w:color="auto"/>
          </w:divBdr>
        </w:div>
        <w:div w:id="614990643">
          <w:marLeft w:val="0"/>
          <w:marRight w:val="0"/>
          <w:marTop w:val="0"/>
          <w:marBottom w:val="0"/>
          <w:divBdr>
            <w:top w:val="none" w:sz="0" w:space="0" w:color="auto"/>
            <w:left w:val="none" w:sz="0" w:space="0" w:color="auto"/>
            <w:bottom w:val="none" w:sz="0" w:space="0" w:color="auto"/>
            <w:right w:val="none" w:sz="0" w:space="0" w:color="auto"/>
          </w:divBdr>
        </w:div>
      </w:divsChild>
    </w:div>
    <w:div w:id="1197280470">
      <w:marLeft w:val="0"/>
      <w:marRight w:val="0"/>
      <w:marTop w:val="0"/>
      <w:marBottom w:val="0"/>
      <w:divBdr>
        <w:top w:val="none" w:sz="0" w:space="0" w:color="auto"/>
        <w:left w:val="none" w:sz="0" w:space="0" w:color="auto"/>
        <w:bottom w:val="none" w:sz="0" w:space="0" w:color="auto"/>
        <w:right w:val="none" w:sz="0" w:space="0" w:color="auto"/>
      </w:divBdr>
    </w:div>
    <w:div w:id="1210606506">
      <w:marLeft w:val="0"/>
      <w:marRight w:val="0"/>
      <w:marTop w:val="0"/>
      <w:marBottom w:val="0"/>
      <w:divBdr>
        <w:top w:val="none" w:sz="0" w:space="0" w:color="auto"/>
        <w:left w:val="none" w:sz="0" w:space="0" w:color="auto"/>
        <w:bottom w:val="none" w:sz="0" w:space="0" w:color="auto"/>
        <w:right w:val="none" w:sz="0" w:space="0" w:color="auto"/>
      </w:divBdr>
      <w:divsChild>
        <w:div w:id="345207288">
          <w:marLeft w:val="0"/>
          <w:marRight w:val="0"/>
          <w:marTop w:val="0"/>
          <w:marBottom w:val="0"/>
          <w:divBdr>
            <w:top w:val="none" w:sz="0" w:space="0" w:color="auto"/>
            <w:left w:val="none" w:sz="0" w:space="0" w:color="auto"/>
            <w:bottom w:val="none" w:sz="0" w:space="0" w:color="auto"/>
            <w:right w:val="none" w:sz="0" w:space="0" w:color="auto"/>
          </w:divBdr>
        </w:div>
        <w:div w:id="1500854474">
          <w:marLeft w:val="0"/>
          <w:marRight w:val="0"/>
          <w:marTop w:val="0"/>
          <w:marBottom w:val="0"/>
          <w:divBdr>
            <w:top w:val="none" w:sz="0" w:space="0" w:color="auto"/>
            <w:left w:val="none" w:sz="0" w:space="0" w:color="auto"/>
            <w:bottom w:val="none" w:sz="0" w:space="0" w:color="auto"/>
            <w:right w:val="none" w:sz="0" w:space="0" w:color="auto"/>
          </w:divBdr>
        </w:div>
      </w:divsChild>
    </w:div>
    <w:div w:id="1226530797">
      <w:marLeft w:val="0"/>
      <w:marRight w:val="0"/>
      <w:marTop w:val="0"/>
      <w:marBottom w:val="0"/>
      <w:divBdr>
        <w:top w:val="none" w:sz="0" w:space="0" w:color="auto"/>
        <w:left w:val="none" w:sz="0" w:space="0" w:color="auto"/>
        <w:bottom w:val="none" w:sz="0" w:space="0" w:color="auto"/>
        <w:right w:val="none" w:sz="0" w:space="0" w:color="auto"/>
      </w:divBdr>
      <w:divsChild>
        <w:div w:id="1513181783">
          <w:marLeft w:val="0"/>
          <w:marRight w:val="0"/>
          <w:marTop w:val="0"/>
          <w:marBottom w:val="0"/>
          <w:divBdr>
            <w:top w:val="none" w:sz="0" w:space="0" w:color="auto"/>
            <w:left w:val="none" w:sz="0" w:space="0" w:color="auto"/>
            <w:bottom w:val="none" w:sz="0" w:space="0" w:color="auto"/>
            <w:right w:val="none" w:sz="0" w:space="0" w:color="auto"/>
          </w:divBdr>
          <w:divsChild>
            <w:div w:id="187186329">
              <w:marLeft w:val="0"/>
              <w:marRight w:val="0"/>
              <w:marTop w:val="0"/>
              <w:marBottom w:val="0"/>
              <w:divBdr>
                <w:top w:val="none" w:sz="0" w:space="0" w:color="auto"/>
                <w:left w:val="none" w:sz="0" w:space="0" w:color="auto"/>
                <w:bottom w:val="none" w:sz="0" w:space="0" w:color="auto"/>
                <w:right w:val="none" w:sz="0" w:space="0" w:color="auto"/>
              </w:divBdr>
            </w:div>
          </w:divsChild>
        </w:div>
        <w:div w:id="95101863">
          <w:marLeft w:val="0"/>
          <w:marRight w:val="0"/>
          <w:marTop w:val="0"/>
          <w:marBottom w:val="0"/>
          <w:divBdr>
            <w:top w:val="none" w:sz="0" w:space="0" w:color="auto"/>
            <w:left w:val="none" w:sz="0" w:space="0" w:color="auto"/>
            <w:bottom w:val="none" w:sz="0" w:space="0" w:color="auto"/>
            <w:right w:val="none" w:sz="0" w:space="0" w:color="auto"/>
          </w:divBdr>
        </w:div>
      </w:divsChild>
    </w:div>
    <w:div w:id="1238125165">
      <w:marLeft w:val="0"/>
      <w:marRight w:val="0"/>
      <w:marTop w:val="0"/>
      <w:marBottom w:val="0"/>
      <w:divBdr>
        <w:top w:val="none" w:sz="0" w:space="0" w:color="auto"/>
        <w:left w:val="none" w:sz="0" w:space="0" w:color="auto"/>
        <w:bottom w:val="none" w:sz="0" w:space="0" w:color="auto"/>
        <w:right w:val="none" w:sz="0" w:space="0" w:color="auto"/>
      </w:divBdr>
      <w:divsChild>
        <w:div w:id="1879733102">
          <w:marLeft w:val="0"/>
          <w:marRight w:val="0"/>
          <w:marTop w:val="0"/>
          <w:marBottom w:val="0"/>
          <w:divBdr>
            <w:top w:val="none" w:sz="0" w:space="0" w:color="auto"/>
            <w:left w:val="none" w:sz="0" w:space="0" w:color="auto"/>
            <w:bottom w:val="none" w:sz="0" w:space="0" w:color="auto"/>
            <w:right w:val="none" w:sz="0" w:space="0" w:color="auto"/>
          </w:divBdr>
        </w:div>
        <w:div w:id="1871911553">
          <w:marLeft w:val="0"/>
          <w:marRight w:val="0"/>
          <w:marTop w:val="0"/>
          <w:marBottom w:val="0"/>
          <w:divBdr>
            <w:top w:val="none" w:sz="0" w:space="0" w:color="auto"/>
            <w:left w:val="none" w:sz="0" w:space="0" w:color="auto"/>
            <w:bottom w:val="none" w:sz="0" w:space="0" w:color="auto"/>
            <w:right w:val="none" w:sz="0" w:space="0" w:color="auto"/>
          </w:divBdr>
        </w:div>
      </w:divsChild>
    </w:div>
    <w:div w:id="1241063286">
      <w:marLeft w:val="0"/>
      <w:marRight w:val="0"/>
      <w:marTop w:val="0"/>
      <w:marBottom w:val="0"/>
      <w:divBdr>
        <w:top w:val="none" w:sz="0" w:space="0" w:color="auto"/>
        <w:left w:val="none" w:sz="0" w:space="0" w:color="auto"/>
        <w:bottom w:val="none" w:sz="0" w:space="0" w:color="auto"/>
        <w:right w:val="none" w:sz="0" w:space="0" w:color="auto"/>
      </w:divBdr>
    </w:div>
    <w:div w:id="1243762978">
      <w:marLeft w:val="0"/>
      <w:marRight w:val="0"/>
      <w:marTop w:val="0"/>
      <w:marBottom w:val="0"/>
      <w:divBdr>
        <w:top w:val="none" w:sz="0" w:space="0" w:color="auto"/>
        <w:left w:val="none" w:sz="0" w:space="0" w:color="auto"/>
        <w:bottom w:val="none" w:sz="0" w:space="0" w:color="auto"/>
        <w:right w:val="none" w:sz="0" w:space="0" w:color="auto"/>
      </w:divBdr>
      <w:divsChild>
        <w:div w:id="688993443">
          <w:marLeft w:val="0"/>
          <w:marRight w:val="0"/>
          <w:marTop w:val="0"/>
          <w:marBottom w:val="0"/>
          <w:divBdr>
            <w:top w:val="none" w:sz="0" w:space="0" w:color="auto"/>
            <w:left w:val="none" w:sz="0" w:space="0" w:color="auto"/>
            <w:bottom w:val="none" w:sz="0" w:space="0" w:color="auto"/>
            <w:right w:val="none" w:sz="0" w:space="0" w:color="auto"/>
          </w:divBdr>
          <w:divsChild>
            <w:div w:id="862940729">
              <w:marLeft w:val="0"/>
              <w:marRight w:val="0"/>
              <w:marTop w:val="0"/>
              <w:marBottom w:val="0"/>
              <w:divBdr>
                <w:top w:val="none" w:sz="0" w:space="0" w:color="auto"/>
                <w:left w:val="none" w:sz="0" w:space="0" w:color="auto"/>
                <w:bottom w:val="none" w:sz="0" w:space="0" w:color="auto"/>
                <w:right w:val="none" w:sz="0" w:space="0" w:color="auto"/>
              </w:divBdr>
            </w:div>
            <w:div w:id="466821510">
              <w:marLeft w:val="0"/>
              <w:marRight w:val="0"/>
              <w:marTop w:val="0"/>
              <w:marBottom w:val="0"/>
              <w:divBdr>
                <w:top w:val="none" w:sz="0" w:space="0" w:color="auto"/>
                <w:left w:val="none" w:sz="0" w:space="0" w:color="auto"/>
                <w:bottom w:val="none" w:sz="0" w:space="0" w:color="auto"/>
                <w:right w:val="none" w:sz="0" w:space="0" w:color="auto"/>
              </w:divBdr>
            </w:div>
          </w:divsChild>
        </w:div>
        <w:div w:id="1593313647">
          <w:marLeft w:val="0"/>
          <w:marRight w:val="0"/>
          <w:marTop w:val="0"/>
          <w:marBottom w:val="0"/>
          <w:divBdr>
            <w:top w:val="none" w:sz="0" w:space="0" w:color="auto"/>
            <w:left w:val="none" w:sz="0" w:space="0" w:color="auto"/>
            <w:bottom w:val="none" w:sz="0" w:space="0" w:color="auto"/>
            <w:right w:val="none" w:sz="0" w:space="0" w:color="auto"/>
          </w:divBdr>
        </w:div>
        <w:div w:id="1648781745">
          <w:marLeft w:val="0"/>
          <w:marRight w:val="0"/>
          <w:marTop w:val="0"/>
          <w:marBottom w:val="0"/>
          <w:divBdr>
            <w:top w:val="none" w:sz="0" w:space="0" w:color="auto"/>
            <w:left w:val="none" w:sz="0" w:space="0" w:color="auto"/>
            <w:bottom w:val="none" w:sz="0" w:space="0" w:color="auto"/>
            <w:right w:val="none" w:sz="0" w:space="0" w:color="auto"/>
          </w:divBdr>
        </w:div>
        <w:div w:id="1589119779">
          <w:marLeft w:val="0"/>
          <w:marRight w:val="0"/>
          <w:marTop w:val="0"/>
          <w:marBottom w:val="0"/>
          <w:divBdr>
            <w:top w:val="none" w:sz="0" w:space="0" w:color="auto"/>
            <w:left w:val="none" w:sz="0" w:space="0" w:color="auto"/>
            <w:bottom w:val="none" w:sz="0" w:space="0" w:color="auto"/>
            <w:right w:val="none" w:sz="0" w:space="0" w:color="auto"/>
          </w:divBdr>
          <w:divsChild>
            <w:div w:id="1652177890">
              <w:marLeft w:val="0"/>
              <w:marRight w:val="0"/>
              <w:marTop w:val="0"/>
              <w:marBottom w:val="0"/>
              <w:divBdr>
                <w:top w:val="none" w:sz="0" w:space="0" w:color="auto"/>
                <w:left w:val="none" w:sz="0" w:space="0" w:color="auto"/>
                <w:bottom w:val="none" w:sz="0" w:space="0" w:color="auto"/>
                <w:right w:val="none" w:sz="0" w:space="0" w:color="auto"/>
              </w:divBdr>
            </w:div>
            <w:div w:id="1592350922">
              <w:marLeft w:val="0"/>
              <w:marRight w:val="0"/>
              <w:marTop w:val="0"/>
              <w:marBottom w:val="0"/>
              <w:divBdr>
                <w:top w:val="none" w:sz="0" w:space="0" w:color="auto"/>
                <w:left w:val="none" w:sz="0" w:space="0" w:color="auto"/>
                <w:bottom w:val="none" w:sz="0" w:space="0" w:color="auto"/>
                <w:right w:val="none" w:sz="0" w:space="0" w:color="auto"/>
              </w:divBdr>
            </w:div>
          </w:divsChild>
        </w:div>
        <w:div w:id="1427729761">
          <w:marLeft w:val="0"/>
          <w:marRight w:val="0"/>
          <w:marTop w:val="0"/>
          <w:marBottom w:val="0"/>
          <w:divBdr>
            <w:top w:val="none" w:sz="0" w:space="0" w:color="auto"/>
            <w:left w:val="none" w:sz="0" w:space="0" w:color="auto"/>
            <w:bottom w:val="none" w:sz="0" w:space="0" w:color="auto"/>
            <w:right w:val="none" w:sz="0" w:space="0" w:color="auto"/>
          </w:divBdr>
          <w:divsChild>
            <w:div w:id="1248537501">
              <w:marLeft w:val="0"/>
              <w:marRight w:val="0"/>
              <w:marTop w:val="0"/>
              <w:marBottom w:val="0"/>
              <w:divBdr>
                <w:top w:val="none" w:sz="0" w:space="0" w:color="auto"/>
                <w:left w:val="none" w:sz="0" w:space="0" w:color="auto"/>
                <w:bottom w:val="none" w:sz="0" w:space="0" w:color="auto"/>
                <w:right w:val="none" w:sz="0" w:space="0" w:color="auto"/>
              </w:divBdr>
            </w:div>
            <w:div w:id="10101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968">
      <w:marLeft w:val="0"/>
      <w:marRight w:val="0"/>
      <w:marTop w:val="0"/>
      <w:marBottom w:val="0"/>
      <w:divBdr>
        <w:top w:val="none" w:sz="0" w:space="0" w:color="auto"/>
        <w:left w:val="none" w:sz="0" w:space="0" w:color="auto"/>
        <w:bottom w:val="none" w:sz="0" w:space="0" w:color="auto"/>
        <w:right w:val="none" w:sz="0" w:space="0" w:color="auto"/>
      </w:divBdr>
      <w:divsChild>
        <w:div w:id="787234736">
          <w:marLeft w:val="0"/>
          <w:marRight w:val="0"/>
          <w:marTop w:val="0"/>
          <w:marBottom w:val="0"/>
          <w:divBdr>
            <w:top w:val="none" w:sz="0" w:space="0" w:color="auto"/>
            <w:left w:val="none" w:sz="0" w:space="0" w:color="auto"/>
            <w:bottom w:val="none" w:sz="0" w:space="0" w:color="auto"/>
            <w:right w:val="none" w:sz="0" w:space="0" w:color="auto"/>
          </w:divBdr>
        </w:div>
        <w:div w:id="1745183319">
          <w:marLeft w:val="0"/>
          <w:marRight w:val="0"/>
          <w:marTop w:val="0"/>
          <w:marBottom w:val="0"/>
          <w:divBdr>
            <w:top w:val="none" w:sz="0" w:space="0" w:color="auto"/>
            <w:left w:val="none" w:sz="0" w:space="0" w:color="auto"/>
            <w:bottom w:val="none" w:sz="0" w:space="0" w:color="auto"/>
            <w:right w:val="none" w:sz="0" w:space="0" w:color="auto"/>
          </w:divBdr>
        </w:div>
      </w:divsChild>
    </w:div>
    <w:div w:id="1313216023">
      <w:marLeft w:val="0"/>
      <w:marRight w:val="0"/>
      <w:marTop w:val="0"/>
      <w:marBottom w:val="0"/>
      <w:divBdr>
        <w:top w:val="none" w:sz="0" w:space="0" w:color="auto"/>
        <w:left w:val="none" w:sz="0" w:space="0" w:color="auto"/>
        <w:bottom w:val="none" w:sz="0" w:space="0" w:color="auto"/>
        <w:right w:val="none" w:sz="0" w:space="0" w:color="auto"/>
      </w:divBdr>
      <w:divsChild>
        <w:div w:id="1531800813">
          <w:marLeft w:val="0"/>
          <w:marRight w:val="0"/>
          <w:marTop w:val="0"/>
          <w:marBottom w:val="0"/>
          <w:divBdr>
            <w:top w:val="none" w:sz="0" w:space="0" w:color="auto"/>
            <w:left w:val="none" w:sz="0" w:space="0" w:color="auto"/>
            <w:bottom w:val="none" w:sz="0" w:space="0" w:color="auto"/>
            <w:right w:val="none" w:sz="0" w:space="0" w:color="auto"/>
          </w:divBdr>
        </w:div>
        <w:div w:id="1994748458">
          <w:marLeft w:val="0"/>
          <w:marRight w:val="0"/>
          <w:marTop w:val="0"/>
          <w:marBottom w:val="0"/>
          <w:divBdr>
            <w:top w:val="none" w:sz="0" w:space="0" w:color="auto"/>
            <w:left w:val="none" w:sz="0" w:space="0" w:color="auto"/>
            <w:bottom w:val="none" w:sz="0" w:space="0" w:color="auto"/>
            <w:right w:val="none" w:sz="0" w:space="0" w:color="auto"/>
          </w:divBdr>
        </w:div>
      </w:divsChild>
    </w:div>
    <w:div w:id="1314020573">
      <w:marLeft w:val="0"/>
      <w:marRight w:val="0"/>
      <w:marTop w:val="0"/>
      <w:marBottom w:val="0"/>
      <w:divBdr>
        <w:top w:val="none" w:sz="0" w:space="0" w:color="auto"/>
        <w:left w:val="none" w:sz="0" w:space="0" w:color="auto"/>
        <w:bottom w:val="none" w:sz="0" w:space="0" w:color="auto"/>
        <w:right w:val="none" w:sz="0" w:space="0" w:color="auto"/>
      </w:divBdr>
    </w:div>
    <w:div w:id="1364214347">
      <w:marLeft w:val="0"/>
      <w:marRight w:val="0"/>
      <w:marTop w:val="0"/>
      <w:marBottom w:val="0"/>
      <w:divBdr>
        <w:top w:val="none" w:sz="0" w:space="0" w:color="auto"/>
        <w:left w:val="none" w:sz="0" w:space="0" w:color="auto"/>
        <w:bottom w:val="none" w:sz="0" w:space="0" w:color="auto"/>
        <w:right w:val="none" w:sz="0" w:space="0" w:color="auto"/>
      </w:divBdr>
      <w:divsChild>
        <w:div w:id="483006712">
          <w:marLeft w:val="0"/>
          <w:marRight w:val="0"/>
          <w:marTop w:val="0"/>
          <w:marBottom w:val="0"/>
          <w:divBdr>
            <w:top w:val="none" w:sz="0" w:space="0" w:color="auto"/>
            <w:left w:val="none" w:sz="0" w:space="0" w:color="auto"/>
            <w:bottom w:val="none" w:sz="0" w:space="0" w:color="auto"/>
            <w:right w:val="none" w:sz="0" w:space="0" w:color="auto"/>
          </w:divBdr>
        </w:div>
        <w:div w:id="1664164084">
          <w:marLeft w:val="0"/>
          <w:marRight w:val="0"/>
          <w:marTop w:val="0"/>
          <w:marBottom w:val="0"/>
          <w:divBdr>
            <w:top w:val="none" w:sz="0" w:space="0" w:color="auto"/>
            <w:left w:val="none" w:sz="0" w:space="0" w:color="auto"/>
            <w:bottom w:val="none" w:sz="0" w:space="0" w:color="auto"/>
            <w:right w:val="none" w:sz="0" w:space="0" w:color="auto"/>
          </w:divBdr>
        </w:div>
      </w:divsChild>
    </w:div>
    <w:div w:id="1373533101">
      <w:marLeft w:val="0"/>
      <w:marRight w:val="0"/>
      <w:marTop w:val="0"/>
      <w:marBottom w:val="0"/>
      <w:divBdr>
        <w:top w:val="none" w:sz="0" w:space="0" w:color="auto"/>
        <w:left w:val="none" w:sz="0" w:space="0" w:color="auto"/>
        <w:bottom w:val="none" w:sz="0" w:space="0" w:color="auto"/>
        <w:right w:val="none" w:sz="0" w:space="0" w:color="auto"/>
      </w:divBdr>
    </w:div>
    <w:div w:id="1418599081">
      <w:marLeft w:val="0"/>
      <w:marRight w:val="0"/>
      <w:marTop w:val="0"/>
      <w:marBottom w:val="0"/>
      <w:divBdr>
        <w:top w:val="none" w:sz="0" w:space="0" w:color="auto"/>
        <w:left w:val="none" w:sz="0" w:space="0" w:color="auto"/>
        <w:bottom w:val="none" w:sz="0" w:space="0" w:color="auto"/>
        <w:right w:val="none" w:sz="0" w:space="0" w:color="auto"/>
      </w:divBdr>
    </w:div>
    <w:div w:id="1433740220">
      <w:marLeft w:val="0"/>
      <w:marRight w:val="0"/>
      <w:marTop w:val="0"/>
      <w:marBottom w:val="0"/>
      <w:divBdr>
        <w:top w:val="none" w:sz="0" w:space="0" w:color="auto"/>
        <w:left w:val="none" w:sz="0" w:space="0" w:color="auto"/>
        <w:bottom w:val="none" w:sz="0" w:space="0" w:color="auto"/>
        <w:right w:val="none" w:sz="0" w:space="0" w:color="auto"/>
      </w:divBdr>
    </w:div>
    <w:div w:id="1489009893">
      <w:marLeft w:val="0"/>
      <w:marRight w:val="0"/>
      <w:marTop w:val="0"/>
      <w:marBottom w:val="0"/>
      <w:divBdr>
        <w:top w:val="none" w:sz="0" w:space="0" w:color="auto"/>
        <w:left w:val="none" w:sz="0" w:space="0" w:color="auto"/>
        <w:bottom w:val="none" w:sz="0" w:space="0" w:color="auto"/>
        <w:right w:val="none" w:sz="0" w:space="0" w:color="auto"/>
      </w:divBdr>
    </w:div>
    <w:div w:id="1526750449">
      <w:marLeft w:val="0"/>
      <w:marRight w:val="0"/>
      <w:marTop w:val="0"/>
      <w:marBottom w:val="0"/>
      <w:divBdr>
        <w:top w:val="none" w:sz="0" w:space="0" w:color="auto"/>
        <w:left w:val="none" w:sz="0" w:space="0" w:color="auto"/>
        <w:bottom w:val="none" w:sz="0" w:space="0" w:color="auto"/>
        <w:right w:val="none" w:sz="0" w:space="0" w:color="auto"/>
      </w:divBdr>
      <w:divsChild>
        <w:div w:id="1988853401">
          <w:marLeft w:val="0"/>
          <w:marRight w:val="0"/>
          <w:marTop w:val="0"/>
          <w:marBottom w:val="0"/>
          <w:divBdr>
            <w:top w:val="none" w:sz="0" w:space="0" w:color="auto"/>
            <w:left w:val="none" w:sz="0" w:space="0" w:color="auto"/>
            <w:bottom w:val="none" w:sz="0" w:space="0" w:color="auto"/>
            <w:right w:val="none" w:sz="0" w:space="0" w:color="auto"/>
          </w:divBdr>
        </w:div>
        <w:div w:id="1807820932">
          <w:marLeft w:val="0"/>
          <w:marRight w:val="0"/>
          <w:marTop w:val="0"/>
          <w:marBottom w:val="0"/>
          <w:divBdr>
            <w:top w:val="none" w:sz="0" w:space="0" w:color="auto"/>
            <w:left w:val="none" w:sz="0" w:space="0" w:color="auto"/>
            <w:bottom w:val="none" w:sz="0" w:space="0" w:color="auto"/>
            <w:right w:val="none" w:sz="0" w:space="0" w:color="auto"/>
          </w:divBdr>
        </w:div>
      </w:divsChild>
    </w:div>
    <w:div w:id="1529490125">
      <w:marLeft w:val="0"/>
      <w:marRight w:val="0"/>
      <w:marTop w:val="0"/>
      <w:marBottom w:val="0"/>
      <w:divBdr>
        <w:top w:val="none" w:sz="0" w:space="0" w:color="auto"/>
        <w:left w:val="none" w:sz="0" w:space="0" w:color="auto"/>
        <w:bottom w:val="none" w:sz="0" w:space="0" w:color="auto"/>
        <w:right w:val="none" w:sz="0" w:space="0" w:color="auto"/>
      </w:divBdr>
      <w:divsChild>
        <w:div w:id="105200097">
          <w:marLeft w:val="0"/>
          <w:marRight w:val="0"/>
          <w:marTop w:val="0"/>
          <w:marBottom w:val="0"/>
          <w:divBdr>
            <w:top w:val="none" w:sz="0" w:space="0" w:color="auto"/>
            <w:left w:val="none" w:sz="0" w:space="0" w:color="auto"/>
            <w:bottom w:val="none" w:sz="0" w:space="0" w:color="auto"/>
            <w:right w:val="none" w:sz="0" w:space="0" w:color="auto"/>
          </w:divBdr>
        </w:div>
        <w:div w:id="408164049">
          <w:marLeft w:val="0"/>
          <w:marRight w:val="0"/>
          <w:marTop w:val="0"/>
          <w:marBottom w:val="0"/>
          <w:divBdr>
            <w:top w:val="none" w:sz="0" w:space="0" w:color="auto"/>
            <w:left w:val="none" w:sz="0" w:space="0" w:color="auto"/>
            <w:bottom w:val="none" w:sz="0" w:space="0" w:color="auto"/>
            <w:right w:val="none" w:sz="0" w:space="0" w:color="auto"/>
          </w:divBdr>
        </w:div>
      </w:divsChild>
    </w:div>
    <w:div w:id="1538733140">
      <w:marLeft w:val="0"/>
      <w:marRight w:val="0"/>
      <w:marTop w:val="0"/>
      <w:marBottom w:val="0"/>
      <w:divBdr>
        <w:top w:val="none" w:sz="0" w:space="0" w:color="auto"/>
        <w:left w:val="none" w:sz="0" w:space="0" w:color="auto"/>
        <w:bottom w:val="none" w:sz="0" w:space="0" w:color="auto"/>
        <w:right w:val="none" w:sz="0" w:space="0" w:color="auto"/>
      </w:divBdr>
    </w:div>
    <w:div w:id="1557669358">
      <w:marLeft w:val="0"/>
      <w:marRight w:val="0"/>
      <w:marTop w:val="0"/>
      <w:marBottom w:val="0"/>
      <w:divBdr>
        <w:top w:val="none" w:sz="0" w:space="0" w:color="auto"/>
        <w:left w:val="none" w:sz="0" w:space="0" w:color="auto"/>
        <w:bottom w:val="none" w:sz="0" w:space="0" w:color="auto"/>
        <w:right w:val="none" w:sz="0" w:space="0" w:color="auto"/>
      </w:divBdr>
    </w:div>
    <w:div w:id="1640068161">
      <w:marLeft w:val="0"/>
      <w:marRight w:val="0"/>
      <w:marTop w:val="0"/>
      <w:marBottom w:val="0"/>
      <w:divBdr>
        <w:top w:val="none" w:sz="0" w:space="0" w:color="auto"/>
        <w:left w:val="none" w:sz="0" w:space="0" w:color="auto"/>
        <w:bottom w:val="none" w:sz="0" w:space="0" w:color="auto"/>
        <w:right w:val="none" w:sz="0" w:space="0" w:color="auto"/>
      </w:divBdr>
    </w:div>
    <w:div w:id="1659532161">
      <w:marLeft w:val="0"/>
      <w:marRight w:val="0"/>
      <w:marTop w:val="0"/>
      <w:marBottom w:val="0"/>
      <w:divBdr>
        <w:top w:val="none" w:sz="0" w:space="0" w:color="auto"/>
        <w:left w:val="none" w:sz="0" w:space="0" w:color="auto"/>
        <w:bottom w:val="none" w:sz="0" w:space="0" w:color="auto"/>
        <w:right w:val="none" w:sz="0" w:space="0" w:color="auto"/>
      </w:divBdr>
      <w:divsChild>
        <w:div w:id="1702895382">
          <w:marLeft w:val="0"/>
          <w:marRight w:val="0"/>
          <w:marTop w:val="0"/>
          <w:marBottom w:val="0"/>
          <w:divBdr>
            <w:top w:val="none" w:sz="0" w:space="0" w:color="auto"/>
            <w:left w:val="none" w:sz="0" w:space="0" w:color="auto"/>
            <w:bottom w:val="none" w:sz="0" w:space="0" w:color="auto"/>
            <w:right w:val="none" w:sz="0" w:space="0" w:color="auto"/>
          </w:divBdr>
        </w:div>
        <w:div w:id="330375343">
          <w:marLeft w:val="0"/>
          <w:marRight w:val="0"/>
          <w:marTop w:val="0"/>
          <w:marBottom w:val="0"/>
          <w:divBdr>
            <w:top w:val="none" w:sz="0" w:space="0" w:color="auto"/>
            <w:left w:val="none" w:sz="0" w:space="0" w:color="auto"/>
            <w:bottom w:val="none" w:sz="0" w:space="0" w:color="auto"/>
            <w:right w:val="none" w:sz="0" w:space="0" w:color="auto"/>
          </w:divBdr>
        </w:div>
      </w:divsChild>
    </w:div>
    <w:div w:id="1669943915">
      <w:marLeft w:val="0"/>
      <w:marRight w:val="0"/>
      <w:marTop w:val="0"/>
      <w:marBottom w:val="0"/>
      <w:divBdr>
        <w:top w:val="none" w:sz="0" w:space="0" w:color="auto"/>
        <w:left w:val="none" w:sz="0" w:space="0" w:color="auto"/>
        <w:bottom w:val="none" w:sz="0" w:space="0" w:color="auto"/>
        <w:right w:val="none" w:sz="0" w:space="0" w:color="auto"/>
      </w:divBdr>
      <w:divsChild>
        <w:div w:id="1471246450">
          <w:marLeft w:val="0"/>
          <w:marRight w:val="0"/>
          <w:marTop w:val="0"/>
          <w:marBottom w:val="0"/>
          <w:divBdr>
            <w:top w:val="none" w:sz="0" w:space="0" w:color="auto"/>
            <w:left w:val="none" w:sz="0" w:space="0" w:color="auto"/>
            <w:bottom w:val="none" w:sz="0" w:space="0" w:color="auto"/>
            <w:right w:val="none" w:sz="0" w:space="0" w:color="auto"/>
          </w:divBdr>
        </w:div>
        <w:div w:id="1790078052">
          <w:marLeft w:val="0"/>
          <w:marRight w:val="0"/>
          <w:marTop w:val="0"/>
          <w:marBottom w:val="0"/>
          <w:divBdr>
            <w:top w:val="none" w:sz="0" w:space="0" w:color="auto"/>
            <w:left w:val="none" w:sz="0" w:space="0" w:color="auto"/>
            <w:bottom w:val="none" w:sz="0" w:space="0" w:color="auto"/>
            <w:right w:val="none" w:sz="0" w:space="0" w:color="auto"/>
          </w:divBdr>
        </w:div>
      </w:divsChild>
    </w:div>
    <w:div w:id="1686667073">
      <w:marLeft w:val="0"/>
      <w:marRight w:val="0"/>
      <w:marTop w:val="0"/>
      <w:marBottom w:val="0"/>
      <w:divBdr>
        <w:top w:val="none" w:sz="0" w:space="0" w:color="auto"/>
        <w:left w:val="none" w:sz="0" w:space="0" w:color="auto"/>
        <w:bottom w:val="none" w:sz="0" w:space="0" w:color="auto"/>
        <w:right w:val="none" w:sz="0" w:space="0" w:color="auto"/>
      </w:divBdr>
      <w:divsChild>
        <w:div w:id="695162063">
          <w:marLeft w:val="0"/>
          <w:marRight w:val="0"/>
          <w:marTop w:val="0"/>
          <w:marBottom w:val="0"/>
          <w:divBdr>
            <w:top w:val="none" w:sz="0" w:space="0" w:color="auto"/>
            <w:left w:val="none" w:sz="0" w:space="0" w:color="auto"/>
            <w:bottom w:val="none" w:sz="0" w:space="0" w:color="auto"/>
            <w:right w:val="none" w:sz="0" w:space="0" w:color="auto"/>
          </w:divBdr>
          <w:divsChild>
            <w:div w:id="1521164481">
              <w:marLeft w:val="0"/>
              <w:marRight w:val="0"/>
              <w:marTop w:val="0"/>
              <w:marBottom w:val="0"/>
              <w:divBdr>
                <w:top w:val="none" w:sz="0" w:space="0" w:color="auto"/>
                <w:left w:val="none" w:sz="0" w:space="0" w:color="auto"/>
                <w:bottom w:val="none" w:sz="0" w:space="0" w:color="auto"/>
                <w:right w:val="none" w:sz="0" w:space="0" w:color="auto"/>
              </w:divBdr>
              <w:divsChild>
                <w:div w:id="1965232749">
                  <w:marLeft w:val="0"/>
                  <w:marRight w:val="0"/>
                  <w:marTop w:val="0"/>
                  <w:marBottom w:val="0"/>
                  <w:divBdr>
                    <w:top w:val="none" w:sz="0" w:space="0" w:color="auto"/>
                    <w:left w:val="none" w:sz="0" w:space="0" w:color="auto"/>
                    <w:bottom w:val="none" w:sz="0" w:space="0" w:color="auto"/>
                    <w:right w:val="none" w:sz="0" w:space="0" w:color="auto"/>
                  </w:divBdr>
                </w:div>
              </w:divsChild>
            </w:div>
            <w:div w:id="345448141">
              <w:marLeft w:val="0"/>
              <w:marRight w:val="0"/>
              <w:marTop w:val="0"/>
              <w:marBottom w:val="0"/>
              <w:divBdr>
                <w:top w:val="none" w:sz="0" w:space="0" w:color="auto"/>
                <w:left w:val="none" w:sz="0" w:space="0" w:color="auto"/>
                <w:bottom w:val="none" w:sz="0" w:space="0" w:color="auto"/>
                <w:right w:val="none" w:sz="0" w:space="0" w:color="auto"/>
              </w:divBdr>
            </w:div>
          </w:divsChild>
        </w:div>
        <w:div w:id="1264875294">
          <w:marLeft w:val="0"/>
          <w:marRight w:val="0"/>
          <w:marTop w:val="0"/>
          <w:marBottom w:val="0"/>
          <w:divBdr>
            <w:top w:val="none" w:sz="0" w:space="0" w:color="auto"/>
            <w:left w:val="none" w:sz="0" w:space="0" w:color="auto"/>
            <w:bottom w:val="none" w:sz="0" w:space="0" w:color="auto"/>
            <w:right w:val="none" w:sz="0" w:space="0" w:color="auto"/>
          </w:divBdr>
          <w:divsChild>
            <w:div w:id="2071076974">
              <w:marLeft w:val="0"/>
              <w:marRight w:val="0"/>
              <w:marTop w:val="0"/>
              <w:marBottom w:val="0"/>
              <w:divBdr>
                <w:top w:val="none" w:sz="0" w:space="0" w:color="auto"/>
                <w:left w:val="none" w:sz="0" w:space="0" w:color="auto"/>
                <w:bottom w:val="none" w:sz="0" w:space="0" w:color="auto"/>
                <w:right w:val="none" w:sz="0" w:space="0" w:color="auto"/>
              </w:divBdr>
              <w:divsChild>
                <w:div w:id="1577737993">
                  <w:marLeft w:val="0"/>
                  <w:marRight w:val="0"/>
                  <w:marTop w:val="0"/>
                  <w:marBottom w:val="0"/>
                  <w:divBdr>
                    <w:top w:val="none" w:sz="0" w:space="0" w:color="auto"/>
                    <w:left w:val="none" w:sz="0" w:space="0" w:color="auto"/>
                    <w:bottom w:val="none" w:sz="0" w:space="0" w:color="auto"/>
                    <w:right w:val="none" w:sz="0" w:space="0" w:color="auto"/>
                  </w:divBdr>
                </w:div>
              </w:divsChild>
            </w:div>
            <w:div w:id="8675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479">
      <w:marLeft w:val="0"/>
      <w:marRight w:val="0"/>
      <w:marTop w:val="0"/>
      <w:marBottom w:val="0"/>
      <w:divBdr>
        <w:top w:val="none" w:sz="0" w:space="0" w:color="auto"/>
        <w:left w:val="none" w:sz="0" w:space="0" w:color="auto"/>
        <w:bottom w:val="none" w:sz="0" w:space="0" w:color="auto"/>
        <w:right w:val="none" w:sz="0" w:space="0" w:color="auto"/>
      </w:divBdr>
    </w:div>
    <w:div w:id="1699771662">
      <w:marLeft w:val="0"/>
      <w:marRight w:val="0"/>
      <w:marTop w:val="0"/>
      <w:marBottom w:val="0"/>
      <w:divBdr>
        <w:top w:val="none" w:sz="0" w:space="0" w:color="auto"/>
        <w:left w:val="none" w:sz="0" w:space="0" w:color="auto"/>
        <w:bottom w:val="none" w:sz="0" w:space="0" w:color="auto"/>
        <w:right w:val="none" w:sz="0" w:space="0" w:color="auto"/>
      </w:divBdr>
    </w:div>
    <w:div w:id="1706639057">
      <w:marLeft w:val="0"/>
      <w:marRight w:val="0"/>
      <w:marTop w:val="0"/>
      <w:marBottom w:val="0"/>
      <w:divBdr>
        <w:top w:val="none" w:sz="0" w:space="0" w:color="auto"/>
        <w:left w:val="none" w:sz="0" w:space="0" w:color="auto"/>
        <w:bottom w:val="none" w:sz="0" w:space="0" w:color="auto"/>
        <w:right w:val="none" w:sz="0" w:space="0" w:color="auto"/>
      </w:divBdr>
    </w:div>
    <w:div w:id="1724018430">
      <w:marLeft w:val="0"/>
      <w:marRight w:val="0"/>
      <w:marTop w:val="0"/>
      <w:marBottom w:val="0"/>
      <w:divBdr>
        <w:top w:val="none" w:sz="0" w:space="0" w:color="auto"/>
        <w:left w:val="none" w:sz="0" w:space="0" w:color="auto"/>
        <w:bottom w:val="none" w:sz="0" w:space="0" w:color="auto"/>
        <w:right w:val="none" w:sz="0" w:space="0" w:color="auto"/>
      </w:divBdr>
      <w:divsChild>
        <w:div w:id="1051734303">
          <w:marLeft w:val="0"/>
          <w:marRight w:val="0"/>
          <w:marTop w:val="0"/>
          <w:marBottom w:val="0"/>
          <w:divBdr>
            <w:top w:val="none" w:sz="0" w:space="0" w:color="auto"/>
            <w:left w:val="none" w:sz="0" w:space="0" w:color="auto"/>
            <w:bottom w:val="none" w:sz="0" w:space="0" w:color="auto"/>
            <w:right w:val="none" w:sz="0" w:space="0" w:color="auto"/>
          </w:divBdr>
        </w:div>
        <w:div w:id="428698881">
          <w:marLeft w:val="0"/>
          <w:marRight w:val="0"/>
          <w:marTop w:val="0"/>
          <w:marBottom w:val="0"/>
          <w:divBdr>
            <w:top w:val="none" w:sz="0" w:space="0" w:color="auto"/>
            <w:left w:val="none" w:sz="0" w:space="0" w:color="auto"/>
            <w:bottom w:val="none" w:sz="0" w:space="0" w:color="auto"/>
            <w:right w:val="none" w:sz="0" w:space="0" w:color="auto"/>
          </w:divBdr>
        </w:div>
      </w:divsChild>
    </w:div>
    <w:div w:id="1741096807">
      <w:marLeft w:val="0"/>
      <w:marRight w:val="0"/>
      <w:marTop w:val="0"/>
      <w:marBottom w:val="0"/>
      <w:divBdr>
        <w:top w:val="none" w:sz="0" w:space="0" w:color="auto"/>
        <w:left w:val="none" w:sz="0" w:space="0" w:color="auto"/>
        <w:bottom w:val="none" w:sz="0" w:space="0" w:color="auto"/>
        <w:right w:val="none" w:sz="0" w:space="0" w:color="auto"/>
      </w:divBdr>
    </w:div>
    <w:div w:id="1758402469">
      <w:marLeft w:val="0"/>
      <w:marRight w:val="0"/>
      <w:marTop w:val="0"/>
      <w:marBottom w:val="0"/>
      <w:divBdr>
        <w:top w:val="none" w:sz="0" w:space="0" w:color="auto"/>
        <w:left w:val="none" w:sz="0" w:space="0" w:color="auto"/>
        <w:bottom w:val="none" w:sz="0" w:space="0" w:color="auto"/>
        <w:right w:val="none" w:sz="0" w:space="0" w:color="auto"/>
      </w:divBdr>
      <w:divsChild>
        <w:div w:id="351761472">
          <w:marLeft w:val="0"/>
          <w:marRight w:val="0"/>
          <w:marTop w:val="0"/>
          <w:marBottom w:val="0"/>
          <w:divBdr>
            <w:top w:val="none" w:sz="0" w:space="0" w:color="auto"/>
            <w:left w:val="none" w:sz="0" w:space="0" w:color="auto"/>
            <w:bottom w:val="none" w:sz="0" w:space="0" w:color="auto"/>
            <w:right w:val="none" w:sz="0" w:space="0" w:color="auto"/>
          </w:divBdr>
        </w:div>
        <w:div w:id="1600790353">
          <w:marLeft w:val="0"/>
          <w:marRight w:val="0"/>
          <w:marTop w:val="0"/>
          <w:marBottom w:val="0"/>
          <w:divBdr>
            <w:top w:val="none" w:sz="0" w:space="0" w:color="auto"/>
            <w:left w:val="none" w:sz="0" w:space="0" w:color="auto"/>
            <w:bottom w:val="none" w:sz="0" w:space="0" w:color="auto"/>
            <w:right w:val="none" w:sz="0" w:space="0" w:color="auto"/>
          </w:divBdr>
        </w:div>
      </w:divsChild>
    </w:div>
    <w:div w:id="1777942418">
      <w:marLeft w:val="0"/>
      <w:marRight w:val="0"/>
      <w:marTop w:val="0"/>
      <w:marBottom w:val="0"/>
      <w:divBdr>
        <w:top w:val="none" w:sz="0" w:space="0" w:color="auto"/>
        <w:left w:val="none" w:sz="0" w:space="0" w:color="auto"/>
        <w:bottom w:val="none" w:sz="0" w:space="0" w:color="auto"/>
        <w:right w:val="none" w:sz="0" w:space="0" w:color="auto"/>
      </w:divBdr>
    </w:div>
    <w:div w:id="1781686550">
      <w:marLeft w:val="0"/>
      <w:marRight w:val="0"/>
      <w:marTop w:val="0"/>
      <w:marBottom w:val="0"/>
      <w:divBdr>
        <w:top w:val="none" w:sz="0" w:space="0" w:color="auto"/>
        <w:left w:val="none" w:sz="0" w:space="0" w:color="auto"/>
        <w:bottom w:val="none" w:sz="0" w:space="0" w:color="auto"/>
        <w:right w:val="none" w:sz="0" w:space="0" w:color="auto"/>
      </w:divBdr>
    </w:div>
    <w:div w:id="1884245376">
      <w:marLeft w:val="0"/>
      <w:marRight w:val="0"/>
      <w:marTop w:val="0"/>
      <w:marBottom w:val="0"/>
      <w:divBdr>
        <w:top w:val="none" w:sz="0" w:space="0" w:color="auto"/>
        <w:left w:val="none" w:sz="0" w:space="0" w:color="auto"/>
        <w:bottom w:val="none" w:sz="0" w:space="0" w:color="auto"/>
        <w:right w:val="none" w:sz="0" w:space="0" w:color="auto"/>
      </w:divBdr>
    </w:div>
    <w:div w:id="1926064249">
      <w:marLeft w:val="0"/>
      <w:marRight w:val="0"/>
      <w:marTop w:val="0"/>
      <w:marBottom w:val="0"/>
      <w:divBdr>
        <w:top w:val="none" w:sz="0" w:space="0" w:color="auto"/>
        <w:left w:val="none" w:sz="0" w:space="0" w:color="auto"/>
        <w:bottom w:val="none" w:sz="0" w:space="0" w:color="auto"/>
        <w:right w:val="none" w:sz="0" w:space="0" w:color="auto"/>
      </w:divBdr>
      <w:divsChild>
        <w:div w:id="723217666">
          <w:marLeft w:val="0"/>
          <w:marRight w:val="0"/>
          <w:marTop w:val="0"/>
          <w:marBottom w:val="0"/>
          <w:divBdr>
            <w:top w:val="none" w:sz="0" w:space="0" w:color="auto"/>
            <w:left w:val="none" w:sz="0" w:space="0" w:color="auto"/>
            <w:bottom w:val="none" w:sz="0" w:space="0" w:color="auto"/>
            <w:right w:val="none" w:sz="0" w:space="0" w:color="auto"/>
          </w:divBdr>
        </w:div>
        <w:div w:id="298611696">
          <w:marLeft w:val="0"/>
          <w:marRight w:val="0"/>
          <w:marTop w:val="0"/>
          <w:marBottom w:val="0"/>
          <w:divBdr>
            <w:top w:val="none" w:sz="0" w:space="0" w:color="auto"/>
            <w:left w:val="none" w:sz="0" w:space="0" w:color="auto"/>
            <w:bottom w:val="none" w:sz="0" w:space="0" w:color="auto"/>
            <w:right w:val="none" w:sz="0" w:space="0" w:color="auto"/>
          </w:divBdr>
        </w:div>
      </w:divsChild>
    </w:div>
    <w:div w:id="2022199879">
      <w:marLeft w:val="0"/>
      <w:marRight w:val="0"/>
      <w:marTop w:val="0"/>
      <w:marBottom w:val="0"/>
      <w:divBdr>
        <w:top w:val="none" w:sz="0" w:space="0" w:color="auto"/>
        <w:left w:val="none" w:sz="0" w:space="0" w:color="auto"/>
        <w:bottom w:val="none" w:sz="0" w:space="0" w:color="auto"/>
        <w:right w:val="none" w:sz="0" w:space="0" w:color="auto"/>
      </w:divBdr>
    </w:div>
    <w:div w:id="2027556287">
      <w:marLeft w:val="0"/>
      <w:marRight w:val="0"/>
      <w:marTop w:val="0"/>
      <w:marBottom w:val="0"/>
      <w:divBdr>
        <w:top w:val="none" w:sz="0" w:space="0" w:color="auto"/>
        <w:left w:val="none" w:sz="0" w:space="0" w:color="auto"/>
        <w:bottom w:val="none" w:sz="0" w:space="0" w:color="auto"/>
        <w:right w:val="none" w:sz="0" w:space="0" w:color="auto"/>
      </w:divBdr>
    </w:div>
    <w:div w:id="2029092319">
      <w:marLeft w:val="0"/>
      <w:marRight w:val="0"/>
      <w:marTop w:val="0"/>
      <w:marBottom w:val="0"/>
      <w:divBdr>
        <w:top w:val="none" w:sz="0" w:space="0" w:color="auto"/>
        <w:left w:val="none" w:sz="0" w:space="0" w:color="auto"/>
        <w:bottom w:val="none" w:sz="0" w:space="0" w:color="auto"/>
        <w:right w:val="none" w:sz="0" w:space="0" w:color="auto"/>
      </w:divBdr>
    </w:div>
    <w:div w:id="2055692876">
      <w:marLeft w:val="0"/>
      <w:marRight w:val="0"/>
      <w:marTop w:val="0"/>
      <w:marBottom w:val="0"/>
      <w:divBdr>
        <w:top w:val="none" w:sz="0" w:space="0" w:color="auto"/>
        <w:left w:val="none" w:sz="0" w:space="0" w:color="auto"/>
        <w:bottom w:val="none" w:sz="0" w:space="0" w:color="auto"/>
        <w:right w:val="none" w:sz="0" w:space="0" w:color="auto"/>
      </w:divBdr>
      <w:divsChild>
        <w:div w:id="1813253941">
          <w:marLeft w:val="0"/>
          <w:marRight w:val="0"/>
          <w:marTop w:val="0"/>
          <w:marBottom w:val="0"/>
          <w:divBdr>
            <w:top w:val="none" w:sz="0" w:space="0" w:color="auto"/>
            <w:left w:val="none" w:sz="0" w:space="0" w:color="auto"/>
            <w:bottom w:val="none" w:sz="0" w:space="0" w:color="auto"/>
            <w:right w:val="none" w:sz="0" w:space="0" w:color="auto"/>
          </w:divBdr>
        </w:div>
        <w:div w:id="1986616129">
          <w:marLeft w:val="0"/>
          <w:marRight w:val="0"/>
          <w:marTop w:val="0"/>
          <w:marBottom w:val="0"/>
          <w:divBdr>
            <w:top w:val="none" w:sz="0" w:space="0" w:color="auto"/>
            <w:left w:val="none" w:sz="0" w:space="0" w:color="auto"/>
            <w:bottom w:val="none" w:sz="0" w:space="0" w:color="auto"/>
            <w:right w:val="none" w:sz="0" w:space="0" w:color="auto"/>
          </w:divBdr>
        </w:div>
      </w:divsChild>
    </w:div>
    <w:div w:id="2093430521">
      <w:marLeft w:val="0"/>
      <w:marRight w:val="0"/>
      <w:marTop w:val="0"/>
      <w:marBottom w:val="0"/>
      <w:divBdr>
        <w:top w:val="none" w:sz="0" w:space="0" w:color="auto"/>
        <w:left w:val="none" w:sz="0" w:space="0" w:color="auto"/>
        <w:bottom w:val="none" w:sz="0" w:space="0" w:color="auto"/>
        <w:right w:val="none" w:sz="0" w:space="0" w:color="auto"/>
      </w:divBdr>
      <w:divsChild>
        <w:div w:id="518544740">
          <w:marLeft w:val="0"/>
          <w:marRight w:val="0"/>
          <w:marTop w:val="0"/>
          <w:marBottom w:val="0"/>
          <w:divBdr>
            <w:top w:val="none" w:sz="0" w:space="0" w:color="auto"/>
            <w:left w:val="none" w:sz="0" w:space="0" w:color="auto"/>
            <w:bottom w:val="none" w:sz="0" w:space="0" w:color="auto"/>
            <w:right w:val="none" w:sz="0" w:space="0" w:color="auto"/>
          </w:divBdr>
        </w:div>
        <w:div w:id="1722436373">
          <w:marLeft w:val="0"/>
          <w:marRight w:val="0"/>
          <w:marTop w:val="0"/>
          <w:marBottom w:val="0"/>
          <w:divBdr>
            <w:top w:val="none" w:sz="0" w:space="0" w:color="auto"/>
            <w:left w:val="none" w:sz="0" w:space="0" w:color="auto"/>
            <w:bottom w:val="none" w:sz="0" w:space="0" w:color="auto"/>
            <w:right w:val="none" w:sz="0" w:space="0" w:color="auto"/>
          </w:divBdr>
        </w:div>
      </w:divsChild>
    </w:div>
    <w:div w:id="2117209798">
      <w:marLeft w:val="0"/>
      <w:marRight w:val="0"/>
      <w:marTop w:val="0"/>
      <w:marBottom w:val="0"/>
      <w:divBdr>
        <w:top w:val="none" w:sz="0" w:space="0" w:color="auto"/>
        <w:left w:val="none" w:sz="0" w:space="0" w:color="auto"/>
        <w:bottom w:val="none" w:sz="0" w:space="0" w:color="auto"/>
        <w:right w:val="none" w:sz="0" w:space="0" w:color="auto"/>
      </w:divBdr>
      <w:divsChild>
        <w:div w:id="494339055">
          <w:marLeft w:val="0"/>
          <w:marRight w:val="0"/>
          <w:marTop w:val="0"/>
          <w:marBottom w:val="0"/>
          <w:divBdr>
            <w:top w:val="none" w:sz="0" w:space="0" w:color="auto"/>
            <w:left w:val="none" w:sz="0" w:space="0" w:color="auto"/>
            <w:bottom w:val="none" w:sz="0" w:space="0" w:color="auto"/>
            <w:right w:val="none" w:sz="0" w:space="0" w:color="auto"/>
          </w:divBdr>
        </w:div>
        <w:div w:id="1776242547">
          <w:marLeft w:val="0"/>
          <w:marRight w:val="0"/>
          <w:marTop w:val="0"/>
          <w:marBottom w:val="0"/>
          <w:divBdr>
            <w:top w:val="none" w:sz="0" w:space="0" w:color="auto"/>
            <w:left w:val="none" w:sz="0" w:space="0" w:color="auto"/>
            <w:bottom w:val="none" w:sz="0" w:space="0" w:color="auto"/>
            <w:right w:val="none" w:sz="0" w:space="0" w:color="auto"/>
          </w:divBdr>
        </w:div>
      </w:divsChild>
    </w:div>
    <w:div w:id="2138255001">
      <w:marLeft w:val="0"/>
      <w:marRight w:val="0"/>
      <w:marTop w:val="0"/>
      <w:marBottom w:val="0"/>
      <w:divBdr>
        <w:top w:val="none" w:sz="0" w:space="0" w:color="auto"/>
        <w:left w:val="none" w:sz="0" w:space="0" w:color="auto"/>
        <w:bottom w:val="none" w:sz="0" w:space="0" w:color="auto"/>
        <w:right w:val="none" w:sz="0" w:space="0" w:color="auto"/>
      </w:divBdr>
      <w:divsChild>
        <w:div w:id="1548755429">
          <w:marLeft w:val="0"/>
          <w:marRight w:val="0"/>
          <w:marTop w:val="0"/>
          <w:marBottom w:val="0"/>
          <w:divBdr>
            <w:top w:val="none" w:sz="0" w:space="0" w:color="auto"/>
            <w:left w:val="none" w:sz="0" w:space="0" w:color="auto"/>
            <w:bottom w:val="none" w:sz="0" w:space="0" w:color="auto"/>
            <w:right w:val="none" w:sz="0" w:space="0" w:color="auto"/>
          </w:divBdr>
        </w:div>
        <w:div w:id="1534926526">
          <w:marLeft w:val="0"/>
          <w:marRight w:val="0"/>
          <w:marTop w:val="0"/>
          <w:marBottom w:val="0"/>
          <w:divBdr>
            <w:top w:val="none" w:sz="0" w:space="0" w:color="auto"/>
            <w:left w:val="none" w:sz="0" w:space="0" w:color="auto"/>
            <w:bottom w:val="none" w:sz="0" w:space="0" w:color="auto"/>
            <w:right w:val="none" w:sz="0" w:space="0" w:color="auto"/>
          </w:divBdr>
        </w:div>
      </w:divsChild>
    </w:div>
    <w:div w:id="2145729204">
      <w:marLeft w:val="0"/>
      <w:marRight w:val="0"/>
      <w:marTop w:val="0"/>
      <w:marBottom w:val="0"/>
      <w:divBdr>
        <w:top w:val="none" w:sz="0" w:space="0" w:color="auto"/>
        <w:left w:val="none" w:sz="0" w:space="0" w:color="auto"/>
        <w:bottom w:val="none" w:sz="0" w:space="0" w:color="auto"/>
        <w:right w:val="none" w:sz="0" w:space="0" w:color="auto"/>
      </w:divBdr>
      <w:divsChild>
        <w:div w:id="1048142420">
          <w:marLeft w:val="0"/>
          <w:marRight w:val="0"/>
          <w:marTop w:val="0"/>
          <w:marBottom w:val="0"/>
          <w:divBdr>
            <w:top w:val="none" w:sz="0" w:space="0" w:color="auto"/>
            <w:left w:val="none" w:sz="0" w:space="0" w:color="auto"/>
            <w:bottom w:val="none" w:sz="0" w:space="0" w:color="auto"/>
            <w:right w:val="none" w:sz="0" w:space="0" w:color="auto"/>
          </w:divBdr>
        </w:div>
        <w:div w:id="11800003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0001332174/000143774921004601/ex_226238.htm" TargetMode="External"/><Relationship Id="rId13" Type="http://schemas.openxmlformats.org/officeDocument/2006/relationships/hyperlink" Target="http://www.sec.gov/Archives/edgar/data/1332174/000143774921013170/ex_252433.htm" TargetMode="External"/><Relationship Id="rId18" Type="http://schemas.openxmlformats.org/officeDocument/2006/relationships/hyperlink" Target="ex_464399.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ec.gov/Archives/edgar/data/1332174/000143774913015504/ex4-2.htm" TargetMode="External"/><Relationship Id="rId12" Type="http://schemas.openxmlformats.org/officeDocument/2006/relationships/hyperlink" Target="http://www.sec.gov/Archives/edgar/data/1332174/000143774921013170/ex_252421.htm" TargetMode="External"/><Relationship Id="rId17" Type="http://schemas.openxmlformats.org/officeDocument/2006/relationships/hyperlink" Target="ex_464398.htm" TargetMode="External"/><Relationship Id="rId2" Type="http://schemas.openxmlformats.org/officeDocument/2006/relationships/settings" Target="settings.xml"/><Relationship Id="rId16" Type="http://schemas.openxmlformats.org/officeDocument/2006/relationships/hyperlink" Target="ex_464397.htm" TargetMode="External"/><Relationship Id="rId20" Type="http://schemas.openxmlformats.org/officeDocument/2006/relationships/hyperlink" Target="ex_464401.htm" TargetMode="External"/><Relationship Id="rId1" Type="http://schemas.openxmlformats.org/officeDocument/2006/relationships/styles" Target="styles.xml"/><Relationship Id="rId6" Type="http://schemas.openxmlformats.org/officeDocument/2006/relationships/hyperlink" Target="http://www.sec.gov/Archives/edgar/data/1332174/000143774922008000/ex_354062.htm" TargetMode="External"/><Relationship Id="rId11" Type="http://schemas.openxmlformats.org/officeDocument/2006/relationships/hyperlink" Target="http://www.sec.gov/Archives/edgar/data/1332174/000143774913016608/ex10-3.htm" TargetMode="External"/><Relationship Id="rId5" Type="http://schemas.openxmlformats.org/officeDocument/2006/relationships/hyperlink" Target="http://www.sec.gov/Archives/edgar/data/1332174/000119312507107651/dex31i.htm" TargetMode="External"/><Relationship Id="rId15" Type="http://schemas.openxmlformats.org/officeDocument/2006/relationships/hyperlink" Target="http://www.sec.gov/Archives/edgar/data/1332174/000143774914005983/ex10-7.htm" TargetMode="External"/><Relationship Id="rId10" Type="http://schemas.openxmlformats.org/officeDocument/2006/relationships/hyperlink" Target="http://www.sec.gov/Archives/edgar/data/1332174/000119312506120454/dex102.htm" TargetMode="External"/><Relationship Id="rId19" Type="http://schemas.openxmlformats.org/officeDocument/2006/relationships/hyperlink" Target="ex_464400.htm" TargetMode="External"/><Relationship Id="rId4" Type="http://schemas.openxmlformats.org/officeDocument/2006/relationships/image" Target="file:///E:\projects\LLMs\new_data_collection\data_new\htm\iShares%20S&amp;P%20GSCI%20Commodity-Indexed%20Trust\img01.jpg" TargetMode="External"/><Relationship Id="rId9" Type="http://schemas.openxmlformats.org/officeDocument/2006/relationships/hyperlink" Target="http://www.sec.gov/Archives/edgar/data/1332174/000143774913016608/ex10-1.htm" TargetMode="External"/><Relationship Id="rId14" Type="http://schemas.openxmlformats.org/officeDocument/2006/relationships/hyperlink" Target="http://www.sec.gov/Archives/edgar/data/1332174/000143774921013170/ex_252432.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40752</Words>
  <Characters>232288</Characters>
  <Application>Microsoft Office Word</Application>
  <DocSecurity>0</DocSecurity>
  <Lines>1935</Lines>
  <Paragraphs>544</Paragraphs>
  <ScaleCrop>false</ScaleCrop>
  <Company/>
  <LinksUpToDate>false</LinksUpToDate>
  <CharactersWithSpaces>272496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gsg20221231_10k.htm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